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81493718"/>
      <w:bookmarkEnd w:id="0"/>
      <w:bookmarkStart w:id="1" w:name="_Hlk57883707"/>
    </w:p>
    <w:bookmarkEnd w:id="1"/>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jc w:val="center"/>
        <w:rPr>
          <w:rFonts w:ascii="楷体_GB2312" w:eastAsia="楷体_GB2312"/>
          <w:b/>
          <w:sz w:val="44"/>
          <w:szCs w:val="44"/>
        </w:rPr>
      </w:pPr>
      <w:bookmarkStart w:id="2" w:name="_Hlk57883728"/>
      <w:r>
        <w:rPr>
          <w:rFonts w:hint="eastAsia" w:ascii="楷体_GB2312" w:eastAsia="楷体_GB2312"/>
          <w:b/>
          <w:sz w:val="44"/>
          <w:szCs w:val="44"/>
        </w:rPr>
        <w:t>（报批稿）</w:t>
      </w: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ind w:firstLine="1040"/>
        <w:rPr>
          <w:rFonts w:eastAsia="仿宋"/>
          <w:sz w:val="44"/>
          <w:szCs w:val="44"/>
        </w:rPr>
      </w:pPr>
    </w:p>
    <w:p>
      <w:pPr>
        <w:adjustRightInd w:val="0"/>
        <w:snapToGrid w:val="0"/>
        <w:spacing w:line="288" w:lineRule="auto"/>
        <w:ind w:left="2591" w:leftChars="472" w:hanging="1600" w:hangingChars="500"/>
        <w:rPr>
          <w:rFonts w:ascii="仿宋_GB2312" w:eastAsia="仿宋_GB2312"/>
          <w:sz w:val="32"/>
          <w:szCs w:val="32"/>
          <w:u w:val="single"/>
        </w:rPr>
      </w:pPr>
      <w:r>
        <w:rPr>
          <w:rFonts w:hint="eastAsia" w:ascii="仿宋_GB2312" w:eastAsia="仿宋_GB2312"/>
          <w:sz w:val="32"/>
          <w:szCs w:val="32"/>
        </w:rPr>
        <w:t>项目名称：</w:t>
      </w:r>
      <w:bookmarkStart w:id="3" w:name="_Hlk102990969"/>
      <w:r>
        <w:rPr>
          <w:rFonts w:hint="eastAsia" w:ascii="仿宋_GB2312" w:eastAsia="仿宋_GB2312"/>
          <w:spacing w:val="4"/>
          <w:sz w:val="32"/>
          <w:szCs w:val="32"/>
          <w:u w:val="single"/>
        </w:rPr>
        <w:t>彩6</w:t>
      </w:r>
      <w:r>
        <w:rPr>
          <w:rFonts w:ascii="仿宋_GB2312" w:eastAsia="仿宋_GB2312"/>
          <w:spacing w:val="4"/>
          <w:sz w:val="32"/>
          <w:szCs w:val="32"/>
          <w:u w:val="single"/>
        </w:rPr>
        <w:t>1H</w:t>
      </w:r>
      <w:r>
        <w:rPr>
          <w:rFonts w:hint="eastAsia" w:ascii="仿宋_GB2312" w:eastAsia="仿宋_GB2312"/>
          <w:spacing w:val="4"/>
          <w:sz w:val="32"/>
          <w:szCs w:val="32"/>
          <w:u w:val="single"/>
        </w:rPr>
        <w:t>勘探钻探项目</w:t>
      </w:r>
      <w:bookmarkEnd w:id="3"/>
      <w:r>
        <w:rPr>
          <w:rFonts w:hint="eastAsia" w:ascii="仿宋_GB2312" w:eastAsia="仿宋_GB2312"/>
          <w:spacing w:val="4"/>
          <w:sz w:val="32"/>
          <w:szCs w:val="32"/>
          <w:u w:val="single"/>
        </w:rPr>
        <w:t xml:space="preserve"> </w:t>
      </w:r>
      <w:r>
        <w:rPr>
          <w:rFonts w:ascii="仿宋_GB2312" w:eastAsia="仿宋_GB2312"/>
          <w:spacing w:val="4"/>
          <w:sz w:val="32"/>
          <w:szCs w:val="32"/>
          <w:u w:val="single"/>
        </w:rPr>
        <w:t xml:space="preserve">                 </w:t>
      </w: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2"/>
          <w:szCs w:val="32"/>
          <w:u w:val="single"/>
        </w:rPr>
        <w:t xml:space="preserve">中国石油新疆油田分公司勘探事业部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2"/>
          <w:szCs w:val="32"/>
        </w:rPr>
        <w:t>编制日期：</w:t>
      </w:r>
      <w:r>
        <w:rPr>
          <w:rFonts w:ascii="仿宋_GB2312" w:eastAsia="仿宋_GB2312"/>
          <w:sz w:val="32"/>
          <w:szCs w:val="32"/>
          <w:u w:val="single"/>
        </w:rPr>
        <w:t>2022</w:t>
      </w:r>
      <w:r>
        <w:rPr>
          <w:rFonts w:hint="eastAsia" w:ascii="仿宋_GB2312" w:eastAsia="仿宋_GB2312"/>
          <w:sz w:val="32"/>
          <w:szCs w:val="32"/>
          <w:u w:val="single"/>
        </w:rPr>
        <w:t>年</w:t>
      </w:r>
      <w:r>
        <w:rPr>
          <w:rFonts w:ascii="仿宋_GB2312" w:eastAsia="仿宋_GB2312"/>
          <w:sz w:val="32"/>
          <w:szCs w:val="32"/>
          <w:u w:val="single"/>
        </w:rPr>
        <w:t>10</w:t>
      </w:r>
      <w:r>
        <w:rPr>
          <w:rFonts w:hint="eastAsia" w:ascii="仿宋_GB2312" w:eastAsia="仿宋_GB2312"/>
          <w:sz w:val="32"/>
          <w:szCs w:val="32"/>
          <w:u w:val="single"/>
        </w:rPr>
        <w:t xml:space="preserve">月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p>
    <w:p>
      <w:pPr>
        <w:tabs>
          <w:tab w:val="left" w:pos="2444"/>
        </w:tabs>
        <w:adjustRightInd w:val="0"/>
        <w:snapToGrid w:val="0"/>
        <w:spacing w:line="288" w:lineRule="auto"/>
        <w:ind w:firstLine="1040"/>
        <w:rPr>
          <w:rFonts w:ascii="仿宋_GB2312" w:eastAsia="仿宋_GB2312"/>
          <w:sz w:val="36"/>
          <w:szCs w:val="36"/>
        </w:rPr>
      </w:pPr>
      <w:r>
        <w:rPr>
          <w:rFonts w:ascii="仿宋_GB2312" w:eastAsia="仿宋_GB2312"/>
          <w:sz w:val="36"/>
          <w:szCs w:val="36"/>
        </w:rPr>
        <w:tab/>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sz w:val="24"/>
        </w:rPr>
      </w:pPr>
      <w:r>
        <w:rPr>
          <w:rFonts w:hint="eastAsia" w:ascii="楷体_GB2312" w:eastAsia="楷体_GB2312"/>
          <w:sz w:val="36"/>
          <w:szCs w:val="36"/>
        </w:rPr>
        <w:t>中华人民共和国生态环境部制</w:t>
      </w:r>
    </w:p>
    <w:p>
      <w:pPr>
        <w:widowControl/>
        <w:spacing w:line="343" w:lineRule="auto"/>
        <w:sectPr>
          <w:footerReference r:id="rId5" w:type="first"/>
          <w:footerReference r:id="rId3" w:type="default"/>
          <w:footerReference r:id="rId4" w:type="even"/>
          <w:pgSz w:w="11910" w:h="16840"/>
          <w:pgMar w:top="1580" w:right="1320" w:bottom="1240" w:left="1420" w:header="720" w:footer="1055" w:gutter="0"/>
          <w:cols w:space="720" w:num="1"/>
        </w:sectPr>
      </w:pPr>
    </w:p>
    <w:p>
      <w:pPr>
        <w:pStyle w:val="2"/>
        <w:rPr>
          <w:snapToGrid w:val="0"/>
        </w:rPr>
      </w:pPr>
      <w:r>
        <w:rPr>
          <w:rFonts w:hint="eastAsia"/>
          <w:snapToGrid w:val="0"/>
        </w:rPr>
        <w:t>一、建设项目基本情况</w:t>
      </w:r>
    </w:p>
    <w:tbl>
      <w:tblPr>
        <w:tblStyle w:val="17"/>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59"/>
        <w:gridCol w:w="612"/>
        <w:gridCol w:w="846"/>
        <w:gridCol w:w="141"/>
        <w:gridCol w:w="567"/>
        <w:gridCol w:w="1978"/>
        <w:gridCol w:w="857"/>
        <w:gridCol w:w="284"/>
        <w:gridCol w:w="26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4"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bookmarkStart w:id="4" w:name="_Hlk75966669"/>
            <w:r>
              <w:rPr>
                <w:rFonts w:hint="eastAsia" w:ascii="宋体" w:hAnsi="宋体" w:cs="宋体"/>
                <w:sz w:val="24"/>
              </w:rPr>
              <w:t>建设项目名称</w:t>
            </w:r>
          </w:p>
        </w:tc>
        <w:tc>
          <w:tcPr>
            <w:tcW w:w="6520" w:type="dxa"/>
            <w:gridSpan w:val="6"/>
            <w:vAlign w:val="center"/>
          </w:tcPr>
          <w:p>
            <w:pPr>
              <w:adjustRightInd w:val="0"/>
              <w:snapToGrid w:val="0"/>
              <w:jc w:val="center"/>
              <w:rPr>
                <w:rFonts w:ascii="宋体" w:hAnsi="宋体" w:cs="宋体"/>
                <w:sz w:val="24"/>
              </w:rPr>
            </w:pPr>
            <w:r>
              <w:rPr>
                <w:rFonts w:hint="eastAsia" w:ascii="宋体" w:hAnsi="宋体" w:cs="宋体"/>
                <w:sz w:val="24"/>
              </w:rPr>
              <w:t>彩61H勘探钻探项目</w:t>
            </w:r>
          </w:p>
        </w:tc>
      </w:tr>
      <w:bookmarkEnd w:id="4"/>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3"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6520" w:type="dxa"/>
            <w:gridSpan w:val="6"/>
            <w:vAlign w:val="center"/>
          </w:tcPr>
          <w:p>
            <w:pPr>
              <w:adjustRightInd w:val="0"/>
              <w:snapToGrid w:val="0"/>
              <w:jc w:val="center"/>
              <w:rPr>
                <w:rFonts w:ascii="宋体" w:hAnsi="宋体" w:cs="宋体"/>
                <w:sz w:val="24"/>
              </w:rPr>
            </w:pPr>
            <w:r>
              <w:rPr>
                <w:rFonts w:hint="eastAsia" w:ascii="宋体" w:hAnsi="宋体"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2686" w:type="dxa"/>
            <w:gridSpan w:val="3"/>
            <w:vAlign w:val="center"/>
          </w:tcPr>
          <w:p>
            <w:pPr>
              <w:adjustRightInd w:val="0"/>
              <w:snapToGrid w:val="0"/>
              <w:jc w:val="center"/>
              <w:rPr>
                <w:rFonts w:ascii="宋体" w:hAnsi="宋体" w:cs="宋体"/>
                <w:sz w:val="24"/>
              </w:rPr>
            </w:pPr>
            <w:r>
              <w:rPr>
                <w:rFonts w:hint="eastAsia"/>
                <w:sz w:val="24"/>
              </w:rPr>
              <w:t>郑以华</w:t>
            </w:r>
          </w:p>
        </w:tc>
        <w:tc>
          <w:tcPr>
            <w:tcW w:w="1141" w:type="dxa"/>
            <w:gridSpan w:val="2"/>
            <w:vAlign w:val="center"/>
          </w:tcPr>
          <w:p>
            <w:pPr>
              <w:adjustRightInd w:val="0"/>
              <w:snapToGrid w:val="0"/>
              <w:jc w:val="center"/>
              <w:rPr>
                <w:rFonts w:ascii="宋体" w:hAnsi="宋体" w:cs="宋体"/>
                <w:sz w:val="24"/>
              </w:rPr>
            </w:pPr>
            <w:r>
              <w:rPr>
                <w:rFonts w:hint="eastAsia" w:ascii="宋体" w:hAnsi="宋体" w:cs="宋体"/>
                <w:sz w:val="24"/>
              </w:rPr>
              <w:t>联系方式</w:t>
            </w:r>
          </w:p>
        </w:tc>
        <w:tc>
          <w:tcPr>
            <w:tcW w:w="2693" w:type="dxa"/>
            <w:vAlign w:val="center"/>
          </w:tcPr>
          <w:p>
            <w:pPr>
              <w:adjustRightInd w:val="0"/>
              <w:snapToGrid w:val="0"/>
              <w:jc w:val="center"/>
              <w:rPr>
                <w:rFonts w:ascii="宋体" w:hAnsi="宋体" w:cs="宋体"/>
                <w:sz w:val="24"/>
              </w:rPr>
            </w:pPr>
            <w:r>
              <w:rPr>
                <w:rFonts w:ascii="宋体" w:hAnsi="宋体" w:cs="宋体"/>
                <w:sz w:val="24"/>
              </w:rPr>
              <w:t>135</w:t>
            </w:r>
            <w:r>
              <w:rPr>
                <w:rFonts w:hint="eastAsia" w:ascii="宋体" w:hAnsi="宋体" w:cs="宋体"/>
                <w:sz w:val="24"/>
                <w:lang w:val="en-US" w:eastAsia="zh-CN"/>
              </w:rPr>
              <w:t>****</w:t>
            </w:r>
            <w:bookmarkStart w:id="78" w:name="_GoBack"/>
            <w:bookmarkEnd w:id="78"/>
            <w:r>
              <w:rPr>
                <w:rFonts w:ascii="宋体" w:hAnsi="宋体" w:cs="宋体"/>
                <w:sz w:val="24"/>
              </w:rPr>
              <w:t>0838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6520" w:type="dxa"/>
            <w:gridSpan w:val="6"/>
            <w:vAlign w:val="center"/>
          </w:tcPr>
          <w:p>
            <w:pPr>
              <w:adjustRightInd w:val="0"/>
              <w:snapToGrid w:val="0"/>
              <w:jc w:val="center"/>
              <w:rPr>
                <w:rFonts w:ascii="宋体" w:hAnsi="宋体"/>
                <w:sz w:val="24"/>
              </w:rPr>
            </w:pPr>
            <w:r>
              <w:rPr>
                <w:rFonts w:hint="eastAsia" w:ascii="宋体" w:hAnsi="宋体" w:cs="宋体"/>
                <w:sz w:val="24"/>
              </w:rPr>
              <w:t>新疆维吾尔自治区昌吉回族自治州阜康市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6520" w:type="dxa"/>
            <w:gridSpan w:val="6"/>
            <w:vAlign w:val="center"/>
          </w:tcPr>
          <w:p>
            <w:pPr>
              <w:adjustRightInd w:val="0"/>
              <w:snapToGrid w:val="0"/>
              <w:jc w:val="center"/>
              <w:rPr>
                <w:rFonts w:ascii="宋体" w:hAnsi="宋体" w:cs="宋体"/>
                <w:spacing w:val="-10"/>
                <w:sz w:val="24"/>
              </w:rPr>
            </w:pPr>
            <w:r>
              <w:rPr>
                <w:rFonts w:hint="eastAsia" w:ascii="宋体" w:hAnsi="宋体" w:cs="宋体"/>
                <w:spacing w:val="-10"/>
                <w:sz w:val="24"/>
              </w:rPr>
              <w:t>东经：</w:t>
            </w:r>
            <w:r>
              <w:rPr>
                <w:rFonts w:ascii="宋体" w:hAnsi="宋体" w:cs="宋体"/>
                <w:spacing w:val="-10"/>
                <w:sz w:val="24"/>
              </w:rPr>
              <w:t>88</w:t>
            </w:r>
            <w:r>
              <w:rPr>
                <w:rFonts w:hint="eastAsia" w:ascii="宋体" w:hAnsi="宋体" w:cs="宋体"/>
                <w:spacing w:val="-10"/>
                <w:sz w:val="24"/>
              </w:rPr>
              <w:t>度2</w:t>
            </w:r>
            <w:r>
              <w:rPr>
                <w:rFonts w:ascii="宋体" w:hAnsi="宋体" w:cs="宋体"/>
                <w:spacing w:val="-10"/>
                <w:sz w:val="24"/>
              </w:rPr>
              <w:t>2</w:t>
            </w:r>
            <w:r>
              <w:rPr>
                <w:rFonts w:hint="eastAsia" w:ascii="宋体" w:hAnsi="宋体" w:cs="宋体"/>
                <w:spacing w:val="-10"/>
                <w:sz w:val="24"/>
              </w:rPr>
              <w:t>分5</w:t>
            </w:r>
            <w:r>
              <w:rPr>
                <w:rFonts w:ascii="宋体" w:hAnsi="宋体" w:cs="宋体"/>
                <w:spacing w:val="-10"/>
                <w:sz w:val="24"/>
              </w:rPr>
              <w:t>8.972</w:t>
            </w:r>
            <w:r>
              <w:rPr>
                <w:rFonts w:hint="eastAsia" w:ascii="宋体" w:hAnsi="宋体" w:cs="宋体"/>
                <w:spacing w:val="-10"/>
                <w:sz w:val="24"/>
              </w:rPr>
              <w:t>秒，北纬：</w:t>
            </w:r>
            <w:r>
              <w:rPr>
                <w:rFonts w:ascii="宋体" w:hAnsi="宋体" w:cs="宋体"/>
                <w:spacing w:val="-10"/>
                <w:sz w:val="24"/>
              </w:rPr>
              <w:t>44</w:t>
            </w:r>
            <w:r>
              <w:rPr>
                <w:rFonts w:hint="eastAsia" w:ascii="宋体" w:hAnsi="宋体" w:cs="宋体"/>
                <w:spacing w:val="-10"/>
                <w:sz w:val="24"/>
              </w:rPr>
              <w:t>度5</w:t>
            </w:r>
            <w:r>
              <w:rPr>
                <w:rFonts w:ascii="宋体" w:hAnsi="宋体" w:cs="宋体"/>
                <w:spacing w:val="-10"/>
                <w:sz w:val="24"/>
              </w:rPr>
              <w:t>8</w:t>
            </w:r>
            <w:r>
              <w:rPr>
                <w:rFonts w:hint="eastAsia" w:ascii="宋体" w:hAnsi="宋体" w:cs="宋体"/>
                <w:spacing w:val="-10"/>
                <w:sz w:val="24"/>
              </w:rPr>
              <w:t>分5</w:t>
            </w:r>
            <w:r>
              <w:rPr>
                <w:rFonts w:ascii="宋体" w:hAnsi="宋体" w:cs="宋体"/>
                <w:spacing w:val="-10"/>
                <w:sz w:val="24"/>
              </w:rPr>
              <w:t>1.167</w:t>
            </w:r>
            <w:r>
              <w:rPr>
                <w:rFonts w:hint="eastAsia" w:ascii="宋体" w:hAnsi="宋体" w:cs="宋体"/>
                <w:spacing w:val="-10"/>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99"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行业类别</w:t>
            </w:r>
          </w:p>
        </w:tc>
        <w:tc>
          <w:tcPr>
            <w:tcW w:w="2686" w:type="dxa"/>
            <w:gridSpan w:val="3"/>
            <w:vAlign w:val="center"/>
          </w:tcPr>
          <w:p>
            <w:pPr>
              <w:adjustRightInd w:val="0"/>
              <w:snapToGrid w:val="0"/>
              <w:ind w:left="-3" w:leftChars="-80" w:right="-118" w:rightChars="-56" w:hanging="165" w:hangingChars="69"/>
              <w:jc w:val="center"/>
              <w:rPr>
                <w:rFonts w:ascii="宋体" w:hAnsi="宋体" w:cs="宋体"/>
                <w:sz w:val="24"/>
              </w:rPr>
            </w:pPr>
            <w:r>
              <w:rPr>
                <w:rFonts w:hint="eastAsia" w:ascii="宋体" w:hAnsi="宋体" w:cs="宋体"/>
                <w:sz w:val="24"/>
              </w:rPr>
              <w:t>四十六、专业技术服务</w:t>
            </w:r>
          </w:p>
          <w:p>
            <w:pPr>
              <w:adjustRightInd w:val="0"/>
              <w:snapToGrid w:val="0"/>
              <w:ind w:left="-3" w:leftChars="-80" w:right="-118" w:rightChars="-56" w:hanging="165" w:hangingChars="69"/>
              <w:jc w:val="center"/>
              <w:rPr>
                <w:rFonts w:ascii="宋体" w:hAnsi="宋体" w:cs="宋体"/>
                <w:sz w:val="24"/>
              </w:rPr>
            </w:pPr>
            <w:r>
              <w:rPr>
                <w:rFonts w:hint="eastAsia" w:ascii="宋体" w:hAnsi="宋体" w:cs="宋体"/>
                <w:sz w:val="24"/>
              </w:rPr>
              <w:t>业99陆地矿产资源地质</w:t>
            </w:r>
          </w:p>
          <w:p>
            <w:pPr>
              <w:adjustRightInd w:val="0"/>
              <w:snapToGrid w:val="0"/>
              <w:ind w:left="-2" w:leftChars="-1" w:right="-118" w:rightChars="-56" w:firstLine="2"/>
              <w:jc w:val="center"/>
              <w:rPr>
                <w:rFonts w:ascii="宋体" w:hAnsi="宋体" w:cs="宋体"/>
                <w:sz w:val="24"/>
              </w:rPr>
            </w:pPr>
            <w:r>
              <w:rPr>
                <w:rFonts w:hint="eastAsia" w:ascii="宋体" w:hAnsi="宋体" w:cs="宋体"/>
                <w:sz w:val="24"/>
              </w:rPr>
              <w:t>勘查（含油气资源勘探）</w:t>
            </w:r>
          </w:p>
        </w:tc>
        <w:tc>
          <w:tcPr>
            <w:tcW w:w="1141" w:type="dxa"/>
            <w:gridSpan w:val="2"/>
            <w:vAlign w:val="center"/>
          </w:tcPr>
          <w:p>
            <w:pPr>
              <w:adjustRightInd w:val="0"/>
              <w:snapToGrid w:val="0"/>
              <w:jc w:val="center"/>
              <w:rPr>
                <w:rFonts w:ascii="宋体" w:hAnsi="宋体" w:cs="宋体"/>
                <w:sz w:val="24"/>
              </w:rPr>
            </w:pPr>
            <w:r>
              <w:rPr>
                <w:rFonts w:hint="eastAsia" w:ascii="宋体" w:hAnsi="宋体" w:cs="宋体"/>
                <w:sz w:val="24"/>
              </w:rPr>
              <w:t>用地面积（</w:t>
            </w:r>
            <w:r>
              <w:rPr>
                <w:rFonts w:ascii="宋体" w:hAnsi="宋体" w:cs="宋体"/>
                <w:sz w:val="24"/>
              </w:rPr>
              <w:t>m</w:t>
            </w:r>
            <w:r>
              <w:rPr>
                <w:rFonts w:ascii="宋体" w:hAnsi="宋体" w:cs="宋体"/>
                <w:sz w:val="24"/>
                <w:vertAlign w:val="superscript"/>
              </w:rPr>
              <w:t>2</w:t>
            </w:r>
            <w:r>
              <w:rPr>
                <w:rFonts w:hint="eastAsia" w:ascii="宋体" w:hAnsi="宋体" w:cs="宋体"/>
                <w:sz w:val="24"/>
              </w:rPr>
              <w:t>）</w:t>
            </w:r>
          </w:p>
        </w:tc>
        <w:tc>
          <w:tcPr>
            <w:tcW w:w="2693" w:type="dxa"/>
            <w:vAlign w:val="center"/>
          </w:tcPr>
          <w:p>
            <w:pPr>
              <w:adjustRightInd w:val="0"/>
              <w:snapToGrid w:val="0"/>
              <w:jc w:val="center"/>
              <w:rPr>
                <w:rFonts w:ascii="宋体" w:hAnsi="宋体" w:cs="宋体"/>
                <w:sz w:val="24"/>
                <w:vertAlign w:val="superscript"/>
              </w:rPr>
            </w:pPr>
            <w:r>
              <w:rPr>
                <w:rFonts w:ascii="宋体" w:hAnsi="宋体" w:cs="宋体"/>
                <w:sz w:val="24"/>
              </w:rPr>
              <w:t>14200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2686" w:type="dxa"/>
            <w:gridSpan w:val="3"/>
            <w:vAlign w:val="center"/>
          </w:tcPr>
          <w:p>
            <w:pPr>
              <w:adjustRightInd w:val="0"/>
              <w:snapToGrid w:val="0"/>
              <w:jc w:val="left"/>
              <w:rPr>
                <w:rFonts w:ascii="宋体" w:hAnsi="宋体" w:cs="宋体"/>
                <w:sz w:val="24"/>
              </w:rPr>
            </w:pPr>
            <w:r>
              <w:rPr>
                <w:rFonts w:hint="eastAsia" w:ascii="宋体" w:hAnsi="宋体" w:cs="宋体"/>
                <w:sz w:val="24"/>
              </w:rPr>
              <w:t>☑新建（迁建）</w:t>
            </w:r>
          </w:p>
          <w:p>
            <w:pPr>
              <w:adjustRightInd w:val="0"/>
              <w:snapToGrid w:val="0"/>
              <w:jc w:val="left"/>
              <w:rPr>
                <w:rFonts w:ascii="宋体" w:hAnsi="宋体" w:cs="宋体"/>
                <w:sz w:val="24"/>
              </w:rPr>
            </w:pPr>
            <w:r>
              <w:rPr>
                <w:rFonts w:hint="eastAsia" w:ascii="宋体" w:hAnsi="宋体" w:cs="宋体"/>
                <w:sz w:val="24"/>
              </w:rPr>
              <w:t>□改建</w:t>
            </w:r>
          </w:p>
          <w:p>
            <w:pPr>
              <w:adjustRightInd w:val="0"/>
              <w:snapToGrid w:val="0"/>
              <w:jc w:val="left"/>
              <w:rPr>
                <w:rFonts w:ascii="宋体" w:hAnsi="宋体" w:cs="宋体"/>
                <w:sz w:val="24"/>
              </w:rPr>
            </w:pPr>
            <w:r>
              <w:rPr>
                <w:rFonts w:hint="eastAsia" w:ascii="宋体" w:hAnsi="宋体" w:cs="宋体"/>
                <w:sz w:val="24"/>
              </w:rPr>
              <w:t>□扩建</w:t>
            </w:r>
          </w:p>
          <w:p>
            <w:pPr>
              <w:adjustRightInd w:val="0"/>
              <w:snapToGrid w:val="0"/>
              <w:jc w:val="left"/>
              <w:rPr>
                <w:rFonts w:ascii="宋体" w:hAnsi="宋体" w:cs="宋体"/>
                <w:sz w:val="24"/>
              </w:rPr>
            </w:pPr>
            <w:r>
              <w:rPr>
                <w:rFonts w:hint="eastAsia" w:ascii="宋体" w:hAnsi="宋体" w:cs="宋体"/>
                <w:sz w:val="24"/>
              </w:rPr>
              <w:t>□技术改造</w:t>
            </w:r>
          </w:p>
        </w:tc>
        <w:tc>
          <w:tcPr>
            <w:tcW w:w="1141" w:type="dxa"/>
            <w:gridSpan w:val="2"/>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2693" w:type="dxa"/>
            <w:vAlign w:val="center"/>
          </w:tcPr>
          <w:p>
            <w:pPr>
              <w:adjustRightInd w:val="0"/>
              <w:snapToGrid w:val="0"/>
              <w:jc w:val="left"/>
              <w:rPr>
                <w:rFonts w:ascii="宋体" w:hAnsi="宋体" w:cs="宋体"/>
                <w:sz w:val="24"/>
              </w:rPr>
            </w:pPr>
            <w:r>
              <w:rPr>
                <w:rFonts w:hint="eastAsia" w:ascii="宋体" w:hAnsi="宋体" w:cs="宋体"/>
                <w:sz w:val="24"/>
              </w:rPr>
              <w:t>☑首次申报项目</w:t>
            </w:r>
          </w:p>
          <w:p>
            <w:pPr>
              <w:adjustRightInd w:val="0"/>
              <w:snapToGrid w:val="0"/>
              <w:jc w:val="left"/>
              <w:rPr>
                <w:rFonts w:ascii="宋体" w:hAnsi="宋体" w:cs="宋体"/>
                <w:sz w:val="24"/>
              </w:rPr>
            </w:pPr>
            <w:r>
              <w:rPr>
                <w:rFonts w:hint="eastAsia" w:ascii="宋体" w:hAnsi="宋体" w:cs="宋体"/>
                <w:sz w:val="24"/>
              </w:rPr>
              <w:t>□不予批准后再次申报项目</w:t>
            </w:r>
          </w:p>
          <w:p>
            <w:pPr>
              <w:adjustRightInd w:val="0"/>
              <w:snapToGrid w:val="0"/>
              <w:jc w:val="left"/>
              <w:rPr>
                <w:rFonts w:ascii="宋体" w:hAnsi="宋体" w:cs="宋体"/>
                <w:sz w:val="24"/>
              </w:rPr>
            </w:pPr>
            <w:r>
              <w:rPr>
                <w:rFonts w:hint="eastAsia" w:ascii="宋体" w:hAnsi="宋体" w:cs="宋体"/>
                <w:sz w:val="24"/>
              </w:rPr>
              <w:t>□超五年重新审核项目</w:t>
            </w:r>
          </w:p>
          <w:p>
            <w:pPr>
              <w:adjustRightInd w:val="0"/>
              <w:snapToGrid w:val="0"/>
              <w:rPr>
                <w:rFonts w:ascii="宋体" w:hAnsi="宋体" w:cs="宋体"/>
                <w:spacing w:val="-6"/>
                <w:sz w:val="24"/>
              </w:rPr>
            </w:pPr>
            <w:r>
              <w:rPr>
                <w:rFonts w:hint="eastAsia" w:ascii="宋体" w:hAnsi="宋体" w:cs="宋体"/>
                <w:spacing w:val="-6"/>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78"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备案）部门</w:t>
            </w:r>
          </w:p>
        </w:tc>
        <w:tc>
          <w:tcPr>
            <w:tcW w:w="2686" w:type="dxa"/>
            <w:gridSpan w:val="3"/>
            <w:vAlign w:val="center"/>
          </w:tcPr>
          <w:p>
            <w:pPr>
              <w:adjustRightInd w:val="0"/>
              <w:snapToGrid w:val="0"/>
              <w:jc w:val="center"/>
              <w:rPr>
                <w:rFonts w:ascii="宋体" w:hAnsi="宋体" w:cs="宋体"/>
                <w:sz w:val="24"/>
              </w:rPr>
            </w:pPr>
            <w:r>
              <w:rPr>
                <w:rFonts w:hint="eastAsia" w:ascii="宋体" w:hAnsi="宋体" w:cs="宋体"/>
                <w:sz w:val="24"/>
              </w:rPr>
              <w:t>无</w:t>
            </w:r>
          </w:p>
        </w:tc>
        <w:tc>
          <w:tcPr>
            <w:tcW w:w="1141" w:type="dxa"/>
            <w:gridSpan w:val="2"/>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备案）文号</w:t>
            </w:r>
          </w:p>
        </w:tc>
        <w:tc>
          <w:tcPr>
            <w:tcW w:w="2693" w:type="dxa"/>
            <w:vAlign w:val="center"/>
          </w:tcPr>
          <w:p>
            <w:pPr>
              <w:adjustRightInd w:val="0"/>
              <w:snapToGrid w:val="0"/>
              <w:jc w:val="center"/>
              <w:rPr>
                <w:rFonts w:ascii="宋体" w:hAnsi="宋体" w:cs="宋体"/>
                <w:sz w:val="24"/>
              </w:rPr>
            </w:pPr>
            <w:r>
              <w:rPr>
                <w:rFonts w:hint="eastAsia" w:ascii="宋体" w:hAnsi="宋体"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2686" w:type="dxa"/>
            <w:gridSpan w:val="3"/>
            <w:vAlign w:val="center"/>
          </w:tcPr>
          <w:p>
            <w:pPr>
              <w:adjustRightInd w:val="0"/>
              <w:snapToGrid w:val="0"/>
              <w:jc w:val="center"/>
              <w:rPr>
                <w:rFonts w:ascii="宋体" w:hAnsi="宋体" w:cs="宋体"/>
                <w:sz w:val="24"/>
              </w:rPr>
            </w:pPr>
            <w:r>
              <w:rPr>
                <w:rFonts w:ascii="宋体" w:hAnsi="宋体" w:cs="宋体"/>
                <w:sz w:val="24"/>
              </w:rPr>
              <w:t>1400</w:t>
            </w:r>
          </w:p>
        </w:tc>
        <w:tc>
          <w:tcPr>
            <w:tcW w:w="1141" w:type="dxa"/>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环保投资（万元）</w:t>
            </w:r>
          </w:p>
        </w:tc>
        <w:tc>
          <w:tcPr>
            <w:tcW w:w="2693" w:type="dxa"/>
            <w:vAlign w:val="center"/>
          </w:tcPr>
          <w:p>
            <w:pPr>
              <w:adjustRightInd w:val="0"/>
              <w:snapToGrid w:val="0"/>
              <w:jc w:val="center"/>
              <w:rPr>
                <w:rFonts w:ascii="宋体" w:hAnsi="宋体" w:cs="宋体"/>
                <w:sz w:val="24"/>
              </w:rPr>
            </w:pPr>
            <w:r>
              <w:rPr>
                <w:rFonts w:ascii="宋体" w:hAnsi="宋体" w:cs="宋体"/>
                <w:sz w:val="24"/>
              </w:rPr>
              <w:t>137.4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8"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2686" w:type="dxa"/>
            <w:gridSpan w:val="3"/>
            <w:vAlign w:val="center"/>
          </w:tcPr>
          <w:p>
            <w:pPr>
              <w:adjustRightInd w:val="0"/>
              <w:snapToGrid w:val="0"/>
              <w:jc w:val="center"/>
              <w:rPr>
                <w:rFonts w:ascii="宋体" w:hAnsi="宋体" w:cs="宋体"/>
                <w:sz w:val="24"/>
              </w:rPr>
            </w:pPr>
            <w:r>
              <w:rPr>
                <w:rFonts w:ascii="宋体" w:hAnsi="宋体" w:cs="宋体"/>
                <w:sz w:val="24"/>
              </w:rPr>
              <w:t>9.8</w:t>
            </w:r>
          </w:p>
        </w:tc>
        <w:tc>
          <w:tcPr>
            <w:tcW w:w="1141" w:type="dxa"/>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施工工期</w:t>
            </w:r>
          </w:p>
        </w:tc>
        <w:tc>
          <w:tcPr>
            <w:tcW w:w="2693" w:type="dxa"/>
            <w:vAlign w:val="center"/>
          </w:tcPr>
          <w:p>
            <w:pPr>
              <w:adjustRightInd w:val="0"/>
              <w:snapToGrid w:val="0"/>
              <w:jc w:val="center"/>
              <w:rPr>
                <w:rFonts w:ascii="宋体" w:hAnsi="宋体" w:cs="宋体"/>
                <w:spacing w:val="-4"/>
                <w:sz w:val="24"/>
              </w:rPr>
            </w:pPr>
            <w:r>
              <w:rPr>
                <w:rFonts w:hint="eastAsia" w:ascii="宋体" w:hAnsi="宋体" w:cs="宋体"/>
                <w:spacing w:val="-4"/>
                <w:sz w:val="24"/>
              </w:rPr>
              <w:t>钻井期</w:t>
            </w:r>
            <w:r>
              <w:rPr>
                <w:rFonts w:ascii="宋体" w:hAnsi="宋体" w:cs="宋体"/>
                <w:spacing w:val="-4"/>
                <w:sz w:val="24"/>
              </w:rPr>
              <w:t>45</w:t>
            </w:r>
            <w:r>
              <w:rPr>
                <w:rFonts w:hint="eastAsia" w:ascii="宋体" w:hAnsi="宋体" w:cs="宋体"/>
                <w:spacing w:val="-4"/>
                <w:sz w:val="24"/>
              </w:rPr>
              <w:t>天</w:t>
            </w:r>
          </w:p>
          <w:p>
            <w:pPr>
              <w:adjustRightInd w:val="0"/>
              <w:snapToGrid w:val="0"/>
              <w:jc w:val="center"/>
              <w:rPr>
                <w:rFonts w:ascii="宋体" w:hAnsi="宋体" w:cs="宋体"/>
                <w:spacing w:val="-6"/>
                <w:sz w:val="24"/>
              </w:rPr>
            </w:pPr>
            <w:r>
              <w:rPr>
                <w:rFonts w:hint="eastAsia" w:ascii="宋体" w:hAnsi="宋体" w:cs="宋体"/>
                <w:spacing w:val="-4"/>
                <w:sz w:val="24"/>
              </w:rPr>
              <w:t>试油期</w:t>
            </w:r>
            <w:r>
              <w:rPr>
                <w:rFonts w:ascii="宋体" w:hAnsi="宋体" w:cs="宋体"/>
                <w:spacing w:val="-4"/>
                <w:sz w:val="24"/>
              </w:rPr>
              <w:t>90</w:t>
            </w:r>
            <w:r>
              <w:rPr>
                <w:rFonts w:hint="eastAsia" w:ascii="宋体" w:hAnsi="宋体" w:cs="宋体"/>
                <w:spacing w:val="-4"/>
                <w:sz w:val="24"/>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6" w:hRule="atLeast"/>
          <w:jc w:val="center"/>
        </w:trPr>
        <w:tc>
          <w:tcPr>
            <w:tcW w:w="2117"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6520" w:type="dxa"/>
            <w:gridSpan w:val="6"/>
            <w:vAlign w:val="center"/>
          </w:tcPr>
          <w:p>
            <w:pPr>
              <w:adjustRightInd w:val="0"/>
              <w:snapToGrid w:val="0"/>
              <w:ind w:firstLine="105"/>
              <w:jc w:val="left"/>
              <w:rPr>
                <w:rFonts w:ascii="宋体" w:hAnsi="宋体" w:cs="宋体"/>
                <w:sz w:val="24"/>
              </w:rPr>
            </w:pPr>
            <w:r>
              <w:rPr>
                <w:rFonts w:hint="eastAsia" w:ascii="宋体" w:hAnsi="宋体" w:cs="宋体"/>
                <w:sz w:val="24"/>
              </w:rPr>
              <w:t>☑否</w:t>
            </w:r>
          </w:p>
          <w:p>
            <w:pPr>
              <w:adjustRightInd w:val="0"/>
              <w:snapToGrid w:val="0"/>
              <w:ind w:firstLine="92"/>
              <w:jc w:val="left"/>
              <w:rPr>
                <w:rFonts w:ascii="宋体" w:hAnsi="宋体"/>
                <w:sz w:val="24"/>
              </w:rPr>
            </w:pPr>
            <w:r>
              <w:rPr>
                <w:rFonts w:hint="eastAsia" w:ascii="宋体" w:hAnsi="宋体" w:cs="宋体"/>
                <w:sz w:val="24"/>
              </w:rPr>
              <w:t>□是：</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2117" w:type="dxa"/>
            <w:gridSpan w:val="3"/>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w:t>
            </w:r>
          </w:p>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设置情况</w:t>
            </w:r>
          </w:p>
        </w:tc>
        <w:tc>
          <w:tcPr>
            <w:tcW w:w="6520" w:type="dxa"/>
            <w:gridSpan w:val="6"/>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30" w:hRule="atLeast"/>
          <w:jc w:val="center"/>
        </w:trPr>
        <w:tc>
          <w:tcPr>
            <w:tcW w:w="2117" w:type="dxa"/>
            <w:gridSpan w:val="3"/>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6520" w:type="dxa"/>
            <w:gridSpan w:val="6"/>
            <w:tcMar>
              <w:top w:w="16" w:type="dxa"/>
              <w:left w:w="16" w:type="dxa"/>
              <w:right w:w="16" w:type="dxa"/>
            </w:tcMar>
            <w:vAlign w:val="center"/>
          </w:tcPr>
          <w:p>
            <w:pPr>
              <w:pStyle w:val="46"/>
              <w:wordWrap w:val="0"/>
              <w:spacing w:line="300" w:lineRule="exact"/>
              <w:ind w:firstLine="0" w:firstLineChars="0"/>
              <w:rPr>
                <w:rFonts w:cs="宋体"/>
                <w:color w:val="000000"/>
              </w:rPr>
            </w:pPr>
            <w:r>
              <w:rPr>
                <w:rFonts w:hint="eastAsia" w:cs="宋体"/>
                <w:color w:val="000000"/>
              </w:rPr>
              <w:t>《新疆维吾尔自治区矿产资源总体规划（2021～2025年）》</w:t>
            </w:r>
            <w:r>
              <w:rPr>
                <w:rFonts w:hint="eastAsia" w:cs="宋体"/>
                <w:color w:val="000000"/>
                <w:lang w:eastAsia="zh-Hans"/>
              </w:rPr>
              <w:t>获</w:t>
            </w:r>
            <w:r>
              <w:rPr>
                <w:rFonts w:hint="eastAsia" w:cs="宋体"/>
                <w:color w:val="000000"/>
              </w:rPr>
              <w:t>中华人民共和国自然资源部</w:t>
            </w:r>
            <w:r>
              <w:rPr>
                <w:rFonts w:hint="eastAsia" w:cs="宋体"/>
                <w:color w:val="000000"/>
                <w:lang w:eastAsia="zh-Hans"/>
              </w:rPr>
              <w:t>批复，</w:t>
            </w:r>
            <w:r>
              <w:rPr>
                <w:rFonts w:hint="eastAsia" w:cs="宋体"/>
                <w:color w:val="000000"/>
              </w:rPr>
              <w:t>审批文号：</w:t>
            </w:r>
            <w:r>
              <w:rPr>
                <w:rFonts w:hint="eastAsia" w:cs="宋体"/>
                <w:color w:val="000000"/>
                <w:lang w:eastAsia="zh-Hans"/>
              </w:rPr>
              <w:t>自然资函</w:t>
            </w:r>
            <w:r>
              <w:rPr>
                <w:rFonts w:hint="eastAsia" w:cs="宋体"/>
                <w:color w:val="000000"/>
              </w:rPr>
              <w:t>〔</w:t>
            </w:r>
            <w:r>
              <w:rPr>
                <w:rFonts w:hint="eastAsia" w:cs="宋体"/>
                <w:color w:val="000000"/>
                <w:lang w:eastAsia="zh-Hans"/>
              </w:rPr>
              <w:t>2022</w:t>
            </w:r>
            <w:r>
              <w:rPr>
                <w:rFonts w:hint="eastAsia" w:cs="宋体"/>
                <w:color w:val="000000"/>
              </w:rPr>
              <w:t>〕</w:t>
            </w:r>
            <w:r>
              <w:rPr>
                <w:rFonts w:hint="eastAsia" w:cs="宋体"/>
                <w:color w:val="000000"/>
                <w:lang w:eastAsia="zh-Hans"/>
              </w:rPr>
              <w:t>1092号</w:t>
            </w:r>
            <w:r>
              <w:rPr>
                <w:rFonts w:hint="eastAsia" w:cs="宋体"/>
                <w:color w:val="00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 w:hRule="atLeast"/>
          <w:jc w:val="center"/>
        </w:trPr>
        <w:tc>
          <w:tcPr>
            <w:tcW w:w="2117" w:type="dxa"/>
            <w:gridSpan w:val="3"/>
            <w:tcMar>
              <w:top w:w="16" w:type="dxa"/>
              <w:left w:w="16" w:type="dxa"/>
              <w:right w:w="16" w:type="dxa"/>
            </w:tcMar>
            <w:vAlign w:val="center"/>
          </w:tcPr>
          <w:p>
            <w:pPr>
              <w:autoSpaceDE w:val="0"/>
              <w:autoSpaceDN w:val="0"/>
              <w:adjustRightInd w:val="0"/>
              <w:snapToGrid w:val="0"/>
              <w:jc w:val="center"/>
              <w:rPr>
                <w:rFonts w:ascii="宋体" w:hAnsi="宋体" w:cs="宋体"/>
                <w:sz w:val="24"/>
              </w:rPr>
            </w:pPr>
            <w:r>
              <w:rPr>
                <w:rFonts w:hint="eastAsia" w:ascii="宋体" w:hAnsi="宋体" w:cs="宋体"/>
                <w:sz w:val="24"/>
              </w:rPr>
              <w:t>规划环境影响</w:t>
            </w:r>
          </w:p>
          <w:p>
            <w:pPr>
              <w:autoSpaceDE w:val="0"/>
              <w:autoSpaceDN w:val="0"/>
              <w:adjustRightInd w:val="0"/>
              <w:snapToGrid w:val="0"/>
              <w:jc w:val="center"/>
              <w:rPr>
                <w:rFonts w:ascii="宋体" w:hAnsi="宋体" w:cs="宋体"/>
                <w:kern w:val="0"/>
                <w:sz w:val="24"/>
              </w:rPr>
            </w:pPr>
            <w:r>
              <w:rPr>
                <w:rFonts w:hint="eastAsia" w:ascii="宋体" w:hAnsi="宋体" w:cs="宋体"/>
                <w:sz w:val="24"/>
              </w:rPr>
              <w:t>评价情况</w:t>
            </w:r>
          </w:p>
        </w:tc>
        <w:tc>
          <w:tcPr>
            <w:tcW w:w="6520" w:type="dxa"/>
            <w:gridSpan w:val="6"/>
            <w:tcMar>
              <w:top w:w="16" w:type="dxa"/>
              <w:left w:w="16" w:type="dxa"/>
              <w:right w:w="16" w:type="dxa"/>
            </w:tcMar>
            <w:vAlign w:val="center"/>
          </w:tcPr>
          <w:p>
            <w:pPr>
              <w:pStyle w:val="46"/>
              <w:spacing w:line="300" w:lineRule="exact"/>
              <w:ind w:firstLine="0" w:firstLineChars="0"/>
              <w:rPr>
                <w:rFonts w:cs="宋体"/>
                <w:kern w:val="2"/>
              </w:rPr>
            </w:pPr>
            <w:r>
              <w:rPr>
                <w:rFonts w:hint="eastAsia" w:cs="宋体"/>
                <w:color w:val="000000"/>
              </w:rPr>
              <w:t>《新疆维吾尔自治区矿产资源总体规划（20</w:t>
            </w:r>
            <w:r>
              <w:rPr>
                <w:rFonts w:cs="宋体"/>
                <w:color w:val="000000"/>
              </w:rPr>
              <w:t>21</w:t>
            </w:r>
            <w:r>
              <w:rPr>
                <w:rFonts w:hint="eastAsia" w:cs="宋体"/>
                <w:color w:val="000000"/>
              </w:rPr>
              <w:t>-20</w:t>
            </w:r>
            <w:r>
              <w:rPr>
                <w:rFonts w:cs="宋体"/>
                <w:color w:val="000000"/>
              </w:rPr>
              <w:t>25</w:t>
            </w:r>
            <w:r>
              <w:rPr>
                <w:rFonts w:hint="eastAsia" w:cs="宋体"/>
                <w:color w:val="000000"/>
              </w:rPr>
              <w:t>年）环境影响报告书》</w:t>
            </w:r>
            <w:r>
              <w:rPr>
                <w:rFonts w:hint="eastAsia" w:cs="宋体"/>
                <w:color w:val="000000"/>
                <w:lang w:eastAsia="zh-Hans"/>
              </w:rPr>
              <w:t>通过</w:t>
            </w:r>
            <w:r>
              <w:rPr>
                <w:rFonts w:hint="eastAsia" w:cs="宋体"/>
                <w:color w:val="000000"/>
              </w:rPr>
              <w:t>中华人民共和国生态环境部</w:t>
            </w:r>
            <w:r>
              <w:rPr>
                <w:rFonts w:hint="eastAsia" w:cs="宋体"/>
                <w:color w:val="000000"/>
                <w:lang w:eastAsia="zh-Hans"/>
              </w:rPr>
              <w:t>技术审查，审查意见文号</w:t>
            </w:r>
            <w:r>
              <w:rPr>
                <w:rFonts w:hint="eastAsia" w:cs="宋体"/>
                <w:color w:val="000000"/>
              </w:rPr>
              <w:t>：环审〔20</w:t>
            </w:r>
            <w:r>
              <w:rPr>
                <w:rFonts w:cs="宋体"/>
                <w:color w:val="000000"/>
              </w:rPr>
              <w:t>22</w:t>
            </w:r>
            <w:r>
              <w:rPr>
                <w:rFonts w:hint="eastAsia" w:cs="宋体"/>
                <w:color w:val="000000"/>
              </w:rPr>
              <w:t>〕1</w:t>
            </w:r>
            <w:r>
              <w:rPr>
                <w:rFonts w:cs="宋体"/>
                <w:color w:val="000000"/>
              </w:rPr>
              <w:t>24</w:t>
            </w:r>
            <w:r>
              <w:rPr>
                <w:rFonts w:hint="eastAsia" w:cs="宋体"/>
                <w:color w:val="00000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6" w:hRule="atLeast"/>
          <w:jc w:val="center"/>
        </w:trPr>
        <w:tc>
          <w:tcPr>
            <w:tcW w:w="2117" w:type="dxa"/>
            <w:gridSpan w:val="3"/>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bookmarkStart w:id="5" w:name="_Hlk115995158"/>
            <w:r>
              <w:rPr>
                <w:rFonts w:hint="eastAsia" w:ascii="宋体" w:hAnsi="宋体" w:cs="宋体"/>
                <w:kern w:val="0"/>
                <w:sz w:val="24"/>
              </w:rPr>
              <w:t>规划及</w:t>
            </w:r>
            <w:r>
              <w:rPr>
                <w:rFonts w:hint="eastAsia" w:ascii="宋体" w:hAnsi="宋体" w:cs="宋体"/>
                <w:sz w:val="24"/>
              </w:rPr>
              <w:t>规划环境影响评价</w:t>
            </w:r>
            <w:r>
              <w:rPr>
                <w:rFonts w:hint="eastAsia" w:ascii="宋体" w:hAnsi="宋体" w:cs="宋体"/>
                <w:kern w:val="0"/>
                <w:sz w:val="24"/>
              </w:rPr>
              <w:t>符合性分析</w:t>
            </w:r>
            <w:bookmarkEnd w:id="5"/>
          </w:p>
        </w:tc>
        <w:tc>
          <w:tcPr>
            <w:tcW w:w="6520" w:type="dxa"/>
            <w:gridSpan w:val="6"/>
            <w:tcMar>
              <w:top w:w="16" w:type="dxa"/>
              <w:left w:w="16" w:type="dxa"/>
              <w:right w:w="16" w:type="dxa"/>
            </w:tcMar>
            <w:vAlign w:val="center"/>
          </w:tcPr>
          <w:p>
            <w:pPr>
              <w:pStyle w:val="46"/>
              <w:spacing w:line="300" w:lineRule="exact"/>
              <w:ind w:firstLine="0" w:firstLineChars="0"/>
            </w:pPr>
            <w:r>
              <w:rPr>
                <w:rFonts w:hint="eastAsia" w:cs="宋体"/>
                <w:kern w:val="2"/>
              </w:rPr>
              <w:t>《新疆维吾尔自治区矿产资源总体规划（2</w:t>
            </w:r>
            <w:r>
              <w:rPr>
                <w:rFonts w:cs="宋体"/>
                <w:kern w:val="2"/>
              </w:rPr>
              <w:t>021</w:t>
            </w:r>
            <w:r>
              <w:rPr>
                <w:rFonts w:hint="eastAsia" w:cs="宋体"/>
                <w:kern w:val="2"/>
              </w:rPr>
              <w:t>—2</w:t>
            </w:r>
            <w:r>
              <w:rPr>
                <w:rFonts w:cs="宋体"/>
                <w:kern w:val="2"/>
              </w:rPr>
              <w:t>025年</w:t>
            </w:r>
            <w:r>
              <w:rPr>
                <w:rFonts w:hint="eastAsia" w:cs="宋体"/>
                <w:kern w:val="2"/>
              </w:rPr>
              <w:t>）》依据矿产资源分布特点及勘察开发现状，</w:t>
            </w:r>
            <w:r>
              <w:rPr>
                <w:rFonts w:hint="eastAsia"/>
              </w:rPr>
              <w:t>按照“深化北疆东疆，加快南疆勘查开发”的总体思路，划分了环准噶尔、环塔里木、阿尔泰、东准噶尔、西准噶尔、东天山、西天山、西南天山、西昆仑、东昆仑—阿尔金等“两环八带”十个勘查开发区。项目位于昌吉回族自治州阜康市地处准噶尔南缘东段，属于《规划》“两环八带”勘查开发布局中的“环准噶尔能源矿产勘查开发区”，同时属于陆地矿产资源地质勘查（含油气资源勘探），符合规划要求</w:t>
            </w:r>
            <w:r>
              <w:rPr>
                <w:rFonts w:hint="eastAsia" w:cs="宋体"/>
                <w:color w:val="000000"/>
                <w:kern w:val="2"/>
                <w:lang w:eastAsia="zh-Hans"/>
              </w:rPr>
              <w:t>；</w:t>
            </w:r>
            <w:r>
              <w:rPr>
                <w:rFonts w:hint="eastAsia" w:cs="宋体"/>
                <w:color w:val="000000"/>
                <w:kern w:val="2"/>
              </w:rPr>
              <w:t>并按照《新疆维吾尔自治区矿产资源总体规划（20</w:t>
            </w:r>
            <w:r>
              <w:rPr>
                <w:rFonts w:cs="宋体"/>
                <w:color w:val="000000"/>
                <w:kern w:val="2"/>
              </w:rPr>
              <w:t>21</w:t>
            </w:r>
            <w:r>
              <w:rPr>
                <w:rFonts w:hint="eastAsia" w:cs="宋体"/>
                <w:color w:val="000000"/>
                <w:kern w:val="2"/>
              </w:rPr>
              <w:t>-20</w:t>
            </w:r>
            <w:r>
              <w:rPr>
                <w:rFonts w:cs="宋体"/>
                <w:color w:val="000000"/>
                <w:kern w:val="2"/>
              </w:rPr>
              <w:t>25</w:t>
            </w:r>
            <w:r>
              <w:rPr>
                <w:rFonts w:hint="eastAsia" w:cs="宋体"/>
                <w:color w:val="000000"/>
                <w:kern w:val="2"/>
              </w:rPr>
              <w:t>年）环境影响报告书》要求对采出物开采过程中的废气、废水、噪声、固体废物采取相应的治理措施，对实施过程中产生的生态影响采取有效的减缓措施</w:t>
            </w:r>
            <w:r>
              <w:rPr>
                <w:rFonts w:hint="eastAsia" w:cs="宋体"/>
                <w:color w:val="000000"/>
                <w:kern w:val="2"/>
                <w:lang w:eastAsia="zh-Hans"/>
              </w:rPr>
              <w:t>，</w:t>
            </w:r>
            <w:r>
              <w:rPr>
                <w:rFonts w:hint="eastAsia" w:cs="宋体"/>
                <w:color w:val="000000"/>
                <w:kern w:val="2"/>
              </w:rPr>
              <w:t>符合《报告书》的要求。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7" w:hRule="atLeast"/>
          <w:jc w:val="center"/>
        </w:trPr>
        <w:tc>
          <w:tcPr>
            <w:tcW w:w="659" w:type="dxa"/>
            <w:vMerge w:val="restart"/>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bookmarkStart w:id="6" w:name="_Hlk56690880"/>
            <w:r>
              <w:rPr>
                <w:rFonts w:hint="eastAsia" w:ascii="宋体" w:hAnsi="宋体" w:cs="宋体"/>
                <w:kern w:val="0"/>
                <w:sz w:val="24"/>
              </w:rPr>
              <w:t>其他符合性分析</w:t>
            </w:r>
            <w:bookmarkEnd w:id="6"/>
          </w:p>
        </w:tc>
        <w:tc>
          <w:tcPr>
            <w:tcW w:w="1458" w:type="dxa"/>
            <w:gridSpan w:val="2"/>
            <w:tcMar>
              <w:top w:w="16" w:type="dxa"/>
              <w:left w:w="16" w:type="dxa"/>
              <w:right w:w="16" w:type="dxa"/>
            </w:tcMar>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产业政策</w:t>
            </w:r>
          </w:p>
        </w:tc>
        <w:tc>
          <w:tcPr>
            <w:tcW w:w="6520" w:type="dxa"/>
            <w:gridSpan w:val="6"/>
            <w:vAlign w:val="center"/>
          </w:tcPr>
          <w:p>
            <w:pPr>
              <w:pStyle w:val="14"/>
              <w:spacing w:line="300" w:lineRule="exact"/>
              <w:ind w:firstLine="480" w:firstLineChars="200"/>
              <w:rPr>
                <w:rFonts w:cs="宋体"/>
                <w:color w:val="000000" w:themeColor="text1"/>
                <w:kern w:val="2"/>
                <w14:textFill>
                  <w14:solidFill>
                    <w14:schemeClr w14:val="tx1"/>
                  </w14:solidFill>
                </w14:textFill>
              </w:rPr>
            </w:pPr>
            <w:r>
              <w:rPr>
                <w:rFonts w:hint="eastAsia"/>
                <w:color w:val="000000" w:themeColor="text1"/>
                <w14:textFill>
                  <w14:solidFill>
                    <w14:schemeClr w14:val="tx1"/>
                  </w14:solidFill>
                </w14:textFill>
              </w:rPr>
              <w:t>属于《产业结构调整指导目录》（2019年本）中的第一类鼓励类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七、石油、天然气</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、常规石油、天然气勘探与开采，符合国家产业政策。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74"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restart"/>
            <w:tcMar>
              <w:top w:w="16" w:type="dxa"/>
              <w:left w:w="16" w:type="dxa"/>
              <w:right w:w="16" w:type="dxa"/>
            </w:tcMar>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仿宋_GB2312"/>
                <w:color w:val="000000"/>
              </w:rPr>
              <w:t>昌吉回族自治州“三线一单”生态环境分区管控方案</w:t>
            </w:r>
          </w:p>
        </w:tc>
        <w:tc>
          <w:tcPr>
            <w:tcW w:w="846" w:type="dxa"/>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生态保护红线</w:t>
            </w:r>
          </w:p>
        </w:tc>
        <w:tc>
          <w:tcPr>
            <w:tcW w:w="6520" w:type="dxa"/>
            <w:gridSpan w:val="6"/>
            <w:vAlign w:val="center"/>
          </w:tcPr>
          <w:p>
            <w:pPr>
              <w:pStyle w:val="46"/>
              <w:wordWrap w:val="0"/>
              <w:spacing w:line="300" w:lineRule="exact"/>
              <w:ind w:firstLine="480"/>
              <w:rPr>
                <w:color w:val="000000" w:themeColor="text1"/>
                <w14:textFill>
                  <w14:solidFill>
                    <w14:schemeClr w14:val="tx1"/>
                  </w14:solidFill>
                </w14:textFill>
              </w:rPr>
            </w:pPr>
            <w:r>
              <w:rPr>
                <w:rFonts w:hint="eastAsia" w:cs="宋体"/>
              </w:rPr>
              <w:t>根据《新疆维吾尔自治区“三线一单”生态环境分区管控方案》（新政发〔2021〕18号）以及关于《昌吉回族自治州“三线一单”生态环境分区管控方案及生态环境准入清单》的公告（昌州政办发〔2021〕41号），井位在</w:t>
            </w:r>
            <w:r>
              <w:rPr>
                <w:rFonts w:hint="eastAsia"/>
                <w:color w:val="000000" w:themeColor="text1"/>
                <w14:textFill>
                  <w14:solidFill>
                    <w14:schemeClr w14:val="tx1"/>
                  </w14:solidFill>
                </w14:textFill>
              </w:rPr>
              <w:t>阜康市生态环境</w:t>
            </w:r>
            <w:r>
              <w:rPr>
                <w:rFonts w:hint="eastAsia" w:cs="仿宋_GB2312"/>
                <w:color w:val="000000"/>
              </w:rPr>
              <w:t>一般管控单元（编号：</w:t>
            </w:r>
            <w:r>
              <w:rPr>
                <w:rFonts w:cs="仿宋_GB2312"/>
                <w:color w:val="000000"/>
              </w:rPr>
              <w:t>ZH65230230001</w:t>
            </w:r>
            <w:r>
              <w:rPr>
                <w:rFonts w:hint="eastAsia" w:cs="仿宋_GB2312"/>
                <w:color w:val="000000"/>
              </w:rPr>
              <w:t>，与《昌吉回族自治州“三线一单”环境管控单元分类图》的关系见附图1），</w:t>
            </w:r>
            <w:r>
              <w:rPr>
                <w:rFonts w:hint="eastAsia"/>
                <w:color w:val="000000" w:themeColor="text1"/>
                <w14:textFill>
                  <w14:solidFill>
                    <w14:schemeClr w14:val="tx1"/>
                  </w14:solidFill>
                </w14:textFill>
              </w:rPr>
              <w:t>不涉及生态保护红线，不涉及《自然资源部 生态环境部 国家林业和草原局关于加强生态保护红线管理的通知（试行）》（自然资源发〔2022〕142号）中的要求。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2"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spacing w:line="300" w:lineRule="exact"/>
              <w:ind w:firstLine="480"/>
              <w:jc w:val="center"/>
              <w:rPr>
                <w:rFonts w:cs="宋体"/>
                <w:color w:val="000000" w:themeColor="text1"/>
                <w:kern w:val="2"/>
                <w14:textFill>
                  <w14:solidFill>
                    <w14:schemeClr w14:val="tx1"/>
                  </w14:solidFill>
                </w14:textFill>
              </w:rPr>
            </w:pPr>
          </w:p>
        </w:tc>
        <w:tc>
          <w:tcPr>
            <w:tcW w:w="846" w:type="dxa"/>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环境质量底线</w:t>
            </w:r>
          </w:p>
        </w:tc>
        <w:tc>
          <w:tcPr>
            <w:tcW w:w="6520" w:type="dxa"/>
            <w:gridSpan w:val="6"/>
            <w:vAlign w:val="center"/>
          </w:tcPr>
          <w:p>
            <w:pPr>
              <w:pStyle w:val="46"/>
              <w:spacing w:line="300" w:lineRule="exact"/>
              <w:ind w:firstLine="480"/>
              <w:rPr>
                <w:rFonts w:cs="宋体"/>
              </w:rPr>
            </w:pPr>
            <w:r>
              <w:rPr>
                <w:rFonts w:hint="eastAsia" w:cs="宋体"/>
              </w:rPr>
              <w:t>项目无运营期，钻试</w:t>
            </w:r>
            <w:r>
              <w:rPr>
                <w:rFonts w:hint="eastAsia"/>
                <w:spacing w:val="8"/>
              </w:rPr>
              <w:t>产生的污染影响多为短期影响，</w:t>
            </w:r>
            <w:r>
              <w:rPr>
                <w:rFonts w:hint="eastAsia" w:cs="宋体"/>
              </w:rPr>
              <w:t>随施工结束而停止，对区域环境质量影响小，不会突破区域环境质量底线。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p>
        </w:tc>
        <w:tc>
          <w:tcPr>
            <w:tcW w:w="846" w:type="dxa"/>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资源利用上线</w:t>
            </w:r>
          </w:p>
        </w:tc>
        <w:tc>
          <w:tcPr>
            <w:tcW w:w="6520" w:type="dxa"/>
            <w:gridSpan w:val="6"/>
            <w:vAlign w:val="center"/>
          </w:tcPr>
          <w:p>
            <w:pPr>
              <w:pStyle w:val="46"/>
              <w:spacing w:line="300" w:lineRule="exact"/>
              <w:ind w:firstLine="480"/>
              <w:rPr>
                <w:rFonts w:cs="宋体"/>
              </w:rPr>
            </w:pPr>
            <w:r>
              <w:rPr>
                <w:rFonts w:hint="eastAsia" w:cs="宋体"/>
              </w:rPr>
              <w:t>建设过程中仅消耗少量新鲜水和柴油，新鲜水从彩南作业区拉运，不开采地下水；柴油外购，由罐车拉运至井场，用量均在可承受范围内，不会突破区域资源利用上线。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wordWrap w:val="0"/>
              <w:spacing w:line="300" w:lineRule="exact"/>
              <w:ind w:firstLine="0" w:firstLineChars="0"/>
              <w:jc w:val="center"/>
              <w:rPr>
                <w:rFonts w:cs="仿宋_GB2312"/>
                <w:color w:val="000000"/>
              </w:rPr>
            </w:pPr>
          </w:p>
        </w:tc>
        <w:tc>
          <w:tcPr>
            <w:tcW w:w="846" w:type="dxa"/>
            <w:vMerge w:val="restart"/>
            <w:vAlign w:val="center"/>
          </w:tcPr>
          <w:p>
            <w:pPr>
              <w:pStyle w:val="46"/>
              <w:spacing w:line="300" w:lineRule="exact"/>
              <w:ind w:firstLine="0" w:firstLineChars="0"/>
              <w:jc w:val="center"/>
            </w:pPr>
            <w:r>
              <w:rPr>
                <w:rFonts w:hint="eastAsia"/>
              </w:rPr>
              <w:t>生态准入清单</w:t>
            </w:r>
          </w:p>
        </w:tc>
        <w:tc>
          <w:tcPr>
            <w:tcW w:w="3543" w:type="dxa"/>
            <w:gridSpan w:val="4"/>
            <w:vAlign w:val="center"/>
          </w:tcPr>
          <w:p>
            <w:pPr>
              <w:pStyle w:val="46"/>
              <w:spacing w:line="30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管控要求</w:t>
            </w:r>
          </w:p>
        </w:tc>
        <w:tc>
          <w:tcPr>
            <w:tcW w:w="2977" w:type="dxa"/>
            <w:gridSpan w:val="2"/>
            <w:vAlign w:val="center"/>
          </w:tcPr>
          <w:p>
            <w:pPr>
              <w:pStyle w:val="46"/>
              <w:spacing w:line="30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2"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wordWrap w:val="0"/>
              <w:spacing w:line="300" w:lineRule="exact"/>
              <w:ind w:firstLine="0" w:firstLineChars="0"/>
              <w:jc w:val="center"/>
              <w:rPr>
                <w:rFonts w:cs="仿宋_GB2312"/>
                <w:color w:val="000000"/>
              </w:rPr>
            </w:pPr>
          </w:p>
        </w:tc>
        <w:tc>
          <w:tcPr>
            <w:tcW w:w="846" w:type="dxa"/>
            <w:vMerge w:val="continue"/>
            <w:vAlign w:val="center"/>
          </w:tcPr>
          <w:p>
            <w:pPr>
              <w:pStyle w:val="46"/>
              <w:spacing w:line="300" w:lineRule="exact"/>
              <w:ind w:firstLine="480"/>
              <w:jc w:val="center"/>
            </w:pPr>
          </w:p>
        </w:tc>
        <w:tc>
          <w:tcPr>
            <w:tcW w:w="708" w:type="dxa"/>
            <w:gridSpan w:val="2"/>
            <w:vAlign w:val="center"/>
          </w:tcPr>
          <w:p>
            <w:pPr>
              <w:pStyle w:val="46"/>
              <w:spacing w:line="300" w:lineRule="exact"/>
              <w:ind w:firstLine="0" w:firstLineChars="0"/>
              <w:jc w:val="center"/>
            </w:pPr>
            <w:r>
              <w:rPr>
                <w:rFonts w:hint="eastAsia" w:cs="宋体"/>
                <w:spacing w:val="-8"/>
              </w:rPr>
              <w:t>空间布局约束</w:t>
            </w:r>
          </w:p>
        </w:tc>
        <w:tc>
          <w:tcPr>
            <w:tcW w:w="2835" w:type="dxa"/>
            <w:gridSpan w:val="2"/>
            <w:vAlign w:val="center"/>
          </w:tcPr>
          <w:p>
            <w:pPr>
              <w:wordWrap w:val="0"/>
              <w:spacing w:line="300" w:lineRule="exact"/>
              <w:contextualSpacing/>
              <w:rPr>
                <w:rFonts w:ascii="宋体" w:hAnsi="宋体" w:cs="宋体"/>
                <w:sz w:val="24"/>
              </w:rPr>
            </w:pPr>
            <w:r>
              <w:rPr>
                <w:rFonts w:hint="eastAsia" w:ascii="宋体" w:hAnsi="宋体" w:cs="宋体"/>
                <w:spacing w:val="-6"/>
                <w:sz w:val="24"/>
              </w:rPr>
              <w:t>执行自治区总体准入要求中关于一般环境管控单元的准入要求（表2-4 A7.1）。</w:t>
            </w:r>
          </w:p>
        </w:tc>
        <w:tc>
          <w:tcPr>
            <w:tcW w:w="2977" w:type="dxa"/>
            <w:gridSpan w:val="2"/>
            <w:vAlign w:val="center"/>
          </w:tcPr>
          <w:p>
            <w:pPr>
              <w:pStyle w:val="46"/>
              <w:wordWrap w:val="0"/>
              <w:spacing w:line="300" w:lineRule="exact"/>
              <w:ind w:firstLine="0" w:firstLineChars="0"/>
              <w:rPr>
                <w:rFonts w:cs="宋体"/>
                <w:color w:val="000000" w:themeColor="text1"/>
                <w:spacing w:val="-6"/>
                <w:kern w:val="2"/>
                <w14:textFill>
                  <w14:solidFill>
                    <w14:schemeClr w14:val="tx1"/>
                  </w14:solidFill>
                </w14:textFill>
              </w:rPr>
            </w:pPr>
            <w:r>
              <w:rPr>
                <w:rFonts w:hint="eastAsia"/>
              </w:rPr>
              <w:t>项目属于矿产资源地质勘查，无运营期，符合</w:t>
            </w:r>
            <w:r>
              <w:rPr>
                <w:rFonts w:hint="eastAsia" w:cs="宋体"/>
                <w:spacing w:val="-6"/>
              </w:rPr>
              <w:t>A7.1</w:t>
            </w:r>
            <w:r>
              <w:rPr>
                <w:rFonts w:hint="eastAsia"/>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68"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wordWrap w:val="0"/>
              <w:spacing w:line="300" w:lineRule="exact"/>
              <w:ind w:firstLine="0" w:firstLineChars="0"/>
              <w:jc w:val="center"/>
              <w:rPr>
                <w:rFonts w:cs="仿宋_GB2312"/>
                <w:color w:val="000000"/>
              </w:rPr>
            </w:pPr>
          </w:p>
        </w:tc>
        <w:tc>
          <w:tcPr>
            <w:tcW w:w="846" w:type="dxa"/>
            <w:vMerge w:val="continue"/>
            <w:vAlign w:val="center"/>
          </w:tcPr>
          <w:p>
            <w:pPr>
              <w:pStyle w:val="46"/>
              <w:spacing w:line="300" w:lineRule="exact"/>
              <w:ind w:firstLine="0" w:firstLineChars="0"/>
              <w:jc w:val="center"/>
            </w:pPr>
          </w:p>
        </w:tc>
        <w:tc>
          <w:tcPr>
            <w:tcW w:w="708" w:type="dxa"/>
            <w:gridSpan w:val="2"/>
            <w:vAlign w:val="center"/>
          </w:tcPr>
          <w:p>
            <w:pPr>
              <w:pStyle w:val="46"/>
              <w:spacing w:line="300" w:lineRule="exact"/>
              <w:ind w:firstLine="0" w:firstLineChars="0"/>
              <w:jc w:val="center"/>
            </w:pPr>
            <w:r>
              <w:rPr>
                <w:rFonts w:hint="eastAsia"/>
              </w:rPr>
              <w:t>污染物排放管控</w:t>
            </w:r>
          </w:p>
        </w:tc>
        <w:tc>
          <w:tcPr>
            <w:tcW w:w="2835" w:type="dxa"/>
            <w:gridSpan w:val="2"/>
            <w:vAlign w:val="center"/>
          </w:tcPr>
          <w:p>
            <w:pPr>
              <w:wordWrap w:val="0"/>
              <w:spacing w:line="300" w:lineRule="exact"/>
              <w:contextualSpacing/>
              <w:rPr>
                <w:rFonts w:ascii="宋体" w:hAnsi="宋体" w:cs="宋体"/>
                <w:spacing w:val="-8"/>
                <w:sz w:val="24"/>
              </w:rPr>
            </w:pPr>
            <w:r>
              <w:rPr>
                <w:rFonts w:hint="eastAsia" w:ascii="宋体" w:hAnsi="宋体"/>
                <w:sz w:val="24"/>
              </w:rPr>
              <w:t>执行自治区总体准入要求中关于一般环境管控单元的准入要求（表2-4 A7.2）。</w:t>
            </w:r>
          </w:p>
        </w:tc>
        <w:tc>
          <w:tcPr>
            <w:tcW w:w="2977" w:type="dxa"/>
            <w:gridSpan w:val="2"/>
            <w:vAlign w:val="center"/>
          </w:tcPr>
          <w:p>
            <w:pPr>
              <w:pStyle w:val="46"/>
              <w:wordWrap w:val="0"/>
              <w:spacing w:line="300" w:lineRule="exact"/>
              <w:ind w:firstLine="0" w:firstLineChars="0"/>
              <w:rPr>
                <w:rFonts w:cs="宋体"/>
                <w:color w:val="000000" w:themeColor="text1"/>
                <w:spacing w:val="-6"/>
                <w:kern w:val="2"/>
                <w14:textFill>
                  <w14:solidFill>
                    <w14:schemeClr w14:val="tx1"/>
                  </w14:solidFill>
                </w14:textFill>
              </w:rPr>
            </w:pPr>
            <w:r>
              <w:rPr>
                <w:rFonts w:hint="eastAsia"/>
                <w:spacing w:val="-6"/>
              </w:rPr>
              <w:t>仅有钻试期，无运营期，不涉及总量控制指标，</w:t>
            </w:r>
            <w:r>
              <w:rPr>
                <w:rFonts w:hint="eastAsia"/>
              </w:rPr>
              <w:t>符合</w:t>
            </w:r>
            <w:r>
              <w:rPr>
                <w:rFonts w:hint="eastAsia" w:cs="宋体"/>
                <w:spacing w:val="-6"/>
              </w:rPr>
              <w:t>A7.</w:t>
            </w:r>
            <w:r>
              <w:rPr>
                <w:rFonts w:cs="宋体"/>
                <w:spacing w:val="-6"/>
              </w:rPr>
              <w:t>2</w:t>
            </w:r>
            <w:r>
              <w:rPr>
                <w:rFonts w:hint="eastAsia"/>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wordWrap w:val="0"/>
              <w:spacing w:line="300" w:lineRule="exact"/>
              <w:ind w:firstLine="0" w:firstLineChars="0"/>
              <w:jc w:val="center"/>
              <w:rPr>
                <w:rFonts w:cs="仿宋_GB2312"/>
                <w:color w:val="000000"/>
              </w:rPr>
            </w:pPr>
          </w:p>
        </w:tc>
        <w:tc>
          <w:tcPr>
            <w:tcW w:w="846" w:type="dxa"/>
            <w:vMerge w:val="continue"/>
            <w:vAlign w:val="center"/>
          </w:tcPr>
          <w:p>
            <w:pPr>
              <w:pStyle w:val="46"/>
              <w:spacing w:line="300" w:lineRule="exact"/>
              <w:ind w:firstLine="0" w:firstLineChars="0"/>
              <w:jc w:val="center"/>
            </w:pPr>
          </w:p>
        </w:tc>
        <w:tc>
          <w:tcPr>
            <w:tcW w:w="708" w:type="dxa"/>
            <w:gridSpan w:val="2"/>
            <w:vAlign w:val="center"/>
          </w:tcPr>
          <w:p>
            <w:pPr>
              <w:pStyle w:val="46"/>
              <w:spacing w:line="300" w:lineRule="exact"/>
              <w:ind w:firstLine="0" w:firstLineChars="0"/>
              <w:jc w:val="center"/>
            </w:pPr>
            <w:r>
              <w:rPr>
                <w:rFonts w:hint="eastAsia"/>
              </w:rPr>
              <w:t>环境风险防控</w:t>
            </w:r>
          </w:p>
        </w:tc>
        <w:tc>
          <w:tcPr>
            <w:tcW w:w="2835" w:type="dxa"/>
            <w:gridSpan w:val="2"/>
            <w:vAlign w:val="center"/>
          </w:tcPr>
          <w:p>
            <w:pPr>
              <w:wordWrap w:val="0"/>
              <w:spacing w:line="300" w:lineRule="exact"/>
              <w:contextualSpacing/>
              <w:rPr>
                <w:rFonts w:ascii="宋体" w:hAnsi="宋体" w:cs="宋体"/>
                <w:spacing w:val="-8"/>
                <w:sz w:val="24"/>
              </w:rPr>
            </w:pPr>
            <w:r>
              <w:rPr>
                <w:rFonts w:hint="eastAsia" w:ascii="宋体" w:hAnsi="宋体"/>
                <w:sz w:val="24"/>
              </w:rPr>
              <w:t>执行自治区总体准入要求中关于一般环境管控单元的准入要求（表2-4 A7.3）。</w:t>
            </w:r>
          </w:p>
        </w:tc>
        <w:tc>
          <w:tcPr>
            <w:tcW w:w="2977" w:type="dxa"/>
            <w:gridSpan w:val="2"/>
            <w:vAlign w:val="center"/>
          </w:tcPr>
          <w:p>
            <w:pPr>
              <w:pStyle w:val="46"/>
              <w:wordWrap w:val="0"/>
              <w:spacing w:line="300" w:lineRule="exact"/>
              <w:ind w:firstLine="0" w:firstLineChars="0"/>
              <w:rPr>
                <w:spacing w:val="-6"/>
              </w:rPr>
            </w:pPr>
            <w:r>
              <w:rPr>
                <w:rFonts w:hint="eastAsia"/>
                <w:spacing w:val="-6"/>
              </w:rPr>
              <w:t>施工期井场内采用符合规范的防渗措施，废水和固体废物均得到妥善处理，不会对地下水环境产生不利影响，不会向土壤排放有毒有害物质以及含量超标的污水、污泥。符合A7.3要求。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6"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612" w:type="dxa"/>
            <w:vMerge w:val="continue"/>
            <w:tcMar>
              <w:top w:w="16" w:type="dxa"/>
              <w:left w:w="16" w:type="dxa"/>
              <w:right w:w="16" w:type="dxa"/>
            </w:tcMar>
            <w:vAlign w:val="center"/>
          </w:tcPr>
          <w:p>
            <w:pPr>
              <w:pStyle w:val="46"/>
              <w:wordWrap w:val="0"/>
              <w:spacing w:line="300" w:lineRule="exact"/>
              <w:ind w:firstLine="0" w:firstLineChars="0"/>
              <w:jc w:val="center"/>
              <w:rPr>
                <w:rFonts w:cs="仿宋_GB2312"/>
                <w:color w:val="000000"/>
              </w:rPr>
            </w:pPr>
          </w:p>
        </w:tc>
        <w:tc>
          <w:tcPr>
            <w:tcW w:w="846" w:type="dxa"/>
            <w:vMerge w:val="continue"/>
            <w:vAlign w:val="center"/>
          </w:tcPr>
          <w:p>
            <w:pPr>
              <w:pStyle w:val="46"/>
              <w:spacing w:line="300" w:lineRule="exact"/>
              <w:ind w:firstLine="0" w:firstLineChars="0"/>
              <w:jc w:val="center"/>
            </w:pPr>
          </w:p>
        </w:tc>
        <w:tc>
          <w:tcPr>
            <w:tcW w:w="708" w:type="dxa"/>
            <w:gridSpan w:val="2"/>
            <w:vAlign w:val="center"/>
          </w:tcPr>
          <w:p>
            <w:pPr>
              <w:pStyle w:val="46"/>
              <w:spacing w:line="300" w:lineRule="exact"/>
              <w:ind w:firstLine="0" w:firstLineChars="0"/>
              <w:jc w:val="center"/>
            </w:pPr>
            <w:r>
              <w:rPr>
                <w:rFonts w:hint="eastAsia"/>
              </w:rPr>
              <w:t>资源利用效率</w:t>
            </w:r>
          </w:p>
        </w:tc>
        <w:tc>
          <w:tcPr>
            <w:tcW w:w="2835" w:type="dxa"/>
            <w:gridSpan w:val="2"/>
            <w:vAlign w:val="center"/>
          </w:tcPr>
          <w:p>
            <w:pPr>
              <w:wordWrap w:val="0"/>
              <w:spacing w:line="300" w:lineRule="exact"/>
              <w:contextualSpacing/>
              <w:rPr>
                <w:rFonts w:ascii="宋体" w:hAnsi="宋体" w:cs="宋体"/>
                <w:spacing w:val="-8"/>
                <w:sz w:val="24"/>
              </w:rPr>
            </w:pPr>
            <w:r>
              <w:rPr>
                <w:rFonts w:hint="eastAsia" w:ascii="宋体" w:hAnsi="宋体"/>
                <w:sz w:val="24"/>
              </w:rPr>
              <w:t>执行自治区总体准入要求中关于一般环境管控单元的准入要求（表2-4 A7.4）。</w:t>
            </w:r>
          </w:p>
        </w:tc>
        <w:tc>
          <w:tcPr>
            <w:tcW w:w="2977" w:type="dxa"/>
            <w:gridSpan w:val="2"/>
            <w:vAlign w:val="center"/>
          </w:tcPr>
          <w:p>
            <w:pPr>
              <w:pStyle w:val="46"/>
              <w:wordWrap w:val="0"/>
              <w:spacing w:line="300" w:lineRule="exact"/>
              <w:ind w:firstLine="0" w:firstLineChars="0"/>
            </w:pPr>
            <w:r>
              <w:rPr>
                <w:rFonts w:hint="eastAsia"/>
              </w:rPr>
              <w:t>建设过程中会消耗一定量的柴油和新鲜水，资源消耗量总体相对区域资源利用总量较少。符合A7.</w:t>
            </w:r>
            <w:r>
              <w:t>4</w:t>
            </w:r>
            <w:r>
              <w:rPr>
                <w:rFonts w:hint="eastAsia"/>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55"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1599" w:type="dxa"/>
            <w:gridSpan w:val="3"/>
            <w:tcMar>
              <w:top w:w="16" w:type="dxa"/>
              <w:left w:w="16" w:type="dxa"/>
              <w:right w:w="16" w:type="dxa"/>
            </w:tcMar>
            <w:vAlign w:val="center"/>
          </w:tcPr>
          <w:p>
            <w:pPr>
              <w:pStyle w:val="46"/>
              <w:spacing w:line="300" w:lineRule="exact"/>
              <w:ind w:firstLine="0" w:firstLineChars="0"/>
              <w:jc w:val="center"/>
              <w:rPr>
                <w:rFonts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主体功能区划</w:t>
            </w:r>
          </w:p>
        </w:tc>
        <w:tc>
          <w:tcPr>
            <w:tcW w:w="6379" w:type="dxa"/>
            <w:gridSpan w:val="5"/>
            <w:vAlign w:val="center"/>
          </w:tcPr>
          <w:p>
            <w:pPr>
              <w:pStyle w:val="46"/>
              <w:spacing w:line="340" w:lineRule="exact"/>
              <w:ind w:firstLine="496"/>
              <w:rPr>
                <w:rFonts w:cs="宋体"/>
                <w:color w:val="000000" w:themeColor="text1"/>
                <w:spacing w:val="8"/>
                <w:kern w:val="2"/>
                <w14:textFill>
                  <w14:solidFill>
                    <w14:schemeClr w14:val="tx1"/>
                  </w14:solidFill>
                </w14:textFill>
              </w:rPr>
            </w:pPr>
            <w:r>
              <w:rPr>
                <w:rFonts w:hint="eastAsia" w:cs="宋体"/>
                <w:color w:val="000000" w:themeColor="text1"/>
                <w:spacing w:val="8"/>
                <w:kern w:val="2"/>
                <w14:textFill>
                  <w14:solidFill>
                    <w14:schemeClr w14:val="tx1"/>
                  </w14:solidFill>
                </w14:textFill>
              </w:rPr>
              <w:t>阜康市位于《新疆维吾尔自治区主体功能区规划》</w:t>
            </w:r>
            <w:r>
              <w:rPr>
                <w:rFonts w:hint="eastAsia" w:cs="宋体"/>
                <w:color w:val="000000" w:themeColor="text1"/>
                <w:spacing w:val="4"/>
                <w:kern w:val="2"/>
                <w14:textFill>
                  <w14:solidFill>
                    <w14:schemeClr w14:val="tx1"/>
                  </w14:solidFill>
                </w14:textFill>
              </w:rPr>
              <w:t>天山北坡地区重点开发区，属于具</w:t>
            </w:r>
            <w:r>
              <w:rPr>
                <w:rFonts w:hint="eastAsia"/>
                <w:bCs/>
                <w:spacing w:val="4"/>
              </w:rPr>
              <w:t>有一定经济基础，资源环境承载能力较强，发展潜力较大。</w:t>
            </w:r>
            <w:r>
              <w:rPr>
                <w:rFonts w:hint="eastAsia" w:cs="宋体"/>
                <w:color w:val="000000" w:themeColor="text1"/>
                <w:kern w:val="2"/>
                <w14:textFill>
                  <w14:solidFill>
                    <w14:schemeClr w14:val="tx1"/>
                  </w14:solidFill>
                </w14:textFill>
              </w:rPr>
              <w:t>该功能区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项目属于常规石油勘探类，符合主体功能区开发管制原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054" w:hRule="atLeast"/>
          <w:jc w:val="center"/>
        </w:trPr>
        <w:tc>
          <w:tcPr>
            <w:tcW w:w="659" w:type="dxa"/>
            <w:vMerge w:val="continue"/>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p>
        </w:tc>
        <w:tc>
          <w:tcPr>
            <w:tcW w:w="7978" w:type="dxa"/>
            <w:gridSpan w:val="8"/>
            <w:tcMar>
              <w:top w:w="16" w:type="dxa"/>
              <w:left w:w="16" w:type="dxa"/>
              <w:right w:w="16" w:type="dxa"/>
            </w:tcMar>
            <w:vAlign w:val="center"/>
          </w:tcPr>
          <w:p>
            <w:pPr>
              <w:pStyle w:val="46"/>
              <w:ind w:firstLine="0" w:firstLineChars="0"/>
              <w:rPr>
                <w:b/>
                <w:bCs/>
              </w:rPr>
            </w:pPr>
            <w:bookmarkStart w:id="7" w:name="_Hlk116073643"/>
            <w:bookmarkStart w:id="8" w:name="_Hlk115959670"/>
            <w:r>
              <w:rPr>
                <w:rFonts w:hint="eastAsia"/>
                <w:b/>
                <w:bCs/>
              </w:rPr>
              <w:t>生态环境保护法律法规的符合性分析</w:t>
            </w:r>
          </w:p>
          <w:bookmarkEnd w:id="7"/>
          <w:p>
            <w:pPr>
              <w:pStyle w:val="46"/>
              <w:ind w:firstLine="480"/>
            </w:pPr>
            <w:r>
              <w:rPr>
                <w:rFonts w:hint="eastAsia"/>
                <w:lang w:bidi="ar"/>
              </w:rPr>
              <w:t>（1）</w:t>
            </w:r>
            <w:r>
              <w:rPr>
                <w:rFonts w:hint="eastAsia"/>
              </w:rPr>
              <w:t>本项目的建设符合《新疆生态保护“十四五”规划》相关要求，详见下表。</w:t>
            </w:r>
          </w:p>
          <w:p>
            <w:pPr>
              <w:pStyle w:val="6"/>
              <w:spacing w:before="120" w:beforeLines="50" w:line="240" w:lineRule="exact"/>
            </w:pPr>
            <w:r>
              <w:rPr>
                <w:rFonts w:hint="eastAsia"/>
              </w:rPr>
              <w:t>表</w:t>
            </w:r>
            <w:r>
              <w:t xml:space="preserve">1 </w:t>
            </w:r>
            <w:r>
              <w:rPr>
                <w:rFonts w:hint="eastAsia"/>
              </w:rPr>
              <w:t xml:space="preserve"> </w:t>
            </w:r>
            <w:r>
              <w:t xml:space="preserve">  </w:t>
            </w:r>
            <w:r>
              <w:rPr>
                <w:rFonts w:hint="eastAsia"/>
              </w:rPr>
              <w:t>与《</w:t>
            </w:r>
            <w:r>
              <w:rPr>
                <w:rFonts w:hint="eastAsia"/>
                <w:lang w:bidi="ar"/>
              </w:rPr>
              <w:t>新疆生态保护“十四五”规划</w:t>
            </w:r>
            <w:r>
              <w:rPr>
                <w:rFonts w:hint="eastAsia"/>
              </w:rPr>
              <w:t>》的相符性分析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0"/>
              <w:gridCol w:w="3518"/>
              <w:gridCol w:w="8"/>
              <w:gridCol w:w="3339"/>
              <w:gridCol w:w="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28" w:type="dxa"/>
                    <w:right w:w="28" w:type="dxa"/>
                  </w:tcMar>
                  <w:vAlign w:val="center"/>
                </w:tcPr>
                <w:p>
                  <w:pPr>
                    <w:pStyle w:val="44"/>
                    <w:rPr>
                      <w:rFonts w:cs="宋体"/>
                    </w:rPr>
                  </w:pPr>
                  <w:r>
                    <w:rPr>
                      <w:rFonts w:hint="eastAsia" w:cs="宋体"/>
                    </w:rPr>
                    <w:t>序号</w:t>
                  </w:r>
                </w:p>
              </w:tc>
              <w:tc>
                <w:tcPr>
                  <w:tcW w:w="2219" w:type="pct"/>
                  <w:gridSpan w:val="2"/>
                  <w:tcMar>
                    <w:left w:w="28" w:type="dxa"/>
                    <w:right w:w="28" w:type="dxa"/>
                  </w:tcMar>
                  <w:vAlign w:val="center"/>
                </w:tcPr>
                <w:p>
                  <w:pPr>
                    <w:pStyle w:val="44"/>
                    <w:rPr>
                      <w:rFonts w:cs="宋体"/>
                    </w:rPr>
                  </w:pPr>
                  <w:r>
                    <w:rPr>
                      <w:rFonts w:hint="eastAsia" w:cs="宋体"/>
                    </w:rPr>
                    <w:t>《规划》中相关规定</w:t>
                  </w:r>
                </w:p>
              </w:tc>
              <w:tc>
                <w:tcPr>
                  <w:tcW w:w="2100" w:type="pct"/>
                  <w:tcMar>
                    <w:left w:w="28" w:type="dxa"/>
                    <w:right w:w="28" w:type="dxa"/>
                  </w:tcMar>
                  <w:vAlign w:val="center"/>
                </w:tcPr>
                <w:p>
                  <w:pPr>
                    <w:pStyle w:val="44"/>
                    <w:rPr>
                      <w:rFonts w:cs="宋体"/>
                    </w:rPr>
                  </w:pPr>
                  <w:r>
                    <w:rPr>
                      <w:rFonts w:hint="eastAsia" w:cs="宋体"/>
                    </w:rPr>
                    <w:t>本项目采取的相关措施</w:t>
                  </w:r>
                </w:p>
              </w:tc>
              <w:tc>
                <w:tcPr>
                  <w:tcW w:w="354" w:type="pct"/>
                  <w:tcMar>
                    <w:left w:w="28" w:type="dxa"/>
                    <w:right w:w="28" w:type="dxa"/>
                  </w:tcMar>
                  <w:vAlign w:val="center"/>
                </w:tcPr>
                <w:p>
                  <w:pPr>
                    <w:pStyle w:val="44"/>
                    <w:rPr>
                      <w:rFonts w:cs="宋体"/>
                    </w:rPr>
                  </w:pPr>
                  <w:r>
                    <w:rPr>
                      <w:rFonts w:hint="eastAsia" w:cs="宋体"/>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83" w:hRule="atLeast"/>
              </w:trPr>
              <w:tc>
                <w:tcPr>
                  <w:tcW w:w="327" w:type="pct"/>
                  <w:tcMar>
                    <w:left w:w="28" w:type="dxa"/>
                    <w:right w:w="28" w:type="dxa"/>
                  </w:tcMar>
                  <w:vAlign w:val="center"/>
                </w:tcPr>
                <w:p>
                  <w:pPr>
                    <w:pStyle w:val="44"/>
                    <w:rPr>
                      <w:rFonts w:cs="宋体"/>
                    </w:rPr>
                  </w:pPr>
                  <w:r>
                    <w:rPr>
                      <w:rFonts w:hint="eastAsia" w:cs="宋体"/>
                    </w:rPr>
                    <w:t>1</w:t>
                  </w:r>
                </w:p>
              </w:tc>
              <w:tc>
                <w:tcPr>
                  <w:tcW w:w="2219" w:type="pct"/>
                  <w:gridSpan w:val="2"/>
                  <w:tcMar>
                    <w:left w:w="28" w:type="dxa"/>
                    <w:right w:w="28" w:type="dxa"/>
                  </w:tcMar>
                  <w:vAlign w:val="center"/>
                </w:tcPr>
                <w:p>
                  <w:pPr>
                    <w:pStyle w:val="44"/>
                    <w:jc w:val="both"/>
                    <w:rPr>
                      <w:rFonts w:cs="宋体"/>
                    </w:rPr>
                  </w:pPr>
                  <w:r>
                    <w:rPr>
                      <w:rFonts w:hint="eastAsia" w:cs="宋体"/>
                    </w:rPr>
                    <w:t>落实“三线一单”生态环境分区管控要求，守住生态保护红线、环境质量底线和资源利用上线，实施生态环境准入清单管控</w:t>
                  </w:r>
                </w:p>
              </w:tc>
              <w:tc>
                <w:tcPr>
                  <w:tcW w:w="2100" w:type="pct"/>
                  <w:tcMar>
                    <w:left w:w="28" w:type="dxa"/>
                    <w:right w:w="28" w:type="dxa"/>
                  </w:tcMar>
                  <w:vAlign w:val="center"/>
                </w:tcPr>
                <w:p>
                  <w:pPr>
                    <w:pStyle w:val="44"/>
                    <w:jc w:val="both"/>
                    <w:rPr>
                      <w:rFonts w:cs="宋体"/>
                    </w:rPr>
                  </w:pPr>
                  <w:r>
                    <w:rPr>
                      <w:rFonts w:hint="eastAsia" w:cs="宋体"/>
                    </w:rPr>
                    <w:t>本项目</w:t>
                  </w:r>
                  <w:r>
                    <w:rPr>
                      <w:rFonts w:hint="eastAsia"/>
                      <w:color w:val="000000" w:themeColor="text1"/>
                      <w14:textFill>
                        <w14:solidFill>
                          <w14:schemeClr w14:val="tx1"/>
                        </w14:solidFill>
                      </w14:textFill>
                    </w:rPr>
                    <w:t>不涉及生态保护红线，</w:t>
                  </w:r>
                  <w:r>
                    <w:rPr>
                      <w:rFonts w:hint="eastAsia" w:cs="宋体"/>
                    </w:rPr>
                    <w:t>不会突破区域环境质量底线，不会突破区域资源利用上线</w:t>
                  </w:r>
                </w:p>
              </w:tc>
              <w:tc>
                <w:tcPr>
                  <w:tcW w:w="354" w:type="pct"/>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84" w:hRule="atLeast"/>
              </w:trPr>
              <w:tc>
                <w:tcPr>
                  <w:tcW w:w="327" w:type="pct"/>
                  <w:tcMar>
                    <w:left w:w="28" w:type="dxa"/>
                    <w:right w:w="28" w:type="dxa"/>
                  </w:tcMar>
                  <w:vAlign w:val="center"/>
                </w:tcPr>
                <w:p>
                  <w:pPr>
                    <w:pStyle w:val="44"/>
                    <w:rPr>
                      <w:rFonts w:cs="宋体"/>
                    </w:rPr>
                  </w:pPr>
                  <w:r>
                    <w:rPr>
                      <w:rFonts w:hint="eastAsia" w:cs="宋体"/>
                    </w:rPr>
                    <w:t>2</w:t>
                  </w:r>
                </w:p>
              </w:tc>
              <w:tc>
                <w:tcPr>
                  <w:tcW w:w="2219" w:type="pct"/>
                  <w:gridSpan w:val="2"/>
                  <w:tcMar>
                    <w:left w:w="28" w:type="dxa"/>
                    <w:right w:w="28" w:type="dxa"/>
                  </w:tcMar>
                  <w:vAlign w:val="center"/>
                </w:tcPr>
                <w:p>
                  <w:pPr>
                    <w:pStyle w:val="44"/>
                    <w:jc w:val="both"/>
                    <w:rPr>
                      <w:rFonts w:cs="宋体"/>
                    </w:rPr>
                  </w:pPr>
                  <w:r>
                    <w:rPr>
                      <w:rFonts w:hint="eastAsia" w:cs="宋体"/>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2100" w:type="pct"/>
                  <w:tcMar>
                    <w:left w:w="28" w:type="dxa"/>
                    <w:right w:w="28" w:type="dxa"/>
                  </w:tcMar>
                  <w:vAlign w:val="center"/>
                </w:tcPr>
                <w:p>
                  <w:pPr>
                    <w:pStyle w:val="44"/>
                    <w:jc w:val="both"/>
                    <w:rPr>
                      <w:rFonts w:cs="宋体"/>
                    </w:rPr>
                  </w:pPr>
                  <w:r>
                    <w:rPr>
                      <w:rFonts w:hint="eastAsia" w:cs="宋体"/>
                    </w:rPr>
                    <w:t>施工过程中堆放的土方压实并采用苫布遮盖，加强车辆环保管理，使用合规油品，按照限速行驶，不在大风天施工，减少扬尘的产生</w:t>
                  </w:r>
                </w:p>
              </w:tc>
              <w:tc>
                <w:tcPr>
                  <w:tcW w:w="354" w:type="pct"/>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03" w:hRule="atLeast"/>
              </w:trPr>
              <w:tc>
                <w:tcPr>
                  <w:tcW w:w="327" w:type="pct"/>
                  <w:tcMar>
                    <w:left w:w="28" w:type="dxa"/>
                    <w:right w:w="28" w:type="dxa"/>
                  </w:tcMar>
                  <w:vAlign w:val="center"/>
                </w:tcPr>
                <w:p>
                  <w:pPr>
                    <w:pStyle w:val="44"/>
                    <w:rPr>
                      <w:rFonts w:cs="宋体"/>
                    </w:rPr>
                  </w:pPr>
                  <w:r>
                    <w:rPr>
                      <w:rFonts w:hint="eastAsia" w:cs="宋体"/>
                    </w:rPr>
                    <w:t>3</w:t>
                  </w:r>
                </w:p>
              </w:tc>
              <w:tc>
                <w:tcPr>
                  <w:tcW w:w="2214" w:type="pct"/>
                  <w:tcMar>
                    <w:left w:w="28" w:type="dxa"/>
                    <w:right w:w="28" w:type="dxa"/>
                  </w:tcMar>
                  <w:vAlign w:val="center"/>
                </w:tcPr>
                <w:p>
                  <w:pPr>
                    <w:pStyle w:val="44"/>
                    <w:jc w:val="both"/>
                    <w:rPr>
                      <w:rFonts w:cs="宋体"/>
                      <w:spacing w:val="-3"/>
                    </w:rPr>
                  </w:pPr>
                  <w:r>
                    <w:rPr>
                      <w:rFonts w:hint="eastAsia" w:cs="宋体"/>
                      <w:spacing w:val="-3"/>
                    </w:rPr>
                    <w:t>严格保护优先保护类农用地，确保其面积不减少、土壤环境质量不下降</w:t>
                  </w:r>
                </w:p>
              </w:tc>
              <w:tc>
                <w:tcPr>
                  <w:tcW w:w="2106" w:type="pct"/>
                  <w:gridSpan w:val="2"/>
                  <w:tcMar>
                    <w:left w:w="28" w:type="dxa"/>
                    <w:right w:w="28" w:type="dxa"/>
                  </w:tcMar>
                  <w:vAlign w:val="center"/>
                </w:tcPr>
                <w:p>
                  <w:pPr>
                    <w:pStyle w:val="44"/>
                    <w:jc w:val="both"/>
                    <w:rPr>
                      <w:rFonts w:cs="宋体"/>
                    </w:rPr>
                  </w:pPr>
                  <w:r>
                    <w:rPr>
                      <w:rFonts w:hint="eastAsia" w:cs="宋体"/>
                    </w:rPr>
                    <w:t>本项目占地类型为其他草地，根据《土地利用现状分类》（GB/T 21010—2017）相关要求，属于未利用地</w:t>
                  </w:r>
                </w:p>
              </w:tc>
              <w:tc>
                <w:tcPr>
                  <w:tcW w:w="353" w:type="pct"/>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67" w:hRule="atLeast"/>
              </w:trPr>
              <w:tc>
                <w:tcPr>
                  <w:tcW w:w="327" w:type="pct"/>
                  <w:tcMar>
                    <w:left w:w="28" w:type="dxa"/>
                    <w:right w:w="28" w:type="dxa"/>
                  </w:tcMar>
                  <w:vAlign w:val="center"/>
                </w:tcPr>
                <w:p>
                  <w:pPr>
                    <w:pStyle w:val="44"/>
                    <w:rPr>
                      <w:rFonts w:cs="宋体"/>
                    </w:rPr>
                  </w:pPr>
                  <w:r>
                    <w:rPr>
                      <w:rFonts w:hint="eastAsia" w:cs="宋体"/>
                    </w:rPr>
                    <w:t>4</w:t>
                  </w:r>
                </w:p>
              </w:tc>
              <w:tc>
                <w:tcPr>
                  <w:tcW w:w="2214" w:type="pct"/>
                  <w:tcMar>
                    <w:left w:w="28" w:type="dxa"/>
                    <w:right w:w="28" w:type="dxa"/>
                  </w:tcMar>
                  <w:vAlign w:val="center"/>
                </w:tcPr>
                <w:p>
                  <w:pPr>
                    <w:pStyle w:val="44"/>
                    <w:jc w:val="both"/>
                    <w:rPr>
                      <w:rFonts w:cs="宋体"/>
                    </w:rPr>
                  </w:pPr>
                  <w:r>
                    <w:rPr>
                      <w:rFonts w:hint="eastAsia" w:cs="宋体"/>
                    </w:rPr>
                    <w:t>固体废物收集、贮存、处理处置设施应按照标准要求采取防渗措施</w:t>
                  </w:r>
                </w:p>
              </w:tc>
              <w:tc>
                <w:tcPr>
                  <w:tcW w:w="2106" w:type="pct"/>
                  <w:gridSpan w:val="2"/>
                  <w:tcMar>
                    <w:left w:w="28" w:type="dxa"/>
                    <w:right w:w="28" w:type="dxa"/>
                  </w:tcMar>
                  <w:vAlign w:val="center"/>
                </w:tcPr>
                <w:p>
                  <w:pPr>
                    <w:pStyle w:val="44"/>
                    <w:jc w:val="both"/>
                    <w:rPr>
                      <w:rFonts w:cs="宋体"/>
                    </w:rPr>
                  </w:pPr>
                  <w:r>
                    <w:rPr>
                      <w:rFonts w:hint="eastAsia" w:cs="宋体"/>
                    </w:rPr>
                    <w:t>钻井液不落地设备分理出的水基钻井液进岩屑专用方罐，方罐底部采用HDPE防渗膜进行防渗，其防渗系数不低于1×10</w:t>
                  </w:r>
                  <w:r>
                    <w:rPr>
                      <w:rFonts w:hint="eastAsia" w:cs="宋体"/>
                      <w:vertAlign w:val="superscript"/>
                    </w:rPr>
                    <w:t>-7</w:t>
                  </w:r>
                  <w:r>
                    <w:rPr>
                      <w:rFonts w:hint="eastAsia" w:cs="宋体"/>
                    </w:rPr>
                    <w:t>cm/s</w:t>
                  </w:r>
                </w:p>
              </w:tc>
              <w:tc>
                <w:tcPr>
                  <w:tcW w:w="353" w:type="pct"/>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49" w:hRule="atLeast"/>
              </w:trPr>
              <w:tc>
                <w:tcPr>
                  <w:tcW w:w="327" w:type="pct"/>
                  <w:tcMar>
                    <w:left w:w="28" w:type="dxa"/>
                    <w:right w:w="28" w:type="dxa"/>
                  </w:tcMar>
                  <w:vAlign w:val="center"/>
                </w:tcPr>
                <w:p>
                  <w:pPr>
                    <w:pStyle w:val="44"/>
                    <w:rPr>
                      <w:rFonts w:cs="宋体"/>
                    </w:rPr>
                  </w:pPr>
                  <w:r>
                    <w:rPr>
                      <w:rFonts w:hint="eastAsia" w:cs="宋体"/>
                    </w:rPr>
                    <w:t>5</w:t>
                  </w:r>
                </w:p>
              </w:tc>
              <w:tc>
                <w:tcPr>
                  <w:tcW w:w="2214" w:type="pct"/>
                  <w:tcMar>
                    <w:left w:w="28" w:type="dxa"/>
                    <w:right w:w="28" w:type="dxa"/>
                  </w:tcMar>
                  <w:vAlign w:val="center"/>
                </w:tcPr>
                <w:p>
                  <w:pPr>
                    <w:pStyle w:val="44"/>
                    <w:jc w:val="both"/>
                    <w:rPr>
                      <w:rFonts w:cs="宋体"/>
                    </w:rPr>
                  </w:pPr>
                  <w:r>
                    <w:rPr>
                      <w:rFonts w:hint="eastAsia" w:cs="宋体"/>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2106" w:type="pct"/>
                  <w:gridSpan w:val="2"/>
                  <w:tcMar>
                    <w:left w:w="28" w:type="dxa"/>
                    <w:right w:w="28" w:type="dxa"/>
                  </w:tcMar>
                  <w:vAlign w:val="center"/>
                </w:tcPr>
                <w:p>
                  <w:pPr>
                    <w:pStyle w:val="44"/>
                    <w:jc w:val="both"/>
                    <w:rPr>
                      <w:rFonts w:cs="宋体"/>
                    </w:rPr>
                  </w:pPr>
                  <w:r>
                    <w:rPr>
                      <w:rFonts w:hint="eastAsia" w:cs="宋体"/>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p>
              </w:tc>
              <w:tc>
                <w:tcPr>
                  <w:tcW w:w="353" w:type="pct"/>
                  <w:tcMar>
                    <w:left w:w="28" w:type="dxa"/>
                    <w:right w:w="28" w:type="dxa"/>
                  </w:tcMar>
                  <w:vAlign w:val="center"/>
                </w:tcPr>
                <w:p>
                  <w:pPr>
                    <w:pStyle w:val="44"/>
                    <w:rPr>
                      <w:rFonts w:cs="宋体"/>
                    </w:rPr>
                  </w:pPr>
                  <w:r>
                    <w:rPr>
                      <w:rFonts w:hint="eastAsia" w:cs="宋体"/>
                    </w:rPr>
                    <w:t>符合</w:t>
                  </w:r>
                </w:p>
              </w:tc>
            </w:tr>
          </w:tbl>
          <w:p>
            <w:pPr>
              <w:pStyle w:val="46"/>
              <w:ind w:firstLine="480"/>
            </w:pPr>
            <w:r>
              <w:rPr>
                <w:rFonts w:hint="eastAsia"/>
              </w:rPr>
              <w:t>（2）本项目符合《新疆维吾尔自治区煤炭石油天然气开发环境保护条例》相关要求，详见下表。</w:t>
            </w:r>
          </w:p>
          <w:p>
            <w:pPr>
              <w:pStyle w:val="6"/>
            </w:pPr>
            <w:r>
              <w:rPr>
                <w:rFonts w:hint="eastAsia"/>
              </w:rPr>
              <w:t>表</w:t>
            </w:r>
            <w:r>
              <w:t xml:space="preserve">2 </w:t>
            </w:r>
            <w:r>
              <w:rPr>
                <w:rFonts w:hint="eastAsia"/>
              </w:rPr>
              <w:t xml:space="preserve"> </w:t>
            </w:r>
            <w:r>
              <w:t xml:space="preserve">  </w:t>
            </w:r>
            <w:r>
              <w:rPr>
                <w:rFonts w:hint="eastAsia"/>
              </w:rPr>
              <w:t>与《新疆维吾尔自治区煤炭石油天然气开发环境保护条例》的相符性分析</w:t>
            </w:r>
          </w:p>
          <w:tbl>
            <w:tblPr>
              <w:tblStyle w:val="17"/>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1"/>
              <w:gridCol w:w="3514"/>
              <w:gridCol w:w="3247"/>
              <w:gridCol w:w="564"/>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12"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序号</w:t>
                  </w:r>
                </w:p>
              </w:tc>
              <w:tc>
                <w:tcPr>
                  <w:tcW w:w="2211"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《条例》中相关规定</w:t>
                  </w:r>
                </w:p>
              </w:tc>
              <w:tc>
                <w:tcPr>
                  <w:tcW w:w="2043"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本项目采取的相关措施</w:t>
                  </w:r>
                </w:p>
              </w:tc>
              <w:tc>
                <w:tcPr>
                  <w:tcW w:w="355" w:type="pct"/>
                  <w:tcBorders>
                    <w:top w:val="single" w:color="auto" w:sz="12"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分析结论</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1</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3"/>
                    </w:rPr>
                  </w:pPr>
                  <w:r>
                    <w:rPr>
                      <w:rFonts w:hint="eastAsia" w:cs="宋体"/>
                      <w:spacing w:val="-3"/>
                    </w:rPr>
                    <w:t>禁止在水源涵养区、地下水源、饮用水源、自然保护区、风景名胜区、森林公园、重要湿地及人群密集区等生态敏感区域内进行煤炭、石油、天然气开发</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项目区无上述环境敏感区</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2</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煤炭、石油、天然气开发项目实行环境监理，其大气、水体、固体废物等污染防治设施与主体工程同时设计、同时施工、同时投产使用</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4"/>
                    </w:rPr>
                  </w:pPr>
                  <w:r>
                    <w:rPr>
                      <w:rFonts w:hint="eastAsia" w:cs="宋体"/>
                      <w:spacing w:val="-4"/>
                    </w:rPr>
                    <w:t>钻井及试油工程结束后环境影响即消失，无运营期，施工期的环境管理主要依托油田公司的HSE管理体系</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3</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开发单位应当对污染物排放及对周围环境的影响进行环境监测，接受环境保护主管部门的指导，并向社会公布监测情况</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本项目主要为施工期，施工期产生的污染物随施工期的结束而消失，不会对周围环境产生明显影响，无运营期，无需进行环境监测</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524"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4</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bCs/>
                      <w:lang w:bidi="ar"/>
                    </w:rPr>
                    <w:t>采用水基钻井液，钻井液经不落地系统分离后回用</w:t>
                  </w:r>
                  <w:r>
                    <w:rPr>
                      <w:rFonts w:hint="eastAsia" w:cs="宋体"/>
                    </w:rPr>
                    <w:t>；钻井过程无废水产生，试油过程产生的试油废水由专用罐车拉运至彩南联合站采出水处理系统进行处理，处理后水质达到《碎屑岩油藏注水水质推荐指标及分析方法》（SY/T5329-2012）中相关标准后，全部用于回注油藏</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5</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石油、天然气开发单位应当采取保护性措施，防止油井套管破损、气井泄漏，污染地下水</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钻井过程中使用水泥固井，一开下表层套管，二开下入技术套管，三开下入油层套管，有效的将含水层与井筒分隔开</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6</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试油期产生的伴生气的量不稳定，不具备回收利用条件，经排气管线排至点火装置点燃充分燃烧后排放</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cs="宋体"/>
                    </w:rPr>
                    <w:t>7</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煤炭、石油、天然气开发单位应当制定突发环境事件应急预案，报环境保护主管部门和有关部门备案。发生突发环境事件的，应当立即启动应急预案，采取应急措施，防止环境污染事故发生</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本项目归属中国石油新疆油田勘探事业部管辖，项目实施后需纳入《新疆油田公司勘探事业部突发环境事件应急预案》</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bl>
          <w:p>
            <w:pPr>
              <w:pStyle w:val="46"/>
              <w:ind w:firstLine="480"/>
            </w:pPr>
            <w:r>
              <w:rPr>
                <w:rFonts w:hint="eastAsia"/>
              </w:rPr>
              <w:t>（</w:t>
            </w:r>
            <w:r>
              <w:t>3</w:t>
            </w:r>
            <w:r>
              <w:rPr>
                <w:rFonts w:hint="eastAsia"/>
              </w:rPr>
              <w:t>）本项目符合《进一步加强石油天然气行业环境影响评价管理的通知》相关要求，详见下表。</w:t>
            </w:r>
          </w:p>
          <w:p>
            <w:pPr>
              <w:pStyle w:val="46"/>
              <w:spacing w:line="240" w:lineRule="auto"/>
              <w:ind w:firstLine="420"/>
              <w:jc w:val="center"/>
              <w:rPr>
                <w:rFonts w:ascii="黑体" w:hAnsi="黑体" w:eastAsia="黑体"/>
                <w:kern w:val="2"/>
                <w:sz w:val="21"/>
                <w:szCs w:val="20"/>
              </w:rPr>
            </w:pPr>
            <w:r>
              <w:rPr>
                <w:rFonts w:hint="eastAsia" w:ascii="黑体" w:hAnsi="黑体" w:eastAsia="黑体"/>
                <w:kern w:val="2"/>
                <w:sz w:val="21"/>
                <w:szCs w:val="20"/>
              </w:rPr>
              <w:t>表</w:t>
            </w:r>
            <w:r>
              <w:rPr>
                <w:rFonts w:ascii="黑体" w:hAnsi="黑体" w:eastAsia="黑体"/>
                <w:kern w:val="2"/>
                <w:sz w:val="21"/>
                <w:szCs w:val="20"/>
              </w:rPr>
              <w:t xml:space="preserve">3    </w:t>
            </w:r>
            <w:r>
              <w:rPr>
                <w:rFonts w:hint="eastAsia" w:ascii="黑体" w:hAnsi="黑体" w:eastAsia="黑体"/>
                <w:kern w:val="2"/>
                <w:sz w:val="21"/>
                <w:szCs w:val="20"/>
              </w:rPr>
              <w:t>本项目与《关于进一步加强石油天然气行业环境影响评价管理的通知》的相符性分析</w:t>
            </w:r>
          </w:p>
          <w:tbl>
            <w:tblPr>
              <w:tblStyle w:val="17"/>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1"/>
              <w:gridCol w:w="3514"/>
              <w:gridCol w:w="3247"/>
              <w:gridCol w:w="564"/>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12"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序号</w:t>
                  </w:r>
                </w:p>
              </w:tc>
              <w:tc>
                <w:tcPr>
                  <w:tcW w:w="2211"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《通知》中相关规定</w:t>
                  </w:r>
                </w:p>
              </w:tc>
              <w:tc>
                <w:tcPr>
                  <w:tcW w:w="2043"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本项目采取的相关措施</w:t>
                  </w:r>
                </w:p>
              </w:tc>
              <w:tc>
                <w:tcPr>
                  <w:tcW w:w="355" w:type="pct"/>
                  <w:tcBorders>
                    <w:top w:val="single" w:color="auto" w:sz="12"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分析结论</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163"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1</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3"/>
                    </w:rPr>
                  </w:pPr>
                  <w:r>
                    <w:rPr>
                      <w:rFonts w:hint="eastAsia" w:cs="宋体"/>
                      <w:spacing w:val="-3"/>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本项目为油气资源勘查项目，在报告中对项目建设带来的环境影响提出了对应的防治措施，对生态环境保护和环境风险提出了有效的防范措施。对依托工程的依托可行性进行了分析</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2</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4"/>
                    </w:rPr>
                  </w:pPr>
                  <w:r>
                    <w:rPr>
                      <w:rFonts w:hint="eastAsia"/>
                    </w:rPr>
                    <w:t>本项目实施过程中，将根据中国石油新疆油田分公司在环境管理上建立的健康、安全与环境管理体系（HSE管理体系），落实各项环保和安全措施，减少项目开发对周围环境的影响</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837"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3</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本项目为勘探井建设项目，位于未确定产能建设规模的陆地油气开采新区块，应当编制环境影响报告表</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524"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4</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rPr>
                    <w:t>钻井过程中不使用油基钻井液，井场设置不落地设备，用于分离钻井液和钻井岩屑；水基钻井岩屑，由岩屑处置单位拉运进行处理；岩屑堆放场地四周设围堰，围堰及岩屑堆放场地底部均铺设HDPE防渗膜。</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bl>
          <w:p>
            <w:pPr>
              <w:pStyle w:val="46"/>
              <w:ind w:firstLine="480"/>
            </w:pPr>
            <w:r>
              <w:rPr>
                <w:rFonts w:hint="eastAsia"/>
              </w:rPr>
              <w:t>（</w:t>
            </w:r>
            <w:r>
              <w:t>4</w:t>
            </w:r>
            <w:r>
              <w:rPr>
                <w:rFonts w:hint="eastAsia"/>
              </w:rPr>
              <w:t>）本项目符合《</w:t>
            </w:r>
            <w:r>
              <w:rPr>
                <w:rFonts w:hint="eastAsia" w:cs="宋体"/>
              </w:rPr>
              <w:t>昌吉州生态环境保护“十四五”规划</w:t>
            </w:r>
            <w:r>
              <w:rPr>
                <w:rFonts w:hint="eastAsia"/>
              </w:rPr>
              <w:t>》相关要求，详见下表。</w:t>
            </w:r>
          </w:p>
          <w:p>
            <w:pPr>
              <w:pStyle w:val="46"/>
              <w:ind w:firstLine="480"/>
            </w:pPr>
          </w:p>
          <w:p>
            <w:pPr>
              <w:pStyle w:val="6"/>
            </w:pPr>
            <w:r>
              <w:rPr>
                <w:rFonts w:hint="eastAsia"/>
              </w:rPr>
              <w:t>表</w:t>
            </w:r>
            <w:r>
              <w:t xml:space="preserve">4 </w:t>
            </w:r>
            <w:r>
              <w:rPr>
                <w:rFonts w:hint="eastAsia"/>
              </w:rPr>
              <w:t xml:space="preserve"> </w:t>
            </w:r>
            <w:r>
              <w:t xml:space="preserve">  </w:t>
            </w:r>
            <w:r>
              <w:rPr>
                <w:rFonts w:hint="eastAsia"/>
              </w:rPr>
              <w:t>与《昌吉州生态环境保护“十四五”规划》的相符性分析</w:t>
            </w:r>
          </w:p>
          <w:tbl>
            <w:tblPr>
              <w:tblStyle w:val="17"/>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1"/>
              <w:gridCol w:w="3514"/>
              <w:gridCol w:w="3247"/>
              <w:gridCol w:w="564"/>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12"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序号</w:t>
                  </w:r>
                </w:p>
              </w:tc>
              <w:tc>
                <w:tcPr>
                  <w:tcW w:w="2211"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《规划》中相关规定</w:t>
                  </w:r>
                </w:p>
              </w:tc>
              <w:tc>
                <w:tcPr>
                  <w:tcW w:w="2043" w:type="pc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本项目采取的相关措施</w:t>
                  </w:r>
                </w:p>
              </w:tc>
              <w:tc>
                <w:tcPr>
                  <w:tcW w:w="355" w:type="pct"/>
                  <w:tcBorders>
                    <w:top w:val="single" w:color="auto" w:sz="12"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分析结论</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1</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10"/>
                    </w:rPr>
                  </w:pPr>
                  <w:r>
                    <w:rPr>
                      <w:rFonts w:hint="eastAsia" w:cs="宋体"/>
                      <w:spacing w:val="-10"/>
                    </w:rPr>
                    <w:t>将生态保护红线、环境质量底线、资源利用上线的硬约束落实到环境管控单元，建立差别化的生态环境准入清单，加强“三线一单"成果在政策制定、环境准入、执法监管等方面的应用</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本项目</w:t>
                  </w:r>
                  <w:r>
                    <w:rPr>
                      <w:rFonts w:hint="eastAsia"/>
                      <w:color w:val="000000" w:themeColor="text1"/>
                      <w14:textFill>
                        <w14:solidFill>
                          <w14:schemeClr w14:val="tx1"/>
                        </w14:solidFill>
                      </w14:textFill>
                    </w:rPr>
                    <w:t>不涉及生态保护红线，</w:t>
                  </w:r>
                  <w:r>
                    <w:rPr>
                      <w:rFonts w:hint="eastAsia" w:cs="宋体"/>
                    </w:rPr>
                    <w:t>不会突破区域环境质量底线，不会突破区域资源利用上线</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2</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强化水资源刚性约束，深入推进最严格水资源管理制度，严守水资源开发利用控制、用水效率控制和水功能区限制纳污"三条红线"，严格实行区域用水总量和强度控制，强化节水约束性指标管理</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spacing w:val="-4"/>
                    </w:rPr>
                  </w:pPr>
                  <w:r>
                    <w:rPr>
                      <w:rFonts w:hint="eastAsia" w:cs="宋体"/>
                    </w:rPr>
                    <w:t>井场设钻井液不落地设备，分离出的液相全部回用于钻井</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3</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推进地表水与地下水协同防治。统筹区域地表水、地下水生态环境监管</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钻井过程无废水产生，试油过程产生的试油废水由专用罐收集，拉运至彩南联合站采出水处理系统进行处理，不外排；钻井过程中使用水泥固井，一开下表层套管，二开下入技术套管，三开下入油层套管，有效的将含水层与井筒分隔开保护地下水不受污染</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137"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hint="eastAsia" w:cs="宋体"/>
                    </w:rPr>
                    <w:t>4</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以北部沙漠防风固沙生态维护区、中部平原农田防护人居环境维护区和南部山地水源涵养生态维护区3个水土保持分区为基础，划分重点预防范围和重点治理范围</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bCs/>
                      <w:lang w:bidi="ar"/>
                    </w:rPr>
                    <w:t>阜康市为国家级水土流失重点治理区，已提出了相应的水土保持措施，可将项目引起的水土流失的程度降低到最小限度</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91" w:type="pct"/>
                  <w:tcBorders>
                    <w:top w:val="single" w:color="auto" w:sz="6" w:space="0"/>
                    <w:left w:val="nil"/>
                    <w:bottom w:val="single" w:color="auto" w:sz="6" w:space="0"/>
                    <w:right w:val="single" w:color="auto" w:sz="6" w:space="0"/>
                  </w:tcBorders>
                  <w:tcMar>
                    <w:left w:w="28" w:type="dxa"/>
                    <w:right w:w="28" w:type="dxa"/>
                  </w:tcMar>
                  <w:vAlign w:val="center"/>
                </w:tcPr>
                <w:p>
                  <w:pPr>
                    <w:pStyle w:val="44"/>
                    <w:rPr>
                      <w:rFonts w:cs="宋体"/>
                    </w:rPr>
                  </w:pPr>
                  <w:r>
                    <w:rPr>
                      <w:rFonts w:cs="宋体"/>
                    </w:rPr>
                    <w:t>5</w:t>
                  </w:r>
                </w:p>
              </w:tc>
              <w:tc>
                <w:tcPr>
                  <w:tcW w:w="2211"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加强生态环境应急管理。实施企业环境应急预案电子化备案，完成昌吉市政府突发环境事件应急预案修编。</w:t>
                  </w:r>
                </w:p>
              </w:tc>
              <w:tc>
                <w:tcPr>
                  <w:tcW w:w="204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44"/>
                    <w:jc w:val="both"/>
                    <w:rPr>
                      <w:rFonts w:cs="宋体"/>
                    </w:rPr>
                  </w:pPr>
                  <w:r>
                    <w:rPr>
                      <w:rFonts w:hint="eastAsia" w:cs="宋体"/>
                    </w:rPr>
                    <w:t>本项目归属中国石油新疆油田勘探事业部管辖，项目实施后需纳入《新疆油田公司勘探事业部突发环境事件应急预案》</w:t>
                  </w:r>
                </w:p>
              </w:tc>
              <w:tc>
                <w:tcPr>
                  <w:tcW w:w="355" w:type="pct"/>
                  <w:tcBorders>
                    <w:top w:val="single" w:color="auto" w:sz="6" w:space="0"/>
                    <w:left w:val="single" w:color="auto" w:sz="6" w:space="0"/>
                    <w:bottom w:val="single" w:color="auto" w:sz="6" w:space="0"/>
                    <w:right w:val="nil"/>
                  </w:tcBorders>
                  <w:tcMar>
                    <w:left w:w="28" w:type="dxa"/>
                    <w:right w:w="28" w:type="dxa"/>
                  </w:tcMar>
                  <w:vAlign w:val="center"/>
                </w:tcPr>
                <w:p>
                  <w:pPr>
                    <w:pStyle w:val="44"/>
                    <w:rPr>
                      <w:rFonts w:cs="宋体"/>
                    </w:rPr>
                  </w:pPr>
                  <w:r>
                    <w:rPr>
                      <w:rFonts w:hint="eastAsia" w:cs="宋体"/>
                    </w:rPr>
                    <w:t>符合</w:t>
                  </w:r>
                </w:p>
              </w:tc>
            </w:tr>
          </w:tbl>
          <w:p>
            <w:pPr>
              <w:pStyle w:val="46"/>
              <w:ind w:firstLine="480"/>
            </w:pPr>
            <w:r>
              <w:rPr>
                <w:rFonts w:hint="eastAsia"/>
              </w:rPr>
              <w:t>（</w:t>
            </w:r>
            <w:r>
              <w:t>5</w:t>
            </w:r>
            <w:r>
              <w:rPr>
                <w:rFonts w:hint="eastAsia"/>
              </w:rPr>
              <w:t>）本项目符合《</w:t>
            </w:r>
            <w:r>
              <w:rPr>
                <w:rFonts w:hint="eastAsia" w:cs="宋体"/>
              </w:rPr>
              <w:t>石油天然气开采业污染防治技术政策</w:t>
            </w:r>
            <w:r>
              <w:rPr>
                <w:rFonts w:hint="eastAsia"/>
              </w:rPr>
              <w:t>》相关要求，详见下表。</w:t>
            </w:r>
          </w:p>
          <w:p>
            <w:pPr>
              <w:pStyle w:val="6"/>
              <w:spacing w:before="120" w:beforeLines="50" w:line="240" w:lineRule="exact"/>
            </w:pPr>
            <w:r>
              <w:rPr>
                <w:rFonts w:hint="eastAsia"/>
              </w:rPr>
              <w:t>表</w:t>
            </w:r>
            <w:r>
              <w:t xml:space="preserve">5 </w:t>
            </w:r>
            <w:r>
              <w:rPr>
                <w:rFonts w:hint="eastAsia"/>
              </w:rPr>
              <w:t xml:space="preserve"> </w:t>
            </w:r>
            <w:r>
              <w:t xml:space="preserve">  </w:t>
            </w:r>
            <w:r>
              <w:rPr>
                <w:rFonts w:hint="eastAsia"/>
              </w:rPr>
              <w:t>与《</w:t>
            </w:r>
            <w:r>
              <w:rPr>
                <w:rFonts w:hint="eastAsia"/>
                <w:lang w:bidi="ar"/>
              </w:rPr>
              <w:t>石油天然气开采业污染防治技术政策</w:t>
            </w:r>
            <w:r>
              <w:rPr>
                <w:rFonts w:hint="eastAsia"/>
              </w:rPr>
              <w:t>》的相符性分析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0"/>
              <w:gridCol w:w="3526"/>
              <w:gridCol w:w="3337"/>
              <w:gridCol w:w="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44"/>
                    <w:rPr>
                      <w:rFonts w:cs="宋体"/>
                    </w:rPr>
                  </w:pPr>
                  <w:r>
                    <w:rPr>
                      <w:rFonts w:hint="eastAsia" w:cs="宋体"/>
                    </w:rPr>
                    <w:t>序号</w:t>
                  </w:r>
                </w:p>
              </w:tc>
              <w:tc>
                <w:tcPr>
                  <w:tcW w:w="2219" w:type="pct"/>
                  <w:tcMar>
                    <w:left w:w="0" w:type="dxa"/>
                    <w:right w:w="0" w:type="dxa"/>
                  </w:tcMar>
                  <w:vAlign w:val="center"/>
                </w:tcPr>
                <w:p>
                  <w:pPr>
                    <w:pStyle w:val="44"/>
                    <w:rPr>
                      <w:rFonts w:cs="宋体"/>
                    </w:rPr>
                  </w:pPr>
                  <w:r>
                    <w:rPr>
                      <w:rFonts w:hint="eastAsia" w:cs="宋体"/>
                    </w:rPr>
                    <w:t>《技术政策》中相关规定</w:t>
                  </w:r>
                </w:p>
              </w:tc>
              <w:tc>
                <w:tcPr>
                  <w:tcW w:w="2100" w:type="pct"/>
                  <w:tcMar>
                    <w:left w:w="0" w:type="dxa"/>
                    <w:right w:w="0" w:type="dxa"/>
                  </w:tcMar>
                  <w:vAlign w:val="center"/>
                </w:tcPr>
                <w:p>
                  <w:pPr>
                    <w:pStyle w:val="44"/>
                    <w:rPr>
                      <w:rFonts w:cs="宋体"/>
                    </w:rPr>
                  </w:pPr>
                  <w:r>
                    <w:rPr>
                      <w:rFonts w:hint="eastAsia" w:cs="宋体"/>
                    </w:rPr>
                    <w:t>本项目采取的相关措施</w:t>
                  </w:r>
                </w:p>
              </w:tc>
              <w:tc>
                <w:tcPr>
                  <w:tcW w:w="354" w:type="pct"/>
                  <w:tcMar>
                    <w:left w:w="0" w:type="dxa"/>
                    <w:right w:w="0" w:type="dxa"/>
                  </w:tcMar>
                  <w:vAlign w:val="center"/>
                </w:tcPr>
                <w:p>
                  <w:pPr>
                    <w:pStyle w:val="44"/>
                    <w:rPr>
                      <w:rFonts w:cs="宋体"/>
                    </w:rPr>
                  </w:pPr>
                  <w:r>
                    <w:rPr>
                      <w:rFonts w:hint="eastAsia" w:cs="宋体"/>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70" w:hRule="atLeast"/>
              </w:trPr>
              <w:tc>
                <w:tcPr>
                  <w:tcW w:w="327" w:type="pct"/>
                  <w:tcMar>
                    <w:left w:w="0" w:type="dxa"/>
                    <w:right w:w="0" w:type="dxa"/>
                  </w:tcMar>
                  <w:vAlign w:val="center"/>
                </w:tcPr>
                <w:p>
                  <w:pPr>
                    <w:pStyle w:val="44"/>
                    <w:jc w:val="both"/>
                    <w:rPr>
                      <w:rFonts w:cs="宋体"/>
                    </w:rPr>
                  </w:pPr>
                  <w:r>
                    <w:rPr>
                      <w:rFonts w:hint="eastAsia" w:cs="宋体"/>
                    </w:rPr>
                    <w:t>1</w:t>
                  </w:r>
                </w:p>
              </w:tc>
              <w:tc>
                <w:tcPr>
                  <w:tcW w:w="2219" w:type="pct"/>
                  <w:tcMar>
                    <w:left w:w="0" w:type="dxa"/>
                    <w:right w:w="0" w:type="dxa"/>
                  </w:tcMar>
                  <w:vAlign w:val="center"/>
                </w:tcPr>
                <w:p>
                  <w:pPr>
                    <w:pStyle w:val="44"/>
                    <w:jc w:val="both"/>
                    <w:rPr>
                      <w:rFonts w:cs="宋体"/>
                    </w:rPr>
                  </w:pPr>
                  <w:r>
                    <w:rPr>
                      <w:rFonts w:hint="eastAsia" w:cs="宋体"/>
                    </w:rPr>
                    <w:t>在钻井过程中，鼓励采用环境友好的钻井液体系；配备完善的固控设备，钻井液循环率达到95%以上；钻井过程产生的废水应回用</w:t>
                  </w:r>
                </w:p>
              </w:tc>
              <w:tc>
                <w:tcPr>
                  <w:tcW w:w="2100" w:type="pct"/>
                  <w:tcMar>
                    <w:left w:w="0" w:type="dxa"/>
                    <w:right w:w="0" w:type="dxa"/>
                  </w:tcMar>
                  <w:vAlign w:val="center"/>
                </w:tcPr>
                <w:p>
                  <w:pPr>
                    <w:pStyle w:val="44"/>
                    <w:jc w:val="both"/>
                    <w:rPr>
                      <w:rFonts w:cs="宋体"/>
                    </w:rPr>
                  </w:pPr>
                  <w:r>
                    <w:rPr>
                      <w:rFonts w:hint="eastAsia" w:cs="宋体"/>
                    </w:rPr>
                    <w:t>采用水基钻井液，钻井井场设钻井液不落地设备，分离出的液相回用于钻井，钻井过程无废水产生；试油废水由专用罐车拉运至彩南联合站采出水处理系统进行处理</w:t>
                  </w:r>
                </w:p>
              </w:tc>
              <w:tc>
                <w:tcPr>
                  <w:tcW w:w="354" w:type="pct"/>
                  <w:tcMar>
                    <w:left w:w="0" w:type="dxa"/>
                    <w:right w:w="0" w:type="dxa"/>
                  </w:tcMar>
                  <w:vAlign w:val="center"/>
                </w:tcPr>
                <w:p>
                  <w:pPr>
                    <w:pStyle w:val="44"/>
                    <w:rPr>
                      <w:rFonts w:cs="宋体"/>
                    </w:rPr>
                  </w:pPr>
                  <w:r>
                    <w:rPr>
                      <w:rFonts w:hint="eastAsia" w:cs="宋体"/>
                    </w:rPr>
                    <w:t>符合</w:t>
                  </w:r>
                </w:p>
              </w:tc>
            </w:tr>
          </w:tbl>
          <w:p>
            <w:pPr>
              <w:pStyle w:val="6"/>
              <w:spacing w:before="120" w:beforeLines="50" w:line="240" w:lineRule="exact"/>
            </w:pPr>
            <w:r>
              <w:rPr>
                <w:rFonts w:hint="eastAsia"/>
              </w:rPr>
              <w:t>续表</w:t>
            </w:r>
            <w:r>
              <w:t xml:space="preserve">5 </w:t>
            </w:r>
            <w:r>
              <w:rPr>
                <w:rFonts w:hint="eastAsia"/>
              </w:rPr>
              <w:t xml:space="preserve"> </w:t>
            </w:r>
            <w:r>
              <w:t xml:space="preserve">  </w:t>
            </w:r>
            <w:r>
              <w:rPr>
                <w:rFonts w:hint="eastAsia"/>
              </w:rPr>
              <w:t>与《</w:t>
            </w:r>
            <w:r>
              <w:rPr>
                <w:rFonts w:hint="eastAsia"/>
                <w:lang w:bidi="ar"/>
              </w:rPr>
              <w:t>石油天然气开采业污染防治技术政策</w:t>
            </w:r>
            <w:r>
              <w:rPr>
                <w:rFonts w:hint="eastAsia"/>
              </w:rPr>
              <w:t>》的相符性分析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0"/>
              <w:gridCol w:w="3518"/>
              <w:gridCol w:w="3347"/>
              <w:gridCol w:w="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44"/>
                    <w:rPr>
                      <w:rFonts w:cs="宋体"/>
                    </w:rPr>
                  </w:pPr>
                  <w:r>
                    <w:rPr>
                      <w:rFonts w:hint="eastAsia" w:cs="宋体"/>
                    </w:rPr>
                    <w:t>序号</w:t>
                  </w:r>
                </w:p>
              </w:tc>
              <w:tc>
                <w:tcPr>
                  <w:tcW w:w="2214" w:type="pct"/>
                  <w:tcMar>
                    <w:left w:w="0" w:type="dxa"/>
                    <w:right w:w="0" w:type="dxa"/>
                  </w:tcMar>
                  <w:vAlign w:val="center"/>
                </w:tcPr>
                <w:p>
                  <w:pPr>
                    <w:pStyle w:val="44"/>
                    <w:rPr>
                      <w:rFonts w:cs="宋体"/>
                    </w:rPr>
                  </w:pPr>
                  <w:r>
                    <w:rPr>
                      <w:rFonts w:hint="eastAsia" w:cs="宋体"/>
                    </w:rPr>
                    <w:t>《技术政策》中相关规定</w:t>
                  </w:r>
                </w:p>
              </w:tc>
              <w:tc>
                <w:tcPr>
                  <w:tcW w:w="2106" w:type="pct"/>
                  <w:tcMar>
                    <w:left w:w="0" w:type="dxa"/>
                    <w:right w:w="0" w:type="dxa"/>
                  </w:tcMar>
                  <w:vAlign w:val="center"/>
                </w:tcPr>
                <w:p>
                  <w:pPr>
                    <w:pStyle w:val="44"/>
                    <w:rPr>
                      <w:rFonts w:cs="宋体"/>
                    </w:rPr>
                  </w:pPr>
                  <w:r>
                    <w:rPr>
                      <w:rFonts w:hint="eastAsia" w:cs="宋体"/>
                    </w:rPr>
                    <w:t>本项目采取的相关措施</w:t>
                  </w:r>
                </w:p>
              </w:tc>
              <w:tc>
                <w:tcPr>
                  <w:tcW w:w="353" w:type="pct"/>
                  <w:tcMar>
                    <w:left w:w="0" w:type="dxa"/>
                    <w:right w:w="0" w:type="dxa"/>
                  </w:tcMar>
                  <w:vAlign w:val="center"/>
                </w:tcPr>
                <w:p>
                  <w:pPr>
                    <w:pStyle w:val="44"/>
                    <w:rPr>
                      <w:rFonts w:cs="宋体"/>
                    </w:rPr>
                  </w:pPr>
                  <w:r>
                    <w:rPr>
                      <w:rFonts w:hint="eastAsia" w:cs="宋体"/>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60" w:hRule="atLeast"/>
              </w:trPr>
              <w:tc>
                <w:tcPr>
                  <w:tcW w:w="327" w:type="pct"/>
                  <w:tcMar>
                    <w:left w:w="0" w:type="dxa"/>
                    <w:right w:w="0" w:type="dxa"/>
                  </w:tcMar>
                  <w:vAlign w:val="center"/>
                </w:tcPr>
                <w:p>
                  <w:pPr>
                    <w:pStyle w:val="44"/>
                    <w:rPr>
                      <w:rFonts w:cs="宋体"/>
                    </w:rPr>
                  </w:pPr>
                  <w:r>
                    <w:rPr>
                      <w:rFonts w:hint="eastAsia" w:cs="宋体"/>
                    </w:rPr>
                    <w:t>2</w:t>
                  </w:r>
                </w:p>
              </w:tc>
              <w:tc>
                <w:tcPr>
                  <w:tcW w:w="2214" w:type="pct"/>
                  <w:tcMar>
                    <w:left w:w="0" w:type="dxa"/>
                    <w:right w:w="0" w:type="dxa"/>
                  </w:tcMar>
                  <w:vAlign w:val="center"/>
                </w:tcPr>
                <w:p>
                  <w:pPr>
                    <w:pStyle w:val="44"/>
                    <w:jc w:val="both"/>
                    <w:rPr>
                      <w:rFonts w:cs="宋体"/>
                      <w:spacing w:val="-3"/>
                    </w:rPr>
                  </w:pPr>
                  <w:r>
                    <w:rPr>
                      <w:rFonts w:hint="eastAsia" w:cs="宋体"/>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44"/>
                    <w:jc w:val="both"/>
                    <w:rPr>
                      <w:rFonts w:cs="宋体"/>
                    </w:rPr>
                  </w:pPr>
                  <w:r>
                    <w:rPr>
                      <w:rFonts w:hint="eastAsia" w:cs="宋体"/>
                    </w:rPr>
                    <w:t>井场设钻井液不落地设备，分离出的液相回用于钻井；钻井过程无废水产生，试油过程产生的试油废水由专用罐收集，拉运至彩南联合站采出水处理系统进行处理，不外排</w:t>
                  </w:r>
                </w:p>
              </w:tc>
              <w:tc>
                <w:tcPr>
                  <w:tcW w:w="353" w:type="pct"/>
                  <w:tcMar>
                    <w:left w:w="0" w:type="dxa"/>
                    <w:right w:w="0"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7" w:hRule="atLeast"/>
              </w:trPr>
              <w:tc>
                <w:tcPr>
                  <w:tcW w:w="327" w:type="pct"/>
                  <w:tcMar>
                    <w:left w:w="0" w:type="dxa"/>
                    <w:right w:w="0" w:type="dxa"/>
                  </w:tcMar>
                  <w:vAlign w:val="center"/>
                </w:tcPr>
                <w:p>
                  <w:pPr>
                    <w:pStyle w:val="44"/>
                    <w:rPr>
                      <w:rFonts w:cs="宋体"/>
                    </w:rPr>
                  </w:pPr>
                  <w:r>
                    <w:rPr>
                      <w:rFonts w:hint="eastAsia" w:cs="宋体"/>
                    </w:rPr>
                    <w:t>3</w:t>
                  </w:r>
                </w:p>
              </w:tc>
              <w:tc>
                <w:tcPr>
                  <w:tcW w:w="2214" w:type="pct"/>
                  <w:tcMar>
                    <w:left w:w="0" w:type="dxa"/>
                    <w:right w:w="0" w:type="dxa"/>
                  </w:tcMar>
                  <w:vAlign w:val="center"/>
                </w:tcPr>
                <w:p>
                  <w:pPr>
                    <w:pStyle w:val="44"/>
                    <w:jc w:val="both"/>
                    <w:rPr>
                      <w:rFonts w:cs="宋体"/>
                      <w:spacing w:val="-3"/>
                    </w:rPr>
                  </w:pPr>
                  <w:r>
                    <w:rPr>
                      <w:rFonts w:hint="eastAsia" w:cs="宋体"/>
                      <w:spacing w:val="-3"/>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106" w:type="pct"/>
                  <w:tcMar>
                    <w:left w:w="0" w:type="dxa"/>
                    <w:right w:w="0" w:type="dxa"/>
                  </w:tcMar>
                  <w:vAlign w:val="center"/>
                </w:tcPr>
                <w:p>
                  <w:pPr>
                    <w:pStyle w:val="44"/>
                    <w:jc w:val="both"/>
                    <w:rPr>
                      <w:rFonts w:cs="宋体"/>
                    </w:rPr>
                  </w:pPr>
                  <w:r>
                    <w:rPr>
                      <w:rFonts w:hint="eastAsia" w:cs="宋体"/>
                    </w:rPr>
                    <w:t>本项目在压裂过程中不使用酸化压裂液，压裂结束后压裂返排液与其他采出物一同进入地面方罐，由专用罐车拉运至彩南联合站原油处理系统处理</w:t>
                  </w:r>
                </w:p>
              </w:tc>
              <w:tc>
                <w:tcPr>
                  <w:tcW w:w="353" w:type="pct"/>
                  <w:tcMar>
                    <w:left w:w="0" w:type="dxa"/>
                    <w:right w:w="0"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20" w:hRule="atLeast"/>
              </w:trPr>
              <w:tc>
                <w:tcPr>
                  <w:tcW w:w="327" w:type="pct"/>
                  <w:tcMar>
                    <w:left w:w="0" w:type="dxa"/>
                    <w:right w:w="0" w:type="dxa"/>
                  </w:tcMar>
                  <w:vAlign w:val="center"/>
                </w:tcPr>
                <w:p>
                  <w:pPr>
                    <w:pStyle w:val="44"/>
                    <w:rPr>
                      <w:rFonts w:cs="宋体"/>
                    </w:rPr>
                  </w:pPr>
                  <w:r>
                    <w:rPr>
                      <w:rFonts w:hint="eastAsia" w:cs="宋体"/>
                    </w:rPr>
                    <w:t>4</w:t>
                  </w:r>
                </w:p>
              </w:tc>
              <w:tc>
                <w:tcPr>
                  <w:tcW w:w="2214" w:type="pct"/>
                  <w:tcMar>
                    <w:left w:w="0" w:type="dxa"/>
                    <w:right w:w="0" w:type="dxa"/>
                  </w:tcMar>
                  <w:vAlign w:val="center"/>
                </w:tcPr>
                <w:p>
                  <w:pPr>
                    <w:pStyle w:val="44"/>
                    <w:jc w:val="both"/>
                    <w:rPr>
                      <w:rFonts w:cs="宋体"/>
                    </w:rPr>
                  </w:pPr>
                  <w:r>
                    <w:rPr>
                      <w:rFonts w:hint="eastAsia" w:cs="宋体"/>
                    </w:rPr>
                    <w:t>固体废物收集、贮存、处理处置设施应按照标准要求采取防渗措施</w:t>
                  </w:r>
                </w:p>
              </w:tc>
              <w:tc>
                <w:tcPr>
                  <w:tcW w:w="2106" w:type="pct"/>
                  <w:tcMar>
                    <w:left w:w="0" w:type="dxa"/>
                    <w:right w:w="0" w:type="dxa"/>
                  </w:tcMar>
                  <w:vAlign w:val="center"/>
                </w:tcPr>
                <w:p>
                  <w:pPr>
                    <w:pStyle w:val="44"/>
                    <w:jc w:val="both"/>
                    <w:rPr>
                      <w:rFonts w:cs="宋体"/>
                    </w:rPr>
                  </w:pPr>
                  <w:r>
                    <w:rPr>
                      <w:rFonts w:hint="eastAsia" w:cs="宋体"/>
                    </w:rPr>
                    <w:t>钻井液不落地设备分理出的水基钻井液进岩屑专用方罐，由岩屑处置单位拉运进行处理，满足相关要求后进行综合利用</w:t>
                  </w:r>
                </w:p>
              </w:tc>
              <w:tc>
                <w:tcPr>
                  <w:tcW w:w="353" w:type="pct"/>
                  <w:tcMar>
                    <w:left w:w="0" w:type="dxa"/>
                    <w:right w:w="0" w:type="dxa"/>
                  </w:tcMar>
                  <w:vAlign w:val="center"/>
                </w:tcPr>
                <w:p>
                  <w:pPr>
                    <w:pStyle w:val="44"/>
                    <w:rPr>
                      <w:rFonts w:cs="宋体"/>
                    </w:rPr>
                  </w:pPr>
                  <w:r>
                    <w:rPr>
                      <w:rFonts w:hint="eastAsia" w:cs="宋体"/>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59" w:hRule="atLeast"/>
              </w:trPr>
              <w:tc>
                <w:tcPr>
                  <w:tcW w:w="327" w:type="pct"/>
                  <w:tcMar>
                    <w:left w:w="0" w:type="dxa"/>
                    <w:right w:w="0" w:type="dxa"/>
                  </w:tcMar>
                  <w:vAlign w:val="center"/>
                </w:tcPr>
                <w:p>
                  <w:pPr>
                    <w:pStyle w:val="44"/>
                    <w:rPr>
                      <w:rFonts w:cs="宋体"/>
                    </w:rPr>
                  </w:pPr>
                  <w:r>
                    <w:rPr>
                      <w:rFonts w:hint="eastAsia" w:cs="宋体"/>
                    </w:rPr>
                    <w:t>5</w:t>
                  </w:r>
                </w:p>
              </w:tc>
              <w:tc>
                <w:tcPr>
                  <w:tcW w:w="2214" w:type="pct"/>
                  <w:tcMar>
                    <w:left w:w="0" w:type="dxa"/>
                    <w:right w:w="0" w:type="dxa"/>
                  </w:tcMar>
                  <w:vAlign w:val="center"/>
                </w:tcPr>
                <w:p>
                  <w:pPr>
                    <w:pStyle w:val="44"/>
                    <w:jc w:val="both"/>
                    <w:rPr>
                      <w:rFonts w:cs="宋体"/>
                    </w:rPr>
                  </w:pPr>
                  <w:r>
                    <w:rPr>
                      <w:rFonts w:hint="eastAsia" w:cs="宋体"/>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44"/>
                    <w:jc w:val="both"/>
                    <w:rPr>
                      <w:rFonts w:cs="宋体"/>
                    </w:rPr>
                  </w:pPr>
                  <w:r>
                    <w:rPr>
                      <w:rFonts w:hint="eastAsia" w:cs="宋体"/>
                    </w:rPr>
                    <w:t>本项目归属中国石油新疆油田勘探事业部管辖，项目实施后需纳入《新疆油田公司勘探事业部突发环境事件应急预案》</w:t>
                  </w:r>
                </w:p>
              </w:tc>
              <w:tc>
                <w:tcPr>
                  <w:tcW w:w="353" w:type="pct"/>
                  <w:tcMar>
                    <w:left w:w="0" w:type="dxa"/>
                    <w:right w:w="0" w:type="dxa"/>
                  </w:tcMar>
                  <w:vAlign w:val="center"/>
                </w:tcPr>
                <w:p>
                  <w:pPr>
                    <w:pStyle w:val="44"/>
                    <w:rPr>
                      <w:rFonts w:cs="宋体"/>
                    </w:rPr>
                  </w:pPr>
                  <w:r>
                    <w:rPr>
                      <w:rFonts w:hint="eastAsia" w:cs="宋体"/>
                    </w:rPr>
                    <w:t>符合</w:t>
                  </w:r>
                </w:p>
              </w:tc>
            </w:tr>
          </w:tbl>
          <w:p>
            <w:pPr>
              <w:pStyle w:val="46"/>
              <w:ind w:firstLine="480"/>
            </w:pPr>
            <w:r>
              <w:rPr>
                <w:rFonts w:hint="eastAsia"/>
              </w:rPr>
              <w:t>（</w:t>
            </w:r>
            <w:r>
              <w:t>6</w:t>
            </w:r>
            <w:r>
              <w:rPr>
                <w:rFonts w:hint="eastAsia"/>
              </w:rPr>
              <w:t>）与</w:t>
            </w:r>
            <w:r>
              <w:rPr>
                <w:rFonts w:hint="eastAsia" w:cs="宋体"/>
              </w:rPr>
              <w:t>《新疆维吾尔自治区重点行业环境准入条件（修订）》符合性分析</w:t>
            </w:r>
            <w:r>
              <w:rPr>
                <w:rFonts w:hint="eastAsia"/>
              </w:rPr>
              <w:t>。</w:t>
            </w:r>
          </w:p>
          <w:p>
            <w:pPr>
              <w:pStyle w:val="46"/>
              <w:ind w:firstLine="480"/>
            </w:pPr>
            <w:r>
              <w:rPr>
                <w:rFonts w:hint="eastAsia"/>
              </w:rPr>
              <w:t>“条件”提出，一切开发建设活动应符合国家、自治区主体功能区规划、自治区和各地颁布实施的生态环境功能区划和生态红线规划、国民经济发展规划、产业发展规划、城乡总体规划、土地利用规划等相关规划及重点生态功能区负面清单要求,符合区域或产业规划环评要求。禁止在自然保护区、世界自然遗产地、风景名胜区、森林公园、地质公园、重要湿地、饮用水水源保护区等重点保护区域内及其它法律法规禁止的区域进行污染环境的任何开发活动。存在环境风险的建设项目，提出有效的环境风险防范措施及环境风险应急预案编制原则和要求，纳入区域环境风险应急联动机制。各类工业园区和工业聚集区应设立环境应急管理机构，编制环境风险应急预案，并具备环境风险应急救援能力。</w:t>
            </w:r>
          </w:p>
          <w:p>
            <w:pPr>
              <w:pStyle w:val="46"/>
              <w:ind w:firstLine="472"/>
            </w:pPr>
            <w:r>
              <w:rPr>
                <w:rFonts w:hint="eastAsia" w:cs="宋体"/>
                <w:spacing w:val="-4"/>
              </w:rPr>
              <w:t>项目开发建设符合《新疆维吾尔自治区主体功能区规划》要求，临时占地范围内不涉及自然保护区、世界自然遗产地、风景名胜区、森林公园、地质公园、重要湿地、饮用水水源保护区等重点保护区域；施工前办理临时占地手续并按照相关补偿要求进行补偿；环境</w:t>
            </w:r>
            <w:r>
              <w:rPr>
                <w:rFonts w:hint="eastAsia"/>
                <w:spacing w:val="-4"/>
              </w:rPr>
              <w:t>风险防范执行</w:t>
            </w:r>
            <w:r>
              <w:rPr>
                <w:rFonts w:hint="eastAsia" w:cs="宋体"/>
                <w:spacing w:val="-4"/>
              </w:rPr>
              <w:t>《新疆油田公司勘探事业部突发环境事件应急预案》，同时落实新疆油田公司</w:t>
            </w:r>
            <w:r>
              <w:rPr>
                <w:rFonts w:hint="eastAsia" w:cs="宋体"/>
                <w:color w:val="000000" w:themeColor="text1"/>
                <w:spacing w:val="-4"/>
                <w14:textFill>
                  <w14:solidFill>
                    <w14:schemeClr w14:val="tx1"/>
                  </w14:solidFill>
                </w14:textFill>
              </w:rPr>
              <w:t>已有的</w:t>
            </w:r>
            <w:r>
              <w:rPr>
                <w:rFonts w:hint="eastAsia" w:cs="宋体"/>
                <w:spacing w:val="-4"/>
              </w:rPr>
              <w:t>健康</w:t>
            </w:r>
            <w:r>
              <w:rPr>
                <w:rFonts w:hint="eastAsia" w:cs="宋体"/>
                <w:color w:val="000000" w:themeColor="text1"/>
                <w:spacing w:val="-4"/>
                <w14:textFill>
                  <w14:solidFill>
                    <w14:schemeClr w14:val="tx1"/>
                  </w14:solidFill>
                </w14:textFill>
              </w:rPr>
              <w:t>、安全与环境（HSE）管理体系。</w:t>
            </w:r>
          </w:p>
          <w:bookmarkEnd w:id="8"/>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p>
            <w:pPr>
              <w:spacing w:line="340" w:lineRule="exact"/>
              <w:ind w:firstLine="496" w:firstLineChars="200"/>
              <w:rPr>
                <w:rFonts w:ascii="宋体" w:hAnsi="宋体"/>
                <w:color w:val="000000" w:themeColor="text1"/>
                <w:spacing w:val="4"/>
                <w:sz w:val="24"/>
                <w14:textFill>
                  <w14:solidFill>
                    <w14:schemeClr w14:val="tx1"/>
                  </w14:solidFill>
                </w14:textFill>
              </w:rPr>
            </w:pPr>
          </w:p>
        </w:tc>
      </w:tr>
    </w:tbl>
    <w:p>
      <w:pPr>
        <w:pStyle w:val="2"/>
        <w:rPr>
          <w:snapToGrid w:val="0"/>
        </w:rPr>
      </w:pPr>
      <w:bookmarkStart w:id="9" w:name="_Hlk116078829"/>
      <w:r>
        <w:rPr>
          <w:rFonts w:hint="eastAsia"/>
          <w:snapToGrid w:val="0"/>
        </w:rPr>
        <w:t>二、建设内容</w:t>
      </w:r>
    </w:p>
    <w:bookmarkEnd w:id="9"/>
    <w:tbl>
      <w:tblPr>
        <w:tblStyle w:val="17"/>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699" w:type="dxa"/>
            <w:vAlign w:val="center"/>
          </w:tcPr>
          <w:p>
            <w:pPr>
              <w:adjustRightInd w:val="0"/>
              <w:snapToGrid w:val="0"/>
              <w:jc w:val="center"/>
              <w:rPr>
                <w:rFonts w:ascii="宋体" w:hAnsi="宋体" w:cs="宋体"/>
                <w:kern w:val="0"/>
                <w:sz w:val="24"/>
              </w:rPr>
            </w:pPr>
            <w:r>
              <w:rPr>
                <w:rFonts w:hint="eastAsia" w:ascii="宋体" w:hAnsi="宋体" w:cs="宋体"/>
                <w:kern w:val="0"/>
                <w:sz w:val="24"/>
              </w:rPr>
              <w:t>地理位置</w:t>
            </w:r>
          </w:p>
        </w:tc>
        <w:tc>
          <w:tcPr>
            <w:tcW w:w="8080" w:type="dxa"/>
            <w:vAlign w:val="center"/>
          </w:tcPr>
          <w:p>
            <w:pPr>
              <w:pStyle w:val="46"/>
              <w:ind w:firstLine="480"/>
            </w:pPr>
            <w:r>
              <w:rPr>
                <w:rFonts w:hint="eastAsia"/>
              </w:rPr>
              <w:t>彩61H井</w:t>
            </w:r>
            <w:r>
              <w:rPr>
                <w:rFonts w:hint="eastAsia"/>
                <w:lang w:eastAsia="zh-Hans"/>
              </w:rPr>
              <w:t>位</w:t>
            </w:r>
            <w:r>
              <w:rPr>
                <w:rFonts w:hint="eastAsia"/>
              </w:rPr>
              <w:t>于新疆维吾尔自治区昌吉回族自治州阜康市，井位坐标见表</w:t>
            </w:r>
            <w:r>
              <w:t>6</w:t>
            </w:r>
            <w:r>
              <w:rPr>
                <w:rFonts w:hint="eastAsia"/>
              </w:rPr>
              <w:t>。西距彩南公寓1</w:t>
            </w:r>
            <w:r>
              <w:t>.9</w:t>
            </w:r>
            <w:r>
              <w:rPr>
                <w:rFonts w:hint="eastAsia"/>
              </w:rPr>
              <w:t>km，西南距彩南联合站2</w:t>
            </w:r>
            <w:r>
              <w:t>.1</w:t>
            </w:r>
            <w:r>
              <w:rPr>
                <w:rFonts w:hint="eastAsia"/>
              </w:rPr>
              <w:t>km，</w:t>
            </w:r>
            <w:r>
              <w:rPr>
                <w:rFonts w:hint="eastAsia" w:cs="宋体"/>
              </w:rPr>
              <w:t>南</w:t>
            </w:r>
            <w:r>
              <w:rPr>
                <w:rFonts w:hint="eastAsia"/>
              </w:rPr>
              <w:t>距阜康市中心城区约</w:t>
            </w:r>
            <w:r>
              <w:t>97.3</w:t>
            </w:r>
            <w:r>
              <w:rPr>
                <w:rFonts w:hint="eastAsia"/>
              </w:rPr>
              <w:t>km，位置关系见附图2。</w:t>
            </w:r>
          </w:p>
          <w:p>
            <w:pPr>
              <w:pStyle w:val="6"/>
              <w:keepNext/>
            </w:pPr>
            <w:r>
              <w:t>表6</w:t>
            </w:r>
            <w:r>
              <w:rPr>
                <w:rFonts w:hint="eastAsia"/>
              </w:rPr>
              <w:t xml:space="preserve">    </w:t>
            </w:r>
            <w:bookmarkStart w:id="10" w:name="_Hlk116078841"/>
            <w:r>
              <w:rPr>
                <w:rFonts w:hint="eastAsia"/>
              </w:rPr>
              <w:t>拟部署勘探井情况一览表</w:t>
            </w:r>
            <w:bookmarkEnd w:id="10"/>
          </w:p>
          <w:tbl>
            <w:tblPr>
              <w:tblStyle w:val="17"/>
              <w:tblW w:w="79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50"/>
              <w:gridCol w:w="992"/>
              <w:gridCol w:w="1134"/>
              <w:gridCol w:w="1276"/>
              <w:gridCol w:w="709"/>
              <w:gridCol w:w="1578"/>
              <w:gridCol w:w="16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33" w:hRule="atLeast"/>
                <w:jc w:val="center"/>
              </w:trPr>
              <w:tc>
                <w:tcPr>
                  <w:tcW w:w="650" w:type="dxa"/>
                  <w:tcMar>
                    <w:left w:w="28" w:type="dxa"/>
                    <w:right w:w="28" w:type="dxa"/>
                  </w:tcMar>
                  <w:vAlign w:val="center"/>
                </w:tcPr>
                <w:p>
                  <w:pPr>
                    <w:pStyle w:val="49"/>
                    <w:spacing w:line="360" w:lineRule="exact"/>
                  </w:pPr>
                  <w:r>
                    <w:rPr>
                      <w:rFonts w:hint="eastAsia"/>
                    </w:rPr>
                    <w:t>井号</w:t>
                  </w:r>
                </w:p>
              </w:tc>
              <w:tc>
                <w:tcPr>
                  <w:tcW w:w="992" w:type="dxa"/>
                  <w:tcMar>
                    <w:left w:w="28" w:type="dxa"/>
                    <w:right w:w="28" w:type="dxa"/>
                  </w:tcMar>
                  <w:vAlign w:val="center"/>
                </w:tcPr>
                <w:p>
                  <w:pPr>
                    <w:pStyle w:val="49"/>
                    <w:spacing w:line="360" w:lineRule="exact"/>
                  </w:pPr>
                  <w:r>
                    <w:rPr>
                      <w:rFonts w:hint="eastAsia"/>
                    </w:rPr>
                    <w:t>目的层</w:t>
                  </w:r>
                </w:p>
              </w:tc>
              <w:tc>
                <w:tcPr>
                  <w:tcW w:w="1134" w:type="dxa"/>
                  <w:tcMar>
                    <w:left w:w="28" w:type="dxa"/>
                    <w:right w:w="28" w:type="dxa"/>
                  </w:tcMar>
                  <w:vAlign w:val="center"/>
                </w:tcPr>
                <w:p>
                  <w:pPr>
                    <w:pStyle w:val="49"/>
                    <w:spacing w:line="360" w:lineRule="exact"/>
                  </w:pPr>
                  <w:r>
                    <w:rPr>
                      <w:rFonts w:hint="eastAsia"/>
                    </w:rPr>
                    <w:t>垂深（m）</w:t>
                  </w:r>
                </w:p>
              </w:tc>
              <w:tc>
                <w:tcPr>
                  <w:tcW w:w="1276" w:type="dxa"/>
                  <w:tcMar>
                    <w:left w:w="28" w:type="dxa"/>
                    <w:right w:w="28" w:type="dxa"/>
                  </w:tcMar>
                  <w:vAlign w:val="center"/>
                </w:tcPr>
                <w:p>
                  <w:pPr>
                    <w:pStyle w:val="49"/>
                    <w:spacing w:line="360" w:lineRule="exact"/>
                  </w:pPr>
                  <w:r>
                    <w:rPr>
                      <w:rFonts w:hint="eastAsia"/>
                    </w:rPr>
                    <w:t>水平长（m）</w:t>
                  </w:r>
                </w:p>
              </w:tc>
              <w:tc>
                <w:tcPr>
                  <w:tcW w:w="709" w:type="dxa"/>
                  <w:tcMar>
                    <w:left w:w="28" w:type="dxa"/>
                    <w:right w:w="28" w:type="dxa"/>
                  </w:tcMar>
                  <w:vAlign w:val="center"/>
                </w:tcPr>
                <w:p>
                  <w:pPr>
                    <w:pStyle w:val="49"/>
                    <w:spacing w:line="360" w:lineRule="exact"/>
                  </w:pPr>
                  <w:r>
                    <w:rPr>
                      <w:rFonts w:hint="eastAsia"/>
                    </w:rPr>
                    <w:t>井型</w:t>
                  </w:r>
                </w:p>
              </w:tc>
              <w:tc>
                <w:tcPr>
                  <w:tcW w:w="3212" w:type="dxa"/>
                  <w:gridSpan w:val="2"/>
                  <w:tcMar>
                    <w:left w:w="28" w:type="dxa"/>
                    <w:right w:w="28" w:type="dxa"/>
                  </w:tcMar>
                  <w:vAlign w:val="center"/>
                </w:tcPr>
                <w:p>
                  <w:pPr>
                    <w:pStyle w:val="49"/>
                    <w:spacing w:line="360" w:lineRule="exact"/>
                  </w:pPr>
                  <w:r>
                    <w:rPr>
                      <w:rFonts w:hint="eastAsia"/>
                    </w:rPr>
                    <w:t>经纬度坐标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650" w:type="dxa"/>
                  <w:tcMar>
                    <w:left w:w="28" w:type="dxa"/>
                    <w:right w:w="28" w:type="dxa"/>
                  </w:tcMar>
                  <w:vAlign w:val="center"/>
                </w:tcPr>
                <w:p>
                  <w:pPr>
                    <w:pStyle w:val="49"/>
                    <w:spacing w:line="360" w:lineRule="exact"/>
                  </w:pPr>
                  <w:r>
                    <w:rPr>
                      <w:rFonts w:hint="eastAsia"/>
                      <w:spacing w:val="-4"/>
                    </w:rPr>
                    <w:t>彩61H</w:t>
                  </w:r>
                </w:p>
              </w:tc>
              <w:tc>
                <w:tcPr>
                  <w:tcW w:w="992" w:type="dxa"/>
                  <w:tcMar>
                    <w:left w:w="28" w:type="dxa"/>
                    <w:right w:w="28" w:type="dxa"/>
                  </w:tcMar>
                  <w:vAlign w:val="center"/>
                </w:tcPr>
                <w:p>
                  <w:pPr>
                    <w:pStyle w:val="49"/>
                    <w:spacing w:line="360" w:lineRule="exact"/>
                  </w:pPr>
                  <w:r>
                    <w:rPr>
                      <w:rFonts w:hint="eastAsia"/>
                    </w:rPr>
                    <w:t>西山窑组</w:t>
                  </w:r>
                </w:p>
                <w:p>
                  <w:pPr>
                    <w:pStyle w:val="49"/>
                    <w:spacing w:line="360" w:lineRule="exact"/>
                  </w:pPr>
                  <w:r>
                    <w:rPr>
                      <w:rFonts w:hint="eastAsia" w:eastAsia="等线" w:cs="宋体"/>
                      <w:color w:val="000000"/>
                      <w:lang w:bidi="ar"/>
                    </w:rPr>
                    <w:t>J</w:t>
                  </w:r>
                  <w:r>
                    <w:rPr>
                      <w:rFonts w:hint="eastAsia" w:eastAsia="等线" w:cs="宋体"/>
                      <w:color w:val="000000"/>
                      <w:vertAlign w:val="subscript"/>
                      <w:lang w:bidi="ar"/>
                    </w:rPr>
                    <w:t>2</w:t>
                  </w:r>
                  <w:r>
                    <w:rPr>
                      <w:rFonts w:hint="eastAsia" w:eastAsia="等线" w:cs="宋体"/>
                      <w:color w:val="000000"/>
                      <w:lang w:bidi="ar"/>
                    </w:rPr>
                    <w:t>x2</w:t>
                  </w:r>
                </w:p>
              </w:tc>
              <w:tc>
                <w:tcPr>
                  <w:tcW w:w="1134" w:type="dxa"/>
                  <w:tcMar>
                    <w:left w:w="28" w:type="dxa"/>
                    <w:right w:w="28" w:type="dxa"/>
                  </w:tcMar>
                  <w:vAlign w:val="center"/>
                </w:tcPr>
                <w:p>
                  <w:pPr>
                    <w:pStyle w:val="49"/>
                    <w:spacing w:line="360" w:lineRule="exact"/>
                  </w:pPr>
                  <w:r>
                    <w:rPr>
                      <w:rFonts w:hint="eastAsia"/>
                    </w:rPr>
                    <w:t>2</w:t>
                  </w:r>
                  <w:r>
                    <w:t>122</w:t>
                  </w:r>
                </w:p>
              </w:tc>
              <w:tc>
                <w:tcPr>
                  <w:tcW w:w="1276" w:type="dxa"/>
                  <w:tcMar>
                    <w:left w:w="28" w:type="dxa"/>
                    <w:right w:w="28" w:type="dxa"/>
                  </w:tcMar>
                  <w:vAlign w:val="center"/>
                </w:tcPr>
                <w:p>
                  <w:pPr>
                    <w:pStyle w:val="49"/>
                    <w:spacing w:line="360" w:lineRule="exact"/>
                  </w:pPr>
                  <w:r>
                    <w:rPr>
                      <w:rFonts w:hint="eastAsia"/>
                    </w:rPr>
                    <w:t>1</w:t>
                  </w:r>
                  <w:r>
                    <w:t>906</w:t>
                  </w:r>
                </w:p>
              </w:tc>
              <w:tc>
                <w:tcPr>
                  <w:tcW w:w="709" w:type="dxa"/>
                  <w:tcMar>
                    <w:left w:w="28" w:type="dxa"/>
                    <w:right w:w="28" w:type="dxa"/>
                  </w:tcMar>
                  <w:vAlign w:val="center"/>
                </w:tcPr>
                <w:p>
                  <w:pPr>
                    <w:pStyle w:val="49"/>
                    <w:spacing w:line="360" w:lineRule="exact"/>
                  </w:pPr>
                  <w:r>
                    <w:rPr>
                      <w:rFonts w:hint="eastAsia"/>
                    </w:rPr>
                    <w:t>水平井</w:t>
                  </w:r>
                </w:p>
              </w:tc>
              <w:tc>
                <w:tcPr>
                  <w:tcW w:w="1578" w:type="dxa"/>
                  <w:tcMar>
                    <w:left w:w="28" w:type="dxa"/>
                    <w:right w:w="28" w:type="dxa"/>
                  </w:tcMar>
                  <w:vAlign w:val="center"/>
                </w:tcPr>
                <w:p>
                  <w:pPr>
                    <w:pStyle w:val="49"/>
                    <w:spacing w:line="360" w:lineRule="exact"/>
                    <w:rPr>
                      <w:spacing w:val="-14"/>
                    </w:rPr>
                  </w:pPr>
                  <w:r>
                    <w:rPr>
                      <w:rFonts w:hint="eastAsia" w:cs="宋体"/>
                      <w:spacing w:val="-14"/>
                    </w:rPr>
                    <w:t>8</w:t>
                  </w:r>
                  <w:r>
                    <w:rPr>
                      <w:rFonts w:cs="宋体"/>
                      <w:spacing w:val="-14"/>
                    </w:rPr>
                    <w:t>8</w:t>
                  </w:r>
                  <w:r>
                    <w:rPr>
                      <w:rFonts w:hint="eastAsia" w:cs="宋体"/>
                      <w:spacing w:val="-14"/>
                    </w:rPr>
                    <w:t>°2</w:t>
                  </w:r>
                  <w:r>
                    <w:rPr>
                      <w:rFonts w:cs="宋体"/>
                      <w:spacing w:val="-14"/>
                    </w:rPr>
                    <w:t>2</w:t>
                  </w:r>
                  <w:r>
                    <w:rPr>
                      <w:rFonts w:hint="eastAsia" w:cs="宋体"/>
                      <w:spacing w:val="-14"/>
                    </w:rPr>
                    <w:t>′5</w:t>
                  </w:r>
                  <w:r>
                    <w:rPr>
                      <w:rFonts w:cs="宋体"/>
                      <w:spacing w:val="-14"/>
                    </w:rPr>
                    <w:t>8.972</w:t>
                  </w:r>
                  <w:r>
                    <w:rPr>
                      <w:rFonts w:hint="eastAsia" w:cs="宋体"/>
                      <w:spacing w:val="-14"/>
                    </w:rPr>
                    <w:t>″</w:t>
                  </w:r>
                </w:p>
              </w:tc>
              <w:tc>
                <w:tcPr>
                  <w:tcW w:w="1634" w:type="dxa"/>
                  <w:tcMar>
                    <w:left w:w="28" w:type="dxa"/>
                    <w:right w:w="28" w:type="dxa"/>
                  </w:tcMar>
                  <w:vAlign w:val="center"/>
                </w:tcPr>
                <w:p>
                  <w:pPr>
                    <w:pStyle w:val="49"/>
                    <w:spacing w:line="360" w:lineRule="exact"/>
                  </w:pPr>
                  <w:r>
                    <w:rPr>
                      <w:rFonts w:cs="宋体"/>
                      <w:spacing w:val="-10"/>
                    </w:rPr>
                    <w:t>44</w:t>
                  </w:r>
                  <w:r>
                    <w:rPr>
                      <w:rFonts w:hint="eastAsia" w:cs="宋体"/>
                      <w:spacing w:val="-10"/>
                    </w:rPr>
                    <w:t>°5</w:t>
                  </w:r>
                  <w:r>
                    <w:rPr>
                      <w:rFonts w:cs="宋体"/>
                      <w:spacing w:val="-10"/>
                    </w:rPr>
                    <w:t>8</w:t>
                  </w:r>
                  <w:r>
                    <w:rPr>
                      <w:rFonts w:hint="eastAsia" w:cs="宋体"/>
                      <w:spacing w:val="-10"/>
                    </w:rPr>
                    <w:t>′5</w:t>
                  </w:r>
                  <w:r>
                    <w:rPr>
                      <w:rFonts w:cs="宋体"/>
                      <w:spacing w:val="-10"/>
                    </w:rPr>
                    <w:t>1.167</w:t>
                  </w:r>
                  <w:r>
                    <w:rPr>
                      <w:rFonts w:hint="eastAsia" w:cs="宋体"/>
                      <w:spacing w:val="-10"/>
                    </w:rPr>
                    <w:t>″</w:t>
                  </w:r>
                </w:p>
              </w:tc>
            </w:tr>
          </w:tbl>
          <w:p>
            <w:pPr>
              <w:pStyle w:val="46"/>
              <w:ind w:firstLine="472"/>
              <w:rPr>
                <w:spacing w:val="-4"/>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699" w:type="dxa"/>
            <w:vAlign w:val="center"/>
          </w:tcPr>
          <w:p>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8080" w:type="dxa"/>
            <w:vAlign w:val="center"/>
          </w:tcPr>
          <w:p>
            <w:pPr>
              <w:pStyle w:val="46"/>
              <w:ind w:firstLine="480"/>
            </w:pPr>
            <w:r>
              <w:rPr>
                <w:rFonts w:hint="eastAsia" w:ascii="方正宋一简体" w:hAnsi="方正宋一简体" w:eastAsia="方正宋一简体" w:cs="方正宋一简体"/>
                <w:color w:val="000000"/>
                <w:szCs w:val="32"/>
              </w:rPr>
              <w:t>为满足白家海地区深入勘探的需要，在区域范围内进行储层横向展布和油气分布规律分析，寻找隐蔽型圈闭，以侏罗系、石炭系为主要目的层计划部署彩6</w:t>
            </w:r>
            <w:r>
              <w:rPr>
                <w:rFonts w:ascii="方正宋一简体" w:hAnsi="方正宋一简体" w:eastAsia="方正宋一简体" w:cs="方正宋一简体"/>
                <w:color w:val="000000"/>
                <w:szCs w:val="32"/>
              </w:rPr>
              <w:t>1H</w:t>
            </w:r>
            <w:r>
              <w:rPr>
                <w:rFonts w:hint="eastAsia" w:ascii="方正宋一简体" w:hAnsi="方正宋一简体" w:eastAsia="方正宋一简体" w:cs="方正宋一简体"/>
                <w:color w:val="000000"/>
                <w:szCs w:val="32"/>
              </w:rPr>
              <w:t>井。</w:t>
            </w:r>
            <w:r>
              <w:rPr>
                <w:rFonts w:hint="eastAsia"/>
              </w:rPr>
              <w:t>工程组成情况详见表</w:t>
            </w:r>
            <w:r>
              <w:t>7</w:t>
            </w:r>
            <w:r>
              <w:rPr>
                <w:rFonts w:hint="eastAsia"/>
              </w:rPr>
              <w:t>。</w:t>
            </w:r>
          </w:p>
          <w:p>
            <w:pPr>
              <w:pStyle w:val="6"/>
              <w:keepNext/>
            </w:pPr>
            <w:bookmarkStart w:id="11" w:name="_Ref19637151"/>
            <w:r>
              <w:t>表</w:t>
            </w:r>
            <w:bookmarkEnd w:id="11"/>
            <w:r>
              <w:t xml:space="preserve">7    </w:t>
            </w:r>
            <w:bookmarkStart w:id="12" w:name="_Hlk116075416"/>
            <w:r>
              <w:rPr>
                <w:rFonts w:hint="eastAsia"/>
              </w:rPr>
              <w:t>工程组成</w:t>
            </w:r>
            <w:r>
              <w:t>一览表</w:t>
            </w:r>
          </w:p>
          <w:bookmarkEnd w:id="12"/>
          <w:tbl>
            <w:tblPr>
              <w:tblStyle w:val="17"/>
              <w:tblW w:w="775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66"/>
              <w:gridCol w:w="1276"/>
              <w:gridCol w:w="55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Align w:val="center"/>
                </w:tcPr>
                <w:p>
                  <w:pPr>
                    <w:pStyle w:val="49"/>
                    <w:adjustRightInd w:val="0"/>
                    <w:snapToGrid w:val="0"/>
                    <w:spacing w:line="340" w:lineRule="exact"/>
                  </w:pPr>
                  <w:r>
                    <w:rPr>
                      <w:rFonts w:hint="eastAsia"/>
                    </w:rPr>
                    <w:t>工程组成</w:t>
                  </w:r>
                </w:p>
              </w:tc>
              <w:tc>
                <w:tcPr>
                  <w:tcW w:w="6785" w:type="dxa"/>
                  <w:gridSpan w:val="2"/>
                  <w:vAlign w:val="center"/>
                </w:tcPr>
                <w:p>
                  <w:pPr>
                    <w:pStyle w:val="49"/>
                    <w:adjustRightInd w:val="0"/>
                    <w:snapToGrid w:val="0"/>
                    <w:spacing w:line="340" w:lineRule="exact"/>
                  </w:pPr>
                  <w:r>
                    <w:rPr>
                      <w:rFonts w:hint="eastAsia"/>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restart"/>
                  <w:vAlign w:val="center"/>
                </w:tcPr>
                <w:p>
                  <w:pPr>
                    <w:pStyle w:val="49"/>
                    <w:adjustRightInd w:val="0"/>
                    <w:snapToGrid w:val="0"/>
                    <w:spacing w:line="340" w:lineRule="exact"/>
                  </w:pPr>
                  <w:r>
                    <w:rPr>
                      <w:rFonts w:hint="eastAsia"/>
                    </w:rPr>
                    <w:t>主体工程</w:t>
                  </w:r>
                </w:p>
              </w:tc>
              <w:tc>
                <w:tcPr>
                  <w:tcW w:w="1276" w:type="dxa"/>
                  <w:vAlign w:val="center"/>
                </w:tcPr>
                <w:p>
                  <w:pPr>
                    <w:pStyle w:val="49"/>
                    <w:adjustRightInd w:val="0"/>
                    <w:snapToGrid w:val="0"/>
                    <w:spacing w:line="340" w:lineRule="exact"/>
                  </w:pPr>
                  <w:r>
                    <w:rPr>
                      <w:rFonts w:hint="eastAsia"/>
                    </w:rPr>
                    <w:t>钻前工程</w:t>
                  </w:r>
                </w:p>
              </w:tc>
              <w:tc>
                <w:tcPr>
                  <w:tcW w:w="5509" w:type="dxa"/>
                  <w:vAlign w:val="center"/>
                </w:tcPr>
                <w:p>
                  <w:pPr>
                    <w:pStyle w:val="49"/>
                    <w:adjustRightInd w:val="0"/>
                    <w:snapToGrid w:val="0"/>
                    <w:spacing w:line="340" w:lineRule="exact"/>
                    <w:jc w:val="both"/>
                  </w:pPr>
                  <w:r>
                    <w:rPr>
                      <w:rFonts w:hint="eastAsia"/>
                    </w:rPr>
                    <w:t>井场平整、设备进场、生活营地建设等活动。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3" w:hRule="atLeast"/>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钻井工程</w:t>
                  </w:r>
                </w:p>
              </w:tc>
              <w:tc>
                <w:tcPr>
                  <w:tcW w:w="5509" w:type="dxa"/>
                  <w:vAlign w:val="center"/>
                </w:tcPr>
                <w:p>
                  <w:pPr>
                    <w:pStyle w:val="49"/>
                    <w:adjustRightInd w:val="0"/>
                    <w:snapToGrid w:val="0"/>
                    <w:spacing w:line="340" w:lineRule="exact"/>
                    <w:jc w:val="both"/>
                  </w:pPr>
                  <w:r>
                    <w:rPr>
                      <w:rFonts w:hint="eastAsia"/>
                    </w:rPr>
                    <w:t>彩61H为三开水平井，钻井总进尺</w:t>
                  </w:r>
                  <w:r>
                    <w:t>4028</w:t>
                  </w:r>
                  <w:r>
                    <w:rPr>
                      <w:rFonts w:hint="eastAsia"/>
                    </w:rPr>
                    <w:t>m，钻井期4</w:t>
                  </w:r>
                  <w:r>
                    <w:t>5</w:t>
                  </w:r>
                  <w:r>
                    <w:rPr>
                      <w:rFonts w:hint="eastAsia"/>
                    </w:rPr>
                    <w:t>天，施工人数</w:t>
                  </w:r>
                  <w:r>
                    <w:t>35</w:t>
                  </w:r>
                  <w:r>
                    <w:rPr>
                      <w:rFonts w:hint="eastAsia"/>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00" w:hRule="atLeast"/>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试油工程</w:t>
                  </w:r>
                </w:p>
              </w:tc>
              <w:tc>
                <w:tcPr>
                  <w:tcW w:w="5509" w:type="dxa"/>
                  <w:vAlign w:val="center"/>
                </w:tcPr>
                <w:p>
                  <w:pPr>
                    <w:pStyle w:val="49"/>
                    <w:adjustRightInd w:val="0"/>
                    <w:snapToGrid w:val="0"/>
                    <w:spacing w:line="340" w:lineRule="exact"/>
                    <w:jc w:val="both"/>
                  </w:pPr>
                  <w:r>
                    <w:rPr>
                      <w:rFonts w:hint="eastAsia"/>
                    </w:rPr>
                    <w:t>对完钻井进行通井、洗井、试压、射孔、压裂、求产等工序并配套试油设备，记录油气产量；试油周期</w:t>
                  </w:r>
                  <w:r>
                    <w:t>90</w:t>
                  </w:r>
                  <w:r>
                    <w:rPr>
                      <w:rFonts w:hint="eastAsia"/>
                    </w:rPr>
                    <w:t>天，施工人数</w:t>
                  </w:r>
                  <w:r>
                    <w:t>2</w:t>
                  </w:r>
                  <w:r>
                    <w:rPr>
                      <w:rFonts w:hint="eastAsia"/>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restart"/>
                  <w:vAlign w:val="center"/>
                </w:tcPr>
                <w:p>
                  <w:pPr>
                    <w:pStyle w:val="49"/>
                    <w:adjustRightInd w:val="0"/>
                    <w:snapToGrid w:val="0"/>
                    <w:spacing w:line="340" w:lineRule="exact"/>
                  </w:pPr>
                  <w:r>
                    <w:rPr>
                      <w:rFonts w:hint="eastAsia"/>
                    </w:rPr>
                    <w:t>公用工程</w:t>
                  </w:r>
                </w:p>
              </w:tc>
              <w:tc>
                <w:tcPr>
                  <w:tcW w:w="1276" w:type="dxa"/>
                  <w:vAlign w:val="center"/>
                </w:tcPr>
                <w:p>
                  <w:pPr>
                    <w:pStyle w:val="49"/>
                    <w:adjustRightInd w:val="0"/>
                    <w:snapToGrid w:val="0"/>
                    <w:spacing w:line="340" w:lineRule="exact"/>
                  </w:pPr>
                  <w:r>
                    <w:rPr>
                      <w:rFonts w:hint="eastAsia"/>
                    </w:rPr>
                    <w:t>供配电</w:t>
                  </w:r>
                </w:p>
              </w:tc>
              <w:tc>
                <w:tcPr>
                  <w:tcW w:w="5509" w:type="dxa"/>
                  <w:vAlign w:val="center"/>
                </w:tcPr>
                <w:p>
                  <w:pPr>
                    <w:pStyle w:val="49"/>
                    <w:adjustRightInd w:val="0"/>
                    <w:snapToGrid w:val="0"/>
                    <w:spacing w:line="340" w:lineRule="exact"/>
                    <w:jc w:val="both"/>
                  </w:pPr>
                  <w:r>
                    <w:rPr>
                      <w:rFonts w:hint="eastAsia"/>
                    </w:rPr>
                    <w:t>井场用电由柴油发电机供给。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给排水</w:t>
                  </w:r>
                </w:p>
              </w:tc>
              <w:tc>
                <w:tcPr>
                  <w:tcW w:w="5509" w:type="dxa"/>
                  <w:tcMar>
                    <w:left w:w="28" w:type="dxa"/>
                    <w:right w:w="28" w:type="dxa"/>
                  </w:tcMar>
                  <w:vAlign w:val="center"/>
                </w:tcPr>
                <w:p>
                  <w:pPr>
                    <w:pStyle w:val="49"/>
                    <w:adjustRightInd w:val="0"/>
                    <w:snapToGrid w:val="0"/>
                    <w:spacing w:line="340" w:lineRule="exact"/>
                    <w:jc w:val="both"/>
                    <w:rPr>
                      <w:spacing w:val="-6"/>
                    </w:rPr>
                  </w:pPr>
                  <w:r>
                    <w:rPr>
                      <w:rFonts w:hint="eastAsia"/>
                      <w:spacing w:val="-6"/>
                    </w:rPr>
                    <w:t>洗井和生活用水由罐车从彩南作业区拉运；洗井废水排至井场储罐内，送至</w:t>
                  </w:r>
                  <w:r>
                    <w:rPr>
                      <w:rFonts w:hint="eastAsia"/>
                    </w:rPr>
                    <w:t>彩南联合站采出水处理系统处理</w:t>
                  </w:r>
                  <w:r>
                    <w:rPr>
                      <w:rFonts w:hint="eastAsia"/>
                      <w:spacing w:val="-6"/>
                    </w:rPr>
                    <w:t>；生活污水排至生活营地内的临时储集防渗池，</w:t>
                  </w:r>
                  <w:r>
                    <w:rPr>
                      <w:rFonts w:hint="eastAsia"/>
                    </w:rPr>
                    <w:t>定期由吸污车清运至吉木萨尔县污水处理厂</w:t>
                  </w:r>
                  <w:r>
                    <w:rPr>
                      <w:rFonts w:hint="eastAsia"/>
                      <w:spacing w:val="-6"/>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道路</w:t>
                  </w:r>
                </w:p>
              </w:tc>
              <w:tc>
                <w:tcPr>
                  <w:tcW w:w="5509" w:type="dxa"/>
                  <w:tcMar>
                    <w:left w:w="28" w:type="dxa"/>
                    <w:right w:w="28" w:type="dxa"/>
                  </w:tcMar>
                  <w:vAlign w:val="center"/>
                </w:tcPr>
                <w:p>
                  <w:pPr>
                    <w:pStyle w:val="49"/>
                    <w:adjustRightInd w:val="0"/>
                    <w:snapToGrid w:val="0"/>
                    <w:spacing w:line="340" w:lineRule="exact"/>
                    <w:jc w:val="both"/>
                  </w:pPr>
                  <w:r>
                    <w:rPr>
                      <w:rFonts w:hint="eastAsia"/>
                    </w:rPr>
                    <w:t>探临道路为长</w:t>
                  </w:r>
                  <w:r>
                    <w:t>50m</w:t>
                  </w:r>
                  <w:r>
                    <w:rPr>
                      <w:rFonts w:hint="eastAsia"/>
                    </w:rPr>
                    <w:t>，宽7</w:t>
                  </w:r>
                  <w:r>
                    <w:t>m</w:t>
                  </w:r>
                  <w:r>
                    <w:rPr>
                      <w:rFonts w:hint="eastAsia"/>
                    </w:rPr>
                    <w:t>的</w:t>
                  </w:r>
                  <w:r>
                    <w:t>砂石路面</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restart"/>
                  <w:vAlign w:val="center"/>
                </w:tcPr>
                <w:p>
                  <w:pPr>
                    <w:pStyle w:val="49"/>
                    <w:adjustRightInd w:val="0"/>
                    <w:snapToGrid w:val="0"/>
                    <w:spacing w:line="340" w:lineRule="exact"/>
                  </w:pPr>
                  <w:r>
                    <w:rPr>
                      <w:rFonts w:hint="eastAsia"/>
                    </w:rPr>
                    <w:t>环保工程</w:t>
                  </w:r>
                </w:p>
              </w:tc>
              <w:tc>
                <w:tcPr>
                  <w:tcW w:w="1276" w:type="dxa"/>
                  <w:vAlign w:val="center"/>
                </w:tcPr>
                <w:p>
                  <w:pPr>
                    <w:pStyle w:val="49"/>
                    <w:adjustRightInd w:val="0"/>
                    <w:snapToGrid w:val="0"/>
                    <w:spacing w:line="340" w:lineRule="exact"/>
                  </w:pPr>
                  <w:r>
                    <w:t>放喷设施</w:t>
                  </w:r>
                </w:p>
              </w:tc>
              <w:tc>
                <w:tcPr>
                  <w:tcW w:w="5509" w:type="dxa"/>
                  <w:tcMar>
                    <w:left w:w="28" w:type="dxa"/>
                    <w:right w:w="28" w:type="dxa"/>
                  </w:tcMar>
                  <w:vAlign w:val="center"/>
                </w:tcPr>
                <w:p>
                  <w:pPr>
                    <w:pStyle w:val="49"/>
                    <w:adjustRightInd w:val="0"/>
                    <w:snapToGrid w:val="0"/>
                    <w:spacing w:line="340" w:lineRule="exact"/>
                    <w:jc w:val="both"/>
                    <w:rPr>
                      <w:spacing w:val="-10"/>
                    </w:rPr>
                  </w:pPr>
                  <w:r>
                    <w:rPr>
                      <w:spacing w:val="-10"/>
                    </w:rPr>
                    <w:t>在井场左右两侧各设置1条</w:t>
                  </w:r>
                  <w:r>
                    <w:rPr>
                      <w:rFonts w:hint="eastAsia"/>
                      <w:spacing w:val="-10"/>
                    </w:rPr>
                    <w:t>放喷管线</w:t>
                  </w:r>
                  <w:r>
                    <w:rPr>
                      <w:spacing w:val="-10"/>
                    </w:rPr>
                    <w:t>，</w:t>
                  </w:r>
                  <w:r>
                    <w:rPr>
                      <w:rFonts w:hint="eastAsia"/>
                      <w:spacing w:val="-10"/>
                    </w:rPr>
                    <w:t>预留</w:t>
                  </w:r>
                  <w:r>
                    <w:rPr>
                      <w:spacing w:val="-10"/>
                    </w:rPr>
                    <w:t>应急放喷</w:t>
                  </w:r>
                  <w:r>
                    <w:rPr>
                      <w:rFonts w:hint="eastAsia"/>
                      <w:spacing w:val="-10"/>
                    </w:rPr>
                    <w:t>池位</w:t>
                  </w:r>
                  <w:r>
                    <w:rPr>
                      <w:spacing w:val="-10"/>
                    </w:rPr>
                    <w:t>置</w:t>
                  </w:r>
                  <w:r>
                    <w:rPr>
                      <w:rFonts w:hint="eastAsia"/>
                      <w:spacing w:val="-1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钻井岩屑</w:t>
                  </w:r>
                </w:p>
              </w:tc>
              <w:tc>
                <w:tcPr>
                  <w:tcW w:w="5509" w:type="dxa"/>
                  <w:tcMar>
                    <w:left w:w="28" w:type="dxa"/>
                    <w:right w:w="28" w:type="dxa"/>
                  </w:tcMar>
                  <w:vAlign w:val="center"/>
                </w:tcPr>
                <w:p>
                  <w:pPr>
                    <w:pStyle w:val="49"/>
                    <w:adjustRightInd w:val="0"/>
                    <w:snapToGrid w:val="0"/>
                    <w:spacing w:line="340" w:lineRule="exact"/>
                    <w:jc w:val="both"/>
                  </w:pPr>
                  <w:r>
                    <w:rPr>
                      <w:rFonts w:hint="eastAsia" w:cs="宋体"/>
                    </w:rPr>
                    <w:t>井场设钻井液不落地设备1套。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adjustRightInd w:val="0"/>
                    <w:snapToGrid w:val="0"/>
                    <w:spacing w:line="340" w:lineRule="exact"/>
                  </w:pPr>
                  <w:r>
                    <w:rPr>
                      <w:rFonts w:hint="eastAsia"/>
                    </w:rPr>
                    <w:t>生活垃圾</w:t>
                  </w:r>
                </w:p>
              </w:tc>
              <w:tc>
                <w:tcPr>
                  <w:tcW w:w="5509" w:type="dxa"/>
                  <w:tcMar>
                    <w:left w:w="28" w:type="dxa"/>
                    <w:right w:w="28" w:type="dxa"/>
                  </w:tcMar>
                  <w:vAlign w:val="center"/>
                </w:tcPr>
                <w:p>
                  <w:pPr>
                    <w:pStyle w:val="49"/>
                    <w:adjustRightInd w:val="0"/>
                    <w:snapToGrid w:val="0"/>
                    <w:spacing w:line="340" w:lineRule="exact"/>
                    <w:jc w:val="both"/>
                  </w:pPr>
                  <w:r>
                    <w:rPr>
                      <w:rFonts w:hint="eastAsia"/>
                    </w:rPr>
                    <w:t>井场及生活营地设垃圾箱。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spacing w:line="340" w:lineRule="exact"/>
                    <w:contextualSpacing/>
                  </w:pPr>
                  <w:r>
                    <w:rPr>
                      <w:rFonts w:hint="eastAsia"/>
                    </w:rPr>
                    <w:t>危险废物</w:t>
                  </w:r>
                </w:p>
              </w:tc>
              <w:tc>
                <w:tcPr>
                  <w:tcW w:w="5509" w:type="dxa"/>
                  <w:tcMar>
                    <w:left w:w="28" w:type="dxa"/>
                    <w:right w:w="28" w:type="dxa"/>
                  </w:tcMar>
                  <w:vAlign w:val="center"/>
                </w:tcPr>
                <w:p>
                  <w:pPr>
                    <w:pStyle w:val="49"/>
                    <w:spacing w:line="340" w:lineRule="exact"/>
                    <w:contextualSpacing/>
                    <w:jc w:val="both"/>
                  </w:pPr>
                  <w:r>
                    <w:rPr>
                      <w:rFonts w:hint="eastAsia"/>
                    </w:rPr>
                    <w:t>场地清理阶段产生废防渗材料交由具有相应危废处置资质的单位负责</w:t>
                  </w:r>
                  <w:r>
                    <w:rPr>
                      <w:rFonts w:hint="eastAsia"/>
                      <w:spacing w:val="-2"/>
                    </w:rPr>
                    <w:t>接收、转运以及处置。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spacing w:line="340" w:lineRule="exact"/>
                    <w:contextualSpacing/>
                  </w:pPr>
                  <w:r>
                    <w:rPr>
                      <w:rFonts w:hint="eastAsia"/>
                    </w:rPr>
                    <w:t>伴生气</w:t>
                  </w:r>
                </w:p>
              </w:tc>
              <w:tc>
                <w:tcPr>
                  <w:tcW w:w="5509" w:type="dxa"/>
                  <w:tcMar>
                    <w:left w:w="28" w:type="dxa"/>
                    <w:right w:w="28" w:type="dxa"/>
                  </w:tcMar>
                  <w:vAlign w:val="center"/>
                </w:tcPr>
                <w:p>
                  <w:pPr>
                    <w:pStyle w:val="49"/>
                    <w:spacing w:line="340" w:lineRule="exact"/>
                    <w:contextualSpacing/>
                    <w:jc w:val="both"/>
                    <w:rPr>
                      <w:spacing w:val="-8"/>
                    </w:rPr>
                  </w:pPr>
                  <w:r>
                    <w:rPr>
                      <w:rFonts w:hint="eastAsia" w:cs="宋体"/>
                    </w:rPr>
                    <w:t>试油期伴生气通过排气管线燃烧放空。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spacing w:line="340" w:lineRule="exact"/>
                    <w:contextualSpacing/>
                  </w:pPr>
                  <w:r>
                    <w:t>H</w:t>
                  </w:r>
                  <w:r>
                    <w:rPr>
                      <w:vertAlign w:val="subscript"/>
                    </w:rPr>
                    <w:t>2</w:t>
                  </w:r>
                  <w:r>
                    <w:t>S监测</w:t>
                  </w:r>
                </w:p>
              </w:tc>
              <w:tc>
                <w:tcPr>
                  <w:tcW w:w="5509" w:type="dxa"/>
                  <w:vAlign w:val="center"/>
                </w:tcPr>
                <w:p>
                  <w:pPr>
                    <w:pStyle w:val="49"/>
                    <w:spacing w:line="340" w:lineRule="exact"/>
                    <w:contextualSpacing/>
                    <w:jc w:val="both"/>
                  </w:pPr>
                  <w:r>
                    <w:t>井场</w:t>
                  </w:r>
                  <w:r>
                    <w:rPr>
                      <w:rFonts w:hint="eastAsia"/>
                    </w:rPr>
                    <w:t>按规范</w:t>
                  </w:r>
                  <w:r>
                    <w:t>设</w:t>
                  </w:r>
                  <w:r>
                    <w:rPr>
                      <w:rFonts w:hint="eastAsia"/>
                    </w:rPr>
                    <w:t>置</w:t>
                  </w:r>
                  <w:r>
                    <w:t>H</w:t>
                  </w:r>
                  <w:r>
                    <w:rPr>
                      <w:vertAlign w:val="subscript"/>
                    </w:rPr>
                    <w:t>2</w:t>
                  </w:r>
                  <w:r>
                    <w:t>S监测仪</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spacing w:line="340" w:lineRule="exact"/>
                    <w:contextualSpacing/>
                  </w:pPr>
                  <w:r>
                    <w:rPr>
                      <w:rFonts w:hint="eastAsia"/>
                    </w:rPr>
                    <w:t>生态措施</w:t>
                  </w:r>
                </w:p>
              </w:tc>
              <w:tc>
                <w:tcPr>
                  <w:tcW w:w="5509" w:type="dxa"/>
                  <w:vAlign w:val="center"/>
                </w:tcPr>
                <w:p>
                  <w:pPr>
                    <w:pStyle w:val="49"/>
                    <w:spacing w:line="340" w:lineRule="exact"/>
                    <w:contextualSpacing/>
                    <w:jc w:val="both"/>
                  </w:pPr>
                  <w:r>
                    <w:rPr>
                      <w:rFonts w:hint="eastAsia"/>
                      <w:spacing w:val="-8"/>
                    </w:rPr>
                    <w:t>场地清理土壤集中堆放，施工结束后用于场地平整。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66" w:type="dxa"/>
                  <w:vMerge w:val="continue"/>
                  <w:vAlign w:val="center"/>
                </w:tcPr>
                <w:p>
                  <w:pPr>
                    <w:pStyle w:val="49"/>
                    <w:adjustRightInd w:val="0"/>
                    <w:snapToGrid w:val="0"/>
                    <w:spacing w:line="340" w:lineRule="exact"/>
                  </w:pPr>
                </w:p>
              </w:tc>
              <w:tc>
                <w:tcPr>
                  <w:tcW w:w="1276" w:type="dxa"/>
                  <w:vAlign w:val="center"/>
                </w:tcPr>
                <w:p>
                  <w:pPr>
                    <w:pStyle w:val="49"/>
                    <w:spacing w:line="340" w:lineRule="exact"/>
                    <w:contextualSpacing/>
                  </w:pPr>
                  <w:r>
                    <w:rPr>
                      <w:rFonts w:hint="eastAsia"/>
                    </w:rPr>
                    <w:t>噪声</w:t>
                  </w:r>
                </w:p>
              </w:tc>
              <w:tc>
                <w:tcPr>
                  <w:tcW w:w="5509" w:type="dxa"/>
                  <w:vAlign w:val="center"/>
                </w:tcPr>
                <w:p>
                  <w:pPr>
                    <w:pStyle w:val="49"/>
                    <w:spacing w:line="340" w:lineRule="exact"/>
                    <w:contextualSpacing/>
                    <w:jc w:val="both"/>
                  </w:pPr>
                  <w:r>
                    <w:rPr>
                      <w:rFonts w:hint="eastAsia"/>
                    </w:rPr>
                    <w:t>设备底部进行基础减震。</w:t>
                  </w:r>
                </w:p>
              </w:tc>
            </w:tr>
          </w:tbl>
          <w:p>
            <w:pPr>
              <w:pStyle w:val="6"/>
              <w:keepNext/>
            </w:pPr>
            <w:r>
              <w:rPr>
                <w:rFonts w:hint="eastAsia"/>
              </w:rPr>
              <w:t>续</w:t>
            </w:r>
            <w:r>
              <w:t xml:space="preserve">表7    </w:t>
            </w:r>
            <w:r>
              <w:rPr>
                <w:rFonts w:hint="eastAsia"/>
              </w:rPr>
              <w:t>工程组成</w:t>
            </w:r>
            <w:r>
              <w:t>一览表</w:t>
            </w:r>
          </w:p>
          <w:tbl>
            <w:tblPr>
              <w:tblStyle w:val="17"/>
              <w:tblW w:w="775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85"/>
              <w:gridCol w:w="1469"/>
              <w:gridCol w:w="51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94" w:hRule="atLeast"/>
                <w:jc w:val="center"/>
              </w:trPr>
              <w:tc>
                <w:tcPr>
                  <w:tcW w:w="1085" w:type="dxa"/>
                  <w:vAlign w:val="center"/>
                </w:tcPr>
                <w:p>
                  <w:pPr>
                    <w:pStyle w:val="49"/>
                    <w:adjustRightInd w:val="0"/>
                    <w:snapToGrid w:val="0"/>
                    <w:spacing w:line="360" w:lineRule="exact"/>
                  </w:pPr>
                  <w:r>
                    <w:rPr>
                      <w:rFonts w:hint="eastAsia"/>
                    </w:rPr>
                    <w:t>工程组成</w:t>
                  </w:r>
                </w:p>
              </w:tc>
              <w:tc>
                <w:tcPr>
                  <w:tcW w:w="6666" w:type="dxa"/>
                  <w:gridSpan w:val="2"/>
                  <w:vAlign w:val="center"/>
                </w:tcPr>
                <w:p>
                  <w:pPr>
                    <w:pStyle w:val="49"/>
                    <w:adjustRightInd w:val="0"/>
                    <w:snapToGrid w:val="0"/>
                    <w:spacing w:line="360" w:lineRule="exact"/>
                  </w:pPr>
                  <w:r>
                    <w:rPr>
                      <w:rFonts w:hint="eastAsia"/>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9" w:hRule="atLeast"/>
                <w:jc w:val="center"/>
              </w:trPr>
              <w:tc>
                <w:tcPr>
                  <w:tcW w:w="1085" w:type="dxa"/>
                  <w:vAlign w:val="center"/>
                </w:tcPr>
                <w:p>
                  <w:pPr>
                    <w:pStyle w:val="49"/>
                    <w:adjustRightInd w:val="0"/>
                    <w:snapToGrid w:val="0"/>
                    <w:spacing w:line="360" w:lineRule="exact"/>
                  </w:pPr>
                  <w:r>
                    <w:rPr>
                      <w:rFonts w:hint="eastAsia"/>
                    </w:rPr>
                    <w:t>环保工程</w:t>
                  </w:r>
                </w:p>
              </w:tc>
              <w:tc>
                <w:tcPr>
                  <w:tcW w:w="1469" w:type="dxa"/>
                  <w:vAlign w:val="center"/>
                </w:tcPr>
                <w:p>
                  <w:pPr>
                    <w:pStyle w:val="49"/>
                    <w:adjustRightInd w:val="0"/>
                    <w:snapToGrid w:val="0"/>
                    <w:spacing w:line="360" w:lineRule="exact"/>
                  </w:pPr>
                  <w:r>
                    <w:rPr>
                      <w:rFonts w:hint="eastAsia"/>
                    </w:rPr>
                    <w:t>防渗工程</w:t>
                  </w:r>
                </w:p>
              </w:tc>
              <w:tc>
                <w:tcPr>
                  <w:tcW w:w="5197" w:type="dxa"/>
                  <w:vAlign w:val="center"/>
                </w:tcPr>
                <w:p>
                  <w:pPr>
                    <w:pStyle w:val="49"/>
                    <w:adjustRightInd w:val="0"/>
                    <w:snapToGrid w:val="0"/>
                    <w:spacing w:line="360" w:lineRule="exact"/>
                    <w:jc w:val="both"/>
                  </w:pPr>
                  <w:r>
                    <w:rPr>
                      <w:rFonts w:hint="eastAsia"/>
                    </w:rPr>
                    <w:t>在井场各类储罐、发电机、材料堆场、岩屑储罐等关键区域均采用防渗膜防渗。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jc w:val="center"/>
              </w:trPr>
              <w:tc>
                <w:tcPr>
                  <w:tcW w:w="1085" w:type="dxa"/>
                  <w:vMerge w:val="restart"/>
                  <w:vAlign w:val="center"/>
                </w:tcPr>
                <w:p>
                  <w:pPr>
                    <w:pStyle w:val="49"/>
                    <w:adjustRightInd w:val="0"/>
                    <w:snapToGrid w:val="0"/>
                    <w:spacing w:line="360" w:lineRule="exact"/>
                  </w:pPr>
                  <w:r>
                    <w:rPr>
                      <w:rFonts w:hint="eastAsia"/>
                    </w:rPr>
                    <w:t>依托工程</w:t>
                  </w:r>
                </w:p>
              </w:tc>
              <w:tc>
                <w:tcPr>
                  <w:tcW w:w="1469" w:type="dxa"/>
                  <w:vAlign w:val="center"/>
                </w:tcPr>
                <w:p>
                  <w:pPr>
                    <w:pStyle w:val="49"/>
                    <w:adjustRightInd w:val="0"/>
                    <w:snapToGrid w:val="0"/>
                    <w:spacing w:line="360" w:lineRule="exact"/>
                  </w:pPr>
                  <w:r>
                    <w:rPr>
                      <w:rFonts w:hint="eastAsia"/>
                    </w:rPr>
                    <w:t>洗井废水、压裂返排液</w:t>
                  </w:r>
                </w:p>
              </w:tc>
              <w:tc>
                <w:tcPr>
                  <w:tcW w:w="5197" w:type="dxa"/>
                  <w:vAlign w:val="center"/>
                </w:tcPr>
                <w:p>
                  <w:pPr>
                    <w:pStyle w:val="49"/>
                    <w:adjustRightInd w:val="0"/>
                    <w:snapToGrid w:val="0"/>
                    <w:spacing w:line="360" w:lineRule="exact"/>
                    <w:jc w:val="both"/>
                  </w:pPr>
                  <w:r>
                    <w:rPr>
                      <w:rFonts w:hint="eastAsia"/>
                    </w:rPr>
                    <w:t>罐车送至彩南联合站采出水处理系统处理。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jc w:val="center"/>
              </w:trPr>
              <w:tc>
                <w:tcPr>
                  <w:tcW w:w="1085" w:type="dxa"/>
                  <w:vMerge w:val="continue"/>
                  <w:vAlign w:val="center"/>
                </w:tcPr>
                <w:p>
                  <w:pPr>
                    <w:pStyle w:val="49"/>
                    <w:adjustRightInd w:val="0"/>
                    <w:snapToGrid w:val="0"/>
                    <w:spacing w:line="360" w:lineRule="exact"/>
                  </w:pPr>
                </w:p>
              </w:tc>
              <w:tc>
                <w:tcPr>
                  <w:tcW w:w="1469" w:type="dxa"/>
                  <w:vAlign w:val="center"/>
                </w:tcPr>
                <w:p>
                  <w:pPr>
                    <w:pStyle w:val="49"/>
                    <w:adjustRightInd w:val="0"/>
                    <w:snapToGrid w:val="0"/>
                    <w:spacing w:line="360" w:lineRule="exact"/>
                  </w:pPr>
                  <w:r>
                    <w:rPr>
                      <w:rFonts w:hint="eastAsia"/>
                    </w:rPr>
                    <w:t>采出物</w:t>
                  </w:r>
                </w:p>
              </w:tc>
              <w:tc>
                <w:tcPr>
                  <w:tcW w:w="5197" w:type="dxa"/>
                  <w:vAlign w:val="center"/>
                </w:tcPr>
                <w:p>
                  <w:pPr>
                    <w:pStyle w:val="49"/>
                    <w:adjustRightInd w:val="0"/>
                    <w:snapToGrid w:val="0"/>
                    <w:spacing w:line="360" w:lineRule="exact"/>
                    <w:jc w:val="both"/>
                  </w:pPr>
                  <w:r>
                    <w:rPr>
                      <w:rFonts w:hint="eastAsia"/>
                    </w:rPr>
                    <w:t>罐车送至彩南联合站原油处理系统处理。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jc w:val="center"/>
              </w:trPr>
              <w:tc>
                <w:tcPr>
                  <w:tcW w:w="1085" w:type="dxa"/>
                  <w:vMerge w:val="continue"/>
                  <w:vAlign w:val="center"/>
                </w:tcPr>
                <w:p>
                  <w:pPr>
                    <w:pStyle w:val="49"/>
                    <w:adjustRightInd w:val="0"/>
                    <w:snapToGrid w:val="0"/>
                    <w:spacing w:line="360" w:lineRule="exact"/>
                  </w:pPr>
                </w:p>
              </w:tc>
              <w:tc>
                <w:tcPr>
                  <w:tcW w:w="1469" w:type="dxa"/>
                  <w:vAlign w:val="center"/>
                </w:tcPr>
                <w:p>
                  <w:pPr>
                    <w:pStyle w:val="49"/>
                    <w:adjustRightInd w:val="0"/>
                    <w:snapToGrid w:val="0"/>
                    <w:spacing w:line="360" w:lineRule="exact"/>
                  </w:pPr>
                  <w:r>
                    <w:rPr>
                      <w:rFonts w:hint="eastAsia"/>
                    </w:rPr>
                    <w:t>生活垃圾</w:t>
                  </w:r>
                </w:p>
              </w:tc>
              <w:tc>
                <w:tcPr>
                  <w:tcW w:w="5197" w:type="dxa"/>
                  <w:vAlign w:val="center"/>
                </w:tcPr>
                <w:p>
                  <w:pPr>
                    <w:pStyle w:val="49"/>
                    <w:adjustRightInd w:val="0"/>
                    <w:snapToGrid w:val="0"/>
                    <w:spacing w:line="360" w:lineRule="exact"/>
                    <w:jc w:val="both"/>
                  </w:pPr>
                  <w:r>
                    <w:rPr>
                      <w:rFonts w:hint="eastAsia"/>
                    </w:rPr>
                    <w:t>井场及生活营地设垃圾箱，最终送至吉木萨尔县生活垃圾填埋场填埋处置。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jc w:val="center"/>
              </w:trPr>
              <w:tc>
                <w:tcPr>
                  <w:tcW w:w="1085" w:type="dxa"/>
                  <w:vMerge w:val="continue"/>
                  <w:vAlign w:val="center"/>
                </w:tcPr>
                <w:p>
                  <w:pPr>
                    <w:pStyle w:val="49"/>
                    <w:adjustRightInd w:val="0"/>
                    <w:snapToGrid w:val="0"/>
                    <w:spacing w:line="360" w:lineRule="exact"/>
                  </w:pPr>
                </w:p>
              </w:tc>
              <w:tc>
                <w:tcPr>
                  <w:tcW w:w="1469" w:type="dxa"/>
                  <w:vAlign w:val="center"/>
                </w:tcPr>
                <w:p>
                  <w:pPr>
                    <w:pStyle w:val="49"/>
                    <w:adjustRightInd w:val="0"/>
                    <w:snapToGrid w:val="0"/>
                    <w:spacing w:line="360" w:lineRule="exact"/>
                  </w:pPr>
                  <w:r>
                    <w:rPr>
                      <w:rFonts w:hint="eastAsia"/>
                    </w:rPr>
                    <w:t>生活污水</w:t>
                  </w:r>
                </w:p>
              </w:tc>
              <w:tc>
                <w:tcPr>
                  <w:tcW w:w="5197" w:type="dxa"/>
                  <w:vAlign w:val="center"/>
                </w:tcPr>
                <w:p>
                  <w:pPr>
                    <w:pStyle w:val="49"/>
                    <w:adjustRightInd w:val="0"/>
                    <w:snapToGrid w:val="0"/>
                    <w:spacing w:line="360" w:lineRule="exact"/>
                    <w:jc w:val="both"/>
                  </w:pPr>
                  <w:r>
                    <w:rPr>
                      <w:rFonts w:hint="eastAsia"/>
                    </w:rPr>
                    <w:t>定期由吸污车清运至吉木萨尔县污水处理厂。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32" w:hRule="atLeast"/>
                <w:jc w:val="center"/>
              </w:trPr>
              <w:tc>
                <w:tcPr>
                  <w:tcW w:w="1085" w:type="dxa"/>
                  <w:vMerge w:val="continue"/>
                  <w:vAlign w:val="center"/>
                </w:tcPr>
                <w:p>
                  <w:pPr>
                    <w:pStyle w:val="49"/>
                    <w:adjustRightInd w:val="0"/>
                    <w:snapToGrid w:val="0"/>
                    <w:spacing w:line="360" w:lineRule="exact"/>
                  </w:pPr>
                </w:p>
              </w:tc>
              <w:tc>
                <w:tcPr>
                  <w:tcW w:w="1469" w:type="dxa"/>
                  <w:vAlign w:val="center"/>
                </w:tcPr>
                <w:p>
                  <w:pPr>
                    <w:pStyle w:val="49"/>
                    <w:adjustRightInd w:val="0"/>
                    <w:snapToGrid w:val="0"/>
                    <w:spacing w:line="360" w:lineRule="exact"/>
                  </w:pPr>
                  <w:r>
                    <w:rPr>
                      <w:rFonts w:hint="eastAsia"/>
                    </w:rPr>
                    <w:t>水基岩屑</w:t>
                  </w:r>
                </w:p>
              </w:tc>
              <w:tc>
                <w:tcPr>
                  <w:tcW w:w="5197" w:type="dxa"/>
                  <w:vAlign w:val="center"/>
                </w:tcPr>
                <w:p>
                  <w:pPr>
                    <w:pStyle w:val="49"/>
                    <w:adjustRightInd w:val="0"/>
                    <w:snapToGrid w:val="0"/>
                    <w:spacing w:line="360" w:lineRule="exact"/>
                    <w:jc w:val="both"/>
                  </w:pPr>
                  <w:r>
                    <w:rPr>
                      <w:rFonts w:hint="eastAsia"/>
                    </w:rPr>
                    <w:t>委托岩屑处置单位进行处置。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12" w:hRule="atLeast"/>
                <w:jc w:val="center"/>
              </w:trPr>
              <w:tc>
                <w:tcPr>
                  <w:tcW w:w="1085" w:type="dxa"/>
                  <w:vMerge w:val="continue"/>
                  <w:vAlign w:val="center"/>
                </w:tcPr>
                <w:p>
                  <w:pPr>
                    <w:pStyle w:val="49"/>
                    <w:adjustRightInd w:val="0"/>
                    <w:snapToGrid w:val="0"/>
                    <w:spacing w:line="360" w:lineRule="exact"/>
                  </w:pPr>
                </w:p>
              </w:tc>
              <w:tc>
                <w:tcPr>
                  <w:tcW w:w="1469" w:type="dxa"/>
                  <w:vAlign w:val="center"/>
                </w:tcPr>
                <w:p>
                  <w:pPr>
                    <w:pStyle w:val="49"/>
                    <w:adjustRightInd w:val="0"/>
                    <w:snapToGrid w:val="0"/>
                    <w:spacing w:line="360" w:lineRule="exact"/>
                  </w:pPr>
                  <w:r>
                    <w:rPr>
                      <w:rFonts w:hint="eastAsia"/>
                    </w:rPr>
                    <w:t>危险废物</w:t>
                  </w:r>
                </w:p>
              </w:tc>
              <w:tc>
                <w:tcPr>
                  <w:tcW w:w="5197" w:type="dxa"/>
                  <w:vAlign w:val="center"/>
                </w:tcPr>
                <w:p>
                  <w:pPr>
                    <w:pStyle w:val="49"/>
                    <w:adjustRightInd w:val="0"/>
                    <w:snapToGrid w:val="0"/>
                    <w:spacing w:line="320" w:lineRule="exact"/>
                    <w:jc w:val="both"/>
                  </w:pPr>
                  <w:r>
                    <w:rPr>
                      <w:rFonts w:hint="eastAsia"/>
                    </w:rPr>
                    <w:t>场地清理阶段产生废防渗材料交由具有相应危废处置资质的单位负责</w:t>
                  </w:r>
                  <w:r>
                    <w:rPr>
                      <w:rFonts w:hint="eastAsia"/>
                      <w:spacing w:val="-2"/>
                    </w:rPr>
                    <w:t>接收、转运以及处置。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2" w:hRule="atLeast"/>
                <w:jc w:val="center"/>
              </w:trPr>
              <w:tc>
                <w:tcPr>
                  <w:tcW w:w="1085" w:type="dxa"/>
                  <w:vAlign w:val="center"/>
                </w:tcPr>
                <w:p>
                  <w:pPr>
                    <w:pStyle w:val="49"/>
                    <w:adjustRightInd w:val="0"/>
                    <w:snapToGrid w:val="0"/>
                    <w:spacing w:line="360" w:lineRule="exact"/>
                  </w:pPr>
                  <w:r>
                    <w:rPr>
                      <w:rFonts w:hint="eastAsia" w:cs="宋体"/>
                    </w:rPr>
                    <w:t>储运工程</w:t>
                  </w:r>
                </w:p>
              </w:tc>
              <w:tc>
                <w:tcPr>
                  <w:tcW w:w="6666" w:type="dxa"/>
                  <w:gridSpan w:val="2"/>
                  <w:vAlign w:val="center"/>
                </w:tcPr>
                <w:p>
                  <w:pPr>
                    <w:pStyle w:val="49"/>
                    <w:adjustRightInd w:val="0"/>
                    <w:snapToGrid w:val="0"/>
                    <w:spacing w:line="360" w:lineRule="exact"/>
                    <w:jc w:val="both"/>
                  </w:pPr>
                  <w:r>
                    <w:rPr>
                      <w:rFonts w:hint="eastAsia" w:cs="宋体"/>
                    </w:rPr>
                    <w:t>钻井液罐、柴油储罐、材料堆放区。</w:t>
                  </w:r>
                </w:p>
              </w:tc>
            </w:tr>
          </w:tbl>
          <w:p>
            <w:pPr>
              <w:rPr>
                <w:rFonts w:ascii="宋体" w:hAnsi="宋体" w:cs="宋体"/>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9" w:hRule="atLeast"/>
          <w:jc w:val="center"/>
        </w:trPr>
        <w:tc>
          <w:tcPr>
            <w:tcW w:w="699" w:type="dxa"/>
            <w:vAlign w:val="center"/>
          </w:tcPr>
          <w:p>
            <w:pPr>
              <w:adjustRightInd w:val="0"/>
              <w:snapToGrid w:val="0"/>
              <w:jc w:val="center"/>
              <w:rPr>
                <w:rFonts w:ascii="宋体" w:hAnsi="宋体" w:cs="宋体"/>
                <w:kern w:val="0"/>
                <w:sz w:val="24"/>
              </w:rPr>
            </w:pPr>
            <w:r>
              <w:rPr>
                <w:rFonts w:hint="eastAsia" w:ascii="宋体" w:hAnsi="宋体" w:cs="宋体"/>
                <w:kern w:val="0"/>
                <w:sz w:val="24"/>
              </w:rPr>
              <w:t>总平面及现场布置</w:t>
            </w:r>
          </w:p>
        </w:tc>
        <w:tc>
          <w:tcPr>
            <w:tcW w:w="8080" w:type="dxa"/>
            <w:vAlign w:val="center"/>
          </w:tcPr>
          <w:p>
            <w:pPr>
              <w:pStyle w:val="46"/>
              <w:ind w:firstLine="482"/>
              <w:rPr>
                <w:b/>
                <w:bCs/>
              </w:rPr>
            </w:pPr>
            <w:r>
              <w:rPr>
                <w:rFonts w:hint="eastAsia"/>
                <w:b/>
                <w:bCs/>
              </w:rPr>
              <w:t>1、钻井期井场平面布置</w:t>
            </w:r>
          </w:p>
          <w:p>
            <w:pPr>
              <w:pStyle w:val="46"/>
              <w:ind w:firstLine="480"/>
            </w:pPr>
            <w:r>
              <w:rPr>
                <w:rFonts w:hint="eastAsia"/>
              </w:rPr>
              <w:t>钻井期井场布置有值班房、钳工房、录井房、配电房、发电房、罐区、不落地系统等，井场平面布置如附图</w:t>
            </w:r>
            <w:r>
              <w:t>3</w:t>
            </w:r>
            <w:r>
              <w:rPr>
                <w:rFonts w:hint="eastAsia"/>
              </w:rPr>
              <w:t>所示。</w:t>
            </w:r>
          </w:p>
          <w:p>
            <w:pPr>
              <w:pStyle w:val="46"/>
              <w:ind w:firstLine="482"/>
              <w:rPr>
                <w:b/>
                <w:bCs/>
              </w:rPr>
            </w:pPr>
            <w:r>
              <w:rPr>
                <w:rFonts w:hint="eastAsia"/>
                <w:b/>
                <w:bCs/>
              </w:rPr>
              <w:t>2、试油期井场平面布置</w:t>
            </w:r>
          </w:p>
          <w:p>
            <w:pPr>
              <w:pStyle w:val="46"/>
              <w:ind w:firstLine="480"/>
              <w:rPr>
                <w:kern w:val="2"/>
              </w:rPr>
            </w:pPr>
            <w:r>
              <w:rPr>
                <w:rFonts w:hint="eastAsia"/>
                <w:kern w:val="2"/>
              </w:rPr>
              <w:t>试油期井场布置井口方罐、发电机房、值班房、井口放喷管线、消防沙箱等设施并设置紧急集合点，平面布置见附图</w:t>
            </w:r>
            <w:r>
              <w:rPr>
                <w:kern w:val="2"/>
              </w:rPr>
              <w:t>4</w:t>
            </w:r>
            <w:r>
              <w:rPr>
                <w:rFonts w:hint="eastAsia"/>
                <w:kern w:val="2"/>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8080" w:type="dxa"/>
            <w:vAlign w:val="center"/>
          </w:tcPr>
          <w:p>
            <w:pPr>
              <w:pStyle w:val="46"/>
              <w:ind w:firstLine="480"/>
              <w:rPr>
                <w:lang w:bidi="ar"/>
              </w:rPr>
            </w:pPr>
            <w:r>
              <w:rPr>
                <w:rFonts w:hint="eastAsia"/>
                <w:lang w:bidi="ar"/>
              </w:rPr>
              <w:t>勘探井目的是探明区域含油气性质和储层分布，扩大勘探成果，分为钻井、试油、完井三部分。</w:t>
            </w:r>
          </w:p>
          <w:p>
            <w:pPr>
              <w:pStyle w:val="46"/>
              <w:ind w:firstLine="482"/>
              <w:rPr>
                <w:rFonts w:hAnsi="等线" w:cs="宋体"/>
                <w:b/>
                <w:bCs/>
                <w:lang w:bidi="ar"/>
              </w:rPr>
            </w:pPr>
            <w:r>
              <w:rPr>
                <w:rFonts w:hint="eastAsia" w:hAnsi="等线" w:cs="宋体"/>
                <w:b/>
                <w:bCs/>
                <w:lang w:bidi="ar"/>
              </w:rPr>
              <w:t>1、钻井施工方案</w:t>
            </w:r>
          </w:p>
          <w:p>
            <w:pPr>
              <w:pStyle w:val="46"/>
              <w:ind w:firstLine="480"/>
              <w:rPr>
                <w:rFonts w:cs="宋体"/>
                <w:lang w:bidi="ar"/>
              </w:rPr>
            </w:pPr>
            <w:r>
              <w:rPr>
                <w:rFonts w:hint="eastAsia" w:cs="宋体"/>
                <w:lang w:bidi="ar"/>
              </w:rPr>
              <w:t>（1）钻前准备</w:t>
            </w:r>
          </w:p>
          <w:p>
            <w:pPr>
              <w:pStyle w:val="46"/>
              <w:ind w:firstLine="480"/>
              <w:rPr>
                <w:rFonts w:cs="宋体"/>
                <w:lang w:bidi="ar"/>
              </w:rPr>
            </w:pPr>
            <w:r>
              <w:rPr>
                <w:rFonts w:hint="eastAsia" w:cs="宋体"/>
                <w:bCs/>
                <w:lang w:bidi="ar"/>
              </w:rPr>
              <w:t>包括井场平整、铺垫、钻机基础建设，生活营地和井场探临道路建设，以及设备进场。</w:t>
            </w:r>
          </w:p>
          <w:p>
            <w:pPr>
              <w:pStyle w:val="46"/>
              <w:ind w:firstLine="480"/>
              <w:rPr>
                <w:rFonts w:cs="宋体"/>
                <w:lang w:bidi="ar"/>
              </w:rPr>
            </w:pPr>
            <w:bookmarkStart w:id="13" w:name="_Hlk115957573"/>
            <w:r>
              <w:rPr>
                <w:rFonts w:hint="eastAsia" w:cs="宋体"/>
                <w:lang w:bidi="ar"/>
              </w:rPr>
              <w:t>（2）钻井工程</w:t>
            </w:r>
            <w:bookmarkEnd w:id="13"/>
          </w:p>
          <w:p>
            <w:pPr>
              <w:pStyle w:val="46"/>
              <w:ind w:firstLine="480"/>
              <w:rPr>
                <w:rFonts w:cs="宋体"/>
                <w:lang w:bidi="ar"/>
              </w:rPr>
            </w:pPr>
            <w:r>
              <w:rPr>
                <w:rFonts w:hint="eastAsia" w:cs="宋体"/>
                <w:lang w:bidi="ar"/>
              </w:rPr>
              <w:t>①钻井流程</w:t>
            </w:r>
          </w:p>
          <w:p>
            <w:pPr>
              <w:pStyle w:val="46"/>
              <w:ind w:firstLine="480"/>
              <w:rPr>
                <w:rFonts w:cs="宋体"/>
                <w:lang w:bidi="ar"/>
              </w:rPr>
            </w:pPr>
            <w:r>
              <w:rPr>
                <w:rFonts w:hint="eastAsia" w:cs="宋体"/>
                <w:lang w:bidi="ar"/>
              </w:rPr>
              <w:t>钻前准备工作完成后，开始钻井。钻井是破岩和加深井眼的过程。埋设导管后下</w:t>
            </w:r>
            <w:r>
              <w:rPr>
                <w:rFonts w:hint="eastAsia" w:cs="宋体"/>
                <w:spacing w:val="-2"/>
                <w:lang w:bidi="ar"/>
              </w:rPr>
              <w:t>钻，钻达下表层套管深度后，下入表层套管并固井试压，</w:t>
            </w:r>
            <w:r>
              <w:rPr>
                <w:rFonts w:hint="eastAsia" w:cs="宋体"/>
                <w:lang w:bidi="ar"/>
              </w:rPr>
              <w:t>然后继续钻进，安全钻达目标深度后下技术套管，以油层套管完井，</w:t>
            </w:r>
            <w:r>
              <w:rPr>
                <w:rFonts w:hint="eastAsia" w:cs="宋体"/>
                <w:spacing w:val="-4"/>
                <w:lang w:bidi="ar"/>
              </w:rPr>
              <w:t>根据钻井设计要求，及时进行测井、录井、固井等其他作业。</w:t>
            </w:r>
          </w:p>
          <w:p>
            <w:pPr>
              <w:pStyle w:val="46"/>
              <w:ind w:firstLine="480"/>
              <w:rPr>
                <w:rFonts w:cs="宋体"/>
              </w:rPr>
            </w:pPr>
            <w:r>
              <w:rPr>
                <w:rFonts w:hint="eastAsia" w:cs="宋体"/>
              </w:rPr>
              <w:t>②井身结构</w:t>
            </w:r>
          </w:p>
          <w:p>
            <w:pPr>
              <w:pStyle w:val="46"/>
              <w:ind w:firstLine="480"/>
              <w:rPr>
                <w:rFonts w:cs="宋体"/>
              </w:rPr>
            </w:pPr>
            <w:r>
              <w:rPr>
                <w:rFonts w:hint="eastAsia"/>
                <w:szCs w:val="28"/>
                <w:lang w:bidi="ar"/>
              </w:rPr>
              <w:t>彩61H井为三开水平井，如</w:t>
            </w:r>
            <w:r>
              <w:rPr>
                <w:rFonts w:cs="宋体"/>
              </w:rPr>
              <w:t>表8</w:t>
            </w:r>
            <w:r>
              <w:rPr>
                <w:rFonts w:hint="eastAsia" w:cs="宋体"/>
              </w:rPr>
              <w:t>和附图</w:t>
            </w:r>
            <w:r>
              <w:rPr>
                <w:rFonts w:cs="宋体"/>
              </w:rPr>
              <w:t>5</w:t>
            </w:r>
            <w:r>
              <w:rPr>
                <w:rFonts w:hint="eastAsia" w:hAnsi="等线" w:cs="宋体"/>
              </w:rPr>
              <w:t>所示</w:t>
            </w:r>
            <w:r>
              <w:rPr>
                <w:rFonts w:hint="eastAsia" w:cs="宋体"/>
              </w:rPr>
              <w:t>。</w:t>
            </w:r>
          </w:p>
          <w:p>
            <w:pPr>
              <w:pStyle w:val="6"/>
              <w:keepNext/>
              <w:rPr>
                <w:rFonts w:hAnsi="Times New Roman"/>
              </w:rPr>
            </w:pPr>
            <w:r>
              <w:t>表8</w:t>
            </w:r>
            <w:r>
              <w:rPr>
                <w:rFonts w:hint="eastAsia" w:hAnsi="Times New Roman"/>
              </w:rPr>
              <w:t xml:space="preserve">  </w:t>
            </w:r>
            <w:r>
              <w:rPr>
                <w:rFonts w:hAnsi="Times New Roman"/>
              </w:rPr>
              <w:t xml:space="preserve"> </w:t>
            </w:r>
            <w:r>
              <w:rPr>
                <w:rFonts w:hint="eastAsia" w:hAnsi="Times New Roman"/>
              </w:rPr>
              <w:t xml:space="preserve"> 井身结构设计数据表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28"/>
              <w:gridCol w:w="987"/>
              <w:gridCol w:w="1418"/>
              <w:gridCol w:w="850"/>
              <w:gridCol w:w="1701"/>
              <w:gridCol w:w="18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28" w:type="dxa"/>
                  <w:tcBorders>
                    <w:right w:val="single" w:color="auto" w:sz="4" w:space="0"/>
                  </w:tcBorders>
                  <w:vAlign w:val="center"/>
                </w:tcPr>
                <w:p>
                  <w:pPr>
                    <w:pStyle w:val="49"/>
                    <w:spacing w:line="340" w:lineRule="exact"/>
                  </w:pPr>
                  <w:r>
                    <w:t>井位编号</w:t>
                  </w:r>
                </w:p>
              </w:tc>
              <w:tc>
                <w:tcPr>
                  <w:tcW w:w="987" w:type="dxa"/>
                  <w:tcBorders>
                    <w:left w:val="single" w:color="auto" w:sz="4" w:space="0"/>
                  </w:tcBorders>
                  <w:vAlign w:val="center"/>
                </w:tcPr>
                <w:p>
                  <w:pPr>
                    <w:pStyle w:val="49"/>
                    <w:spacing w:line="340" w:lineRule="exact"/>
                  </w:pPr>
                  <w:r>
                    <w:t>开钻程序</w:t>
                  </w:r>
                </w:p>
              </w:tc>
              <w:tc>
                <w:tcPr>
                  <w:tcW w:w="1418" w:type="dxa"/>
                  <w:vAlign w:val="center"/>
                </w:tcPr>
                <w:p>
                  <w:pPr>
                    <w:pStyle w:val="49"/>
                    <w:spacing w:line="340" w:lineRule="exact"/>
                  </w:pPr>
                  <w:r>
                    <w:t>钻头尺寸(mm)</w:t>
                  </w:r>
                </w:p>
              </w:tc>
              <w:tc>
                <w:tcPr>
                  <w:tcW w:w="850" w:type="dxa"/>
                  <w:vAlign w:val="center"/>
                </w:tcPr>
                <w:p>
                  <w:pPr>
                    <w:pStyle w:val="49"/>
                    <w:spacing w:line="340" w:lineRule="exact"/>
                  </w:pPr>
                  <w:r>
                    <w:t>井深(m)</w:t>
                  </w:r>
                </w:p>
              </w:tc>
              <w:tc>
                <w:tcPr>
                  <w:tcW w:w="1701" w:type="dxa"/>
                  <w:vAlign w:val="center"/>
                </w:tcPr>
                <w:p>
                  <w:pPr>
                    <w:pStyle w:val="49"/>
                    <w:spacing w:line="340" w:lineRule="exact"/>
                  </w:pPr>
                  <w:r>
                    <w:t>套管尺寸(mm)</w:t>
                  </w:r>
                </w:p>
              </w:tc>
              <w:tc>
                <w:tcPr>
                  <w:tcW w:w="1843" w:type="dxa"/>
                  <w:vAlign w:val="center"/>
                </w:tcPr>
                <w:p>
                  <w:pPr>
                    <w:pStyle w:val="49"/>
                    <w:spacing w:line="340" w:lineRule="exact"/>
                  </w:pPr>
                  <w:r>
                    <w:rPr>
                      <w:rFonts w:hint="eastAsia"/>
                    </w:rPr>
                    <w:t>水泥浆</w:t>
                  </w:r>
                  <w:r>
                    <w:t>返高（m）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1" w:hRule="atLeast"/>
              </w:trPr>
              <w:tc>
                <w:tcPr>
                  <w:tcW w:w="1028" w:type="dxa"/>
                  <w:vMerge w:val="restart"/>
                  <w:vAlign w:val="center"/>
                </w:tcPr>
                <w:p>
                  <w:pPr>
                    <w:pStyle w:val="49"/>
                    <w:spacing w:line="340" w:lineRule="exact"/>
                  </w:pPr>
                  <w:r>
                    <w:rPr>
                      <w:rFonts w:hint="eastAsia"/>
                    </w:rPr>
                    <w:t>彩61H</w:t>
                  </w:r>
                </w:p>
              </w:tc>
              <w:tc>
                <w:tcPr>
                  <w:tcW w:w="987" w:type="dxa"/>
                  <w:tcBorders>
                    <w:left w:val="single" w:color="auto" w:sz="4" w:space="0"/>
                  </w:tcBorders>
                  <w:vAlign w:val="center"/>
                </w:tcPr>
                <w:p>
                  <w:pPr>
                    <w:pStyle w:val="49"/>
                    <w:spacing w:line="340" w:lineRule="exact"/>
                  </w:pPr>
                  <w:r>
                    <w:rPr>
                      <w:rFonts w:hint="eastAsia"/>
                    </w:rPr>
                    <w:t>一开</w:t>
                  </w:r>
                </w:p>
              </w:tc>
              <w:tc>
                <w:tcPr>
                  <w:tcW w:w="1418" w:type="dxa"/>
                </w:tcPr>
                <w:p>
                  <w:pPr>
                    <w:pStyle w:val="49"/>
                    <w:spacing w:line="340" w:lineRule="exact"/>
                  </w:pPr>
                  <w:r>
                    <w:t>444.5</w:t>
                  </w:r>
                </w:p>
              </w:tc>
              <w:tc>
                <w:tcPr>
                  <w:tcW w:w="850" w:type="dxa"/>
                </w:tcPr>
                <w:p>
                  <w:pPr>
                    <w:pStyle w:val="49"/>
                    <w:spacing w:line="340" w:lineRule="exact"/>
                  </w:pPr>
                  <w:r>
                    <w:t>400</w:t>
                  </w:r>
                </w:p>
              </w:tc>
              <w:tc>
                <w:tcPr>
                  <w:tcW w:w="1701" w:type="dxa"/>
                  <w:vAlign w:val="center"/>
                </w:tcPr>
                <w:p>
                  <w:pPr>
                    <w:pStyle w:val="49"/>
                    <w:spacing w:line="340" w:lineRule="exact"/>
                  </w:pPr>
                  <w:r>
                    <w:rPr>
                      <w:rFonts w:hint="eastAsia"/>
                      <w:color w:val="000000"/>
                    </w:rPr>
                    <w:t>339.7</w:t>
                  </w:r>
                </w:p>
              </w:tc>
              <w:tc>
                <w:tcPr>
                  <w:tcW w:w="1843" w:type="dxa"/>
                  <w:vAlign w:val="center"/>
                </w:tcPr>
                <w:p>
                  <w:pPr>
                    <w:pStyle w:val="49"/>
                    <w:spacing w:line="340" w:lineRule="exact"/>
                  </w:pPr>
                  <w:r>
                    <w:rPr>
                      <w:rFonts w:hint="eastAsia" w:cs="方正宋一简体"/>
                      <w:color w:val="000000"/>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28" w:type="dxa"/>
                  <w:vMerge w:val="continue"/>
                  <w:vAlign w:val="center"/>
                </w:tcPr>
                <w:p>
                  <w:pPr>
                    <w:pStyle w:val="49"/>
                    <w:spacing w:line="340" w:lineRule="exact"/>
                  </w:pPr>
                </w:p>
              </w:tc>
              <w:tc>
                <w:tcPr>
                  <w:tcW w:w="987" w:type="dxa"/>
                  <w:tcBorders>
                    <w:left w:val="single" w:color="auto" w:sz="4" w:space="0"/>
                  </w:tcBorders>
                  <w:vAlign w:val="center"/>
                </w:tcPr>
                <w:p>
                  <w:pPr>
                    <w:pStyle w:val="49"/>
                    <w:spacing w:line="340" w:lineRule="exact"/>
                  </w:pPr>
                  <w:r>
                    <w:rPr>
                      <w:rFonts w:hint="eastAsia"/>
                    </w:rPr>
                    <w:t>二开</w:t>
                  </w:r>
                </w:p>
              </w:tc>
              <w:tc>
                <w:tcPr>
                  <w:tcW w:w="1418" w:type="dxa"/>
                </w:tcPr>
                <w:p>
                  <w:pPr>
                    <w:pStyle w:val="49"/>
                    <w:spacing w:line="340" w:lineRule="exact"/>
                  </w:pPr>
                  <w:r>
                    <w:t>311.15</w:t>
                  </w:r>
                </w:p>
              </w:tc>
              <w:tc>
                <w:tcPr>
                  <w:tcW w:w="850" w:type="dxa"/>
                </w:tcPr>
                <w:p>
                  <w:pPr>
                    <w:pStyle w:val="49"/>
                    <w:spacing w:line="340" w:lineRule="exact"/>
                  </w:pPr>
                  <w:r>
                    <w:t>2122</w:t>
                  </w:r>
                </w:p>
              </w:tc>
              <w:tc>
                <w:tcPr>
                  <w:tcW w:w="1701" w:type="dxa"/>
                  <w:vAlign w:val="center"/>
                </w:tcPr>
                <w:p>
                  <w:pPr>
                    <w:pStyle w:val="49"/>
                    <w:spacing w:line="340" w:lineRule="exact"/>
                  </w:pPr>
                  <w:r>
                    <w:rPr>
                      <w:rFonts w:hint="eastAsia"/>
                      <w:color w:val="000000"/>
                    </w:rPr>
                    <w:t>244.5</w:t>
                  </w:r>
                </w:p>
              </w:tc>
              <w:tc>
                <w:tcPr>
                  <w:tcW w:w="1843" w:type="dxa"/>
                  <w:vAlign w:val="center"/>
                </w:tcPr>
                <w:p>
                  <w:pPr>
                    <w:pStyle w:val="49"/>
                    <w:spacing w:line="340" w:lineRule="exact"/>
                  </w:pPr>
                  <w:r>
                    <w:rPr>
                      <w:rFonts w:hint="eastAsia" w:cs="方正宋一简体"/>
                      <w:color w:val="000000"/>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1028" w:type="dxa"/>
                  <w:vMerge w:val="continue"/>
                  <w:vAlign w:val="center"/>
                </w:tcPr>
                <w:p>
                  <w:pPr>
                    <w:pStyle w:val="49"/>
                    <w:spacing w:line="340" w:lineRule="exact"/>
                  </w:pPr>
                </w:p>
              </w:tc>
              <w:tc>
                <w:tcPr>
                  <w:tcW w:w="987" w:type="dxa"/>
                  <w:tcBorders>
                    <w:left w:val="single" w:color="auto" w:sz="4" w:space="0"/>
                  </w:tcBorders>
                  <w:vAlign w:val="center"/>
                </w:tcPr>
                <w:p>
                  <w:pPr>
                    <w:pStyle w:val="49"/>
                    <w:spacing w:line="340" w:lineRule="exact"/>
                  </w:pPr>
                  <w:r>
                    <w:rPr>
                      <w:rFonts w:hint="eastAsia"/>
                    </w:rPr>
                    <w:t>三开</w:t>
                  </w:r>
                </w:p>
              </w:tc>
              <w:tc>
                <w:tcPr>
                  <w:tcW w:w="1418" w:type="dxa"/>
                </w:tcPr>
                <w:p>
                  <w:pPr>
                    <w:pStyle w:val="49"/>
                    <w:spacing w:line="340" w:lineRule="exact"/>
                  </w:pPr>
                  <w:r>
                    <w:t>215.9</w:t>
                  </w:r>
                </w:p>
              </w:tc>
              <w:tc>
                <w:tcPr>
                  <w:tcW w:w="850" w:type="dxa"/>
                </w:tcPr>
                <w:p>
                  <w:pPr>
                    <w:pStyle w:val="49"/>
                    <w:spacing w:line="340" w:lineRule="exact"/>
                  </w:pPr>
                  <w:r>
                    <w:t>4028</w:t>
                  </w:r>
                </w:p>
              </w:tc>
              <w:tc>
                <w:tcPr>
                  <w:tcW w:w="1701" w:type="dxa"/>
                  <w:vAlign w:val="center"/>
                </w:tcPr>
                <w:p>
                  <w:pPr>
                    <w:pStyle w:val="49"/>
                    <w:spacing w:line="340" w:lineRule="exact"/>
                  </w:pPr>
                  <w:r>
                    <w:rPr>
                      <w:rFonts w:hint="eastAsia"/>
                      <w:color w:val="000000"/>
                    </w:rPr>
                    <w:t>139.7</w:t>
                  </w:r>
                </w:p>
              </w:tc>
              <w:tc>
                <w:tcPr>
                  <w:tcW w:w="1843" w:type="dxa"/>
                  <w:vAlign w:val="center"/>
                </w:tcPr>
                <w:p>
                  <w:pPr>
                    <w:pStyle w:val="49"/>
                    <w:spacing w:line="340" w:lineRule="exact"/>
                  </w:pPr>
                  <w:r>
                    <w:rPr>
                      <w:rFonts w:hint="eastAsia" w:cs="方正宋一简体"/>
                      <w:color w:val="000000"/>
                    </w:rPr>
                    <w:t>2000</w:t>
                  </w:r>
                </w:p>
              </w:tc>
            </w:tr>
          </w:tbl>
          <w:p>
            <w:pPr>
              <w:pStyle w:val="46"/>
              <w:ind w:firstLine="480"/>
            </w:pPr>
            <w:r>
              <w:rPr>
                <w:rFonts w:hint="eastAsia"/>
              </w:rPr>
              <w:t>③钻井设备</w:t>
            </w:r>
          </w:p>
          <w:p>
            <w:pPr>
              <w:pStyle w:val="46"/>
              <w:ind w:firstLine="480"/>
              <w:rPr>
                <w:kern w:val="2"/>
              </w:rPr>
            </w:pPr>
            <w:r>
              <w:rPr>
                <w:rFonts w:hint="eastAsia"/>
                <w:snapToGrid w:val="0"/>
              </w:rPr>
              <w:t>钻井</w:t>
            </w:r>
            <w:r>
              <w:rPr>
                <w:snapToGrid w:val="0"/>
              </w:rPr>
              <w:t>设备包括提升系统、循环系统、动力系统、控制系统、仪器仪表等</w:t>
            </w:r>
            <w:r>
              <w:rPr>
                <w:rFonts w:hint="eastAsia"/>
                <w:snapToGrid w:val="0"/>
              </w:rPr>
              <w:t>，</w:t>
            </w:r>
            <w:r>
              <w:rPr>
                <w:rFonts w:hint="eastAsia"/>
                <w:kern w:val="2"/>
              </w:rPr>
              <w:t>详见</w:t>
            </w:r>
            <w:r>
              <w:rPr>
                <w:kern w:val="2"/>
              </w:rPr>
              <w:t>表9</w:t>
            </w:r>
            <w:r>
              <w:rPr>
                <w:rFonts w:hint="eastAsia"/>
                <w:kern w:val="2"/>
              </w:rPr>
              <w:t>所示。</w:t>
            </w:r>
          </w:p>
          <w:p>
            <w:pPr>
              <w:pStyle w:val="6"/>
            </w:pPr>
            <w:bookmarkStart w:id="14" w:name="_Ref19636829"/>
            <w:r>
              <w:t>表</w:t>
            </w:r>
            <w:bookmarkEnd w:id="14"/>
            <w:r>
              <w:t xml:space="preserve">9    </w:t>
            </w:r>
            <w:r>
              <w:rPr>
                <w:rFonts w:hint="eastAsia"/>
              </w:rPr>
              <w:t>钻井</w:t>
            </w:r>
            <w:r>
              <w:t>主要设备一览表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79"/>
              <w:gridCol w:w="3031"/>
              <w:gridCol w:w="2702"/>
              <w:gridCol w:w="14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4" w:hRule="atLeast"/>
              </w:trPr>
              <w:tc>
                <w:tcPr>
                  <w:tcW w:w="432" w:type="pct"/>
                  <w:vAlign w:val="center"/>
                </w:tcPr>
                <w:p>
                  <w:pPr>
                    <w:pStyle w:val="49"/>
                    <w:spacing w:line="340" w:lineRule="exact"/>
                  </w:pPr>
                  <w:r>
                    <w:t>序号</w:t>
                  </w:r>
                </w:p>
              </w:tc>
              <w:tc>
                <w:tcPr>
                  <w:tcW w:w="1927" w:type="pct"/>
                  <w:vAlign w:val="center"/>
                </w:tcPr>
                <w:p>
                  <w:pPr>
                    <w:pStyle w:val="49"/>
                    <w:spacing w:line="340" w:lineRule="exact"/>
                  </w:pPr>
                  <w:r>
                    <w:t>名   称</w:t>
                  </w:r>
                </w:p>
              </w:tc>
              <w:tc>
                <w:tcPr>
                  <w:tcW w:w="1718" w:type="pct"/>
                  <w:vAlign w:val="center"/>
                </w:tcPr>
                <w:p>
                  <w:pPr>
                    <w:pStyle w:val="49"/>
                    <w:spacing w:line="340" w:lineRule="exact"/>
                  </w:pPr>
                  <w:r>
                    <w:t>型 号</w:t>
                  </w:r>
                </w:p>
              </w:tc>
              <w:tc>
                <w:tcPr>
                  <w:tcW w:w="923" w:type="pct"/>
                  <w:vAlign w:val="center"/>
                </w:tcPr>
                <w:p>
                  <w:pPr>
                    <w:pStyle w:val="49"/>
                    <w:spacing w:line="340" w:lineRule="exact"/>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1</w:t>
                  </w:r>
                </w:p>
              </w:tc>
              <w:tc>
                <w:tcPr>
                  <w:tcW w:w="1927" w:type="pct"/>
                  <w:vAlign w:val="center"/>
                </w:tcPr>
                <w:p>
                  <w:pPr>
                    <w:pStyle w:val="49"/>
                    <w:spacing w:line="340" w:lineRule="exact"/>
                  </w:pPr>
                  <w:r>
                    <w:t>钻   机</w:t>
                  </w:r>
                </w:p>
              </w:tc>
              <w:tc>
                <w:tcPr>
                  <w:tcW w:w="1718" w:type="pct"/>
                </w:tcPr>
                <w:p>
                  <w:pPr>
                    <w:pStyle w:val="49"/>
                    <w:spacing w:line="340" w:lineRule="exact"/>
                  </w:pPr>
                  <w:r>
                    <w:t>ZJ50D</w:t>
                  </w:r>
                </w:p>
              </w:tc>
              <w:tc>
                <w:tcPr>
                  <w:tcW w:w="923" w:type="pct"/>
                  <w:vAlign w:val="center"/>
                </w:tcPr>
                <w:p>
                  <w:pPr>
                    <w:pStyle w:val="49"/>
                    <w:spacing w:line="340" w:lineRule="exact"/>
                  </w:pPr>
                  <w:r>
                    <w:rPr>
                      <w:rFonts w:hint="eastAsia"/>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2</w:t>
                  </w:r>
                </w:p>
              </w:tc>
              <w:tc>
                <w:tcPr>
                  <w:tcW w:w="1927" w:type="pct"/>
                  <w:vAlign w:val="center"/>
                </w:tcPr>
                <w:p>
                  <w:pPr>
                    <w:pStyle w:val="49"/>
                    <w:spacing w:line="340" w:lineRule="exact"/>
                  </w:pPr>
                  <w:r>
                    <w:t>井   架</w:t>
                  </w:r>
                </w:p>
              </w:tc>
              <w:tc>
                <w:tcPr>
                  <w:tcW w:w="1718" w:type="pct"/>
                </w:tcPr>
                <w:p>
                  <w:pPr>
                    <w:pStyle w:val="49"/>
                    <w:spacing w:line="340" w:lineRule="exact"/>
                  </w:pPr>
                  <w:r>
                    <w:t>JJ315/43A</w:t>
                  </w:r>
                </w:p>
              </w:tc>
              <w:tc>
                <w:tcPr>
                  <w:tcW w:w="923" w:type="pct"/>
                  <w:vAlign w:val="center"/>
                </w:tcPr>
                <w:p>
                  <w:pPr>
                    <w:pStyle w:val="49"/>
                    <w:spacing w:line="340" w:lineRule="exact"/>
                  </w:pPr>
                  <w:r>
                    <w:rPr>
                      <w:rFonts w:hint="eastAsia"/>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3</w:t>
                  </w:r>
                </w:p>
              </w:tc>
              <w:tc>
                <w:tcPr>
                  <w:tcW w:w="1927" w:type="pct"/>
                  <w:vAlign w:val="center"/>
                </w:tcPr>
                <w:p>
                  <w:pPr>
                    <w:pStyle w:val="49"/>
                    <w:spacing w:line="340" w:lineRule="exact"/>
                  </w:pPr>
                  <w:r>
                    <w:rPr>
                      <w:rFonts w:hint="eastAsia" w:cs="微软雅黑"/>
                    </w:rPr>
                    <w:t>钻井泵</w:t>
                  </w:r>
                </w:p>
              </w:tc>
              <w:tc>
                <w:tcPr>
                  <w:tcW w:w="1718" w:type="pct"/>
                  <w:vAlign w:val="center"/>
                </w:tcPr>
                <w:p>
                  <w:pPr>
                    <w:pStyle w:val="49"/>
                    <w:spacing w:line="340" w:lineRule="exact"/>
                  </w:pPr>
                  <w:r>
                    <w:t>F-1600</w:t>
                  </w:r>
                </w:p>
              </w:tc>
              <w:tc>
                <w:tcPr>
                  <w:tcW w:w="923" w:type="pct"/>
                  <w:vAlign w:val="center"/>
                </w:tcPr>
                <w:p>
                  <w:pPr>
                    <w:pStyle w:val="49"/>
                    <w:spacing w:line="340" w:lineRule="exact"/>
                  </w:pPr>
                  <w:r>
                    <w:t>2</w:t>
                  </w:r>
                  <w:r>
                    <w:rPr>
                      <w:rFonts w:hint="eastAsia"/>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4</w:t>
                  </w:r>
                </w:p>
              </w:tc>
              <w:tc>
                <w:tcPr>
                  <w:tcW w:w="1927" w:type="pct"/>
                  <w:vAlign w:val="center"/>
                </w:tcPr>
                <w:p>
                  <w:pPr>
                    <w:pStyle w:val="49"/>
                    <w:spacing w:line="340" w:lineRule="exact"/>
                  </w:pPr>
                  <w:r>
                    <w:rPr>
                      <w:rFonts w:hint="eastAsia" w:cs="微软雅黑"/>
                    </w:rPr>
                    <w:t>钻井液罐</w:t>
                  </w:r>
                </w:p>
              </w:tc>
              <w:tc>
                <w:tcPr>
                  <w:tcW w:w="1718" w:type="pct"/>
                  <w:vAlign w:val="center"/>
                </w:tcPr>
                <w:p>
                  <w:pPr>
                    <w:pStyle w:val="49"/>
                    <w:spacing w:line="340" w:lineRule="exact"/>
                  </w:pPr>
                  <w:r>
                    <w:rPr>
                      <w:rFonts w:hint="eastAsia"/>
                    </w:rPr>
                    <w:t>总容积</w:t>
                  </w:r>
                  <w:r>
                    <w:rPr>
                      <w:rFonts w:hint="eastAsia" w:cs="方正宋一简体"/>
                      <w:lang w:bidi="ar"/>
                    </w:rPr>
                    <w:t>≥220</w:t>
                  </w:r>
                  <w:r>
                    <w:rPr>
                      <w:rFonts w:hint="eastAsia"/>
                    </w:rPr>
                    <w:t>m</w:t>
                  </w:r>
                  <w:r>
                    <w:rPr>
                      <w:rFonts w:hint="eastAsia"/>
                      <w:vertAlign w:val="superscript"/>
                    </w:rPr>
                    <w:t>3</w:t>
                  </w:r>
                </w:p>
              </w:tc>
              <w:tc>
                <w:tcPr>
                  <w:tcW w:w="923" w:type="pct"/>
                  <w:vAlign w:val="center"/>
                </w:tcPr>
                <w:p>
                  <w:pPr>
                    <w:pStyle w:val="49"/>
                    <w:spacing w:line="340" w:lineRule="exact"/>
                  </w:pPr>
                  <w:r>
                    <w:rPr>
                      <w:rFonts w:hint="eastAsia"/>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5</w:t>
                  </w:r>
                </w:p>
              </w:tc>
              <w:tc>
                <w:tcPr>
                  <w:tcW w:w="1927" w:type="pct"/>
                  <w:vAlign w:val="center"/>
                </w:tcPr>
                <w:p>
                  <w:pPr>
                    <w:pStyle w:val="49"/>
                    <w:spacing w:line="340" w:lineRule="exact"/>
                    <w:rPr>
                      <w:rFonts w:cs="微软雅黑"/>
                    </w:rPr>
                  </w:pPr>
                  <w:r>
                    <w:rPr>
                      <w:rFonts w:hint="eastAsia" w:cs="微软雅黑"/>
                    </w:rPr>
                    <w:t>柴油机</w:t>
                  </w:r>
                </w:p>
              </w:tc>
              <w:tc>
                <w:tcPr>
                  <w:tcW w:w="1718" w:type="pct"/>
                  <w:vAlign w:val="center"/>
                </w:tcPr>
                <w:p>
                  <w:pPr>
                    <w:pStyle w:val="49"/>
                    <w:spacing w:line="340" w:lineRule="exact"/>
                  </w:pPr>
                  <w:r>
                    <w:t>12V190B</w:t>
                  </w:r>
                </w:p>
              </w:tc>
              <w:tc>
                <w:tcPr>
                  <w:tcW w:w="923" w:type="pct"/>
                  <w:vAlign w:val="center"/>
                </w:tcPr>
                <w:p>
                  <w:pPr>
                    <w:pStyle w:val="49"/>
                    <w:spacing w:line="340" w:lineRule="exact"/>
                  </w:pPr>
                  <w:r>
                    <w:t>3</w:t>
                  </w:r>
                  <w:r>
                    <w:rPr>
                      <w:rFonts w:hint="eastAsia"/>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6</w:t>
                  </w:r>
                </w:p>
              </w:tc>
              <w:tc>
                <w:tcPr>
                  <w:tcW w:w="1927" w:type="pct"/>
                  <w:vAlign w:val="center"/>
                </w:tcPr>
                <w:p>
                  <w:pPr>
                    <w:pStyle w:val="49"/>
                    <w:spacing w:line="340" w:lineRule="exact"/>
                    <w:rPr>
                      <w:rFonts w:cs="微软雅黑"/>
                    </w:rPr>
                  </w:pPr>
                  <w:r>
                    <w:rPr>
                      <w:rFonts w:hint="eastAsia"/>
                    </w:rPr>
                    <w:t>发电机</w:t>
                  </w:r>
                </w:p>
              </w:tc>
              <w:tc>
                <w:tcPr>
                  <w:tcW w:w="1718" w:type="pct"/>
                  <w:vAlign w:val="center"/>
                </w:tcPr>
                <w:p>
                  <w:pPr>
                    <w:pStyle w:val="49"/>
                    <w:spacing w:line="340" w:lineRule="exact"/>
                  </w:pPr>
                  <w:r>
                    <w:rPr>
                      <w:rFonts w:hint="eastAsia" w:cs="方正宋一简体"/>
                      <w:lang w:bidi="ar"/>
                    </w:rPr>
                    <w:t>PZ8V-190D-2</w:t>
                  </w:r>
                </w:p>
              </w:tc>
              <w:tc>
                <w:tcPr>
                  <w:tcW w:w="923" w:type="pct"/>
                  <w:vAlign w:val="center"/>
                </w:tcPr>
                <w:p>
                  <w:pPr>
                    <w:pStyle w:val="49"/>
                    <w:spacing w:line="340" w:lineRule="exact"/>
                  </w:pPr>
                  <w:r>
                    <w:t>2</w:t>
                  </w:r>
                  <w:r>
                    <w:rPr>
                      <w:rFonts w:hint="eastAsia"/>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8" w:hRule="atLeast"/>
              </w:trPr>
              <w:tc>
                <w:tcPr>
                  <w:tcW w:w="432" w:type="pct"/>
                  <w:vAlign w:val="center"/>
                </w:tcPr>
                <w:p>
                  <w:pPr>
                    <w:pStyle w:val="49"/>
                    <w:spacing w:line="340" w:lineRule="exact"/>
                  </w:pPr>
                  <w:r>
                    <w:rPr>
                      <w:rFonts w:hint="eastAsia"/>
                    </w:rPr>
                    <w:t>7</w:t>
                  </w:r>
                </w:p>
              </w:tc>
              <w:tc>
                <w:tcPr>
                  <w:tcW w:w="1927" w:type="pct"/>
                  <w:vAlign w:val="center"/>
                </w:tcPr>
                <w:p>
                  <w:pPr>
                    <w:pStyle w:val="49"/>
                    <w:spacing w:line="340" w:lineRule="exact"/>
                    <w:rPr>
                      <w:rFonts w:cs="微软雅黑"/>
                    </w:rPr>
                  </w:pPr>
                  <w:r>
                    <w:rPr>
                      <w:rFonts w:hint="eastAsia"/>
                    </w:rPr>
                    <w:t>钻井液不落地系统</w:t>
                  </w:r>
                </w:p>
              </w:tc>
              <w:tc>
                <w:tcPr>
                  <w:tcW w:w="1718" w:type="pct"/>
                  <w:vAlign w:val="center"/>
                </w:tcPr>
                <w:p>
                  <w:pPr>
                    <w:pStyle w:val="49"/>
                    <w:spacing w:line="340" w:lineRule="exact"/>
                  </w:pPr>
                  <w:r>
                    <w:rPr>
                      <w:rFonts w:hint="eastAsia"/>
                    </w:rPr>
                    <w:t>/</w:t>
                  </w:r>
                </w:p>
              </w:tc>
              <w:tc>
                <w:tcPr>
                  <w:tcW w:w="923" w:type="pct"/>
                  <w:vAlign w:val="center"/>
                </w:tcPr>
                <w:p>
                  <w:pPr>
                    <w:pStyle w:val="49"/>
                    <w:spacing w:line="340" w:lineRule="exact"/>
                  </w:pPr>
                  <w:r>
                    <w:rPr>
                      <w:rFonts w:hint="eastAsia"/>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8</w:t>
                  </w:r>
                </w:p>
              </w:tc>
              <w:tc>
                <w:tcPr>
                  <w:tcW w:w="1927" w:type="pct"/>
                  <w:vAlign w:val="center"/>
                </w:tcPr>
                <w:p>
                  <w:pPr>
                    <w:pStyle w:val="49"/>
                    <w:spacing w:line="340" w:lineRule="exact"/>
                    <w:rPr>
                      <w:rFonts w:cs="微软雅黑"/>
                    </w:rPr>
                  </w:pPr>
                  <w:r>
                    <w:rPr>
                      <w:rFonts w:hint="eastAsia"/>
                    </w:rPr>
                    <w:t>井控系统</w:t>
                  </w:r>
                </w:p>
              </w:tc>
              <w:tc>
                <w:tcPr>
                  <w:tcW w:w="1718" w:type="pct"/>
                  <w:vAlign w:val="center"/>
                </w:tcPr>
                <w:p>
                  <w:pPr>
                    <w:pStyle w:val="49"/>
                    <w:spacing w:line="340" w:lineRule="exact"/>
                  </w:pPr>
                  <w:r>
                    <w:rPr>
                      <w:rFonts w:hint="eastAsia"/>
                    </w:rPr>
                    <w:t>二开、三开</w:t>
                  </w:r>
                </w:p>
              </w:tc>
              <w:tc>
                <w:tcPr>
                  <w:tcW w:w="923" w:type="pct"/>
                  <w:vAlign w:val="center"/>
                </w:tcPr>
                <w:p>
                  <w:pPr>
                    <w:pStyle w:val="49"/>
                    <w:spacing w:line="340" w:lineRule="exact"/>
                  </w:pPr>
                  <w:r>
                    <w:t>2</w:t>
                  </w:r>
                  <w:r>
                    <w:rPr>
                      <w:rFonts w:hint="eastAsia"/>
                    </w:rPr>
                    <w:t>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9</w:t>
                  </w:r>
                </w:p>
              </w:tc>
              <w:tc>
                <w:tcPr>
                  <w:tcW w:w="1927" w:type="pct"/>
                  <w:vAlign w:val="center"/>
                </w:tcPr>
                <w:p>
                  <w:pPr>
                    <w:pStyle w:val="49"/>
                    <w:spacing w:line="340" w:lineRule="exact"/>
                    <w:rPr>
                      <w:rFonts w:cs="微软雅黑"/>
                    </w:rPr>
                  </w:pPr>
                  <w:r>
                    <w:rPr>
                      <w:rFonts w:hint="eastAsia"/>
                    </w:rPr>
                    <w:t>硫化氢检测仪</w:t>
                  </w:r>
                </w:p>
              </w:tc>
              <w:tc>
                <w:tcPr>
                  <w:tcW w:w="1718" w:type="pct"/>
                  <w:vAlign w:val="center"/>
                </w:tcPr>
                <w:p>
                  <w:pPr>
                    <w:pStyle w:val="49"/>
                    <w:spacing w:line="340" w:lineRule="exact"/>
                  </w:pPr>
                  <w:r>
                    <w:rPr>
                      <w:rFonts w:hint="eastAsia"/>
                    </w:rPr>
                    <w:t>便携式</w:t>
                  </w:r>
                </w:p>
              </w:tc>
              <w:tc>
                <w:tcPr>
                  <w:tcW w:w="923" w:type="pct"/>
                  <w:vAlign w:val="center"/>
                </w:tcPr>
                <w:p>
                  <w:pPr>
                    <w:pStyle w:val="49"/>
                    <w:spacing w:line="340" w:lineRule="exact"/>
                  </w:pPr>
                  <w:r>
                    <w:rPr>
                      <w:rFonts w:hint="eastAsia"/>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1</w:t>
                  </w:r>
                  <w:r>
                    <w:t>0</w:t>
                  </w:r>
                </w:p>
              </w:tc>
              <w:tc>
                <w:tcPr>
                  <w:tcW w:w="1927" w:type="pct"/>
                  <w:vAlign w:val="center"/>
                </w:tcPr>
                <w:p>
                  <w:pPr>
                    <w:pStyle w:val="49"/>
                    <w:spacing w:line="340" w:lineRule="exact"/>
                    <w:rPr>
                      <w:rFonts w:cs="微软雅黑"/>
                    </w:rPr>
                  </w:pPr>
                  <w:r>
                    <w:rPr>
                      <w:rFonts w:hint="eastAsia"/>
                    </w:rPr>
                    <w:t>液压大钳</w:t>
                  </w:r>
                </w:p>
              </w:tc>
              <w:tc>
                <w:tcPr>
                  <w:tcW w:w="1718" w:type="pct"/>
                  <w:vAlign w:val="center"/>
                </w:tcPr>
                <w:p>
                  <w:pPr>
                    <w:pStyle w:val="49"/>
                    <w:spacing w:line="340" w:lineRule="exact"/>
                  </w:pPr>
                  <w:r>
                    <w:rPr>
                      <w:rFonts w:hint="eastAsia"/>
                    </w:rPr>
                    <w:t>/</w:t>
                  </w:r>
                </w:p>
              </w:tc>
              <w:tc>
                <w:tcPr>
                  <w:tcW w:w="923" w:type="pct"/>
                  <w:vAlign w:val="center"/>
                </w:tcPr>
                <w:p>
                  <w:pPr>
                    <w:pStyle w:val="49"/>
                    <w:spacing w:line="340" w:lineRule="exact"/>
                  </w:pPr>
                  <w:r>
                    <w:rPr>
                      <w:rFonts w:hint="eastAsia"/>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9" w:hRule="atLeast"/>
              </w:trPr>
              <w:tc>
                <w:tcPr>
                  <w:tcW w:w="432" w:type="pct"/>
                  <w:vAlign w:val="center"/>
                </w:tcPr>
                <w:p>
                  <w:pPr>
                    <w:pStyle w:val="49"/>
                    <w:spacing w:line="340" w:lineRule="exact"/>
                  </w:pPr>
                  <w:r>
                    <w:rPr>
                      <w:rFonts w:hint="eastAsia"/>
                    </w:rPr>
                    <w:t>1</w:t>
                  </w:r>
                  <w:r>
                    <w:t>1</w:t>
                  </w:r>
                </w:p>
              </w:tc>
              <w:tc>
                <w:tcPr>
                  <w:tcW w:w="1927" w:type="pct"/>
                  <w:vAlign w:val="center"/>
                </w:tcPr>
                <w:p>
                  <w:pPr>
                    <w:pStyle w:val="49"/>
                    <w:spacing w:line="340" w:lineRule="exact"/>
                  </w:pPr>
                  <w:r>
                    <w:rPr>
                      <w:rFonts w:hint="eastAsia"/>
                    </w:rPr>
                    <w:t>柴油储罐</w:t>
                  </w:r>
                </w:p>
              </w:tc>
              <w:tc>
                <w:tcPr>
                  <w:tcW w:w="1718" w:type="pct"/>
                  <w:vAlign w:val="center"/>
                </w:tcPr>
                <w:p>
                  <w:pPr>
                    <w:pStyle w:val="49"/>
                    <w:spacing w:line="340" w:lineRule="exact"/>
                  </w:pPr>
                  <w:r>
                    <w:t>20m</w:t>
                  </w:r>
                  <w:r>
                    <w:rPr>
                      <w:vertAlign w:val="superscript"/>
                    </w:rPr>
                    <w:t>3</w:t>
                  </w:r>
                </w:p>
              </w:tc>
              <w:tc>
                <w:tcPr>
                  <w:tcW w:w="923" w:type="pct"/>
                  <w:vAlign w:val="center"/>
                </w:tcPr>
                <w:p>
                  <w:pPr>
                    <w:pStyle w:val="49"/>
                    <w:spacing w:line="340" w:lineRule="exact"/>
                  </w:pPr>
                  <w:r>
                    <w:t>1</w:t>
                  </w:r>
                  <w:r>
                    <w:rPr>
                      <w:rFonts w:hint="eastAsia"/>
                    </w:rPr>
                    <w:t>座</w:t>
                  </w:r>
                </w:p>
              </w:tc>
            </w:tr>
          </w:tbl>
          <w:p>
            <w:pPr>
              <w:pStyle w:val="46"/>
              <w:ind w:firstLine="480"/>
            </w:pPr>
            <w:bookmarkStart w:id="15" w:name="_Hlk115957586"/>
            <w:r>
              <w:rPr>
                <w:rFonts w:hint="eastAsia"/>
              </w:rPr>
              <w:t>④钻井液体系</w:t>
            </w:r>
          </w:p>
          <w:bookmarkEnd w:id="15"/>
          <w:p>
            <w:pPr>
              <w:pStyle w:val="46"/>
              <w:ind w:firstLine="480"/>
            </w:pPr>
            <w:r>
              <w:rPr>
                <w:rFonts w:hint="eastAsia"/>
                <w:snapToGrid w:val="0"/>
              </w:rPr>
              <w:t>钻井使用非磺化水基钻井液，一开主要成分为坂土、C</w:t>
            </w:r>
            <w:r>
              <w:rPr>
                <w:snapToGrid w:val="0"/>
              </w:rPr>
              <w:t>MC</w:t>
            </w:r>
            <w:r>
              <w:rPr>
                <w:rFonts w:hint="eastAsia"/>
                <w:snapToGrid w:val="0"/>
              </w:rPr>
              <w:t>等，二开以及三开水基钻井液主要成分为包被剂、降滤失剂、坂土等，钻井过程中约使用9</w:t>
            </w:r>
            <w:r>
              <w:rPr>
                <w:snapToGrid w:val="0"/>
              </w:rPr>
              <w:t>20</w:t>
            </w:r>
            <w:r>
              <w:rPr>
                <w:rFonts w:hint="eastAsia"/>
                <w:snapToGrid w:val="0"/>
                <w:szCs w:val="21"/>
              </w:rPr>
              <w:t>m</w:t>
            </w:r>
            <w:r>
              <w:rPr>
                <w:rFonts w:hint="eastAsia"/>
                <w:snapToGrid w:val="0"/>
                <w:szCs w:val="21"/>
                <w:vertAlign w:val="superscript"/>
              </w:rPr>
              <w:t>3</w:t>
            </w:r>
            <w:r>
              <w:rPr>
                <w:rFonts w:hint="eastAsia"/>
                <w:snapToGrid w:val="0"/>
                <w:szCs w:val="21"/>
              </w:rPr>
              <w:t>钻井液</w:t>
            </w:r>
            <w:r>
              <w:rPr>
                <w:rFonts w:hint="eastAsia"/>
                <w:snapToGrid w:val="0"/>
              </w:rPr>
              <w:t>，水基钻井液由钻井液公司统一配置，由罐车拉运至井场，钻井过程中不在现场配置钻井液，各井段</w:t>
            </w:r>
            <w:r>
              <w:rPr>
                <w:rFonts w:hint="eastAsia"/>
              </w:rPr>
              <w:t>用量见</w:t>
            </w:r>
            <w:r>
              <w:t>表10</w:t>
            </w:r>
            <w:r>
              <w:rPr>
                <w:rFonts w:hint="eastAsia"/>
              </w:rPr>
              <w:t>。</w:t>
            </w:r>
          </w:p>
          <w:p>
            <w:pPr>
              <w:pStyle w:val="46"/>
              <w:ind w:firstLine="480"/>
            </w:pPr>
          </w:p>
          <w:p>
            <w:pPr>
              <w:pStyle w:val="46"/>
              <w:ind w:firstLine="480"/>
            </w:pPr>
          </w:p>
          <w:p>
            <w:pPr>
              <w:pStyle w:val="68"/>
              <w:spacing w:line="500" w:lineRule="exact"/>
              <w:rPr>
                <w:rFonts w:ascii="黑体" w:hAnsi="黑体"/>
              </w:rPr>
            </w:pPr>
            <w:bookmarkStart w:id="16" w:name="_Ref66721972"/>
            <w:r>
              <w:rPr>
                <w:rFonts w:hint="eastAsia" w:ascii="黑体" w:hAnsi="黑体"/>
              </w:rPr>
              <w:t>表</w:t>
            </w:r>
            <w:bookmarkEnd w:id="16"/>
            <w:r>
              <w:rPr>
                <w:rFonts w:ascii="黑体" w:hAnsi="黑体"/>
              </w:rPr>
              <w:t>10    钻井液</w:t>
            </w:r>
            <w:r>
              <w:rPr>
                <w:rFonts w:hint="eastAsia" w:ascii="黑体" w:hAnsi="黑体"/>
              </w:rPr>
              <w:t>用量</w:t>
            </w:r>
            <w:r>
              <w:rPr>
                <w:rFonts w:ascii="黑体" w:hAnsi="黑体"/>
              </w:rPr>
              <w:t>一览表</w:t>
            </w:r>
          </w:p>
          <w:tbl>
            <w:tblPr>
              <w:tblStyle w:val="17"/>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3"/>
              <w:gridCol w:w="1418"/>
              <w:gridCol w:w="1134"/>
              <w:gridCol w:w="1697"/>
              <w:gridCol w:w="1702"/>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 w:hRule="atLeast"/>
                <w:jc w:val="center"/>
              </w:trPr>
              <w:tc>
                <w:tcPr>
                  <w:tcW w:w="504" w:type="pct"/>
                  <w:vAlign w:val="center"/>
                </w:tcPr>
                <w:p>
                  <w:pPr>
                    <w:spacing w:line="360" w:lineRule="exact"/>
                    <w:jc w:val="center"/>
                    <w:rPr>
                      <w:rFonts w:ascii="宋体" w:hAnsi="宋体"/>
                      <w:szCs w:val="21"/>
                      <w:lang w:bidi="ar"/>
                    </w:rPr>
                  </w:pPr>
                  <w:r>
                    <w:rPr>
                      <w:rFonts w:hint="eastAsia" w:ascii="宋体" w:hAnsi="宋体"/>
                      <w:szCs w:val="21"/>
                      <w:lang w:bidi="ar"/>
                    </w:rPr>
                    <w:t>井号</w:t>
                  </w:r>
                </w:p>
              </w:tc>
              <w:tc>
                <w:tcPr>
                  <w:tcW w:w="889" w:type="pct"/>
                  <w:vAlign w:val="center"/>
                </w:tcPr>
                <w:p>
                  <w:pPr>
                    <w:spacing w:line="360" w:lineRule="exact"/>
                    <w:jc w:val="center"/>
                    <w:rPr>
                      <w:rFonts w:ascii="宋体" w:hAnsi="宋体"/>
                      <w:szCs w:val="21"/>
                      <w:lang w:bidi="ar"/>
                    </w:rPr>
                  </w:pPr>
                  <w:r>
                    <w:rPr>
                      <w:rFonts w:hint="eastAsia" w:ascii="宋体" w:hAnsi="宋体"/>
                      <w:szCs w:val="21"/>
                      <w:lang w:bidi="ar"/>
                    </w:rPr>
                    <w:t>钻井液性质</w:t>
                  </w:r>
                </w:p>
              </w:tc>
              <w:tc>
                <w:tcPr>
                  <w:tcW w:w="711" w:type="pct"/>
                  <w:vAlign w:val="center"/>
                </w:tcPr>
                <w:p>
                  <w:pPr>
                    <w:spacing w:line="360" w:lineRule="exact"/>
                    <w:jc w:val="center"/>
                    <w:rPr>
                      <w:rFonts w:ascii="宋体" w:hAnsi="宋体"/>
                      <w:szCs w:val="21"/>
                      <w:lang w:bidi="ar"/>
                    </w:rPr>
                  </w:pPr>
                  <w:r>
                    <w:rPr>
                      <w:rFonts w:ascii="宋体" w:hAnsi="宋体"/>
                      <w:szCs w:val="21"/>
                      <w:lang w:bidi="ar"/>
                    </w:rPr>
                    <w:t>开钻次序</w:t>
                  </w:r>
                </w:p>
              </w:tc>
              <w:tc>
                <w:tcPr>
                  <w:tcW w:w="1064" w:type="pct"/>
                  <w:vAlign w:val="center"/>
                </w:tcPr>
                <w:p>
                  <w:pPr>
                    <w:spacing w:line="360" w:lineRule="exact"/>
                    <w:jc w:val="center"/>
                    <w:rPr>
                      <w:rFonts w:ascii="宋体" w:hAnsi="宋体"/>
                      <w:szCs w:val="21"/>
                      <w:lang w:bidi="ar"/>
                    </w:rPr>
                  </w:pPr>
                  <w:r>
                    <w:rPr>
                      <w:rFonts w:hint="eastAsia" w:ascii="宋体" w:hAnsi="宋体" w:cs="宋体"/>
                      <w:kern w:val="0"/>
                      <w:szCs w:val="21"/>
                    </w:rPr>
                    <w:t>钻井液体系</w:t>
                  </w:r>
                </w:p>
              </w:tc>
              <w:tc>
                <w:tcPr>
                  <w:tcW w:w="1067" w:type="pct"/>
                  <w:vAlign w:val="center"/>
                </w:tcPr>
                <w:p>
                  <w:pPr>
                    <w:spacing w:line="360" w:lineRule="exact"/>
                    <w:jc w:val="center"/>
                    <w:rPr>
                      <w:rFonts w:ascii="宋体" w:hAnsi="宋体"/>
                      <w:szCs w:val="21"/>
                      <w:lang w:bidi="ar"/>
                    </w:rPr>
                  </w:pPr>
                  <w:r>
                    <w:rPr>
                      <w:rFonts w:hint="eastAsia" w:ascii="宋体" w:hAnsi="宋体"/>
                      <w:szCs w:val="21"/>
                      <w:lang w:bidi="ar"/>
                    </w:rPr>
                    <w:t>钻井液用量（m</w:t>
                  </w:r>
                  <w:r>
                    <w:rPr>
                      <w:rFonts w:ascii="宋体" w:hAnsi="宋体"/>
                      <w:szCs w:val="21"/>
                      <w:vertAlign w:val="superscript"/>
                      <w:lang w:bidi="ar"/>
                    </w:rPr>
                    <w:t>3</w:t>
                  </w:r>
                  <w:r>
                    <w:rPr>
                      <w:rFonts w:hint="eastAsia" w:ascii="宋体" w:hAnsi="宋体"/>
                      <w:szCs w:val="21"/>
                      <w:lang w:bidi="ar"/>
                    </w:rPr>
                    <w:t>）</w:t>
                  </w:r>
                </w:p>
              </w:tc>
              <w:tc>
                <w:tcPr>
                  <w:tcW w:w="765" w:type="pct"/>
                  <w:vAlign w:val="center"/>
                </w:tcPr>
                <w:p>
                  <w:pPr>
                    <w:spacing w:line="360" w:lineRule="exact"/>
                    <w:jc w:val="center"/>
                    <w:rPr>
                      <w:rFonts w:ascii="宋体" w:hAnsi="宋体"/>
                      <w:szCs w:val="21"/>
                      <w:lang w:bidi="ar"/>
                    </w:rPr>
                  </w:pPr>
                  <w:r>
                    <w:rPr>
                      <w:rFonts w:hint="eastAsia" w:ascii="宋体" w:hAnsi="宋体"/>
                      <w:szCs w:val="21"/>
                      <w:lang w:bidi="ar"/>
                    </w:rPr>
                    <w:t>合计（m</w:t>
                  </w:r>
                  <w:r>
                    <w:rPr>
                      <w:rFonts w:ascii="宋体" w:hAnsi="宋体"/>
                      <w:szCs w:val="21"/>
                      <w:vertAlign w:val="superscript"/>
                      <w:lang w:bidi="ar"/>
                    </w:rPr>
                    <w:t>3</w:t>
                  </w:r>
                  <w:r>
                    <w:rPr>
                      <w:rFonts w:hint="eastAsia" w:ascii="宋体" w:hAnsi="宋体"/>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 w:hRule="atLeast"/>
                <w:jc w:val="center"/>
              </w:trPr>
              <w:tc>
                <w:tcPr>
                  <w:tcW w:w="504" w:type="pct"/>
                  <w:vMerge w:val="restart"/>
                  <w:vAlign w:val="center"/>
                </w:tcPr>
                <w:p>
                  <w:pPr>
                    <w:spacing w:line="360" w:lineRule="exact"/>
                    <w:jc w:val="center"/>
                    <w:rPr>
                      <w:rFonts w:ascii="宋体" w:hAnsi="宋体"/>
                      <w:szCs w:val="21"/>
                      <w:lang w:bidi="ar"/>
                    </w:rPr>
                  </w:pPr>
                  <w:r>
                    <w:rPr>
                      <w:rFonts w:hint="eastAsia" w:ascii="宋体" w:hAnsi="宋体"/>
                      <w:szCs w:val="21"/>
                      <w:lang w:bidi="ar"/>
                    </w:rPr>
                    <w:t>彩61H</w:t>
                  </w:r>
                </w:p>
              </w:tc>
              <w:tc>
                <w:tcPr>
                  <w:tcW w:w="889" w:type="pct"/>
                  <w:vMerge w:val="restart"/>
                  <w:vAlign w:val="center"/>
                </w:tcPr>
                <w:p>
                  <w:pPr>
                    <w:spacing w:line="360" w:lineRule="exact"/>
                    <w:jc w:val="center"/>
                    <w:rPr>
                      <w:rFonts w:ascii="宋体" w:hAnsi="宋体"/>
                      <w:szCs w:val="21"/>
                    </w:rPr>
                  </w:pPr>
                  <w:r>
                    <w:rPr>
                      <w:rFonts w:hint="eastAsia" w:ascii="宋体" w:hAnsi="宋体"/>
                      <w:szCs w:val="21"/>
                      <w:lang w:bidi="ar"/>
                    </w:rPr>
                    <w:t>水基钻井液</w:t>
                  </w:r>
                </w:p>
              </w:tc>
              <w:tc>
                <w:tcPr>
                  <w:tcW w:w="711" w:type="pct"/>
                  <w:vAlign w:val="center"/>
                </w:tcPr>
                <w:p>
                  <w:pPr>
                    <w:spacing w:line="360" w:lineRule="exact"/>
                    <w:jc w:val="center"/>
                    <w:rPr>
                      <w:rFonts w:ascii="宋体" w:hAnsi="宋体"/>
                      <w:szCs w:val="21"/>
                    </w:rPr>
                  </w:pPr>
                  <w:r>
                    <w:rPr>
                      <w:rFonts w:ascii="宋体" w:hAnsi="宋体"/>
                      <w:szCs w:val="21"/>
                      <w:lang w:bidi="ar"/>
                    </w:rPr>
                    <w:t>一开</w:t>
                  </w:r>
                </w:p>
              </w:tc>
              <w:tc>
                <w:tcPr>
                  <w:tcW w:w="1064" w:type="pct"/>
                  <w:vAlign w:val="center"/>
                </w:tcPr>
                <w:p>
                  <w:pPr>
                    <w:spacing w:line="360" w:lineRule="exact"/>
                    <w:jc w:val="center"/>
                    <w:rPr>
                      <w:rFonts w:ascii="宋体" w:hAnsi="宋体" w:cs="Arial"/>
                      <w:szCs w:val="21"/>
                      <w:lang w:bidi="ar"/>
                    </w:rPr>
                  </w:pPr>
                  <w:r>
                    <w:rPr>
                      <w:rFonts w:hint="eastAsia" w:ascii="宋体" w:hAnsi="宋体"/>
                      <w:snapToGrid w:val="0"/>
                    </w:rPr>
                    <w:t>坂土+</w:t>
                  </w:r>
                  <w:r>
                    <w:rPr>
                      <w:rFonts w:ascii="宋体" w:hAnsi="宋体"/>
                      <w:snapToGrid w:val="0"/>
                    </w:rPr>
                    <w:t>CMC</w:t>
                  </w:r>
                </w:p>
              </w:tc>
              <w:tc>
                <w:tcPr>
                  <w:tcW w:w="1067" w:type="pct"/>
                  <w:vAlign w:val="center"/>
                </w:tcPr>
                <w:p>
                  <w:pPr>
                    <w:spacing w:line="360" w:lineRule="exact"/>
                    <w:jc w:val="center"/>
                    <w:rPr>
                      <w:rFonts w:ascii="宋体" w:hAnsi="宋体"/>
                      <w:szCs w:val="21"/>
                    </w:rPr>
                  </w:pPr>
                  <w:r>
                    <w:rPr>
                      <w:rFonts w:ascii="宋体" w:hAnsi="宋体"/>
                      <w:szCs w:val="21"/>
                    </w:rPr>
                    <w:t>208</w:t>
                  </w:r>
                </w:p>
              </w:tc>
              <w:tc>
                <w:tcPr>
                  <w:tcW w:w="765" w:type="pct"/>
                  <w:vAlign w:val="center"/>
                </w:tcPr>
                <w:p>
                  <w:pPr>
                    <w:spacing w:line="360" w:lineRule="exact"/>
                    <w:jc w:val="center"/>
                    <w:rPr>
                      <w:rFonts w:ascii="宋体" w:hAnsi="宋体"/>
                      <w:szCs w:val="21"/>
                    </w:rPr>
                  </w:pPr>
                  <w:r>
                    <w:rPr>
                      <w:rFonts w:ascii="宋体" w:hAnsi="宋体" w:cs="Arial"/>
                      <w:szCs w:val="18"/>
                    </w:rPr>
                    <w:t>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 w:hRule="atLeast"/>
                <w:jc w:val="center"/>
              </w:trPr>
              <w:tc>
                <w:tcPr>
                  <w:tcW w:w="504" w:type="pct"/>
                  <w:vMerge w:val="continue"/>
                  <w:vAlign w:val="center"/>
                </w:tcPr>
                <w:p>
                  <w:pPr>
                    <w:spacing w:line="360" w:lineRule="exact"/>
                    <w:jc w:val="center"/>
                    <w:rPr>
                      <w:rFonts w:ascii="宋体" w:hAnsi="宋体"/>
                      <w:szCs w:val="21"/>
                      <w:lang w:bidi="ar"/>
                    </w:rPr>
                  </w:pPr>
                </w:p>
              </w:tc>
              <w:tc>
                <w:tcPr>
                  <w:tcW w:w="889" w:type="pct"/>
                  <w:vMerge w:val="continue"/>
                  <w:vAlign w:val="center"/>
                </w:tcPr>
                <w:p>
                  <w:pPr>
                    <w:spacing w:line="360" w:lineRule="exact"/>
                    <w:jc w:val="center"/>
                    <w:rPr>
                      <w:rFonts w:ascii="宋体" w:hAnsi="宋体"/>
                      <w:szCs w:val="21"/>
                    </w:rPr>
                  </w:pPr>
                </w:p>
              </w:tc>
              <w:tc>
                <w:tcPr>
                  <w:tcW w:w="711" w:type="pct"/>
                  <w:vAlign w:val="center"/>
                </w:tcPr>
                <w:p>
                  <w:pPr>
                    <w:spacing w:line="360" w:lineRule="exact"/>
                    <w:jc w:val="center"/>
                    <w:rPr>
                      <w:rFonts w:ascii="宋体" w:hAnsi="宋体"/>
                      <w:szCs w:val="21"/>
                    </w:rPr>
                  </w:pPr>
                  <w:r>
                    <w:rPr>
                      <w:rFonts w:ascii="宋体" w:hAnsi="宋体"/>
                      <w:szCs w:val="21"/>
                      <w:lang w:bidi="ar"/>
                    </w:rPr>
                    <w:t>二开</w:t>
                  </w:r>
                </w:p>
              </w:tc>
              <w:tc>
                <w:tcPr>
                  <w:tcW w:w="1064" w:type="pct"/>
                  <w:vMerge w:val="restart"/>
                  <w:vAlign w:val="center"/>
                </w:tcPr>
                <w:p>
                  <w:pPr>
                    <w:spacing w:line="360" w:lineRule="exact"/>
                    <w:jc w:val="center"/>
                    <w:rPr>
                      <w:rFonts w:ascii="宋体" w:hAnsi="宋体"/>
                      <w:szCs w:val="21"/>
                    </w:rPr>
                  </w:pPr>
                  <w:r>
                    <w:rPr>
                      <w:rFonts w:hint="eastAsia"/>
                      <w:snapToGrid w:val="0"/>
                    </w:rPr>
                    <w:t>包被剂、降滤失剂、坂土</w:t>
                  </w:r>
                </w:p>
              </w:tc>
              <w:tc>
                <w:tcPr>
                  <w:tcW w:w="1067" w:type="pct"/>
                  <w:vAlign w:val="center"/>
                </w:tcPr>
                <w:p>
                  <w:pPr>
                    <w:spacing w:line="360" w:lineRule="exact"/>
                    <w:jc w:val="center"/>
                    <w:rPr>
                      <w:rFonts w:ascii="宋体" w:hAnsi="宋体"/>
                      <w:szCs w:val="21"/>
                    </w:rPr>
                  </w:pPr>
                  <w:r>
                    <w:rPr>
                      <w:rFonts w:ascii="宋体" w:hAnsi="宋体"/>
                      <w:szCs w:val="21"/>
                    </w:rPr>
                    <w:t>450</w:t>
                  </w:r>
                </w:p>
              </w:tc>
              <w:tc>
                <w:tcPr>
                  <w:tcW w:w="765" w:type="pct"/>
                  <w:vMerge w:val="restart"/>
                  <w:vAlign w:val="center"/>
                </w:tcPr>
                <w:p>
                  <w:pPr>
                    <w:spacing w:line="360" w:lineRule="exact"/>
                    <w:jc w:val="center"/>
                    <w:rPr>
                      <w:rFonts w:ascii="宋体" w:hAnsi="宋体"/>
                      <w:szCs w:val="21"/>
                    </w:rPr>
                  </w:pPr>
                  <w:r>
                    <w:rPr>
                      <w:rFonts w:ascii="宋体" w:hAnsi="宋体"/>
                      <w:szCs w:val="21"/>
                    </w:rPr>
                    <w:t>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 w:hRule="atLeast"/>
                <w:jc w:val="center"/>
              </w:trPr>
              <w:tc>
                <w:tcPr>
                  <w:tcW w:w="504" w:type="pct"/>
                  <w:vMerge w:val="continue"/>
                  <w:vAlign w:val="center"/>
                </w:tcPr>
                <w:p>
                  <w:pPr>
                    <w:spacing w:line="360" w:lineRule="exact"/>
                    <w:jc w:val="center"/>
                    <w:rPr>
                      <w:rFonts w:ascii="宋体" w:hAnsi="宋体"/>
                      <w:szCs w:val="21"/>
                      <w:lang w:bidi="ar"/>
                    </w:rPr>
                  </w:pPr>
                </w:p>
              </w:tc>
              <w:tc>
                <w:tcPr>
                  <w:tcW w:w="889" w:type="pct"/>
                  <w:vMerge w:val="continue"/>
                  <w:vAlign w:val="center"/>
                </w:tcPr>
                <w:p>
                  <w:pPr>
                    <w:spacing w:line="360" w:lineRule="exact"/>
                    <w:jc w:val="center"/>
                    <w:rPr>
                      <w:rFonts w:ascii="宋体" w:hAnsi="宋体"/>
                      <w:szCs w:val="21"/>
                    </w:rPr>
                  </w:pPr>
                </w:p>
              </w:tc>
              <w:tc>
                <w:tcPr>
                  <w:tcW w:w="711" w:type="pct"/>
                  <w:vAlign w:val="center"/>
                </w:tcPr>
                <w:p>
                  <w:pPr>
                    <w:spacing w:line="360" w:lineRule="exact"/>
                    <w:jc w:val="center"/>
                    <w:rPr>
                      <w:rFonts w:ascii="宋体" w:hAnsi="宋体"/>
                      <w:szCs w:val="21"/>
                      <w:lang w:bidi="ar"/>
                    </w:rPr>
                  </w:pPr>
                  <w:r>
                    <w:rPr>
                      <w:rFonts w:hint="eastAsia" w:ascii="宋体" w:hAnsi="宋体"/>
                      <w:szCs w:val="21"/>
                      <w:lang w:bidi="ar"/>
                    </w:rPr>
                    <w:t>三开</w:t>
                  </w:r>
                </w:p>
              </w:tc>
              <w:tc>
                <w:tcPr>
                  <w:tcW w:w="1064" w:type="pct"/>
                  <w:vMerge w:val="continue"/>
                  <w:vAlign w:val="center"/>
                </w:tcPr>
                <w:p>
                  <w:pPr>
                    <w:spacing w:line="360" w:lineRule="exact"/>
                    <w:jc w:val="center"/>
                    <w:rPr>
                      <w:rFonts w:ascii="宋体" w:hAnsi="宋体"/>
                      <w:szCs w:val="21"/>
                    </w:rPr>
                  </w:pPr>
                </w:p>
              </w:tc>
              <w:tc>
                <w:tcPr>
                  <w:tcW w:w="1067" w:type="pct"/>
                  <w:vAlign w:val="center"/>
                </w:tcPr>
                <w:p>
                  <w:pPr>
                    <w:spacing w:line="360" w:lineRule="exact"/>
                    <w:jc w:val="center"/>
                    <w:rPr>
                      <w:rFonts w:ascii="宋体" w:hAnsi="宋体"/>
                      <w:szCs w:val="21"/>
                    </w:rPr>
                  </w:pPr>
                  <w:r>
                    <w:rPr>
                      <w:rFonts w:ascii="宋体" w:hAnsi="宋体"/>
                      <w:szCs w:val="21"/>
                    </w:rPr>
                    <w:t>262</w:t>
                  </w:r>
                </w:p>
              </w:tc>
              <w:tc>
                <w:tcPr>
                  <w:tcW w:w="765" w:type="pct"/>
                  <w:vMerge w:val="continue"/>
                  <w:vAlign w:val="center"/>
                </w:tcPr>
                <w:p>
                  <w:pPr>
                    <w:spacing w:line="360" w:lineRule="exact"/>
                    <w:jc w:val="center"/>
                    <w:rPr>
                      <w:rFonts w:ascii="宋体" w:hAnsi="宋体"/>
                      <w:szCs w:val="21"/>
                    </w:rPr>
                  </w:pPr>
                </w:p>
              </w:tc>
            </w:tr>
          </w:tbl>
          <w:p>
            <w:pPr>
              <w:pStyle w:val="46"/>
              <w:ind w:firstLine="480"/>
              <w:rPr>
                <w:snapToGrid w:val="0"/>
              </w:rPr>
            </w:pPr>
            <w:r>
              <w:rPr>
                <w:rFonts w:hint="eastAsia"/>
                <w:snapToGrid w:val="0"/>
              </w:rPr>
              <w:t>⑤压裂液</w:t>
            </w:r>
          </w:p>
          <w:p>
            <w:pPr>
              <w:pStyle w:val="46"/>
              <w:ind w:firstLine="480"/>
              <w:rPr>
                <w:snapToGrid w:val="0"/>
              </w:rPr>
            </w:pPr>
            <w:r>
              <w:rPr>
                <w:rFonts w:hint="eastAsia"/>
                <w:snapToGrid w:val="0"/>
              </w:rPr>
              <w:t>试油期压裂液使用量约</w:t>
            </w:r>
            <w:r>
              <w:rPr>
                <w:snapToGrid w:val="0"/>
              </w:rPr>
              <w:t>16000</w:t>
            </w:r>
            <w:r>
              <w:rPr>
                <w:rFonts w:hint="eastAsia"/>
                <w:snapToGrid w:val="0"/>
              </w:rPr>
              <w:t>m</w:t>
            </w:r>
            <w:r>
              <w:rPr>
                <w:snapToGrid w:val="0"/>
                <w:vertAlign w:val="superscript"/>
              </w:rPr>
              <w:t>3</w:t>
            </w:r>
            <w:r>
              <w:rPr>
                <w:rFonts w:hint="eastAsia"/>
                <w:snapToGrid w:val="0"/>
              </w:rPr>
              <w:t>，主要成分为羟丙基胍胶、K</w:t>
            </w:r>
            <w:r>
              <w:rPr>
                <w:snapToGrid w:val="0"/>
              </w:rPr>
              <w:t>C</w:t>
            </w:r>
            <w:r>
              <w:rPr>
                <w:rFonts w:hint="eastAsia"/>
                <w:snapToGrid w:val="0"/>
              </w:rPr>
              <w:t>l及过硫酸钠等。</w:t>
            </w:r>
          </w:p>
          <w:p>
            <w:pPr>
              <w:widowControl/>
              <w:spacing w:line="500" w:lineRule="exact"/>
              <w:ind w:firstLine="482" w:firstLineChars="200"/>
              <w:rPr>
                <w:rFonts w:ascii="宋体" w:hAnsi="宋体" w:cs="宋体"/>
                <w:b/>
                <w:bCs/>
                <w:snapToGrid w:val="0"/>
                <w:sz w:val="24"/>
              </w:rPr>
            </w:pPr>
            <w:r>
              <w:rPr>
                <w:rFonts w:hint="eastAsia" w:ascii="宋体" w:hAnsi="宋体" w:cs="宋体"/>
                <w:b/>
                <w:bCs/>
                <w:snapToGrid w:val="0"/>
                <w:sz w:val="24"/>
              </w:rPr>
              <w:t>2、试油施工方案</w:t>
            </w:r>
          </w:p>
          <w:p>
            <w:pPr>
              <w:spacing w:line="500" w:lineRule="exact"/>
              <w:ind w:firstLine="480" w:firstLineChars="200"/>
              <w:rPr>
                <w:rFonts w:ascii="宋体" w:hAnsi="宋体" w:cs="宋体"/>
                <w:sz w:val="24"/>
              </w:rPr>
            </w:pPr>
            <w:r>
              <w:rPr>
                <w:rFonts w:hint="eastAsia" w:ascii="宋体" w:hAnsi="宋体" w:cs="宋体"/>
                <w:bCs/>
                <w:sz w:val="24"/>
                <w:lang w:bidi="ar"/>
              </w:rPr>
              <w:t>在钻井施工完毕后对目的层进行试油作业。</w:t>
            </w:r>
            <w:bookmarkStart w:id="17" w:name="_Ref19641660"/>
            <w:r>
              <w:rPr>
                <w:rFonts w:hint="eastAsia" w:ascii="宋体" w:hAnsi="宋体" w:cs="宋体"/>
                <w:bCs/>
                <w:sz w:val="24"/>
                <w:lang w:bidi="ar"/>
              </w:rPr>
              <w:t>包括通井（</w:t>
            </w:r>
            <w:r>
              <w:rPr>
                <w:rFonts w:hint="eastAsia" w:ascii="宋体" w:hAnsi="宋体" w:cs="宋体"/>
                <w:sz w:val="24"/>
              </w:rPr>
              <w:t>用钻杆或油管带通井规下入井内，清除井壁上附着的固体物质，如钢渣、固井残留水泥等，同时检查套管是否有影响试油工具通过的弯曲等</w:t>
            </w:r>
            <w:r>
              <w:rPr>
                <w:rFonts w:hint="eastAsia" w:ascii="宋体" w:hAnsi="宋体" w:cs="宋体"/>
                <w:bCs/>
                <w:sz w:val="24"/>
                <w:lang w:bidi="ar"/>
              </w:rPr>
              <w:t>）</w:t>
            </w:r>
            <w:bookmarkEnd w:id="17"/>
            <w:r>
              <w:rPr>
                <w:rFonts w:hint="eastAsia" w:ascii="宋体" w:hAnsi="宋体" w:cs="宋体"/>
                <w:bCs/>
                <w:sz w:val="24"/>
                <w:lang w:bidi="ar"/>
              </w:rPr>
              <w:t>、</w:t>
            </w:r>
            <w:r>
              <w:rPr>
                <w:rFonts w:hint="eastAsia" w:ascii="宋体" w:hAnsi="宋体" w:cs="宋体"/>
                <w:sz w:val="24"/>
              </w:rPr>
              <w:t>洗井（使用泵注设备，利用洗井液，通过井内管柱内外循环，清除套管壁杂物等）、试压（用气体或液体介质，对地面流程、井口设备、井下套管等进行耐压程度检验）、射孔（利用专用设备和射孔枪，对套管和井壁进行射孔，建立地层与井筒之间的通道）、压裂（用泵车将压裂液挤入油层，当把油层压出许多裂缝后，加入支撑剂，如石英砂等，充填进裂缝，提高油层的渗透能力）等操作，然后在井口安装分离器，对获取的地层油、气、水进行取样。采出物进入地面方罐，伴生气通过地面排气管线线燃烧放空。</w:t>
            </w:r>
          </w:p>
          <w:p>
            <w:pPr>
              <w:spacing w:line="500" w:lineRule="exact"/>
              <w:ind w:firstLine="420" w:firstLineChars="200"/>
              <w:rPr>
                <w:rFonts w:ascii="宋体" w:hAnsi="宋体" w:cs="宋体"/>
                <w:sz w:val="24"/>
              </w:rPr>
            </w:pPr>
            <w:r>
              <w:rPr>
                <w:lang w:bidi="ar"/>
              </w:rPr>
              <w:pict>
                <v:shape id="对象 1938" o:spid="_x0000_s2052" o:spt="75" type="#_x0000_t75" style="position:absolute;left:0pt;margin-left:8.45pt;margin-top:34.4pt;height:102.85pt;width:395.8pt;mso-wrap-distance-bottom:0pt;mso-wrap-distance-top:0pt;z-index:251660288;mso-width-relative:page;mso-height-relative:page;" o:ole="t" filled="f" o:preferrelative="t" stroked="f" coordsize="21600,21600">
                  <v:path/>
                  <v:fill on="f" focussize="0,0"/>
                  <v:stroke on="f" joinstyle="miter"/>
                  <v:imagedata r:id="rId11" o:title=""/>
                  <o:lock v:ext="edit" aspectratio="t"/>
                  <w10:wrap type="topAndBottom"/>
                </v:shape>
                <o:OLEObject Type="Embed" ProgID="Visio.Drawing.15" ShapeID="对象 1938" DrawAspect="Content" ObjectID="_1468075725" r:id="rId10">
                  <o:LockedField>false</o:LockedField>
                </o:OLEObject>
              </w:pict>
            </w:r>
            <w:r>
              <w:rPr>
                <w:rFonts w:hint="eastAsia" w:ascii="宋体" w:hAnsi="宋体" w:cs="宋体"/>
                <w:sz w:val="24"/>
              </w:rPr>
              <w:t>钻井及试油期总体工艺流程见图1。</w:t>
            </w:r>
          </w:p>
          <w:p>
            <w:pPr>
              <w:pStyle w:val="68"/>
              <w:spacing w:line="500" w:lineRule="exact"/>
            </w:pPr>
            <w:bookmarkStart w:id="18" w:name="_Hlk116077662"/>
            <w:r>
              <w:rPr>
                <w:rFonts w:hint="eastAsia"/>
              </w:rPr>
              <w:t>图1</w:t>
            </w:r>
            <w:r>
              <w:t xml:space="preserve">    工艺流程和产污环节示意图</w:t>
            </w:r>
          </w:p>
          <w:bookmarkEnd w:id="18"/>
          <w:p>
            <w:pPr>
              <w:spacing w:line="500" w:lineRule="exact"/>
              <w:ind w:firstLine="482" w:firstLineChars="200"/>
              <w:rPr>
                <w:rFonts w:ascii="宋体" w:hAnsi="宋体" w:cs="宋体"/>
                <w:b/>
                <w:sz w:val="24"/>
              </w:rPr>
            </w:pPr>
            <w:r>
              <w:rPr>
                <w:rFonts w:hint="eastAsia" w:ascii="宋体" w:hAnsi="宋体" w:cs="宋体"/>
                <w:b/>
                <w:sz w:val="24"/>
              </w:rPr>
              <w:t>3、完井施工方案</w:t>
            </w:r>
          </w:p>
          <w:p>
            <w:pPr>
              <w:widowControl/>
              <w:snapToGrid w:val="0"/>
              <w:spacing w:line="500" w:lineRule="exact"/>
              <w:ind w:firstLine="472" w:firstLineChars="200"/>
              <w:rPr>
                <w:rFonts w:ascii="宋体" w:hAnsi="宋体" w:cs="宋体"/>
                <w:spacing w:val="-2"/>
                <w:kern w:val="0"/>
                <w:sz w:val="24"/>
              </w:rPr>
            </w:pPr>
            <w:r>
              <w:rPr>
                <w:rFonts w:hint="eastAsia" w:ascii="宋体" w:hAnsi="宋体" w:cs="宋体"/>
                <w:spacing w:val="-2"/>
                <w:kern w:val="0"/>
                <w:sz w:val="24"/>
              </w:rPr>
              <w:t>试油作业结束后，</w:t>
            </w:r>
            <w:bookmarkStart w:id="19" w:name="_Hlk105513415"/>
            <w:r>
              <w:rPr>
                <w:rFonts w:hint="eastAsia" w:ascii="宋体" w:hAnsi="宋体" w:cs="宋体"/>
                <w:spacing w:val="-2"/>
                <w:kern w:val="0"/>
                <w:sz w:val="24"/>
              </w:rPr>
              <w:t>若该井具备商业开采价值，则对其进行关井，后期根据油田开发要求转为开采井，若转为生产井需另行办理环评手续，在取得环评手续后方可进行施工。</w:t>
            </w:r>
            <w:bookmarkEnd w:id="19"/>
            <w:r>
              <w:rPr>
                <w:rFonts w:hint="eastAsia" w:ascii="宋体" w:hAnsi="宋体" w:cs="宋体"/>
                <w:spacing w:val="-2"/>
                <w:kern w:val="0"/>
                <w:sz w:val="24"/>
              </w:rPr>
              <w:t>如该井不具备开采价值，则对地面设施进行拆除，对井口按照《废弃井及长停井处置指南》（SY/T 6646-2017）进行封井作业。撤去所有生产设施（包括钻杆以及钻头等），平整并清理井场，将生活垃圾等废弃物清理干净。</w:t>
            </w:r>
          </w:p>
          <w:p>
            <w:pPr>
              <w:widowControl/>
              <w:snapToGrid w:val="0"/>
              <w:spacing w:line="500" w:lineRule="exact"/>
              <w:ind w:firstLine="482" w:firstLineChars="200"/>
              <w:rPr>
                <w:rFonts w:ascii="宋体" w:hAnsi="宋体" w:cs="宋体"/>
                <w:b/>
                <w:bCs/>
                <w:kern w:val="0"/>
                <w:sz w:val="24"/>
              </w:rPr>
            </w:pPr>
            <w:r>
              <w:rPr>
                <w:rFonts w:hint="eastAsia" w:ascii="宋体" w:hAnsi="宋体" w:cs="宋体"/>
                <w:b/>
                <w:bCs/>
                <w:kern w:val="0"/>
                <w:sz w:val="24"/>
              </w:rPr>
              <w:t>4、施工周期</w:t>
            </w:r>
            <w:r>
              <w:rPr>
                <w:rFonts w:ascii="宋体" w:hAnsi="宋体" w:cs="宋体"/>
                <w:b/>
                <w:bCs/>
                <w:kern w:val="0"/>
                <w:sz w:val="24"/>
              </w:rPr>
              <w:t>及组织定员</w:t>
            </w:r>
          </w:p>
          <w:p>
            <w:pPr>
              <w:widowControl/>
              <w:snapToGrid w:val="0"/>
              <w:spacing w:line="500" w:lineRule="exact"/>
              <w:ind w:firstLine="480" w:firstLineChars="200"/>
              <w:rPr>
                <w:rFonts w:ascii="宋体" w:hAnsi="宋体" w:cs="宋体"/>
                <w:kern w:val="0"/>
                <w:sz w:val="24"/>
                <w:szCs w:val="18"/>
              </w:rPr>
            </w:pPr>
            <w:r>
              <w:rPr>
                <w:rFonts w:hint="eastAsia" w:ascii="宋体" w:hAnsi="宋体" w:cs="宋体"/>
                <w:kern w:val="0"/>
                <w:sz w:val="24"/>
                <w:szCs w:val="18"/>
              </w:rPr>
              <w:t>彩61H井钻井期</w:t>
            </w:r>
            <w:r>
              <w:rPr>
                <w:rFonts w:ascii="宋体" w:hAnsi="宋体" w:cs="宋体"/>
                <w:kern w:val="0"/>
                <w:sz w:val="24"/>
                <w:szCs w:val="18"/>
              </w:rPr>
              <w:t>45</w:t>
            </w:r>
            <w:r>
              <w:rPr>
                <w:rFonts w:hint="eastAsia" w:ascii="宋体" w:hAnsi="宋体" w:cs="宋体"/>
                <w:kern w:val="0"/>
                <w:sz w:val="24"/>
                <w:szCs w:val="18"/>
              </w:rPr>
              <w:t>天，施工人数35人；试油期</w:t>
            </w:r>
            <w:r>
              <w:rPr>
                <w:rFonts w:ascii="宋体" w:hAnsi="宋体" w:cs="宋体"/>
                <w:kern w:val="0"/>
                <w:sz w:val="24"/>
                <w:szCs w:val="18"/>
              </w:rPr>
              <w:t>90</w:t>
            </w:r>
            <w:r>
              <w:rPr>
                <w:rFonts w:hint="eastAsia" w:ascii="宋体" w:hAnsi="宋体" w:cs="宋体"/>
                <w:kern w:val="0"/>
                <w:sz w:val="24"/>
                <w:szCs w:val="18"/>
              </w:rPr>
              <w:t>天，施工人数2人。</w:t>
            </w:r>
          </w:p>
          <w:p>
            <w:pPr>
              <w:widowControl/>
              <w:spacing w:line="500" w:lineRule="exact"/>
              <w:ind w:firstLine="482" w:firstLineChars="200"/>
              <w:rPr>
                <w:rFonts w:ascii="宋体" w:hAnsi="宋体"/>
                <w:b/>
                <w:kern w:val="0"/>
                <w:sz w:val="24"/>
              </w:rPr>
            </w:pPr>
            <w:r>
              <w:rPr>
                <w:rFonts w:ascii="宋体" w:hAnsi="宋体"/>
                <w:b/>
                <w:kern w:val="0"/>
                <w:sz w:val="24"/>
              </w:rPr>
              <w:t>5、能源物料消耗</w:t>
            </w:r>
          </w:p>
          <w:p>
            <w:pPr>
              <w:widowControl/>
              <w:spacing w:line="500" w:lineRule="exact"/>
              <w:ind w:firstLine="480" w:firstLineChars="200"/>
              <w:rPr>
                <w:rFonts w:ascii="宋体" w:hAnsi="宋体"/>
                <w:kern w:val="0"/>
                <w:sz w:val="24"/>
              </w:rPr>
            </w:pPr>
            <w:r>
              <w:rPr>
                <w:rFonts w:ascii="宋体" w:hAnsi="宋体"/>
                <w:kern w:val="0"/>
                <w:sz w:val="24"/>
              </w:rPr>
              <w:t>施工期间主要物料消耗为钻井液、压裂液、柴油、水等，消耗情况如</w:t>
            </w:r>
            <w:r>
              <w:rPr>
                <w:rFonts w:hint="eastAsia" w:ascii="宋体" w:hAnsi="宋体"/>
                <w:kern w:val="0"/>
                <w:sz w:val="24"/>
              </w:rPr>
              <w:t>表</w:t>
            </w:r>
            <w:r>
              <w:rPr>
                <w:rFonts w:ascii="宋体" w:hAnsi="宋体"/>
                <w:kern w:val="0"/>
                <w:sz w:val="24"/>
              </w:rPr>
              <w:t>11所示。</w:t>
            </w:r>
          </w:p>
          <w:p>
            <w:pPr>
              <w:pStyle w:val="6"/>
              <w:spacing w:line="480" w:lineRule="exact"/>
            </w:pPr>
            <w:bookmarkStart w:id="20" w:name="_Hlk15400228"/>
            <w:r>
              <w:rPr>
                <w:rFonts w:hint="eastAsia"/>
              </w:rPr>
              <w:t>表</w:t>
            </w:r>
            <w:r>
              <w:t>11    井场主要</w:t>
            </w:r>
            <w:r>
              <w:rPr>
                <w:rFonts w:hint="eastAsia"/>
              </w:rPr>
              <w:t>物料</w:t>
            </w:r>
            <w:r>
              <w:t>用量一览表</w:t>
            </w:r>
            <w:bookmarkEnd w:id="20"/>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445"/>
              <w:gridCol w:w="1709"/>
              <w:gridCol w:w="1347"/>
              <w:gridCol w:w="33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75" w:hRule="atLeast"/>
                <w:jc w:val="center"/>
              </w:trPr>
              <w:tc>
                <w:tcPr>
                  <w:tcW w:w="2007" w:type="pct"/>
                  <w:gridSpan w:val="2"/>
                  <w:vAlign w:val="center"/>
                </w:tcPr>
                <w:p>
                  <w:pPr>
                    <w:widowControl/>
                    <w:spacing w:line="300" w:lineRule="exact"/>
                    <w:jc w:val="center"/>
                    <w:rPr>
                      <w:rFonts w:ascii="宋体" w:hAnsi="宋体" w:cs="宋体"/>
                      <w:szCs w:val="21"/>
                    </w:rPr>
                  </w:pPr>
                  <w:r>
                    <w:rPr>
                      <w:rFonts w:hint="eastAsia" w:ascii="宋体" w:hAnsi="宋体" w:cs="宋体"/>
                      <w:szCs w:val="21"/>
                    </w:rPr>
                    <w:t>物料名称</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单位</w:t>
                  </w:r>
                </w:p>
              </w:tc>
              <w:tc>
                <w:tcPr>
                  <w:tcW w:w="2135" w:type="pct"/>
                  <w:vAlign w:val="center"/>
                </w:tcPr>
                <w:p>
                  <w:pPr>
                    <w:widowControl/>
                    <w:spacing w:line="300" w:lineRule="exact"/>
                    <w:jc w:val="center"/>
                    <w:rPr>
                      <w:rFonts w:ascii="宋体" w:hAnsi="宋体" w:cs="宋体"/>
                      <w:szCs w:val="21"/>
                    </w:rPr>
                  </w:pPr>
                  <w:r>
                    <w:rPr>
                      <w:rFonts w:hint="eastAsia" w:ascii="宋体" w:hAnsi="宋体" w:cs="宋体"/>
                      <w:szCs w:val="21"/>
                    </w:rPr>
                    <w:t>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6" w:hRule="atLeast"/>
                <w:jc w:val="center"/>
              </w:trPr>
              <w:tc>
                <w:tcPr>
                  <w:tcW w:w="2007" w:type="pct"/>
                  <w:gridSpan w:val="2"/>
                  <w:vAlign w:val="center"/>
                </w:tcPr>
                <w:p>
                  <w:pPr>
                    <w:widowControl/>
                    <w:spacing w:line="300" w:lineRule="exact"/>
                    <w:jc w:val="center"/>
                    <w:rPr>
                      <w:rFonts w:ascii="宋体" w:hAnsi="宋体" w:cs="宋体"/>
                      <w:szCs w:val="21"/>
                    </w:rPr>
                  </w:pPr>
                  <w:r>
                    <w:rPr>
                      <w:rFonts w:hint="eastAsia" w:ascii="宋体" w:hAnsi="宋体" w:cs="宋体"/>
                      <w:szCs w:val="21"/>
                    </w:rPr>
                    <w:t>水基钻井液</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920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1" w:hRule="atLeast"/>
                <w:jc w:val="center"/>
              </w:trPr>
              <w:tc>
                <w:tcPr>
                  <w:tcW w:w="2007" w:type="pct"/>
                  <w:gridSpan w:val="2"/>
                  <w:vAlign w:val="center"/>
                </w:tcPr>
                <w:p>
                  <w:pPr>
                    <w:widowControl/>
                    <w:spacing w:line="300" w:lineRule="exact"/>
                    <w:jc w:val="center"/>
                    <w:rPr>
                      <w:rFonts w:ascii="宋体" w:hAnsi="宋体" w:cs="宋体"/>
                      <w:szCs w:val="21"/>
                    </w:rPr>
                  </w:pPr>
                  <w:r>
                    <w:rPr>
                      <w:rFonts w:hint="eastAsia" w:ascii="宋体" w:hAnsi="宋体" w:cs="宋体"/>
                      <w:szCs w:val="21"/>
                    </w:rPr>
                    <w:t>压裂液</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16000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27" w:hRule="atLeast"/>
                <w:jc w:val="center"/>
              </w:trPr>
              <w:tc>
                <w:tcPr>
                  <w:tcW w:w="920" w:type="pct"/>
                  <w:vMerge w:val="restart"/>
                  <w:vAlign w:val="center"/>
                </w:tcPr>
                <w:p>
                  <w:pPr>
                    <w:widowControl/>
                    <w:spacing w:line="300" w:lineRule="exact"/>
                    <w:jc w:val="center"/>
                    <w:rPr>
                      <w:rFonts w:ascii="宋体" w:hAnsi="宋体" w:cs="宋体"/>
                      <w:szCs w:val="21"/>
                    </w:rPr>
                  </w:pPr>
                  <w:r>
                    <w:rPr>
                      <w:rFonts w:hint="eastAsia" w:ascii="宋体" w:hAnsi="宋体" w:cs="宋体"/>
                      <w:szCs w:val="21"/>
                    </w:rPr>
                    <w:t>新鲜用水</w:t>
                  </w:r>
                </w:p>
              </w:tc>
              <w:tc>
                <w:tcPr>
                  <w:tcW w:w="1088" w:type="pct"/>
                  <w:vAlign w:val="center"/>
                </w:tcPr>
                <w:p>
                  <w:pPr>
                    <w:widowControl/>
                    <w:spacing w:line="300" w:lineRule="exact"/>
                    <w:jc w:val="center"/>
                    <w:rPr>
                      <w:rFonts w:ascii="宋体" w:hAnsi="宋体" w:cs="宋体"/>
                      <w:szCs w:val="21"/>
                    </w:rPr>
                  </w:pPr>
                  <w:r>
                    <w:rPr>
                      <w:rFonts w:hint="eastAsia" w:ascii="宋体" w:hAnsi="宋体" w:cs="宋体"/>
                      <w:szCs w:val="21"/>
                    </w:rPr>
                    <w:t>洗井用水</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1" w:hRule="atLeast"/>
                <w:jc w:val="center"/>
              </w:trPr>
              <w:tc>
                <w:tcPr>
                  <w:tcW w:w="920" w:type="pct"/>
                  <w:vMerge w:val="continue"/>
                  <w:vAlign w:val="center"/>
                </w:tcPr>
                <w:p>
                  <w:pPr>
                    <w:widowControl/>
                    <w:spacing w:line="300" w:lineRule="exact"/>
                    <w:jc w:val="center"/>
                    <w:rPr>
                      <w:rFonts w:ascii="宋体" w:hAnsi="宋体" w:cs="宋体"/>
                      <w:szCs w:val="21"/>
                    </w:rPr>
                  </w:pPr>
                </w:p>
              </w:tc>
              <w:tc>
                <w:tcPr>
                  <w:tcW w:w="1088" w:type="pct"/>
                  <w:vAlign w:val="center"/>
                </w:tcPr>
                <w:p>
                  <w:pPr>
                    <w:widowControl/>
                    <w:spacing w:line="300" w:lineRule="exact"/>
                    <w:jc w:val="center"/>
                    <w:rPr>
                      <w:rFonts w:ascii="宋体" w:hAnsi="宋体" w:cs="宋体"/>
                      <w:szCs w:val="21"/>
                    </w:rPr>
                  </w:pPr>
                  <w:r>
                    <w:rPr>
                      <w:rFonts w:hint="eastAsia" w:ascii="宋体" w:hAnsi="宋体" w:cs="宋体"/>
                      <w:szCs w:val="21"/>
                    </w:rPr>
                    <w:t>生活用水</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31" w:hRule="atLeast"/>
                <w:jc w:val="center"/>
              </w:trPr>
              <w:tc>
                <w:tcPr>
                  <w:tcW w:w="920" w:type="pct"/>
                  <w:vMerge w:val="continue"/>
                  <w:vAlign w:val="center"/>
                </w:tcPr>
                <w:p>
                  <w:pPr>
                    <w:widowControl/>
                    <w:spacing w:line="300" w:lineRule="exact"/>
                    <w:jc w:val="center"/>
                    <w:rPr>
                      <w:rFonts w:ascii="宋体" w:hAnsi="宋体" w:cs="宋体"/>
                      <w:szCs w:val="21"/>
                    </w:rPr>
                  </w:pPr>
                </w:p>
              </w:tc>
              <w:tc>
                <w:tcPr>
                  <w:tcW w:w="1088" w:type="pct"/>
                  <w:vAlign w:val="center"/>
                </w:tcPr>
                <w:p>
                  <w:pPr>
                    <w:widowControl/>
                    <w:spacing w:line="300" w:lineRule="exact"/>
                    <w:jc w:val="center"/>
                    <w:rPr>
                      <w:rFonts w:ascii="宋体" w:hAnsi="宋体" w:cs="宋体"/>
                      <w:szCs w:val="21"/>
                    </w:rPr>
                  </w:pPr>
                  <w:r>
                    <w:rPr>
                      <w:rFonts w:hint="eastAsia" w:ascii="宋体" w:hAnsi="宋体" w:cs="宋体"/>
                      <w:szCs w:val="21"/>
                    </w:rPr>
                    <w:t>总计</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335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007" w:type="pct"/>
                  <w:gridSpan w:val="2"/>
                  <w:vAlign w:val="center"/>
                </w:tcPr>
                <w:p>
                  <w:pPr>
                    <w:widowControl/>
                    <w:spacing w:line="300" w:lineRule="exact"/>
                    <w:jc w:val="center"/>
                    <w:rPr>
                      <w:rFonts w:ascii="宋体" w:hAnsi="宋体" w:cs="宋体"/>
                      <w:szCs w:val="21"/>
                    </w:rPr>
                  </w:pPr>
                  <w:r>
                    <w:rPr>
                      <w:rFonts w:hint="eastAsia" w:ascii="宋体" w:hAnsi="宋体" w:cs="宋体"/>
                      <w:szCs w:val="21"/>
                    </w:rPr>
                    <w:t>柴  油</w:t>
                  </w:r>
                </w:p>
              </w:tc>
              <w:tc>
                <w:tcPr>
                  <w:tcW w:w="857" w:type="pct"/>
                  <w:vAlign w:val="center"/>
                </w:tcPr>
                <w:p>
                  <w:pPr>
                    <w:widowControl/>
                    <w:spacing w:line="300" w:lineRule="exact"/>
                    <w:jc w:val="center"/>
                    <w:rPr>
                      <w:rFonts w:ascii="宋体" w:hAnsi="宋体" w:cs="宋体"/>
                      <w:szCs w:val="21"/>
                    </w:rPr>
                  </w:pPr>
                  <w:r>
                    <w:rPr>
                      <w:rFonts w:hint="eastAsia" w:ascii="宋体" w:hAnsi="宋体" w:cs="宋体"/>
                      <w:szCs w:val="21"/>
                    </w:rPr>
                    <w:t>t</w:t>
                  </w:r>
                </w:p>
              </w:tc>
              <w:tc>
                <w:tcPr>
                  <w:tcW w:w="2135" w:type="pct"/>
                  <w:vAlign w:val="center"/>
                </w:tcPr>
                <w:p>
                  <w:pPr>
                    <w:widowControl/>
                    <w:spacing w:line="300" w:lineRule="exact"/>
                    <w:jc w:val="center"/>
                    <w:rPr>
                      <w:rFonts w:ascii="宋体" w:hAnsi="宋体" w:cs="宋体"/>
                      <w:szCs w:val="21"/>
                    </w:rPr>
                  </w:pPr>
                  <w:r>
                    <w:rPr>
                      <w:rFonts w:ascii="宋体" w:hAnsi="宋体" w:cs="宋体"/>
                      <w:szCs w:val="21"/>
                    </w:rPr>
                    <w:t>144</w:t>
                  </w:r>
                </w:p>
              </w:tc>
            </w:tr>
          </w:tbl>
          <w:p>
            <w:pPr>
              <w:pStyle w:val="8"/>
              <w:spacing w:before="56" w:line="343" w:lineRule="auto"/>
              <w:ind w:right="85" w:firstLine="480" w:firstLineChars="200"/>
              <w:jc w:val="left"/>
              <w:rPr>
                <w:rFonts w:ascii="宋体" w:hAnsi="宋体" w:cs="宋体"/>
                <w:color w:val="FF0000"/>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2" w:hRule="atLeast"/>
          <w:jc w:val="center"/>
        </w:trPr>
        <w:tc>
          <w:tcPr>
            <w:tcW w:w="699" w:type="dxa"/>
            <w:vAlign w:val="center"/>
          </w:tcPr>
          <w:p>
            <w:pPr>
              <w:adjustRightInd w:val="0"/>
              <w:snapToGrid w:val="0"/>
              <w:jc w:val="center"/>
              <w:rPr>
                <w:rFonts w:ascii="宋体" w:hAnsi="宋体" w:cs="宋体"/>
                <w:kern w:val="0"/>
                <w:sz w:val="24"/>
              </w:rPr>
            </w:pPr>
            <w:r>
              <w:rPr>
                <w:rFonts w:hint="eastAsia" w:ascii="宋体" w:hAnsi="宋体" w:cs="宋体"/>
                <w:kern w:val="0"/>
                <w:sz w:val="24"/>
              </w:rPr>
              <w:t>其他</w:t>
            </w:r>
          </w:p>
        </w:tc>
        <w:tc>
          <w:tcPr>
            <w:tcW w:w="8080" w:type="dxa"/>
            <w:vAlign w:val="center"/>
          </w:tcPr>
          <w:p>
            <w:pPr>
              <w:pStyle w:val="8"/>
              <w:spacing w:before="0" w:after="0" w:line="500" w:lineRule="exact"/>
              <w:ind w:right="0"/>
              <w:jc w:val="center"/>
              <w:rPr>
                <w:rFonts w:ascii="宋体" w:hAnsi="宋体" w:cs="宋体"/>
                <w:kern w:val="2"/>
                <w:sz w:val="24"/>
                <w:szCs w:val="24"/>
              </w:rPr>
            </w:pPr>
            <w:r>
              <w:rPr>
                <w:rFonts w:hint="eastAsia" w:ascii="宋体" w:hAnsi="宋体" w:cs="宋体"/>
                <w:kern w:val="2"/>
                <w:sz w:val="24"/>
                <w:szCs w:val="24"/>
              </w:rPr>
              <w:t>无</w:t>
            </w:r>
          </w:p>
        </w:tc>
      </w:tr>
    </w:tbl>
    <w:p>
      <w:pPr>
        <w:pStyle w:val="2"/>
        <w:rPr>
          <w:snapToGrid w:val="0"/>
        </w:rPr>
      </w:pPr>
      <w:r>
        <w:rPr>
          <w:rFonts w:hint="eastAsia"/>
          <w:snapToGrid w:val="0"/>
        </w:rPr>
        <w:t>三、生态环境现状、保护目标及评价标准</w:t>
      </w:r>
    </w:p>
    <w:tbl>
      <w:tblPr>
        <w:tblStyle w:val="17"/>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99"/>
        <w:gridCol w:w="709"/>
        <w:gridCol w:w="142"/>
        <w:gridCol w:w="992"/>
        <w:gridCol w:w="142"/>
        <w:gridCol w:w="1275"/>
        <w:gridCol w:w="567"/>
        <w:gridCol w:w="709"/>
        <w:gridCol w:w="284"/>
        <w:gridCol w:w="567"/>
        <w:gridCol w:w="850"/>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91" w:hRule="atLeast"/>
          <w:jc w:val="center"/>
        </w:trPr>
        <w:tc>
          <w:tcPr>
            <w:tcW w:w="699" w:type="dxa"/>
            <w:vAlign w:val="center"/>
          </w:tcPr>
          <w:p>
            <w:pPr>
              <w:adjustRightInd w:val="0"/>
              <w:snapToGrid w:val="0"/>
              <w:jc w:val="center"/>
              <w:rPr>
                <w:rFonts w:ascii="宋体" w:hAnsi="宋体" w:cs="宋体"/>
                <w:kern w:val="0"/>
                <w:szCs w:val="21"/>
              </w:rPr>
            </w:pPr>
            <w:r>
              <w:rPr>
                <w:rFonts w:hint="eastAsia" w:ascii="宋体" w:hAnsi="宋体" w:cs="宋体"/>
                <w:kern w:val="0"/>
                <w:sz w:val="24"/>
              </w:rPr>
              <w:t>生态环境现状</w:t>
            </w:r>
          </w:p>
        </w:tc>
        <w:tc>
          <w:tcPr>
            <w:tcW w:w="8080" w:type="dxa"/>
            <w:gridSpan w:val="11"/>
            <w:vAlign w:val="center"/>
          </w:tcPr>
          <w:p>
            <w:pPr>
              <w:wordWrap w:val="0"/>
              <w:spacing w:line="500" w:lineRule="exact"/>
              <w:ind w:firstLine="482" w:firstLineChars="200"/>
              <w:rPr>
                <w:rFonts w:ascii="宋体" w:hAnsi="宋体" w:cs="宋体"/>
                <w:b/>
                <w:sz w:val="24"/>
              </w:rPr>
            </w:pPr>
            <w:r>
              <w:rPr>
                <w:rFonts w:hint="eastAsia" w:ascii="宋体" w:hAnsi="等线" w:cs="宋体"/>
                <w:b/>
                <w:sz w:val="24"/>
              </w:rPr>
              <w:t>1、新疆维吾尔自治区主体功能区规划</w:t>
            </w:r>
          </w:p>
          <w:p>
            <w:pPr>
              <w:pStyle w:val="53"/>
              <w:wordWrap w:val="0"/>
              <w:adjustRightInd w:val="0"/>
              <w:snapToGrid w:val="0"/>
              <w:ind w:firstLine="480"/>
            </w:pPr>
            <w:r>
              <w:rPr>
                <w:rFonts w:hint="eastAsia"/>
              </w:rPr>
              <w:t>本项目所在的阜康市位于</w:t>
            </w:r>
            <w:r>
              <w:t>《新疆维吾尔自治区主体功能区规划</w:t>
            </w:r>
            <w:r>
              <w:rPr>
                <w:rFonts w:hint="eastAsia"/>
              </w:rPr>
              <w:t>》</w:t>
            </w:r>
            <w:r>
              <w:rPr>
                <w:rFonts w:hint="eastAsia"/>
                <w:bCs/>
              </w:rPr>
              <w:t>中的国家级重点开发区域（天山北坡地区），具有一定的经济基础，资源环境承载能力较强，发展潜力较大。</w:t>
            </w:r>
          </w:p>
          <w:p>
            <w:pPr>
              <w:wordWrap w:val="0"/>
              <w:spacing w:line="500" w:lineRule="exact"/>
              <w:ind w:firstLine="482" w:firstLineChars="200"/>
              <w:rPr>
                <w:rFonts w:ascii="宋体" w:hAnsi="宋体" w:cs="宋体"/>
                <w:b/>
                <w:sz w:val="24"/>
              </w:rPr>
            </w:pPr>
            <w:r>
              <w:rPr>
                <w:rFonts w:hint="eastAsia" w:ascii="宋体" w:hAnsi="宋体" w:cs="宋体"/>
                <w:b/>
                <w:sz w:val="24"/>
              </w:rPr>
              <w:t>2、生态功能区划</w:t>
            </w:r>
          </w:p>
          <w:p>
            <w:pPr>
              <w:wordWrap w:val="0"/>
              <w:snapToGrid w:val="0"/>
              <w:spacing w:line="500" w:lineRule="exact"/>
              <w:ind w:firstLine="480" w:firstLineChars="200"/>
              <w:rPr>
                <w:rFonts w:ascii="宋体" w:hAnsi="宋体" w:cs="宋体"/>
                <w:kern w:val="0"/>
                <w:sz w:val="24"/>
              </w:rPr>
            </w:pPr>
            <w:r>
              <w:rPr>
                <w:rFonts w:hint="eastAsia" w:ascii="宋体" w:hAnsi="宋体" w:cs="宋体"/>
                <w:kern w:val="0"/>
                <w:sz w:val="24"/>
              </w:rPr>
              <w:t>根据《新疆生态功能区划简表》，项目所属生态功能区的主要生态服务功能、主要生态环境问题、主要保护目标和主要发展方向等内容详见表</w:t>
            </w:r>
            <w:r>
              <w:rPr>
                <w:rFonts w:ascii="宋体" w:hAnsi="宋体" w:cs="宋体"/>
                <w:kern w:val="0"/>
                <w:sz w:val="24"/>
              </w:rPr>
              <w:t>12</w:t>
            </w:r>
            <w:r>
              <w:rPr>
                <w:rFonts w:hint="eastAsia" w:ascii="宋体" w:hAnsi="宋体" w:cs="宋体"/>
                <w:kern w:val="0"/>
                <w:sz w:val="24"/>
              </w:rPr>
              <w:t>。</w:t>
            </w:r>
          </w:p>
          <w:p>
            <w:pPr>
              <w:pStyle w:val="8"/>
              <w:wordWrap w:val="0"/>
              <w:spacing w:before="0" w:after="0" w:line="500" w:lineRule="exact"/>
              <w:ind w:right="0"/>
              <w:jc w:val="center"/>
              <w:rPr>
                <w:rFonts w:ascii="黑体" w:hAnsi="黑体" w:eastAsia="黑体" w:cs="黑体"/>
                <w:sz w:val="21"/>
                <w:szCs w:val="21"/>
              </w:rPr>
            </w:pPr>
            <w:r>
              <w:rPr>
                <w:rFonts w:hint="eastAsia" w:ascii="黑体" w:hAnsi="黑体" w:eastAsia="黑体" w:cs="黑体"/>
                <w:sz w:val="21"/>
                <w:szCs w:val="21"/>
              </w:rPr>
              <w:t>表</w:t>
            </w:r>
            <w:r>
              <w:rPr>
                <w:rFonts w:ascii="黑体" w:hAnsi="黑体" w:eastAsia="黑体" w:cs="黑体"/>
                <w:sz w:val="21"/>
                <w:szCs w:val="21"/>
              </w:rPr>
              <w:t xml:space="preserve">12  </w:t>
            </w:r>
            <w:r>
              <w:rPr>
                <w:rFonts w:hint="eastAsia" w:ascii="黑体" w:hAnsi="黑体" w:eastAsia="黑体" w:cs="黑体"/>
                <w:sz w:val="21"/>
                <w:szCs w:val="21"/>
              </w:rPr>
              <w:t xml:space="preserve">  生态功能区划细则</w:t>
            </w:r>
          </w:p>
          <w:tbl>
            <w:tblPr>
              <w:tblStyle w:val="1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386"/>
              <w:gridCol w:w="59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39" w:type="pct"/>
                  <w:vMerge w:val="restart"/>
                  <w:tcBorders>
                    <w:top w:val="single" w:color="000000" w:sz="12" w:space="0"/>
                    <w:tl2br w:val="nil"/>
                    <w:tr2bl w:val="nil"/>
                  </w:tcBorders>
                  <w:vAlign w:val="center"/>
                </w:tcPr>
                <w:p>
                  <w:pPr>
                    <w:pStyle w:val="8"/>
                    <w:spacing w:before="0" w:after="0" w:line="300" w:lineRule="exact"/>
                    <w:ind w:right="0"/>
                    <w:jc w:val="center"/>
                    <w:rPr>
                      <w:sz w:val="21"/>
                      <w:szCs w:val="21"/>
                    </w:rPr>
                  </w:pPr>
                  <w:r>
                    <w:rPr>
                      <w:rFonts w:hint="eastAsia"/>
                      <w:sz w:val="21"/>
                      <w:szCs w:val="21"/>
                    </w:rPr>
                    <w:t>生态功能分区单元</w:t>
                  </w:r>
                </w:p>
              </w:tc>
              <w:tc>
                <w:tcPr>
                  <w:tcW w:w="864" w:type="pct"/>
                  <w:tcBorders>
                    <w:top w:val="single" w:color="000000" w:sz="12" w:space="0"/>
                    <w:tl2br w:val="nil"/>
                    <w:tr2bl w:val="nil"/>
                  </w:tcBorders>
                  <w:vAlign w:val="center"/>
                </w:tcPr>
                <w:p>
                  <w:pPr>
                    <w:pStyle w:val="8"/>
                    <w:spacing w:before="0" w:after="0" w:line="300" w:lineRule="exact"/>
                    <w:ind w:right="0"/>
                    <w:jc w:val="center"/>
                    <w:rPr>
                      <w:sz w:val="21"/>
                      <w:szCs w:val="21"/>
                    </w:rPr>
                  </w:pPr>
                  <w:r>
                    <w:rPr>
                      <w:rFonts w:hint="eastAsia"/>
                      <w:sz w:val="21"/>
                      <w:szCs w:val="21"/>
                    </w:rPr>
                    <w:t>生态区</w:t>
                  </w:r>
                </w:p>
              </w:tc>
              <w:tc>
                <w:tcPr>
                  <w:tcW w:w="3697" w:type="pct"/>
                  <w:tcBorders>
                    <w:top w:val="single" w:color="000000" w:sz="12" w:space="0"/>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Ⅱ 准噶尔盆地温性荒漠与绿洲农业生态区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39" w:type="pct"/>
                  <w:vMerge w:val="continue"/>
                  <w:tcBorders>
                    <w:tl2br w:val="nil"/>
                    <w:tr2bl w:val="nil"/>
                  </w:tcBorders>
                  <w:vAlign w:val="center"/>
                </w:tcPr>
                <w:p>
                  <w:pPr>
                    <w:pStyle w:val="8"/>
                    <w:spacing w:before="0" w:after="0" w:line="300" w:lineRule="exact"/>
                    <w:ind w:right="0"/>
                    <w:jc w:val="center"/>
                    <w:rPr>
                      <w:sz w:val="21"/>
                      <w:szCs w:val="21"/>
                    </w:rPr>
                  </w:pPr>
                </w:p>
              </w:tc>
              <w:tc>
                <w:tcPr>
                  <w:tcW w:w="864" w:type="pct"/>
                  <w:tcBorders>
                    <w:tl2br w:val="nil"/>
                    <w:tr2bl w:val="nil"/>
                  </w:tcBorders>
                  <w:vAlign w:val="center"/>
                </w:tcPr>
                <w:p>
                  <w:pPr>
                    <w:pStyle w:val="8"/>
                    <w:spacing w:before="0" w:after="0" w:line="300" w:lineRule="exact"/>
                    <w:ind w:right="0"/>
                    <w:jc w:val="center"/>
                    <w:rPr>
                      <w:sz w:val="21"/>
                      <w:szCs w:val="21"/>
                    </w:rPr>
                  </w:pPr>
                  <w:r>
                    <w:rPr>
                      <w:rFonts w:hint="eastAsia"/>
                      <w:sz w:val="21"/>
                      <w:szCs w:val="21"/>
                    </w:rPr>
                    <w:t>生态亚区</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Ⅱ</w:t>
                  </w:r>
                  <w:r>
                    <w:rPr>
                      <w:rFonts w:ascii="宋体" w:hAnsi="宋体" w:cs="宋体"/>
                      <w:sz w:val="21"/>
                      <w:szCs w:val="21"/>
                      <w:vertAlign w:val="subscript"/>
                    </w:rPr>
                    <w:t>3</w:t>
                  </w:r>
                  <w:r>
                    <w:rPr>
                      <w:rFonts w:hint="eastAsia" w:ascii="宋体" w:hAnsi="宋体" w:cs="宋体"/>
                      <w:sz w:val="21"/>
                      <w:szCs w:val="21"/>
                    </w:rPr>
                    <w:t>准噶尔盆地中部固定、半固定沙漠生态亚区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39" w:type="pct"/>
                  <w:vMerge w:val="continue"/>
                  <w:tcBorders>
                    <w:tl2br w:val="nil"/>
                    <w:tr2bl w:val="nil"/>
                  </w:tcBorders>
                  <w:vAlign w:val="center"/>
                </w:tcPr>
                <w:p>
                  <w:pPr>
                    <w:pStyle w:val="8"/>
                    <w:spacing w:before="0" w:after="0" w:line="300" w:lineRule="exact"/>
                    <w:ind w:right="0"/>
                    <w:jc w:val="center"/>
                    <w:rPr>
                      <w:sz w:val="21"/>
                      <w:szCs w:val="21"/>
                    </w:rPr>
                  </w:pPr>
                </w:p>
              </w:tc>
              <w:tc>
                <w:tcPr>
                  <w:tcW w:w="864" w:type="pct"/>
                  <w:tcBorders>
                    <w:tl2br w:val="nil"/>
                    <w:tr2bl w:val="nil"/>
                  </w:tcBorders>
                  <w:vAlign w:val="center"/>
                </w:tcPr>
                <w:p>
                  <w:pPr>
                    <w:pStyle w:val="8"/>
                    <w:spacing w:before="0" w:after="0" w:line="300" w:lineRule="exact"/>
                    <w:ind w:right="0"/>
                    <w:jc w:val="center"/>
                    <w:rPr>
                      <w:sz w:val="21"/>
                      <w:szCs w:val="21"/>
                    </w:rPr>
                  </w:pPr>
                  <w:r>
                    <w:rPr>
                      <w:rFonts w:hint="eastAsia"/>
                      <w:sz w:val="21"/>
                      <w:szCs w:val="21"/>
                    </w:rPr>
                    <w:t>生态功能区</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ascii="宋体" w:hAnsi="宋体" w:cs="宋体"/>
                      <w:sz w:val="21"/>
                      <w:szCs w:val="21"/>
                    </w:rPr>
                    <w:t>23.</w:t>
                  </w:r>
                  <w:r>
                    <w:rPr>
                      <w:rFonts w:hint="eastAsia" w:ascii="宋体" w:hAnsi="宋体" w:cs="宋体"/>
                      <w:sz w:val="21"/>
                      <w:szCs w:val="21"/>
                    </w:rPr>
                    <w:t>古尔班通古特沙漠化敏感及植被保护生态功能区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tl2br w:val="nil"/>
                    <w:tr2bl w:val="nil"/>
                  </w:tcBorders>
                  <w:vAlign w:val="center"/>
                </w:tcPr>
                <w:p>
                  <w:pPr>
                    <w:pStyle w:val="8"/>
                    <w:spacing w:before="0" w:after="0" w:line="300" w:lineRule="exact"/>
                    <w:ind w:right="0"/>
                    <w:jc w:val="center"/>
                    <w:rPr>
                      <w:sz w:val="21"/>
                      <w:szCs w:val="21"/>
                    </w:rPr>
                  </w:pPr>
                  <w:r>
                    <w:rPr>
                      <w:rFonts w:hint="eastAsia"/>
                      <w:sz w:val="21"/>
                      <w:szCs w:val="21"/>
                    </w:rPr>
                    <w:t>主要生态服务功能</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沙漠化控制、生物多样性维护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tl2br w:val="nil"/>
                    <w:tr2bl w:val="nil"/>
                  </w:tcBorders>
                  <w:vAlign w:val="center"/>
                </w:tcPr>
                <w:p>
                  <w:pPr>
                    <w:pStyle w:val="8"/>
                    <w:spacing w:before="0" w:after="0" w:line="300" w:lineRule="exact"/>
                    <w:ind w:right="0"/>
                    <w:jc w:val="center"/>
                    <w:rPr>
                      <w:sz w:val="21"/>
                      <w:szCs w:val="21"/>
                    </w:rPr>
                  </w:pPr>
                  <w:r>
                    <w:rPr>
                      <w:rFonts w:hint="eastAsia"/>
                      <w:sz w:val="21"/>
                      <w:szCs w:val="21"/>
                    </w:rPr>
                    <w:t>主要生态环境问题</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人为干扰范围扩大、工程建设引起沙漠植被破坏、鼠害严重、植被退化、沙漠化构成对南缘绿洲的威胁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tl2br w:val="nil"/>
                    <w:tr2bl w:val="nil"/>
                  </w:tcBorders>
                  <w:vAlign w:val="center"/>
                </w:tcPr>
                <w:p>
                  <w:pPr>
                    <w:pStyle w:val="8"/>
                    <w:spacing w:before="0" w:after="0" w:line="300" w:lineRule="exact"/>
                    <w:ind w:right="0"/>
                    <w:jc w:val="center"/>
                    <w:rPr>
                      <w:sz w:val="21"/>
                      <w:szCs w:val="21"/>
                    </w:rPr>
                  </w:pPr>
                  <w:r>
                    <w:rPr>
                      <w:rFonts w:hint="eastAsia"/>
                      <w:sz w:val="21"/>
                      <w:szCs w:val="21"/>
                    </w:rPr>
                    <w:t>主要生态敏感因子、敏感程度</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生物多样性及其生境高度敏感，土地沙漠化极度敏感，土壤侵蚀高度敏感、土壤盐渍化轻度敏感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tl2br w:val="nil"/>
                    <w:tr2bl w:val="nil"/>
                  </w:tcBorders>
                  <w:vAlign w:val="center"/>
                </w:tcPr>
                <w:p>
                  <w:pPr>
                    <w:pStyle w:val="8"/>
                    <w:spacing w:before="0" w:after="0" w:line="300" w:lineRule="exact"/>
                    <w:ind w:right="0"/>
                    <w:jc w:val="center"/>
                    <w:rPr>
                      <w:sz w:val="21"/>
                      <w:szCs w:val="21"/>
                    </w:rPr>
                  </w:pPr>
                  <w:r>
                    <w:rPr>
                      <w:rFonts w:hint="eastAsia"/>
                      <w:sz w:val="21"/>
                      <w:szCs w:val="21"/>
                    </w:rPr>
                    <w:t>主要保护目标</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保护沙漠植被、防止沙丘活化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tl2br w:val="nil"/>
                    <w:tr2bl w:val="nil"/>
                  </w:tcBorders>
                  <w:vAlign w:val="center"/>
                </w:tcPr>
                <w:p>
                  <w:pPr>
                    <w:pStyle w:val="8"/>
                    <w:spacing w:before="0" w:after="0" w:line="300" w:lineRule="exact"/>
                    <w:ind w:right="0"/>
                    <w:jc w:val="center"/>
                    <w:rPr>
                      <w:sz w:val="21"/>
                      <w:szCs w:val="21"/>
                    </w:rPr>
                  </w:pPr>
                  <w:r>
                    <w:rPr>
                      <w:rFonts w:hint="eastAsia"/>
                      <w:sz w:val="21"/>
                      <w:szCs w:val="21"/>
                    </w:rPr>
                    <w:t>主要保护措施</w:t>
                  </w:r>
                </w:p>
              </w:tc>
              <w:tc>
                <w:tcPr>
                  <w:tcW w:w="3697" w:type="pct"/>
                  <w:tcBorders>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对沙漠边缘流动沙丘、活化沙地进行封沙育林、退耕还林（草），禁止樵采和放牧，禁止开荒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3" w:type="pct"/>
                  <w:gridSpan w:val="2"/>
                  <w:tcBorders>
                    <w:bottom w:val="single" w:color="000000" w:sz="12" w:space="0"/>
                    <w:tl2br w:val="nil"/>
                    <w:tr2bl w:val="nil"/>
                  </w:tcBorders>
                  <w:vAlign w:val="center"/>
                </w:tcPr>
                <w:p>
                  <w:pPr>
                    <w:pStyle w:val="8"/>
                    <w:spacing w:before="0" w:after="0" w:line="300" w:lineRule="exact"/>
                    <w:ind w:right="0"/>
                    <w:jc w:val="center"/>
                    <w:rPr>
                      <w:sz w:val="21"/>
                      <w:szCs w:val="21"/>
                    </w:rPr>
                  </w:pPr>
                  <w:r>
                    <w:rPr>
                      <w:rFonts w:hint="eastAsia"/>
                      <w:sz w:val="21"/>
                      <w:szCs w:val="21"/>
                    </w:rPr>
                    <w:t>主要发展方向</w:t>
                  </w:r>
                </w:p>
              </w:tc>
              <w:tc>
                <w:tcPr>
                  <w:tcW w:w="3697" w:type="pct"/>
                  <w:tcBorders>
                    <w:bottom w:val="single" w:color="000000" w:sz="12" w:space="0"/>
                    <w:tl2br w:val="nil"/>
                    <w:tr2bl w:val="nil"/>
                  </w:tcBorders>
                  <w:vAlign w:val="center"/>
                </w:tcPr>
                <w:p>
                  <w:pPr>
                    <w:pStyle w:val="8"/>
                    <w:spacing w:before="0" w:after="0" w:line="300" w:lineRule="exact"/>
                    <w:ind w:right="0"/>
                    <w:jc w:val="center"/>
                    <w:rPr>
                      <w:rFonts w:ascii="宋体" w:hAnsi="宋体" w:cs="宋体"/>
                      <w:sz w:val="21"/>
                      <w:szCs w:val="21"/>
                    </w:rPr>
                  </w:pPr>
                  <w:r>
                    <w:rPr>
                      <w:rFonts w:hint="eastAsia" w:ascii="宋体" w:hAnsi="宋体" w:cs="宋体"/>
                      <w:sz w:val="21"/>
                      <w:szCs w:val="21"/>
                    </w:rPr>
                    <w:t>维护固定、半固定沙漠景观与植被，治理活化沙丘，遏制蔓延</w:t>
                  </w:r>
                </w:p>
              </w:tc>
            </w:tr>
          </w:tbl>
          <w:p>
            <w:pPr>
              <w:spacing w:line="500" w:lineRule="exact"/>
              <w:ind w:firstLine="482" w:firstLineChars="200"/>
              <w:rPr>
                <w:rFonts w:ascii="宋体" w:hAnsi="宋体" w:cs="宋体"/>
                <w:b/>
                <w:sz w:val="24"/>
              </w:rPr>
            </w:pPr>
            <w:r>
              <w:rPr>
                <w:rFonts w:hint="eastAsia" w:ascii="宋体" w:hAnsi="宋体" w:cs="宋体"/>
                <w:b/>
                <w:sz w:val="24"/>
              </w:rPr>
              <w:t>3、生态环境现状</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）植被现状</w:t>
            </w:r>
          </w:p>
          <w:p>
            <w:pPr>
              <w:adjustRightInd w:val="0"/>
              <w:snapToGrid w:val="0"/>
              <w:spacing w:line="500" w:lineRule="exact"/>
              <w:ind w:firstLine="480" w:firstLineChars="200"/>
              <w:rPr>
                <w:rFonts w:ascii="宋体" w:hAnsi="宋体"/>
                <w:kern w:val="0"/>
                <w:sz w:val="24"/>
              </w:rPr>
            </w:pPr>
            <w:r>
              <w:rPr>
                <w:rFonts w:hint="eastAsia" w:ascii="宋体" w:hAnsi="宋体"/>
                <w:kern w:val="0"/>
                <w:sz w:val="24"/>
              </w:rPr>
              <w:t>井位所在区域植被类型为梭梭荒漠，梭梭属于沙丘间低地常见乔灌木，群落中植株一般高约0.5～1m，最高可达1.5～2m；周边区域植被覆盖度在5%左右。根据《新疆维吾尔自治区重点保护野生植物名录》可知，梭梭为自治区Ⅰ级保护植物，是典型的荒漠植物及优良固沙植物。伴生种多为一年生盐生类植物，如猪毛菜、假木贼、盐爪爪等，植被类型图见附图6。</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）野生动物</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该地区仅分布一些爬行类、啮齿类的小型动物，如快步麻蜥、荒漠麻蜥、子午沙鼠、大沙鼠、小家鼠等，无国家及自治区级保护动物分布。</w:t>
            </w:r>
          </w:p>
          <w:p>
            <w:pPr>
              <w:adjustRightInd w:val="0"/>
              <w:snapToGrid w:val="0"/>
              <w:spacing w:line="480" w:lineRule="exact"/>
              <w:ind w:firstLine="480" w:firstLineChars="200"/>
              <w:rPr>
                <w:rFonts w:ascii="宋体" w:hAnsi="宋体" w:cs="宋体"/>
                <w:sz w:val="24"/>
              </w:rPr>
            </w:pPr>
            <w:r>
              <w:rPr>
                <w:rFonts w:hint="eastAsia" w:ascii="宋体" w:hAnsi="宋体" w:cs="宋体"/>
                <w:sz w:val="24"/>
              </w:rPr>
              <w:t>（3）土地利用类型</w:t>
            </w:r>
          </w:p>
          <w:p>
            <w:pPr>
              <w:pStyle w:val="53"/>
              <w:adjustRightInd w:val="0"/>
              <w:snapToGrid w:val="0"/>
              <w:spacing w:line="480" w:lineRule="exact"/>
              <w:ind w:firstLine="480"/>
            </w:pPr>
            <w:r>
              <w:rPr>
                <w:rFonts w:hint="eastAsia"/>
              </w:rPr>
              <w:t>彩61H井临时占地范围内的土地利用类型为未利用地中其他草地，土地利用类型图见附图7，土壤类型图见附图8。</w:t>
            </w:r>
          </w:p>
          <w:p>
            <w:pPr>
              <w:pStyle w:val="53"/>
              <w:adjustRightInd w:val="0"/>
              <w:snapToGrid w:val="0"/>
              <w:spacing w:line="480" w:lineRule="exact"/>
              <w:ind w:firstLine="480"/>
            </w:pPr>
            <w:r>
              <w:rPr>
                <w:rFonts w:hint="eastAsia"/>
              </w:rPr>
              <w:t>（</w:t>
            </w:r>
            <w:r>
              <w:t>4</w:t>
            </w:r>
            <w:r>
              <w:rPr>
                <w:rFonts w:hint="eastAsia"/>
              </w:rPr>
              <w:t>）土地沙化现状</w:t>
            </w:r>
          </w:p>
          <w:p>
            <w:pPr>
              <w:widowControl/>
              <w:snapToGrid w:val="0"/>
              <w:spacing w:line="480" w:lineRule="exact"/>
              <w:ind w:firstLine="480" w:firstLineChars="200"/>
              <w:rPr>
                <w:rFonts w:ascii="宋体" w:hAnsi="宋体" w:cs="宋体"/>
                <w:kern w:val="0"/>
                <w:sz w:val="24"/>
              </w:rPr>
            </w:pPr>
            <w:r>
              <w:rPr>
                <w:rFonts w:hint="eastAsia" w:ascii="宋体" w:hAnsi="宋体" w:cs="宋体"/>
                <w:kern w:val="0"/>
                <w:sz w:val="24"/>
              </w:rPr>
              <w:t>根据《新疆第五次沙化土地监测报告》可知，项目位于古尔班通古特沙漠东部，土地沙化类型为固定沙地，见附图</w:t>
            </w:r>
            <w:r>
              <w:rPr>
                <w:rFonts w:ascii="宋体" w:hAnsi="宋体" w:cs="宋体"/>
                <w:kern w:val="0"/>
                <w:sz w:val="24"/>
              </w:rPr>
              <w:t>9</w:t>
            </w:r>
            <w:r>
              <w:rPr>
                <w:rFonts w:hint="eastAsia" w:ascii="宋体" w:hAnsi="宋体" w:cs="宋体"/>
                <w:kern w:val="0"/>
                <w:sz w:val="24"/>
              </w:rPr>
              <w:t>。</w:t>
            </w:r>
          </w:p>
          <w:p>
            <w:pPr>
              <w:spacing w:line="480" w:lineRule="exact"/>
              <w:ind w:firstLine="466" w:firstLineChars="200"/>
              <w:rPr>
                <w:rFonts w:ascii="宋体" w:hAnsi="宋体" w:cs="宋体"/>
                <w:b/>
                <w:bCs/>
                <w:sz w:val="24"/>
              </w:rPr>
            </w:pPr>
            <w:r>
              <w:rPr>
                <w:rFonts w:hint="eastAsia" w:ascii="宋体" w:hAnsi="宋体" w:cs="宋体"/>
                <w:b/>
                <w:bCs/>
                <w:spacing w:val="-4"/>
                <w:kern w:val="0"/>
                <w:sz w:val="24"/>
              </w:rPr>
              <w:t>4、水土流失现状</w:t>
            </w:r>
          </w:p>
          <w:p>
            <w:pPr>
              <w:widowControl/>
              <w:snapToGrid w:val="0"/>
              <w:spacing w:line="480" w:lineRule="exact"/>
              <w:ind w:firstLine="464" w:firstLineChars="200"/>
              <w:rPr>
                <w:rFonts w:ascii="宋体" w:hAnsi="宋体" w:cs="宋体"/>
                <w:spacing w:val="-4"/>
                <w:kern w:val="0"/>
                <w:sz w:val="24"/>
                <w:lang w:bidi="zh-CN"/>
              </w:rPr>
            </w:pPr>
            <w:r>
              <w:rPr>
                <w:rFonts w:ascii="宋体" w:hAnsi="宋体" w:cs="宋体"/>
                <w:spacing w:val="-4"/>
                <w:kern w:val="0"/>
                <w:sz w:val="24"/>
              </w:rPr>
              <w:t>本项目</w:t>
            </w:r>
            <w:r>
              <w:rPr>
                <w:rFonts w:hint="eastAsia" w:ascii="宋体" w:hAnsi="宋体" w:cs="宋体"/>
                <w:spacing w:val="-4"/>
                <w:kern w:val="0"/>
                <w:sz w:val="24"/>
              </w:rPr>
              <w:t>位于昌吉回族自治州阜康市北部荒漠区，</w:t>
            </w:r>
            <w:r>
              <w:rPr>
                <w:rFonts w:hint="eastAsia" w:ascii="宋体" w:hAnsi="宋体" w:cs="宋体"/>
                <w:spacing w:val="-4"/>
                <w:kern w:val="0"/>
                <w:sz w:val="24"/>
                <w:lang w:bidi="zh-CN"/>
              </w:rPr>
              <w:t>根据《新疆昌吉州水土保持规划（2020-2030）》属于国家级</w:t>
            </w:r>
            <w:r>
              <w:rPr>
                <w:rFonts w:hint="eastAsia" w:ascii="宋体" w:hAnsi="宋体" w:cs="宋体"/>
                <w:spacing w:val="-4"/>
                <w:kern w:val="0"/>
                <w:sz w:val="24"/>
              </w:rPr>
              <w:t>水土流失重点治理区，该区域水土流失类型以风力侵蚀为主，侵蚀程度为轻度。</w:t>
            </w:r>
          </w:p>
          <w:p>
            <w:pPr>
              <w:widowControl/>
              <w:snapToGrid w:val="0"/>
              <w:spacing w:line="500" w:lineRule="exact"/>
              <w:ind w:firstLine="466" w:firstLineChars="200"/>
              <w:rPr>
                <w:rFonts w:ascii="宋体" w:hAnsi="宋体" w:cs="宋体"/>
                <w:b/>
                <w:bCs/>
                <w:spacing w:val="-4"/>
                <w:kern w:val="0"/>
                <w:sz w:val="24"/>
              </w:rPr>
            </w:pPr>
            <w:r>
              <w:rPr>
                <w:rFonts w:hint="eastAsia" w:ascii="宋体" w:hAnsi="宋体" w:cs="宋体"/>
                <w:b/>
                <w:bCs/>
                <w:spacing w:val="-4"/>
                <w:kern w:val="0"/>
                <w:sz w:val="24"/>
              </w:rPr>
              <w:t>5、区域环境质量现状</w:t>
            </w:r>
          </w:p>
          <w:p>
            <w:pPr>
              <w:pStyle w:val="46"/>
              <w:spacing w:line="480" w:lineRule="exact"/>
              <w:ind w:firstLine="480"/>
            </w:pPr>
            <w:r>
              <w:rPr>
                <w:rFonts w:hint="eastAsia"/>
                <w:color w:val="000000" w:themeColor="text1"/>
                <w14:textFill>
                  <w14:solidFill>
                    <w14:schemeClr w14:val="tx1"/>
                  </w14:solidFill>
                </w14:textFill>
              </w:rPr>
              <w:t>项目周边无地表水体，产生废水间接排放，评价等级为</w:t>
            </w:r>
            <w:r>
              <w:rPr>
                <w:rFonts w:hint="eastAsia" w:cs="宋体"/>
              </w:rPr>
              <w:t>三级B</w:t>
            </w:r>
            <w:r>
              <w:rPr>
                <w:rFonts w:hint="eastAsia"/>
                <w:color w:val="000000" w:themeColor="text1"/>
                <w14:textFill>
                  <w14:solidFill>
                    <w14:schemeClr w14:val="tx1"/>
                  </w14:solidFill>
                </w14:textFill>
              </w:rPr>
              <w:t>；50m内无声环境敏感目标，属于2类声环境功能区评价等级为</w:t>
            </w:r>
            <w:r>
              <w:rPr>
                <w:rFonts w:hint="eastAsia" w:cs="宋体"/>
              </w:rPr>
              <w:t>二级</w:t>
            </w:r>
            <w:r>
              <w:rPr>
                <w:rFonts w:hint="eastAsia"/>
                <w:color w:val="000000" w:themeColor="text1"/>
                <w14:textFill>
                  <w14:solidFill>
                    <w14:schemeClr w14:val="tx1"/>
                  </w14:solidFill>
                </w14:textFill>
              </w:rPr>
              <w:t>；地下水属于Ⅳ类项目；土壤属于</w:t>
            </w:r>
            <w:r>
              <w:rPr>
                <w:rFonts w:hint="eastAsia" w:cs="宋体"/>
              </w:rPr>
              <w:t>Ⅳ类建设项目</w:t>
            </w:r>
            <w:r>
              <w:rPr>
                <w:rFonts w:hint="eastAsia"/>
                <w:color w:val="000000" w:themeColor="text1"/>
                <w14:textFill>
                  <w14:solidFill>
                    <w14:schemeClr w14:val="tx1"/>
                  </w14:solidFill>
                </w14:textFill>
              </w:rPr>
              <w:t>，参照《建设项目环境影响报告表编制技术指南（污染影响类）》（试行）及相关环境影响评价技术导则，仅对大气环境质量现状进行调查评价。</w:t>
            </w:r>
            <w:r>
              <w:rPr>
                <w:rFonts w:hint="eastAsia" w:cs="宋体"/>
              </w:rPr>
              <w:t>根据生态环境部环境工程评估中心发布的“环境空气质量模型技术支持服务系统”相关数据，202</w:t>
            </w:r>
            <w:r>
              <w:rPr>
                <w:rFonts w:cs="宋体"/>
              </w:rPr>
              <w:t>1</w:t>
            </w:r>
            <w:r>
              <w:rPr>
                <w:rFonts w:hint="eastAsia" w:cs="宋体"/>
              </w:rPr>
              <w:t>年项目所在区域昌吉回族自治州六项基本污染物中，SO</w:t>
            </w:r>
            <w:r>
              <w:rPr>
                <w:rFonts w:hint="eastAsia" w:cs="宋体"/>
                <w:vertAlign w:val="subscript"/>
              </w:rPr>
              <w:t>2</w:t>
            </w:r>
            <w:r>
              <w:rPr>
                <w:rFonts w:hint="eastAsia" w:cs="宋体"/>
              </w:rPr>
              <w:t>、NO</w:t>
            </w:r>
            <w:r>
              <w:rPr>
                <w:rFonts w:hint="eastAsia" w:cs="宋体"/>
                <w:vertAlign w:val="subscript"/>
              </w:rPr>
              <w:t>2</w:t>
            </w:r>
            <w:r>
              <w:rPr>
                <w:rFonts w:hint="eastAsia" w:cs="宋体"/>
              </w:rPr>
              <w:t>、CO、O</w:t>
            </w:r>
            <w:r>
              <w:rPr>
                <w:rFonts w:hint="eastAsia" w:cs="宋体"/>
                <w:vertAlign w:val="subscript"/>
              </w:rPr>
              <w:t>3</w:t>
            </w:r>
            <w:r>
              <w:rPr>
                <w:rFonts w:hint="eastAsia" w:cs="宋体"/>
              </w:rPr>
              <w:t>的现状浓度均符合《环境空气质量标准》（GB3095-2012）二级标准。PM</w:t>
            </w:r>
            <w:r>
              <w:rPr>
                <w:rFonts w:hint="eastAsia" w:cs="宋体"/>
                <w:vertAlign w:val="subscript"/>
              </w:rPr>
              <w:t>2.5</w:t>
            </w:r>
            <w:r>
              <w:rPr>
                <w:rFonts w:hint="eastAsia" w:cs="宋体"/>
              </w:rPr>
              <w:t>、PM</w:t>
            </w:r>
            <w:r>
              <w:rPr>
                <w:rFonts w:hint="eastAsia" w:cs="宋体"/>
                <w:vertAlign w:val="subscript"/>
              </w:rPr>
              <w:t>10</w:t>
            </w:r>
            <w:r>
              <w:rPr>
                <w:rFonts w:hint="eastAsia" w:cs="宋体"/>
              </w:rPr>
              <w:t>的现状浓度超标。项目区为环境空气质量不达标区，</w:t>
            </w:r>
            <w:r>
              <w:rPr>
                <w:rFonts w:hint="eastAsia"/>
                <w:spacing w:val="4"/>
              </w:rPr>
              <w:t>相关数据</w:t>
            </w:r>
            <w:r>
              <w:rPr>
                <w:rFonts w:hint="eastAsia" w:cs="宋体"/>
              </w:rPr>
              <w:t>见表</w:t>
            </w:r>
            <w:r>
              <w:rPr>
                <w:rFonts w:cs="宋体"/>
              </w:rPr>
              <w:t>13</w:t>
            </w:r>
          </w:p>
          <w:p>
            <w:pPr>
              <w:pStyle w:val="68"/>
              <w:spacing w:line="480" w:lineRule="exact"/>
              <w:rPr>
                <w:rFonts w:ascii="黑体" w:hAnsi="黑体"/>
              </w:rPr>
            </w:pPr>
            <w:bookmarkStart w:id="21" w:name="_Ref21430043"/>
            <w:r>
              <w:rPr>
                <w:rFonts w:hint="eastAsia" w:ascii="黑体" w:hAnsi="黑体"/>
              </w:rPr>
              <w:t>表</w:t>
            </w:r>
            <w:bookmarkEnd w:id="21"/>
            <w:r>
              <w:rPr>
                <w:rFonts w:ascii="黑体" w:hAnsi="黑体"/>
              </w:rPr>
              <w:t xml:space="preserve">13    </w:t>
            </w:r>
            <w:r>
              <w:rPr>
                <w:rFonts w:hint="eastAsia" w:ascii="黑体" w:hAnsi="黑体"/>
              </w:rPr>
              <w:t>大气质量及评价结果一览表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76"/>
              <w:gridCol w:w="2396"/>
              <w:gridCol w:w="1285"/>
              <w:gridCol w:w="1428"/>
              <w:gridCol w:w="1000"/>
              <w:gridCol w:w="9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监测因子</w:t>
                  </w:r>
                </w:p>
              </w:tc>
              <w:tc>
                <w:tcPr>
                  <w:tcW w:w="1493"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年评价指标</w:t>
                  </w:r>
                </w:p>
              </w:tc>
              <w:tc>
                <w:tcPr>
                  <w:tcW w:w="801"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现状浓度</w:t>
                  </w:r>
                </w:p>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（μg/m</w:t>
                  </w:r>
                  <w:r>
                    <w:rPr>
                      <w:rFonts w:hint="eastAsia" w:ascii="宋体" w:hAnsi="宋体" w:cs="宋体"/>
                      <w:spacing w:val="-4"/>
                      <w:kern w:val="0"/>
                      <w:szCs w:val="21"/>
                      <w:vertAlign w:val="superscript"/>
                    </w:rPr>
                    <w:t>3</w:t>
                  </w:r>
                  <w:r>
                    <w:rPr>
                      <w:rFonts w:hint="eastAsia" w:ascii="宋体" w:hAnsi="宋体" w:cs="宋体"/>
                      <w:spacing w:val="-4"/>
                      <w:kern w:val="0"/>
                      <w:szCs w:val="21"/>
                    </w:rPr>
                    <w:t>）</w:t>
                  </w:r>
                </w:p>
              </w:tc>
              <w:tc>
                <w:tcPr>
                  <w:tcW w:w="890"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标准值</w:t>
                  </w:r>
                </w:p>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（μg/m</w:t>
                  </w:r>
                  <w:r>
                    <w:rPr>
                      <w:rFonts w:hint="eastAsia" w:ascii="宋体" w:hAnsi="宋体" w:cs="宋体"/>
                      <w:spacing w:val="-4"/>
                      <w:kern w:val="0"/>
                      <w:szCs w:val="21"/>
                      <w:vertAlign w:val="superscript"/>
                    </w:rPr>
                    <w:t>3</w:t>
                  </w:r>
                  <w:r>
                    <w:rPr>
                      <w:rFonts w:hint="eastAsia" w:ascii="宋体" w:hAnsi="宋体" w:cs="宋体"/>
                      <w:spacing w:val="-4"/>
                      <w:kern w:val="0"/>
                      <w:szCs w:val="21"/>
                    </w:rPr>
                    <w:t>）</w:t>
                  </w:r>
                </w:p>
              </w:tc>
              <w:tc>
                <w:tcPr>
                  <w:tcW w:w="623"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占标率</w:t>
                  </w:r>
                </w:p>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w:t>
                  </w:r>
                </w:p>
              </w:tc>
              <w:tc>
                <w:tcPr>
                  <w:tcW w:w="585" w:type="pct"/>
                  <w:vAlign w:val="center"/>
                </w:tcPr>
                <w:p>
                  <w:pPr>
                    <w:widowControl/>
                    <w:snapToGrid w:val="0"/>
                    <w:spacing w:line="300" w:lineRule="exact"/>
                    <w:jc w:val="center"/>
                    <w:rPr>
                      <w:rFonts w:ascii="宋体" w:hAnsi="宋体" w:cs="宋体"/>
                      <w:spacing w:val="-4"/>
                      <w:kern w:val="0"/>
                      <w:szCs w:val="21"/>
                    </w:rPr>
                  </w:pPr>
                  <w:r>
                    <w:rPr>
                      <w:rFonts w:hint="eastAsia" w:ascii="宋体" w:hAnsi="宋体" w:cs="宋体"/>
                      <w:spacing w:val="-4"/>
                      <w:kern w:val="0"/>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rFonts w:cs="宋体"/>
                      <w:spacing w:val="-4"/>
                      <w:szCs w:val="21"/>
                    </w:rPr>
                  </w:pPr>
                  <w:r>
                    <w:rPr>
                      <w:rFonts w:hint="eastAsia"/>
                      <w:kern w:val="2"/>
                      <w:szCs w:val="21"/>
                    </w:rPr>
                    <w:t>SO</w:t>
                  </w:r>
                  <w:r>
                    <w:rPr>
                      <w:rFonts w:hint="eastAsia"/>
                      <w:kern w:val="2"/>
                      <w:szCs w:val="21"/>
                      <w:vertAlign w:val="subscript"/>
                    </w:rPr>
                    <w:t>2</w:t>
                  </w:r>
                </w:p>
              </w:tc>
              <w:tc>
                <w:tcPr>
                  <w:tcW w:w="1493" w:type="pct"/>
                  <w:vAlign w:val="center"/>
                </w:tcPr>
                <w:p>
                  <w:pPr>
                    <w:pStyle w:val="61"/>
                    <w:rPr>
                      <w:rFonts w:cs="宋体"/>
                      <w:spacing w:val="-4"/>
                      <w:szCs w:val="21"/>
                    </w:rPr>
                  </w:pPr>
                  <w:r>
                    <w:rPr>
                      <w:rFonts w:hint="eastAsia"/>
                      <w:kern w:val="2"/>
                      <w:szCs w:val="21"/>
                    </w:rPr>
                    <w:t>年平均值</w:t>
                  </w:r>
                </w:p>
              </w:tc>
              <w:tc>
                <w:tcPr>
                  <w:tcW w:w="801" w:type="pct"/>
                  <w:vAlign w:val="center"/>
                </w:tcPr>
                <w:p>
                  <w:pPr>
                    <w:pStyle w:val="61"/>
                    <w:rPr>
                      <w:rFonts w:cs="宋体"/>
                      <w:spacing w:val="-4"/>
                      <w:szCs w:val="21"/>
                    </w:rPr>
                  </w:pPr>
                  <w:r>
                    <w:rPr>
                      <w:rFonts w:hint="eastAsia" w:cs="宋体"/>
                      <w:spacing w:val="-4"/>
                      <w:szCs w:val="21"/>
                    </w:rPr>
                    <w:t>1</w:t>
                  </w:r>
                  <w:r>
                    <w:rPr>
                      <w:rFonts w:cs="宋体"/>
                      <w:spacing w:val="-4"/>
                      <w:szCs w:val="21"/>
                    </w:rPr>
                    <w:t>1</w:t>
                  </w:r>
                </w:p>
              </w:tc>
              <w:tc>
                <w:tcPr>
                  <w:tcW w:w="890" w:type="pct"/>
                  <w:vAlign w:val="center"/>
                </w:tcPr>
                <w:p>
                  <w:pPr>
                    <w:pStyle w:val="61"/>
                    <w:rPr>
                      <w:rFonts w:cs="宋体"/>
                      <w:spacing w:val="-4"/>
                      <w:szCs w:val="21"/>
                    </w:rPr>
                  </w:pPr>
                  <w:r>
                    <w:rPr>
                      <w:szCs w:val="21"/>
                    </w:rPr>
                    <w:t>60</w:t>
                  </w:r>
                </w:p>
              </w:tc>
              <w:tc>
                <w:tcPr>
                  <w:tcW w:w="623" w:type="pct"/>
                  <w:vAlign w:val="center"/>
                </w:tcPr>
                <w:p>
                  <w:pPr>
                    <w:pStyle w:val="61"/>
                    <w:rPr>
                      <w:rFonts w:cs="宋体"/>
                      <w:spacing w:val="-4"/>
                      <w:szCs w:val="21"/>
                    </w:rPr>
                  </w:pPr>
                  <w:r>
                    <w:rPr>
                      <w:rFonts w:hint="eastAsia" w:cs="宋体"/>
                      <w:spacing w:val="-4"/>
                      <w:szCs w:val="21"/>
                    </w:rPr>
                    <w:t>1</w:t>
                  </w:r>
                  <w:r>
                    <w:rPr>
                      <w:rFonts w:cs="宋体"/>
                      <w:spacing w:val="-4"/>
                      <w:szCs w:val="21"/>
                    </w:rPr>
                    <w:t>8.3</w:t>
                  </w:r>
                </w:p>
              </w:tc>
              <w:tc>
                <w:tcPr>
                  <w:tcW w:w="585" w:type="pct"/>
                  <w:vAlign w:val="center"/>
                </w:tcPr>
                <w:p>
                  <w:pPr>
                    <w:pStyle w:val="61"/>
                    <w:rPr>
                      <w:rFonts w:cs="宋体"/>
                      <w:spacing w:val="-4"/>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rFonts w:cs="宋体"/>
                      <w:spacing w:val="-4"/>
                      <w:szCs w:val="21"/>
                    </w:rPr>
                  </w:pPr>
                  <w:r>
                    <w:rPr>
                      <w:rFonts w:hint="eastAsia"/>
                      <w:szCs w:val="21"/>
                    </w:rPr>
                    <w:t>NO</w:t>
                  </w:r>
                  <w:r>
                    <w:rPr>
                      <w:rFonts w:hint="eastAsia"/>
                      <w:szCs w:val="21"/>
                      <w:vertAlign w:val="subscript"/>
                    </w:rPr>
                    <w:t>2</w:t>
                  </w:r>
                </w:p>
              </w:tc>
              <w:tc>
                <w:tcPr>
                  <w:tcW w:w="1493" w:type="pct"/>
                  <w:vAlign w:val="center"/>
                </w:tcPr>
                <w:p>
                  <w:pPr>
                    <w:pStyle w:val="61"/>
                    <w:rPr>
                      <w:rFonts w:cs="宋体"/>
                      <w:spacing w:val="-4"/>
                      <w:szCs w:val="21"/>
                    </w:rPr>
                  </w:pPr>
                  <w:r>
                    <w:rPr>
                      <w:rFonts w:hint="eastAsia"/>
                      <w:szCs w:val="21"/>
                    </w:rPr>
                    <w:t>年平均值</w:t>
                  </w:r>
                </w:p>
              </w:tc>
              <w:tc>
                <w:tcPr>
                  <w:tcW w:w="801" w:type="pct"/>
                  <w:vAlign w:val="center"/>
                </w:tcPr>
                <w:p>
                  <w:pPr>
                    <w:pStyle w:val="61"/>
                    <w:rPr>
                      <w:rFonts w:cs="宋体"/>
                      <w:spacing w:val="-4"/>
                      <w:szCs w:val="21"/>
                    </w:rPr>
                  </w:pPr>
                  <w:r>
                    <w:rPr>
                      <w:szCs w:val="21"/>
                    </w:rPr>
                    <w:t>35</w:t>
                  </w:r>
                </w:p>
              </w:tc>
              <w:tc>
                <w:tcPr>
                  <w:tcW w:w="890" w:type="pct"/>
                  <w:vAlign w:val="center"/>
                </w:tcPr>
                <w:p>
                  <w:pPr>
                    <w:pStyle w:val="61"/>
                    <w:rPr>
                      <w:rFonts w:cs="宋体"/>
                      <w:spacing w:val="-4"/>
                      <w:szCs w:val="21"/>
                    </w:rPr>
                  </w:pPr>
                  <w:r>
                    <w:rPr>
                      <w:szCs w:val="21"/>
                    </w:rPr>
                    <w:t>40</w:t>
                  </w:r>
                </w:p>
              </w:tc>
              <w:tc>
                <w:tcPr>
                  <w:tcW w:w="623" w:type="pct"/>
                  <w:vAlign w:val="center"/>
                </w:tcPr>
                <w:p>
                  <w:pPr>
                    <w:pStyle w:val="61"/>
                    <w:rPr>
                      <w:rFonts w:cs="宋体"/>
                      <w:spacing w:val="-4"/>
                      <w:szCs w:val="21"/>
                    </w:rPr>
                  </w:pPr>
                  <w:r>
                    <w:rPr>
                      <w:rFonts w:hint="eastAsia" w:cs="宋体"/>
                      <w:spacing w:val="-4"/>
                      <w:szCs w:val="21"/>
                    </w:rPr>
                    <w:t>8</w:t>
                  </w:r>
                  <w:r>
                    <w:rPr>
                      <w:rFonts w:cs="宋体"/>
                      <w:spacing w:val="-4"/>
                      <w:szCs w:val="21"/>
                    </w:rPr>
                    <w:t>7.5</w:t>
                  </w:r>
                </w:p>
              </w:tc>
              <w:tc>
                <w:tcPr>
                  <w:tcW w:w="585" w:type="pct"/>
                  <w:vAlign w:val="center"/>
                </w:tcPr>
                <w:p>
                  <w:pPr>
                    <w:pStyle w:val="61"/>
                    <w:rPr>
                      <w:rFonts w:cs="宋体"/>
                      <w:spacing w:val="-4"/>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szCs w:val="21"/>
                    </w:rPr>
                  </w:pPr>
                  <w:r>
                    <w:rPr>
                      <w:rFonts w:hint="eastAsia"/>
                      <w:szCs w:val="21"/>
                    </w:rPr>
                    <w:t>PM</w:t>
                  </w:r>
                  <w:r>
                    <w:rPr>
                      <w:rFonts w:hint="eastAsia"/>
                      <w:szCs w:val="21"/>
                      <w:vertAlign w:val="subscript"/>
                    </w:rPr>
                    <w:t>10</w:t>
                  </w:r>
                </w:p>
              </w:tc>
              <w:tc>
                <w:tcPr>
                  <w:tcW w:w="1493" w:type="pct"/>
                  <w:vAlign w:val="center"/>
                </w:tcPr>
                <w:p>
                  <w:pPr>
                    <w:pStyle w:val="61"/>
                    <w:rPr>
                      <w:szCs w:val="21"/>
                    </w:rPr>
                  </w:pPr>
                  <w:r>
                    <w:rPr>
                      <w:rFonts w:hint="eastAsia"/>
                      <w:szCs w:val="21"/>
                    </w:rPr>
                    <w:t>年平均值</w:t>
                  </w:r>
                </w:p>
              </w:tc>
              <w:tc>
                <w:tcPr>
                  <w:tcW w:w="801" w:type="pct"/>
                  <w:vAlign w:val="center"/>
                </w:tcPr>
                <w:p>
                  <w:pPr>
                    <w:pStyle w:val="61"/>
                    <w:rPr>
                      <w:szCs w:val="21"/>
                    </w:rPr>
                  </w:pPr>
                  <w:r>
                    <w:rPr>
                      <w:rFonts w:hint="eastAsia"/>
                      <w:szCs w:val="21"/>
                    </w:rPr>
                    <w:t>8</w:t>
                  </w:r>
                  <w:r>
                    <w:rPr>
                      <w:szCs w:val="21"/>
                    </w:rPr>
                    <w:t>4</w:t>
                  </w:r>
                </w:p>
              </w:tc>
              <w:tc>
                <w:tcPr>
                  <w:tcW w:w="890" w:type="pct"/>
                  <w:vAlign w:val="center"/>
                </w:tcPr>
                <w:p>
                  <w:pPr>
                    <w:pStyle w:val="61"/>
                    <w:rPr>
                      <w:szCs w:val="21"/>
                    </w:rPr>
                  </w:pPr>
                  <w:r>
                    <w:rPr>
                      <w:rFonts w:hint="eastAsia"/>
                      <w:szCs w:val="21"/>
                    </w:rPr>
                    <w:t>70</w:t>
                  </w:r>
                </w:p>
              </w:tc>
              <w:tc>
                <w:tcPr>
                  <w:tcW w:w="623" w:type="pct"/>
                  <w:vAlign w:val="center"/>
                </w:tcPr>
                <w:p>
                  <w:pPr>
                    <w:pStyle w:val="61"/>
                    <w:rPr>
                      <w:szCs w:val="21"/>
                    </w:rPr>
                  </w:pPr>
                  <w:r>
                    <w:rPr>
                      <w:rFonts w:hint="eastAsia"/>
                      <w:szCs w:val="21"/>
                    </w:rPr>
                    <w:t>1</w:t>
                  </w:r>
                  <w:r>
                    <w:rPr>
                      <w:szCs w:val="21"/>
                    </w:rPr>
                    <w:t>20</w:t>
                  </w:r>
                </w:p>
              </w:tc>
              <w:tc>
                <w:tcPr>
                  <w:tcW w:w="585" w:type="pct"/>
                  <w:vAlign w:val="center"/>
                </w:tcPr>
                <w:p>
                  <w:pPr>
                    <w:pStyle w:val="61"/>
                    <w:rPr>
                      <w:szCs w:val="21"/>
                    </w:rPr>
                  </w:pPr>
                  <w:r>
                    <w:rPr>
                      <w:rFonts w:hint="eastAsia"/>
                      <w:szCs w:val="21"/>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szCs w:val="21"/>
                    </w:rPr>
                  </w:pPr>
                  <w:r>
                    <w:rPr>
                      <w:rFonts w:hint="eastAsia"/>
                      <w:szCs w:val="21"/>
                    </w:rPr>
                    <w:t>PM</w:t>
                  </w:r>
                  <w:r>
                    <w:rPr>
                      <w:rFonts w:hint="eastAsia"/>
                      <w:szCs w:val="21"/>
                      <w:vertAlign w:val="subscript"/>
                    </w:rPr>
                    <w:t>2.5</w:t>
                  </w:r>
                </w:p>
              </w:tc>
              <w:tc>
                <w:tcPr>
                  <w:tcW w:w="1493" w:type="pct"/>
                  <w:vAlign w:val="center"/>
                </w:tcPr>
                <w:p>
                  <w:pPr>
                    <w:pStyle w:val="61"/>
                    <w:rPr>
                      <w:szCs w:val="21"/>
                    </w:rPr>
                  </w:pPr>
                  <w:r>
                    <w:rPr>
                      <w:rFonts w:hint="eastAsia"/>
                      <w:szCs w:val="21"/>
                    </w:rPr>
                    <w:t>年平均值</w:t>
                  </w:r>
                </w:p>
              </w:tc>
              <w:tc>
                <w:tcPr>
                  <w:tcW w:w="801" w:type="pct"/>
                  <w:vAlign w:val="center"/>
                </w:tcPr>
                <w:p>
                  <w:pPr>
                    <w:pStyle w:val="61"/>
                    <w:rPr>
                      <w:szCs w:val="21"/>
                    </w:rPr>
                  </w:pPr>
                  <w:r>
                    <w:rPr>
                      <w:rFonts w:hint="eastAsia"/>
                      <w:szCs w:val="21"/>
                    </w:rPr>
                    <w:t>5</w:t>
                  </w:r>
                  <w:r>
                    <w:rPr>
                      <w:szCs w:val="21"/>
                    </w:rPr>
                    <w:t>4</w:t>
                  </w:r>
                </w:p>
              </w:tc>
              <w:tc>
                <w:tcPr>
                  <w:tcW w:w="890" w:type="pct"/>
                  <w:vAlign w:val="center"/>
                </w:tcPr>
                <w:p>
                  <w:pPr>
                    <w:pStyle w:val="61"/>
                    <w:rPr>
                      <w:szCs w:val="21"/>
                    </w:rPr>
                  </w:pPr>
                  <w:r>
                    <w:rPr>
                      <w:rFonts w:hint="eastAsia"/>
                      <w:szCs w:val="21"/>
                    </w:rPr>
                    <w:t>35</w:t>
                  </w:r>
                </w:p>
              </w:tc>
              <w:tc>
                <w:tcPr>
                  <w:tcW w:w="623" w:type="pct"/>
                  <w:vAlign w:val="center"/>
                </w:tcPr>
                <w:p>
                  <w:pPr>
                    <w:pStyle w:val="61"/>
                    <w:rPr>
                      <w:szCs w:val="21"/>
                    </w:rPr>
                  </w:pPr>
                  <w:r>
                    <w:rPr>
                      <w:rFonts w:hint="eastAsia"/>
                      <w:szCs w:val="21"/>
                    </w:rPr>
                    <w:t>1</w:t>
                  </w:r>
                  <w:r>
                    <w:rPr>
                      <w:szCs w:val="21"/>
                    </w:rPr>
                    <w:t>54</w:t>
                  </w:r>
                </w:p>
              </w:tc>
              <w:tc>
                <w:tcPr>
                  <w:tcW w:w="585" w:type="pct"/>
                  <w:vAlign w:val="center"/>
                </w:tcPr>
                <w:p>
                  <w:pPr>
                    <w:pStyle w:val="61"/>
                    <w:rPr>
                      <w:szCs w:val="21"/>
                    </w:rPr>
                  </w:pPr>
                  <w:r>
                    <w:rPr>
                      <w:rFonts w:hint="eastAsia"/>
                      <w:szCs w:val="21"/>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szCs w:val="21"/>
                    </w:rPr>
                  </w:pPr>
                  <w:r>
                    <w:rPr>
                      <w:rFonts w:hint="eastAsia"/>
                      <w:szCs w:val="21"/>
                    </w:rPr>
                    <w:t>CO</w:t>
                  </w:r>
                </w:p>
              </w:tc>
              <w:tc>
                <w:tcPr>
                  <w:tcW w:w="1493" w:type="pct"/>
                  <w:vAlign w:val="center"/>
                </w:tcPr>
                <w:p>
                  <w:pPr>
                    <w:pStyle w:val="61"/>
                    <w:rPr>
                      <w:szCs w:val="21"/>
                    </w:rPr>
                  </w:pPr>
                  <w:r>
                    <w:rPr>
                      <w:szCs w:val="21"/>
                    </w:rPr>
                    <w:t>百分位上日平均质量浓度</w:t>
                  </w:r>
                </w:p>
              </w:tc>
              <w:tc>
                <w:tcPr>
                  <w:tcW w:w="801" w:type="pct"/>
                  <w:vAlign w:val="center"/>
                </w:tcPr>
                <w:p>
                  <w:pPr>
                    <w:pStyle w:val="61"/>
                    <w:rPr>
                      <w:szCs w:val="21"/>
                    </w:rPr>
                  </w:pPr>
                  <w:r>
                    <w:rPr>
                      <w:rFonts w:hint="eastAsia"/>
                      <w:szCs w:val="21"/>
                    </w:rPr>
                    <w:t>2</w:t>
                  </w:r>
                  <w:r>
                    <w:rPr>
                      <w:szCs w:val="21"/>
                    </w:rPr>
                    <w:t>.6</w:t>
                  </w:r>
                  <w:r>
                    <w:rPr>
                      <w:rFonts w:hint="eastAsia"/>
                      <w:szCs w:val="21"/>
                    </w:rPr>
                    <w:t>（mg/m</w:t>
                  </w:r>
                  <w:r>
                    <w:rPr>
                      <w:rFonts w:hint="eastAsia"/>
                      <w:szCs w:val="21"/>
                      <w:vertAlign w:val="superscript"/>
                    </w:rPr>
                    <w:t>3</w:t>
                  </w:r>
                  <w:r>
                    <w:rPr>
                      <w:rFonts w:hint="eastAsia"/>
                      <w:szCs w:val="21"/>
                    </w:rPr>
                    <w:t>）</w:t>
                  </w:r>
                </w:p>
              </w:tc>
              <w:tc>
                <w:tcPr>
                  <w:tcW w:w="890" w:type="pct"/>
                  <w:vAlign w:val="center"/>
                </w:tcPr>
                <w:p>
                  <w:pPr>
                    <w:pStyle w:val="61"/>
                    <w:rPr>
                      <w:szCs w:val="21"/>
                    </w:rPr>
                  </w:pPr>
                  <w:r>
                    <w:rPr>
                      <w:rFonts w:hint="eastAsia"/>
                      <w:szCs w:val="21"/>
                    </w:rPr>
                    <w:t>4（mg/m</w:t>
                  </w:r>
                  <w:r>
                    <w:rPr>
                      <w:rFonts w:hint="eastAsia"/>
                      <w:szCs w:val="21"/>
                      <w:vertAlign w:val="superscript"/>
                    </w:rPr>
                    <w:t>3</w:t>
                  </w:r>
                  <w:r>
                    <w:rPr>
                      <w:rFonts w:hint="eastAsia"/>
                      <w:szCs w:val="21"/>
                    </w:rPr>
                    <w:t>）</w:t>
                  </w:r>
                </w:p>
              </w:tc>
              <w:tc>
                <w:tcPr>
                  <w:tcW w:w="623" w:type="pct"/>
                  <w:vAlign w:val="center"/>
                </w:tcPr>
                <w:p>
                  <w:pPr>
                    <w:pStyle w:val="61"/>
                    <w:rPr>
                      <w:szCs w:val="21"/>
                    </w:rPr>
                  </w:pPr>
                  <w:r>
                    <w:rPr>
                      <w:rFonts w:hint="eastAsia"/>
                      <w:szCs w:val="21"/>
                    </w:rPr>
                    <w:t>6</w:t>
                  </w:r>
                  <w:r>
                    <w:rPr>
                      <w:szCs w:val="21"/>
                    </w:rPr>
                    <w:t>5.0</w:t>
                  </w:r>
                </w:p>
              </w:tc>
              <w:tc>
                <w:tcPr>
                  <w:tcW w:w="585" w:type="pct"/>
                  <w:vAlign w:val="center"/>
                </w:tcPr>
                <w:p>
                  <w:pPr>
                    <w:pStyle w:val="61"/>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08" w:type="pct"/>
                  <w:vAlign w:val="center"/>
                </w:tcPr>
                <w:p>
                  <w:pPr>
                    <w:pStyle w:val="61"/>
                    <w:rPr>
                      <w:szCs w:val="21"/>
                    </w:rPr>
                  </w:pPr>
                  <w:r>
                    <w:rPr>
                      <w:rFonts w:hint="eastAsia"/>
                      <w:szCs w:val="21"/>
                    </w:rPr>
                    <w:t>O</w:t>
                  </w:r>
                  <w:r>
                    <w:rPr>
                      <w:rFonts w:hint="eastAsia"/>
                      <w:szCs w:val="21"/>
                      <w:vertAlign w:val="subscript"/>
                    </w:rPr>
                    <w:t>3</w:t>
                  </w:r>
                </w:p>
              </w:tc>
              <w:tc>
                <w:tcPr>
                  <w:tcW w:w="1493" w:type="pct"/>
                  <w:vAlign w:val="center"/>
                </w:tcPr>
                <w:p>
                  <w:pPr>
                    <w:pStyle w:val="61"/>
                    <w:rPr>
                      <w:szCs w:val="21"/>
                    </w:rPr>
                  </w:pPr>
                  <w:r>
                    <w:rPr>
                      <w:szCs w:val="21"/>
                    </w:rPr>
                    <w:t>百分位上8h平均质量浓度</w:t>
                  </w:r>
                </w:p>
              </w:tc>
              <w:tc>
                <w:tcPr>
                  <w:tcW w:w="801" w:type="pct"/>
                  <w:vAlign w:val="center"/>
                </w:tcPr>
                <w:p>
                  <w:pPr>
                    <w:pStyle w:val="61"/>
                    <w:rPr>
                      <w:szCs w:val="21"/>
                    </w:rPr>
                  </w:pPr>
                  <w:r>
                    <w:rPr>
                      <w:rFonts w:hint="eastAsia"/>
                      <w:szCs w:val="21"/>
                    </w:rPr>
                    <w:t>1</w:t>
                  </w:r>
                  <w:r>
                    <w:rPr>
                      <w:szCs w:val="21"/>
                    </w:rPr>
                    <w:t>38</w:t>
                  </w:r>
                </w:p>
              </w:tc>
              <w:tc>
                <w:tcPr>
                  <w:tcW w:w="890" w:type="pct"/>
                  <w:vAlign w:val="center"/>
                </w:tcPr>
                <w:p>
                  <w:pPr>
                    <w:pStyle w:val="61"/>
                    <w:rPr>
                      <w:szCs w:val="21"/>
                    </w:rPr>
                  </w:pPr>
                  <w:r>
                    <w:rPr>
                      <w:szCs w:val="21"/>
                    </w:rPr>
                    <w:t>160</w:t>
                  </w:r>
                </w:p>
              </w:tc>
              <w:tc>
                <w:tcPr>
                  <w:tcW w:w="623" w:type="pct"/>
                  <w:vAlign w:val="center"/>
                </w:tcPr>
                <w:p>
                  <w:pPr>
                    <w:pStyle w:val="61"/>
                    <w:rPr>
                      <w:szCs w:val="21"/>
                    </w:rPr>
                  </w:pPr>
                  <w:r>
                    <w:rPr>
                      <w:rFonts w:hint="eastAsia"/>
                      <w:szCs w:val="21"/>
                    </w:rPr>
                    <w:t>8</w:t>
                  </w:r>
                  <w:r>
                    <w:rPr>
                      <w:szCs w:val="21"/>
                    </w:rPr>
                    <w:t>6.3</w:t>
                  </w:r>
                </w:p>
              </w:tc>
              <w:tc>
                <w:tcPr>
                  <w:tcW w:w="585" w:type="pct"/>
                  <w:vAlign w:val="center"/>
                </w:tcPr>
                <w:p>
                  <w:pPr>
                    <w:pStyle w:val="61"/>
                    <w:rPr>
                      <w:szCs w:val="21"/>
                    </w:rPr>
                  </w:pPr>
                  <w:r>
                    <w:rPr>
                      <w:szCs w:val="21"/>
                    </w:rPr>
                    <w:t>达标</w:t>
                  </w:r>
                </w:p>
              </w:tc>
            </w:tr>
          </w:tbl>
          <w:p>
            <w:pPr>
              <w:pStyle w:val="53"/>
              <w:adjustRightInd w:val="0"/>
              <w:snapToGrid w:val="0"/>
              <w:ind w:firstLine="0" w:firstLineChars="0"/>
              <w:rPr>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699" w:type="dxa"/>
            <w:vAlign w:val="center"/>
          </w:tcPr>
          <w:p>
            <w:pPr>
              <w:adjustRightInd w:val="0"/>
              <w:snapToGrid w:val="0"/>
              <w:spacing w:line="300" w:lineRule="exact"/>
              <w:jc w:val="center"/>
              <w:rPr>
                <w:rFonts w:ascii="宋体" w:hAnsi="宋体" w:cs="宋体"/>
                <w:kern w:val="0"/>
                <w:sz w:val="24"/>
              </w:rPr>
            </w:pPr>
            <w:r>
              <w:rPr>
                <w:rFonts w:hint="eastAsia" w:ascii="宋体" w:hAnsi="宋体"/>
                <w:bCs/>
                <w:sz w:val="24"/>
              </w:rPr>
              <w:t>与项目有关的原有环境污染和生态破坏问题</w:t>
            </w:r>
          </w:p>
        </w:tc>
        <w:tc>
          <w:tcPr>
            <w:tcW w:w="8080" w:type="dxa"/>
            <w:gridSpan w:val="11"/>
            <w:vAlign w:val="center"/>
          </w:tcPr>
          <w:p>
            <w:pPr>
              <w:pStyle w:val="46"/>
              <w:ind w:firstLine="480"/>
            </w:pPr>
            <w:r>
              <w:rPr>
                <w:rFonts w:hint="eastAsia"/>
              </w:rPr>
              <w:t>本项目为新建项目，不存在</w:t>
            </w:r>
            <w:r>
              <w:rPr>
                <w:rFonts w:hint="eastAsia"/>
                <w:bCs/>
              </w:rPr>
              <w:t>原有环境污染和生态破坏问题</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699" w:type="dxa"/>
            <w:vMerge w:val="restart"/>
            <w:vAlign w:val="center"/>
          </w:tcPr>
          <w:p>
            <w:pPr>
              <w:adjustRightInd w:val="0"/>
              <w:snapToGrid w:val="0"/>
              <w:jc w:val="center"/>
              <w:rPr>
                <w:rFonts w:ascii="宋体" w:hAnsi="宋体" w:cs="宋体"/>
                <w:kern w:val="0"/>
                <w:sz w:val="24"/>
              </w:rPr>
            </w:pPr>
            <w:r>
              <w:rPr>
                <w:rFonts w:hint="eastAsia" w:ascii="宋体" w:hAnsi="宋体" w:cs="宋体"/>
                <w:kern w:val="0"/>
                <w:sz w:val="24"/>
              </w:rPr>
              <w:t>生态环境保护目标</w:t>
            </w:r>
          </w:p>
        </w:tc>
        <w:tc>
          <w:tcPr>
            <w:tcW w:w="709" w:type="dxa"/>
            <w:vMerge w:val="restart"/>
            <w:vAlign w:val="center"/>
          </w:tcPr>
          <w:p>
            <w:pPr>
              <w:adjustRightInd w:val="0"/>
              <w:snapToGrid w:val="0"/>
              <w:spacing w:line="320" w:lineRule="exact"/>
              <w:jc w:val="center"/>
              <w:rPr>
                <w:rFonts w:ascii="宋体" w:hAnsi="宋体" w:cs="宋体"/>
                <w:sz w:val="24"/>
              </w:rPr>
            </w:pPr>
            <w:r>
              <w:rPr>
                <w:rFonts w:hint="eastAsia" w:ascii="宋体" w:hAnsi="宋体" w:cs="宋体"/>
                <w:sz w:val="24"/>
              </w:rPr>
              <w:t>评价等级</w:t>
            </w: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环境要素</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判定依据</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评价等级</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5"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生态</w:t>
            </w:r>
          </w:p>
        </w:tc>
        <w:tc>
          <w:tcPr>
            <w:tcW w:w="2977" w:type="dxa"/>
            <w:gridSpan w:val="5"/>
            <w:vAlign w:val="center"/>
          </w:tcPr>
          <w:p>
            <w:pPr>
              <w:wordWrap w:val="0"/>
              <w:adjustRightInd w:val="0"/>
              <w:snapToGrid w:val="0"/>
              <w:spacing w:line="300" w:lineRule="exact"/>
              <w:jc w:val="center"/>
              <w:rPr>
                <w:rFonts w:ascii="宋体" w:hAnsi="宋体" w:cs="宋体"/>
                <w:spacing w:val="-18"/>
                <w:sz w:val="24"/>
              </w:rPr>
            </w:pPr>
            <w:r>
              <w:rPr>
                <w:rFonts w:hint="eastAsia" w:ascii="宋体" w:hAnsi="宋体" w:cs="宋体"/>
                <w:spacing w:val="-18"/>
                <w:sz w:val="24"/>
              </w:rPr>
              <w:t>项目仅有施工期，在施工过程中对生态完整性以及生物多样性造成直接、间接影响的区域为临时占地范围内，不会对临时占地范围外造成影响，临时占地面积</w:t>
            </w:r>
            <w:r>
              <w:rPr>
                <w:rFonts w:ascii="宋体" w:hAnsi="宋体" w:cs="宋体"/>
                <w:spacing w:val="-18"/>
                <w:sz w:val="24"/>
              </w:rPr>
              <w:t>14200</w:t>
            </w:r>
            <w:r>
              <w:rPr>
                <w:rFonts w:hint="eastAsia" w:ascii="宋体" w:hAnsi="宋体" w:cs="宋体"/>
                <w:spacing w:val="-18"/>
                <w:sz w:val="24"/>
              </w:rPr>
              <w:t>m</w:t>
            </w:r>
            <w:r>
              <w:rPr>
                <w:rFonts w:hint="eastAsia" w:ascii="宋体" w:hAnsi="宋体" w:cs="宋体"/>
                <w:spacing w:val="-18"/>
                <w:sz w:val="24"/>
                <w:vertAlign w:val="superscript"/>
              </w:rPr>
              <w:t>2</w:t>
            </w:r>
            <w:r>
              <w:rPr>
                <w:rFonts w:hint="eastAsia" w:ascii="宋体" w:hAnsi="宋体" w:cs="宋体"/>
                <w:spacing w:val="-18"/>
                <w:sz w:val="24"/>
              </w:rPr>
              <w:t>，征用时间约2年，施工结束后及时清理平整，土地利用类型不会有明显改变，占地范围内不涉及其他国家公园、自然保护区、世界自然遗产、重要生境、自然公园、生态保护红线等生态敏感区；除占地范围内生态保护目标为盖度5%的梭梭以及水土流失重点治理区，除此之外无天然林、公益林、湿地等其他生态保护目标分布；地表水评价等级为三级B。</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三级</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项目占地范围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大气</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施工期短暂且无运营期，试油结束后大气环境影响随即消失</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三级</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不设置评价范围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地表水</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废水间接排放</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三级B</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不设置评价范围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地下水</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Ⅳ类项目</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不设置评价范围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1"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声环境</w:t>
            </w:r>
          </w:p>
        </w:tc>
        <w:tc>
          <w:tcPr>
            <w:tcW w:w="2977" w:type="dxa"/>
            <w:gridSpan w:val="5"/>
            <w:vAlign w:val="center"/>
          </w:tcPr>
          <w:p>
            <w:pPr>
              <w:adjustRightInd w:val="0"/>
              <w:snapToGrid w:val="0"/>
              <w:spacing w:line="300" w:lineRule="exact"/>
              <w:jc w:val="center"/>
              <w:rPr>
                <w:rFonts w:ascii="宋体" w:hAnsi="宋体" w:cs="宋体"/>
                <w:spacing w:val="4"/>
                <w:sz w:val="24"/>
              </w:rPr>
            </w:pPr>
            <w:r>
              <w:rPr>
                <w:rFonts w:hint="eastAsia" w:ascii="宋体" w:hAnsi="宋体" w:cs="宋体"/>
                <w:spacing w:val="4"/>
                <w:sz w:val="24"/>
              </w:rPr>
              <w:t>2类声环境功能区</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二级</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井场外延200m的范围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土壤环境</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Ⅳ类建设项目</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不设置评价范围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15"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环境风险</w:t>
            </w:r>
          </w:p>
        </w:tc>
        <w:tc>
          <w:tcPr>
            <w:tcW w:w="2977" w:type="dxa"/>
            <w:gridSpan w:val="5"/>
            <w:vAlign w:val="center"/>
          </w:tcPr>
          <w:p>
            <w:pPr>
              <w:adjustRightInd w:val="0"/>
              <w:snapToGrid w:val="0"/>
              <w:spacing w:line="300" w:lineRule="exact"/>
              <w:jc w:val="center"/>
              <w:rPr>
                <w:rFonts w:ascii="宋体" w:hAnsi="宋体" w:cs="宋体"/>
                <w:spacing w:val="-8"/>
                <w:sz w:val="24"/>
              </w:rPr>
            </w:pPr>
            <w:r>
              <w:rPr>
                <w:rFonts w:hint="eastAsia" w:ascii="宋体" w:hAnsi="宋体"/>
                <w:sz w:val="24"/>
              </w:rPr>
              <w:t>钻井期井场危险物质为柴油，最大储存量约</w:t>
            </w:r>
            <w:r>
              <w:rPr>
                <w:rFonts w:ascii="宋体" w:hAnsi="宋体"/>
                <w:sz w:val="24"/>
              </w:rPr>
              <w:t>20t。</w:t>
            </w:r>
            <w:r>
              <w:rPr>
                <w:rFonts w:hint="eastAsia" w:ascii="宋体" w:hAnsi="宋体"/>
                <w:sz w:val="24"/>
              </w:rPr>
              <w:t>试油期伴生气、原油产生量</w:t>
            </w:r>
            <w:r>
              <w:rPr>
                <w:rFonts w:ascii="宋体" w:hAnsi="宋体"/>
                <w:sz w:val="24"/>
              </w:rPr>
              <w:t>少，远低于其对应的临界量，危险物质主要为柴油，井场发电机配套柴油储罐最大</w:t>
            </w:r>
            <w:r>
              <w:rPr>
                <w:rFonts w:ascii="宋体" w:hAnsi="宋体"/>
                <w:spacing w:val="-8"/>
                <w:sz w:val="24"/>
              </w:rPr>
              <w:t>容量</w:t>
            </w:r>
            <w:r>
              <w:rPr>
                <w:rFonts w:hint="eastAsia" w:ascii="宋体" w:hAnsi="宋体"/>
                <w:spacing w:val="-8"/>
                <w:sz w:val="24"/>
              </w:rPr>
              <w:t>约</w:t>
            </w:r>
            <w:r>
              <w:rPr>
                <w:rFonts w:ascii="宋体" w:hAnsi="宋体"/>
                <w:spacing w:val="-8"/>
                <w:sz w:val="24"/>
              </w:rPr>
              <w:t>20t。分别对钻井</w:t>
            </w:r>
            <w:r>
              <w:rPr>
                <w:rFonts w:hint="eastAsia" w:ascii="宋体" w:hAnsi="宋体"/>
                <w:spacing w:val="-8"/>
                <w:sz w:val="24"/>
              </w:rPr>
              <w:t>期</w:t>
            </w:r>
            <w:r>
              <w:rPr>
                <w:rFonts w:ascii="宋体" w:hAnsi="宋体"/>
                <w:spacing w:val="-8"/>
                <w:sz w:val="24"/>
              </w:rPr>
              <w:t>及试油期危险物质数量于临界量比值（Q值）进行计算，得出钻井期Q=0.008，</w:t>
            </w:r>
            <w:r>
              <w:rPr>
                <w:rFonts w:ascii="宋体" w:hAnsi="宋体"/>
                <w:sz w:val="24"/>
              </w:rPr>
              <w:t>试油期Q=0.008。项目钻井</w:t>
            </w:r>
            <w:r>
              <w:rPr>
                <w:rFonts w:hint="eastAsia" w:ascii="宋体" w:hAnsi="宋体"/>
                <w:sz w:val="24"/>
              </w:rPr>
              <w:t>期</w:t>
            </w:r>
            <w:r>
              <w:rPr>
                <w:rFonts w:ascii="宋体" w:hAnsi="宋体"/>
                <w:sz w:val="24"/>
              </w:rPr>
              <w:t>、试油期Q＜1，风险潜势为Ⅰ。</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简单分析</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不设置评价范围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restart"/>
            <w:vAlign w:val="center"/>
          </w:tcPr>
          <w:p>
            <w:pPr>
              <w:adjustRightInd w:val="0"/>
              <w:snapToGrid w:val="0"/>
              <w:spacing w:line="320" w:lineRule="exact"/>
              <w:jc w:val="center"/>
              <w:rPr>
                <w:rFonts w:ascii="宋体" w:hAnsi="宋体" w:cs="宋体"/>
                <w:sz w:val="24"/>
              </w:rPr>
            </w:pPr>
            <w:r>
              <w:rPr>
                <w:rFonts w:hint="eastAsia" w:ascii="宋体" w:hAnsi="宋体" w:cs="宋体"/>
                <w:sz w:val="24"/>
              </w:rPr>
              <w:t>保护目标</w:t>
            </w:r>
          </w:p>
        </w:tc>
        <w:tc>
          <w:tcPr>
            <w:tcW w:w="1134"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保护要素</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保护对象</w:t>
            </w:r>
          </w:p>
        </w:tc>
        <w:tc>
          <w:tcPr>
            <w:tcW w:w="1276"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数量规模</w:t>
            </w:r>
          </w:p>
        </w:tc>
        <w:tc>
          <w:tcPr>
            <w:tcW w:w="851"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距离</w:t>
            </w:r>
          </w:p>
        </w:tc>
        <w:tc>
          <w:tcPr>
            <w:tcW w:w="850"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方位</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cs="宋体"/>
                <w:sz w:val="24"/>
              </w:rPr>
              <w:t>保护级别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3"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Merge w:val="restart"/>
            <w:vAlign w:val="center"/>
          </w:tcPr>
          <w:p>
            <w:pPr>
              <w:adjustRightInd w:val="0"/>
              <w:snapToGrid w:val="0"/>
              <w:spacing w:line="300" w:lineRule="exact"/>
              <w:jc w:val="center"/>
              <w:rPr>
                <w:rFonts w:ascii="宋体" w:hAnsi="宋体" w:cs="宋体"/>
                <w:sz w:val="24"/>
              </w:rPr>
            </w:pPr>
            <w:r>
              <w:rPr>
                <w:rFonts w:hint="eastAsia" w:ascii="宋体" w:hAnsi="宋体" w:cs="宋体"/>
                <w:sz w:val="24"/>
              </w:rPr>
              <w:t>生态环境</w:t>
            </w: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梭梭</w:t>
            </w:r>
          </w:p>
        </w:tc>
        <w:tc>
          <w:tcPr>
            <w:tcW w:w="1276" w:type="dxa"/>
            <w:gridSpan w:val="2"/>
            <w:vMerge w:val="restart"/>
            <w:vAlign w:val="center"/>
          </w:tcPr>
          <w:p>
            <w:pPr>
              <w:adjustRightInd w:val="0"/>
              <w:snapToGrid w:val="0"/>
              <w:spacing w:line="300" w:lineRule="exact"/>
              <w:jc w:val="center"/>
              <w:rPr>
                <w:rFonts w:ascii="宋体" w:hAnsi="宋体" w:cs="宋体"/>
                <w:sz w:val="24"/>
              </w:rPr>
            </w:pPr>
            <w:r>
              <w:rPr>
                <w:rFonts w:hint="eastAsia" w:ascii="宋体" w:hAnsi="宋体"/>
                <w:sz w:val="24"/>
              </w:rPr>
              <w:t>盖度</w:t>
            </w:r>
            <w:r>
              <w:rPr>
                <w:rFonts w:ascii="宋体" w:hAnsi="宋体"/>
                <w:sz w:val="24"/>
              </w:rPr>
              <w:t>5</w:t>
            </w:r>
            <w:r>
              <w:rPr>
                <w:rFonts w:hint="eastAsia" w:ascii="宋体" w:hAnsi="宋体"/>
                <w:sz w:val="24"/>
              </w:rPr>
              <w:t>%</w:t>
            </w:r>
          </w:p>
        </w:tc>
        <w:tc>
          <w:tcPr>
            <w:tcW w:w="1701" w:type="dxa"/>
            <w:gridSpan w:val="3"/>
            <w:vMerge w:val="restart"/>
            <w:vAlign w:val="center"/>
          </w:tcPr>
          <w:p>
            <w:pPr>
              <w:adjustRightInd w:val="0"/>
              <w:snapToGrid w:val="0"/>
              <w:spacing w:line="300" w:lineRule="exact"/>
              <w:jc w:val="center"/>
              <w:rPr>
                <w:rFonts w:ascii="宋体" w:hAnsi="宋体" w:cs="宋体"/>
                <w:sz w:val="24"/>
              </w:rPr>
            </w:pPr>
            <w:r>
              <w:rPr>
                <w:rFonts w:hint="eastAsia" w:ascii="宋体" w:hAnsi="宋体" w:cs="宋体"/>
                <w:sz w:val="24"/>
              </w:rPr>
              <w:t>占地范围内</w:t>
            </w:r>
          </w:p>
        </w:tc>
        <w:tc>
          <w:tcPr>
            <w:tcW w:w="1843" w:type="dxa"/>
            <w:vAlign w:val="center"/>
          </w:tcPr>
          <w:p>
            <w:pPr>
              <w:adjustRightInd w:val="0"/>
              <w:snapToGrid w:val="0"/>
              <w:spacing w:line="300" w:lineRule="exact"/>
              <w:jc w:val="center"/>
              <w:rPr>
                <w:rFonts w:ascii="宋体" w:hAnsi="宋体" w:cs="宋体"/>
                <w:sz w:val="24"/>
              </w:rPr>
            </w:pPr>
            <w:r>
              <w:rPr>
                <w:rFonts w:hint="eastAsia" w:ascii="宋体" w:hAnsi="宋体"/>
                <w:sz w:val="24"/>
              </w:rPr>
              <w:t>自治区Ⅰ级保护植物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26"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Merge w:val="continue"/>
            <w:vAlign w:val="center"/>
          </w:tcPr>
          <w:p>
            <w:pPr>
              <w:adjustRightInd w:val="0"/>
              <w:snapToGrid w:val="0"/>
              <w:spacing w:line="300" w:lineRule="exact"/>
              <w:jc w:val="center"/>
              <w:rPr>
                <w:rFonts w:ascii="宋体" w:hAnsi="宋体" w:cs="宋体"/>
                <w:sz w:val="24"/>
              </w:rPr>
            </w:pP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野生植物</w:t>
            </w:r>
          </w:p>
        </w:tc>
        <w:tc>
          <w:tcPr>
            <w:tcW w:w="1276" w:type="dxa"/>
            <w:gridSpan w:val="2"/>
            <w:vMerge w:val="continue"/>
            <w:vAlign w:val="center"/>
          </w:tcPr>
          <w:p>
            <w:pPr>
              <w:adjustRightInd w:val="0"/>
              <w:snapToGrid w:val="0"/>
              <w:spacing w:line="300" w:lineRule="exact"/>
              <w:jc w:val="center"/>
              <w:rPr>
                <w:rFonts w:ascii="宋体" w:hAnsi="宋体"/>
                <w:sz w:val="24"/>
              </w:rPr>
            </w:pPr>
          </w:p>
        </w:tc>
        <w:tc>
          <w:tcPr>
            <w:tcW w:w="1701" w:type="dxa"/>
            <w:gridSpan w:val="3"/>
            <w:vMerge w:val="continue"/>
            <w:vAlign w:val="center"/>
          </w:tcPr>
          <w:p>
            <w:pPr>
              <w:adjustRightInd w:val="0"/>
              <w:snapToGrid w:val="0"/>
              <w:spacing w:line="300" w:lineRule="exact"/>
              <w:jc w:val="center"/>
              <w:rPr>
                <w:rFonts w:ascii="宋体" w:hAnsi="宋体" w:cs="宋体"/>
                <w:sz w:val="24"/>
              </w:rPr>
            </w:pPr>
          </w:p>
        </w:tc>
        <w:tc>
          <w:tcPr>
            <w:tcW w:w="1843" w:type="dxa"/>
            <w:vAlign w:val="center"/>
          </w:tcPr>
          <w:p>
            <w:pPr>
              <w:adjustRightInd w:val="0"/>
              <w:snapToGrid w:val="0"/>
              <w:spacing w:line="300" w:lineRule="exact"/>
              <w:jc w:val="center"/>
              <w:rPr>
                <w:rFonts w:ascii="宋体" w:hAnsi="宋体"/>
                <w:sz w:val="24"/>
              </w:rPr>
            </w:pPr>
            <w:r>
              <w:rPr>
                <w:rFonts w:hint="eastAsia" w:ascii="宋体" w:hAnsi="宋体"/>
                <w:sz w:val="24"/>
              </w:rPr>
              <w:t>禁止踩踏、碾压、砍伐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709" w:type="dxa"/>
            <w:vMerge w:val="continue"/>
            <w:vAlign w:val="center"/>
          </w:tcPr>
          <w:p>
            <w:pPr>
              <w:adjustRightInd w:val="0"/>
              <w:snapToGrid w:val="0"/>
              <w:spacing w:line="320" w:lineRule="exact"/>
              <w:jc w:val="center"/>
              <w:rPr>
                <w:rFonts w:ascii="宋体" w:hAnsi="宋体" w:cs="宋体"/>
                <w:sz w:val="24"/>
              </w:rPr>
            </w:pPr>
          </w:p>
        </w:tc>
        <w:tc>
          <w:tcPr>
            <w:tcW w:w="1134" w:type="dxa"/>
            <w:gridSpan w:val="2"/>
            <w:vMerge w:val="continue"/>
            <w:vAlign w:val="center"/>
          </w:tcPr>
          <w:p>
            <w:pPr>
              <w:adjustRightInd w:val="0"/>
              <w:snapToGrid w:val="0"/>
              <w:spacing w:line="300" w:lineRule="exact"/>
              <w:jc w:val="center"/>
              <w:rPr>
                <w:rFonts w:ascii="宋体" w:hAnsi="宋体" w:cs="宋体"/>
                <w:sz w:val="24"/>
              </w:rPr>
            </w:pPr>
          </w:p>
        </w:tc>
        <w:tc>
          <w:tcPr>
            <w:tcW w:w="1417" w:type="dxa"/>
            <w:gridSpan w:val="2"/>
            <w:vAlign w:val="center"/>
          </w:tcPr>
          <w:p>
            <w:pPr>
              <w:adjustRightInd w:val="0"/>
              <w:snapToGrid w:val="0"/>
              <w:spacing w:line="300" w:lineRule="exact"/>
              <w:jc w:val="center"/>
              <w:rPr>
                <w:rFonts w:ascii="宋体" w:hAnsi="宋体" w:cs="宋体"/>
                <w:sz w:val="24"/>
              </w:rPr>
            </w:pPr>
            <w:r>
              <w:rPr>
                <w:rFonts w:hint="eastAsia" w:ascii="宋体" w:hAnsi="宋体" w:cs="宋体"/>
                <w:sz w:val="24"/>
              </w:rPr>
              <w:t>水土流失重点治理区</w:t>
            </w:r>
          </w:p>
        </w:tc>
        <w:tc>
          <w:tcPr>
            <w:tcW w:w="2977"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项目占地范围内</w:t>
            </w:r>
          </w:p>
        </w:tc>
        <w:tc>
          <w:tcPr>
            <w:tcW w:w="1843" w:type="dxa"/>
            <w:vAlign w:val="center"/>
          </w:tcPr>
          <w:p>
            <w:pPr>
              <w:adjustRightInd w:val="0"/>
              <w:snapToGrid w:val="0"/>
              <w:spacing w:line="300" w:lineRule="exact"/>
              <w:jc w:val="center"/>
              <w:rPr>
                <w:rFonts w:ascii="宋体" w:hAnsi="宋体"/>
                <w:sz w:val="24"/>
              </w:rPr>
            </w:pPr>
            <w:r>
              <w:rPr>
                <w:rFonts w:hint="eastAsia" w:ascii="宋体" w:hAnsi="宋体" w:cs="宋体"/>
                <w:sz w:val="24"/>
              </w:rPr>
              <w:t>国家级区级水土流失重点治理区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699" w:type="dxa"/>
            <w:vMerge w:val="restart"/>
            <w:vAlign w:val="center"/>
          </w:tcPr>
          <w:p>
            <w:pPr>
              <w:adjustRightInd w:val="0"/>
              <w:snapToGrid w:val="0"/>
              <w:jc w:val="center"/>
              <w:rPr>
                <w:rFonts w:ascii="宋体" w:hAnsi="宋体" w:cs="宋体"/>
                <w:kern w:val="0"/>
                <w:sz w:val="24"/>
              </w:rPr>
            </w:pPr>
            <w:r>
              <w:rPr>
                <w:rFonts w:hint="eastAsia" w:ascii="宋体" w:hAnsi="宋体" w:cs="宋体"/>
                <w:kern w:val="0"/>
                <w:sz w:val="24"/>
              </w:rPr>
              <w:t>评价</w:t>
            </w:r>
          </w:p>
          <w:p>
            <w:pPr>
              <w:adjustRightInd w:val="0"/>
              <w:snapToGrid w:val="0"/>
              <w:jc w:val="center"/>
              <w:rPr>
                <w:rFonts w:ascii="宋体" w:hAnsi="宋体" w:cs="宋体"/>
                <w:kern w:val="0"/>
                <w:szCs w:val="21"/>
              </w:rPr>
            </w:pPr>
            <w:r>
              <w:rPr>
                <w:rFonts w:hint="eastAsia" w:ascii="宋体" w:hAnsi="宋体" w:cs="宋体"/>
                <w:kern w:val="0"/>
                <w:sz w:val="24"/>
              </w:rPr>
              <w:t>标准</w:t>
            </w:r>
          </w:p>
        </w:tc>
        <w:tc>
          <w:tcPr>
            <w:tcW w:w="3827" w:type="dxa"/>
            <w:gridSpan w:val="6"/>
            <w:vAlign w:val="center"/>
          </w:tcPr>
          <w:p>
            <w:pPr>
              <w:spacing w:line="300" w:lineRule="exact"/>
              <w:jc w:val="center"/>
              <w:rPr>
                <w:rFonts w:ascii="宋体" w:hAnsi="宋体" w:cs="宋体"/>
                <w:color w:val="FF0000"/>
                <w:sz w:val="24"/>
              </w:rPr>
            </w:pPr>
            <w:r>
              <w:rPr>
                <w:rFonts w:hint="eastAsia" w:ascii="宋体" w:hAnsi="宋体" w:cs="宋体"/>
                <w:sz w:val="24"/>
              </w:rPr>
              <w:t>环境要素</w:t>
            </w:r>
          </w:p>
        </w:tc>
        <w:tc>
          <w:tcPr>
            <w:tcW w:w="4253" w:type="dxa"/>
            <w:gridSpan w:val="5"/>
            <w:vAlign w:val="center"/>
          </w:tcPr>
          <w:p>
            <w:pPr>
              <w:spacing w:line="300" w:lineRule="exact"/>
              <w:jc w:val="center"/>
              <w:rPr>
                <w:rFonts w:ascii="宋体" w:hAnsi="宋体" w:cs="宋体"/>
                <w:sz w:val="24"/>
              </w:rPr>
            </w:pPr>
            <w:r>
              <w:rPr>
                <w:rFonts w:hint="eastAsia" w:ascii="宋体" w:hAnsi="宋体" w:cs="宋体"/>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restart"/>
            <w:vAlign w:val="center"/>
          </w:tcPr>
          <w:p>
            <w:pPr>
              <w:spacing w:line="300" w:lineRule="exact"/>
              <w:jc w:val="center"/>
              <w:rPr>
                <w:rFonts w:ascii="宋体" w:hAnsi="宋体" w:cs="宋体"/>
                <w:color w:val="FF0000"/>
                <w:sz w:val="24"/>
              </w:rPr>
            </w:pPr>
            <w:r>
              <w:rPr>
                <w:rFonts w:hint="eastAsia" w:ascii="宋体" w:hAnsi="宋体" w:cs="宋体"/>
                <w:sz w:val="24"/>
              </w:rPr>
              <w:t>环境质量标准</w:t>
            </w:r>
          </w:p>
        </w:tc>
        <w:tc>
          <w:tcPr>
            <w:tcW w:w="1134" w:type="dxa"/>
            <w:gridSpan w:val="2"/>
            <w:vAlign w:val="center"/>
          </w:tcPr>
          <w:p>
            <w:pPr>
              <w:spacing w:line="300" w:lineRule="exact"/>
              <w:jc w:val="center"/>
              <w:rPr>
                <w:rFonts w:ascii="宋体" w:hAnsi="宋体" w:cs="宋体"/>
                <w:color w:val="FF0000"/>
                <w:sz w:val="24"/>
              </w:rPr>
            </w:pPr>
            <w:r>
              <w:rPr>
                <w:rFonts w:hint="eastAsia" w:ascii="宋体" w:hAnsi="宋体" w:cs="宋体"/>
                <w:sz w:val="24"/>
              </w:rPr>
              <w:t>环境空气</w:t>
            </w:r>
          </w:p>
        </w:tc>
        <w:tc>
          <w:tcPr>
            <w:tcW w:w="1842" w:type="dxa"/>
            <w:gridSpan w:val="2"/>
            <w:vAlign w:val="center"/>
          </w:tcPr>
          <w:p>
            <w:pPr>
              <w:spacing w:line="300" w:lineRule="exact"/>
              <w:jc w:val="center"/>
              <w:rPr>
                <w:rFonts w:ascii="宋体" w:hAnsi="宋体" w:cs="宋体"/>
                <w:color w:val="FF0000"/>
                <w:sz w:val="24"/>
              </w:rPr>
            </w:pPr>
            <w:r>
              <w:rPr>
                <w:rFonts w:hint="eastAsia" w:ascii="宋体" w:hAnsi="宋体" w:cs="宋体"/>
                <w:sz w:val="24"/>
              </w:rPr>
              <w:t>基本污染物</w:t>
            </w:r>
          </w:p>
        </w:tc>
        <w:tc>
          <w:tcPr>
            <w:tcW w:w="4253" w:type="dxa"/>
            <w:gridSpan w:val="5"/>
            <w:vAlign w:val="center"/>
          </w:tcPr>
          <w:p>
            <w:pPr>
              <w:spacing w:line="300" w:lineRule="exact"/>
              <w:jc w:val="center"/>
              <w:rPr>
                <w:rFonts w:ascii="宋体" w:hAnsi="宋体" w:cs="宋体"/>
                <w:color w:val="FF0000"/>
                <w:sz w:val="24"/>
              </w:rPr>
            </w:pPr>
            <w:r>
              <w:rPr>
                <w:rFonts w:hint="eastAsia" w:ascii="宋体" w:hAnsi="宋体" w:cs="宋体"/>
                <w:sz w:val="24"/>
              </w:rPr>
              <w:t>《环境空气质量标准》（</w:t>
            </w:r>
            <w:r>
              <w:rPr>
                <w:rFonts w:ascii="宋体" w:hAnsi="宋体" w:cs="宋体"/>
                <w:sz w:val="24"/>
              </w:rPr>
              <w:t>GB3095-2012）</w:t>
            </w:r>
          </w:p>
          <w:p>
            <w:pPr>
              <w:spacing w:line="300" w:lineRule="exact"/>
              <w:jc w:val="center"/>
              <w:rPr>
                <w:rFonts w:ascii="宋体" w:hAnsi="宋体" w:cs="宋体"/>
                <w:color w:val="FF0000"/>
                <w:sz w:val="24"/>
              </w:rPr>
            </w:pPr>
            <w:r>
              <w:rPr>
                <w:rFonts w:hint="eastAsia" w:ascii="宋体" w:hAnsi="宋体" w:cs="宋体"/>
                <w:sz w:val="24"/>
              </w:rPr>
              <w:t>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continue"/>
            <w:vAlign w:val="center"/>
          </w:tcPr>
          <w:p>
            <w:pPr>
              <w:spacing w:line="300" w:lineRule="exact"/>
              <w:jc w:val="center"/>
              <w:rPr>
                <w:rFonts w:ascii="宋体" w:hAnsi="宋体" w:cs="宋体"/>
                <w:sz w:val="24"/>
              </w:rPr>
            </w:pPr>
          </w:p>
        </w:tc>
        <w:tc>
          <w:tcPr>
            <w:tcW w:w="1134" w:type="dxa"/>
            <w:gridSpan w:val="2"/>
            <w:vAlign w:val="center"/>
          </w:tcPr>
          <w:p>
            <w:pPr>
              <w:spacing w:line="300" w:lineRule="exact"/>
              <w:jc w:val="center"/>
              <w:rPr>
                <w:rFonts w:ascii="宋体" w:hAnsi="宋体" w:cs="宋体"/>
                <w:sz w:val="24"/>
              </w:rPr>
            </w:pPr>
            <w:r>
              <w:rPr>
                <w:rFonts w:hint="eastAsia" w:ascii="宋体" w:hAnsi="宋体" w:cs="宋体"/>
                <w:sz w:val="24"/>
              </w:rPr>
              <w:t>声环境</w:t>
            </w:r>
          </w:p>
        </w:tc>
        <w:tc>
          <w:tcPr>
            <w:tcW w:w="1842" w:type="dxa"/>
            <w:gridSpan w:val="2"/>
            <w:vAlign w:val="center"/>
          </w:tcPr>
          <w:p>
            <w:pPr>
              <w:spacing w:line="300" w:lineRule="exact"/>
              <w:jc w:val="center"/>
              <w:rPr>
                <w:rFonts w:ascii="宋体" w:hAnsi="宋体" w:cs="宋体"/>
                <w:sz w:val="24"/>
              </w:rPr>
            </w:pPr>
            <w:r>
              <w:rPr>
                <w:rFonts w:hint="eastAsia" w:ascii="宋体" w:hAnsi="宋体" w:cs="宋体"/>
                <w:sz w:val="24"/>
              </w:rPr>
              <w:t>噪声</w:t>
            </w:r>
          </w:p>
        </w:tc>
        <w:tc>
          <w:tcPr>
            <w:tcW w:w="4253" w:type="dxa"/>
            <w:gridSpan w:val="5"/>
            <w:vAlign w:val="center"/>
          </w:tcPr>
          <w:p>
            <w:pPr>
              <w:spacing w:line="300" w:lineRule="exact"/>
              <w:jc w:val="center"/>
              <w:rPr>
                <w:rFonts w:ascii="宋体" w:hAnsi="宋体" w:cs="宋体"/>
                <w:sz w:val="24"/>
              </w:rPr>
            </w:pPr>
            <w:r>
              <w:rPr>
                <w:rFonts w:hint="eastAsia" w:ascii="宋体" w:hAnsi="宋体" w:cs="宋体"/>
                <w:sz w:val="24"/>
              </w:rPr>
              <w:t>《声环境质量标准》（GB 3096-2008）</w:t>
            </w:r>
          </w:p>
          <w:p>
            <w:pPr>
              <w:spacing w:line="300" w:lineRule="exact"/>
              <w:jc w:val="center"/>
              <w:rPr>
                <w:rFonts w:ascii="宋体" w:hAnsi="宋体" w:cs="宋体"/>
                <w:sz w:val="24"/>
              </w:rPr>
            </w:pPr>
            <w:r>
              <w:rPr>
                <w:rFonts w:hint="eastAsia" w:ascii="宋体" w:hAnsi="宋体" w:cs="宋体"/>
                <w:sz w:val="24"/>
              </w:rPr>
              <w:t>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8"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restart"/>
            <w:vAlign w:val="center"/>
          </w:tcPr>
          <w:p>
            <w:pPr>
              <w:spacing w:line="300" w:lineRule="exact"/>
              <w:jc w:val="center"/>
              <w:rPr>
                <w:rFonts w:ascii="宋体" w:hAnsi="宋体" w:cs="宋体"/>
                <w:color w:val="FF0000"/>
                <w:sz w:val="24"/>
              </w:rPr>
            </w:pPr>
            <w:r>
              <w:rPr>
                <w:rFonts w:hint="eastAsia" w:ascii="宋体" w:hAnsi="宋体" w:cs="宋体"/>
                <w:sz w:val="24"/>
              </w:rPr>
              <w:t>污染排放标准</w:t>
            </w:r>
          </w:p>
        </w:tc>
        <w:tc>
          <w:tcPr>
            <w:tcW w:w="1134" w:type="dxa"/>
            <w:gridSpan w:val="2"/>
            <w:vMerge w:val="restart"/>
            <w:vAlign w:val="center"/>
          </w:tcPr>
          <w:p>
            <w:pPr>
              <w:spacing w:line="300" w:lineRule="exact"/>
              <w:jc w:val="center"/>
              <w:rPr>
                <w:rFonts w:ascii="宋体" w:hAnsi="宋体" w:cs="宋体"/>
                <w:color w:val="FF0000"/>
                <w:sz w:val="24"/>
              </w:rPr>
            </w:pPr>
            <w:r>
              <w:rPr>
                <w:rFonts w:hint="eastAsia" w:ascii="宋体" w:hAnsi="宋体" w:cs="宋体"/>
                <w:sz w:val="24"/>
              </w:rPr>
              <w:t>废气</w:t>
            </w:r>
          </w:p>
        </w:tc>
        <w:tc>
          <w:tcPr>
            <w:tcW w:w="1842" w:type="dxa"/>
            <w:gridSpan w:val="2"/>
            <w:vAlign w:val="center"/>
          </w:tcPr>
          <w:p>
            <w:pPr>
              <w:spacing w:line="300" w:lineRule="exact"/>
              <w:jc w:val="center"/>
              <w:rPr>
                <w:rFonts w:ascii="宋体" w:hAnsi="宋体" w:cs="宋体"/>
                <w:color w:val="FF0000"/>
                <w:sz w:val="24"/>
              </w:rPr>
            </w:pPr>
            <w:r>
              <w:rPr>
                <w:rFonts w:hint="eastAsia" w:ascii="宋体" w:hAnsi="宋体"/>
                <w:sz w:val="24"/>
              </w:rPr>
              <w:t>施工期发电机废气</w:t>
            </w:r>
          </w:p>
        </w:tc>
        <w:tc>
          <w:tcPr>
            <w:tcW w:w="4253" w:type="dxa"/>
            <w:gridSpan w:val="5"/>
            <w:vAlign w:val="center"/>
          </w:tcPr>
          <w:p>
            <w:pPr>
              <w:spacing w:line="300" w:lineRule="exact"/>
              <w:jc w:val="center"/>
              <w:rPr>
                <w:rFonts w:ascii="宋体" w:hAnsi="宋体" w:cs="宋体"/>
                <w:color w:val="FF0000"/>
                <w:sz w:val="24"/>
              </w:rPr>
            </w:pPr>
            <w:r>
              <w:rPr>
                <w:rFonts w:hint="eastAsia" w:ascii="宋体" w:hAnsi="宋体" w:cs="宋体"/>
                <w:sz w:val="24"/>
              </w:rPr>
              <w:t>《大气污染物综合排放标准》（GB</w:t>
            </w:r>
            <w:r>
              <w:rPr>
                <w:rFonts w:ascii="宋体" w:hAnsi="宋体" w:cs="宋体"/>
                <w:sz w:val="24"/>
              </w:rPr>
              <w:t xml:space="preserve"> </w:t>
            </w:r>
            <w:r>
              <w:rPr>
                <w:rFonts w:hint="eastAsia" w:ascii="宋体" w:hAnsi="宋体" w:cs="宋体"/>
                <w:sz w:val="24"/>
              </w:rPr>
              <w:t>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continue"/>
            <w:vAlign w:val="center"/>
          </w:tcPr>
          <w:p>
            <w:pPr>
              <w:spacing w:line="300" w:lineRule="exact"/>
              <w:jc w:val="center"/>
              <w:rPr>
                <w:rFonts w:ascii="宋体" w:hAnsi="宋体" w:cs="宋体"/>
                <w:color w:val="FF0000"/>
                <w:sz w:val="24"/>
              </w:rPr>
            </w:pPr>
          </w:p>
        </w:tc>
        <w:tc>
          <w:tcPr>
            <w:tcW w:w="1134" w:type="dxa"/>
            <w:gridSpan w:val="2"/>
            <w:vMerge w:val="continue"/>
            <w:vAlign w:val="center"/>
          </w:tcPr>
          <w:p>
            <w:pPr>
              <w:spacing w:line="300" w:lineRule="exact"/>
              <w:jc w:val="center"/>
              <w:rPr>
                <w:rFonts w:ascii="宋体" w:hAnsi="宋体" w:cs="宋体"/>
                <w:color w:val="FF0000"/>
                <w:sz w:val="24"/>
              </w:rPr>
            </w:pPr>
          </w:p>
        </w:tc>
        <w:tc>
          <w:tcPr>
            <w:tcW w:w="1842" w:type="dxa"/>
            <w:gridSpan w:val="2"/>
            <w:vAlign w:val="center"/>
          </w:tcPr>
          <w:p>
            <w:pPr>
              <w:spacing w:line="300" w:lineRule="exact"/>
              <w:jc w:val="center"/>
              <w:rPr>
                <w:rFonts w:ascii="宋体" w:hAnsi="宋体" w:cs="宋体"/>
                <w:color w:val="FF0000"/>
                <w:sz w:val="24"/>
              </w:rPr>
            </w:pPr>
            <w:r>
              <w:rPr>
                <w:rFonts w:hint="eastAsia" w:ascii="宋体" w:hAnsi="宋体" w:cs="宋体"/>
                <w:sz w:val="24"/>
              </w:rPr>
              <w:t>非甲烷总烃</w:t>
            </w:r>
          </w:p>
        </w:tc>
        <w:tc>
          <w:tcPr>
            <w:tcW w:w="4253" w:type="dxa"/>
            <w:gridSpan w:val="5"/>
            <w:vAlign w:val="center"/>
          </w:tcPr>
          <w:p>
            <w:pPr>
              <w:spacing w:line="300" w:lineRule="exact"/>
              <w:jc w:val="center"/>
              <w:rPr>
                <w:rFonts w:ascii="宋体" w:hAnsi="宋体" w:cs="宋体"/>
                <w:color w:val="FF0000"/>
                <w:sz w:val="24"/>
              </w:rPr>
            </w:pPr>
            <w:r>
              <w:rPr>
                <w:rFonts w:hint="eastAsia" w:ascii="宋体" w:hAnsi="宋体" w:cs="宋体"/>
                <w:sz w:val="24"/>
              </w:rPr>
              <w:t>《陆上石油天然气开采工业大气污染物排放标准》（GB39728-2020）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continue"/>
            <w:vAlign w:val="center"/>
          </w:tcPr>
          <w:p>
            <w:pPr>
              <w:spacing w:line="300" w:lineRule="exact"/>
              <w:jc w:val="center"/>
              <w:rPr>
                <w:rFonts w:ascii="宋体" w:hAnsi="宋体" w:cs="宋体"/>
                <w:color w:val="FF0000"/>
                <w:sz w:val="24"/>
              </w:rPr>
            </w:pPr>
          </w:p>
        </w:tc>
        <w:tc>
          <w:tcPr>
            <w:tcW w:w="1134" w:type="dxa"/>
            <w:gridSpan w:val="2"/>
            <w:vAlign w:val="center"/>
          </w:tcPr>
          <w:p>
            <w:pPr>
              <w:spacing w:line="300" w:lineRule="exact"/>
              <w:jc w:val="center"/>
              <w:rPr>
                <w:rFonts w:ascii="宋体" w:hAnsi="宋体" w:cs="宋体"/>
                <w:color w:val="FF0000"/>
                <w:sz w:val="24"/>
              </w:rPr>
            </w:pPr>
            <w:r>
              <w:rPr>
                <w:rFonts w:hint="eastAsia" w:ascii="宋体" w:hAnsi="宋体" w:cs="宋体"/>
                <w:sz w:val="24"/>
              </w:rPr>
              <w:t>噪声</w:t>
            </w:r>
          </w:p>
        </w:tc>
        <w:tc>
          <w:tcPr>
            <w:tcW w:w="1842" w:type="dxa"/>
            <w:gridSpan w:val="2"/>
            <w:vAlign w:val="center"/>
          </w:tcPr>
          <w:p>
            <w:pPr>
              <w:spacing w:line="300" w:lineRule="exact"/>
              <w:jc w:val="center"/>
              <w:rPr>
                <w:rFonts w:ascii="宋体" w:hAnsi="宋体" w:cs="宋体"/>
                <w:color w:val="FF0000"/>
                <w:sz w:val="24"/>
              </w:rPr>
            </w:pPr>
            <w:r>
              <w:rPr>
                <w:rFonts w:hint="eastAsia" w:ascii="宋体" w:hAnsi="宋体" w:cs="宋体"/>
                <w:sz w:val="24"/>
              </w:rPr>
              <w:t>施工期井场噪声</w:t>
            </w:r>
          </w:p>
        </w:tc>
        <w:tc>
          <w:tcPr>
            <w:tcW w:w="4253" w:type="dxa"/>
            <w:gridSpan w:val="5"/>
            <w:vAlign w:val="center"/>
          </w:tcPr>
          <w:p>
            <w:pPr>
              <w:spacing w:line="300" w:lineRule="exact"/>
              <w:jc w:val="center"/>
              <w:rPr>
                <w:rFonts w:ascii="宋体" w:hAnsi="宋体" w:cs="宋体"/>
                <w:color w:val="FF0000"/>
                <w:sz w:val="24"/>
              </w:rPr>
            </w:pPr>
            <w:r>
              <w:rPr>
                <w:rFonts w:hint="eastAsia" w:ascii="宋体" w:hAnsi="宋体" w:cs="宋体"/>
                <w:sz w:val="24"/>
              </w:rPr>
              <w:t>《建筑施工场界环境噪声排放标准》（</w:t>
            </w:r>
            <w:r>
              <w:rPr>
                <w:rFonts w:ascii="宋体" w:hAnsi="宋体" w:cs="宋体"/>
                <w:sz w:val="24"/>
              </w:rPr>
              <w:t>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restart"/>
            <w:vAlign w:val="center"/>
          </w:tcPr>
          <w:p>
            <w:pPr>
              <w:spacing w:line="300" w:lineRule="exact"/>
              <w:jc w:val="center"/>
              <w:rPr>
                <w:rFonts w:ascii="宋体" w:hAnsi="宋体" w:cs="宋体"/>
                <w:sz w:val="24"/>
              </w:rPr>
            </w:pPr>
            <w:r>
              <w:rPr>
                <w:rFonts w:hint="eastAsia" w:ascii="宋体" w:hAnsi="宋体" w:cs="宋体"/>
                <w:sz w:val="24"/>
              </w:rPr>
              <w:t>控制</w:t>
            </w:r>
          </w:p>
          <w:p>
            <w:pPr>
              <w:spacing w:line="300" w:lineRule="exact"/>
              <w:jc w:val="center"/>
              <w:rPr>
                <w:rFonts w:ascii="宋体" w:hAnsi="宋体" w:cs="宋体"/>
                <w:color w:val="FF0000"/>
                <w:sz w:val="24"/>
              </w:rPr>
            </w:pPr>
            <w:r>
              <w:rPr>
                <w:rFonts w:hint="eastAsia" w:ascii="宋体" w:hAnsi="宋体" w:cs="宋体"/>
                <w:sz w:val="24"/>
              </w:rPr>
              <w:t>标准</w:t>
            </w:r>
          </w:p>
        </w:tc>
        <w:tc>
          <w:tcPr>
            <w:tcW w:w="1134" w:type="dxa"/>
            <w:gridSpan w:val="2"/>
            <w:vAlign w:val="center"/>
          </w:tcPr>
          <w:p>
            <w:pPr>
              <w:spacing w:line="300" w:lineRule="exact"/>
              <w:jc w:val="center"/>
              <w:rPr>
                <w:rFonts w:ascii="宋体" w:hAnsi="宋体" w:cs="宋体"/>
                <w:color w:val="FF0000"/>
                <w:sz w:val="24"/>
              </w:rPr>
            </w:pPr>
            <w:r>
              <w:rPr>
                <w:rFonts w:hint="eastAsia" w:ascii="宋体" w:hAnsi="宋体" w:cs="宋体"/>
                <w:sz w:val="24"/>
              </w:rPr>
              <w:t>一般固废</w:t>
            </w:r>
          </w:p>
        </w:tc>
        <w:tc>
          <w:tcPr>
            <w:tcW w:w="1842" w:type="dxa"/>
            <w:gridSpan w:val="2"/>
            <w:vAlign w:val="center"/>
          </w:tcPr>
          <w:p>
            <w:pPr>
              <w:spacing w:line="300" w:lineRule="exact"/>
              <w:jc w:val="center"/>
              <w:rPr>
                <w:rFonts w:ascii="宋体" w:hAnsi="宋体" w:cs="宋体"/>
                <w:color w:val="FF0000"/>
                <w:sz w:val="24"/>
              </w:rPr>
            </w:pPr>
            <w:r>
              <w:rPr>
                <w:rFonts w:hint="eastAsia" w:ascii="宋体" w:hAnsi="宋体" w:cs="宋体"/>
                <w:sz w:val="24"/>
              </w:rPr>
              <w:t>水基岩屑</w:t>
            </w:r>
          </w:p>
        </w:tc>
        <w:tc>
          <w:tcPr>
            <w:tcW w:w="4253" w:type="dxa"/>
            <w:gridSpan w:val="5"/>
            <w:vAlign w:val="center"/>
          </w:tcPr>
          <w:p>
            <w:pPr>
              <w:spacing w:line="300" w:lineRule="exact"/>
              <w:jc w:val="center"/>
              <w:rPr>
                <w:rFonts w:ascii="宋体" w:hAnsi="宋体" w:cs="宋体"/>
                <w:color w:val="FF0000"/>
                <w:sz w:val="24"/>
              </w:rPr>
            </w:pPr>
            <w:r>
              <w:rPr>
                <w:rFonts w:hint="eastAsia" w:ascii="宋体" w:hAnsi="宋体" w:cs="宋体"/>
                <w:sz w:val="24"/>
              </w:rPr>
              <w:t>《一般工业固体废物贮存和填埋污染控制标准》（GB1859</w:t>
            </w:r>
            <w:r>
              <w:rPr>
                <w:rFonts w:ascii="宋体" w:hAnsi="宋体" w:cs="宋体"/>
                <w:sz w:val="24"/>
              </w:rPr>
              <w:t>9</w:t>
            </w:r>
            <w:r>
              <w:rPr>
                <w:rFonts w:hint="eastAsia" w:ascii="宋体" w:hAnsi="宋体" w:cs="宋体"/>
                <w:sz w:val="24"/>
              </w:rPr>
              <w:t>-20</w:t>
            </w:r>
            <w:r>
              <w:rPr>
                <w:rFonts w:ascii="宋体" w:hAnsi="宋体" w:cs="宋体"/>
                <w:sz w:val="24"/>
              </w:rPr>
              <w:t>20</w:t>
            </w: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87" w:hRule="atLeast"/>
          <w:jc w:val="center"/>
        </w:trPr>
        <w:tc>
          <w:tcPr>
            <w:tcW w:w="699" w:type="dxa"/>
            <w:vMerge w:val="continue"/>
            <w:vAlign w:val="center"/>
          </w:tcPr>
          <w:p>
            <w:pPr>
              <w:adjustRightInd w:val="0"/>
              <w:snapToGrid w:val="0"/>
              <w:jc w:val="center"/>
              <w:rPr>
                <w:rFonts w:ascii="宋体" w:hAnsi="宋体" w:cs="宋体"/>
                <w:kern w:val="0"/>
                <w:sz w:val="24"/>
              </w:rPr>
            </w:pPr>
          </w:p>
        </w:tc>
        <w:tc>
          <w:tcPr>
            <w:tcW w:w="851" w:type="dxa"/>
            <w:gridSpan w:val="2"/>
            <w:vMerge w:val="continue"/>
            <w:vAlign w:val="center"/>
          </w:tcPr>
          <w:p>
            <w:pPr>
              <w:spacing w:line="300" w:lineRule="exact"/>
              <w:jc w:val="center"/>
              <w:rPr>
                <w:rFonts w:ascii="宋体" w:hAnsi="宋体" w:cs="宋体"/>
                <w:sz w:val="24"/>
              </w:rPr>
            </w:pPr>
          </w:p>
        </w:tc>
        <w:tc>
          <w:tcPr>
            <w:tcW w:w="1134" w:type="dxa"/>
            <w:gridSpan w:val="2"/>
            <w:vAlign w:val="center"/>
          </w:tcPr>
          <w:p>
            <w:pPr>
              <w:spacing w:line="300" w:lineRule="exact"/>
              <w:jc w:val="center"/>
              <w:rPr>
                <w:rFonts w:ascii="宋体" w:hAnsi="宋体" w:cs="宋体"/>
                <w:sz w:val="24"/>
              </w:rPr>
            </w:pPr>
            <w:r>
              <w:rPr>
                <w:rFonts w:hint="eastAsia" w:ascii="宋体" w:hAnsi="宋体" w:cs="宋体"/>
                <w:sz w:val="24"/>
              </w:rPr>
              <w:t>危险废物</w:t>
            </w:r>
          </w:p>
        </w:tc>
        <w:tc>
          <w:tcPr>
            <w:tcW w:w="1842" w:type="dxa"/>
            <w:gridSpan w:val="2"/>
            <w:vAlign w:val="center"/>
          </w:tcPr>
          <w:p>
            <w:pPr>
              <w:spacing w:line="300" w:lineRule="exact"/>
              <w:jc w:val="center"/>
              <w:rPr>
                <w:rFonts w:ascii="宋体" w:hAnsi="宋体" w:cs="宋体"/>
                <w:sz w:val="24"/>
              </w:rPr>
            </w:pPr>
            <w:r>
              <w:rPr>
                <w:rFonts w:hint="eastAsia" w:ascii="宋体" w:hAnsi="宋体" w:cs="宋体"/>
                <w:sz w:val="24"/>
              </w:rPr>
              <w:t>废防渗材料</w:t>
            </w:r>
          </w:p>
        </w:tc>
        <w:tc>
          <w:tcPr>
            <w:tcW w:w="4253" w:type="dxa"/>
            <w:gridSpan w:val="5"/>
            <w:vAlign w:val="center"/>
          </w:tcPr>
          <w:p>
            <w:pPr>
              <w:spacing w:line="300" w:lineRule="exact"/>
              <w:jc w:val="center"/>
              <w:rPr>
                <w:rFonts w:ascii="宋体" w:hAnsi="宋体" w:cs="宋体"/>
                <w:sz w:val="24"/>
              </w:rPr>
            </w:pPr>
            <w:r>
              <w:rPr>
                <w:rFonts w:hint="eastAsia" w:ascii="宋体" w:hAnsi="宋体" w:cs="宋体"/>
                <w:sz w:val="24"/>
              </w:rPr>
              <w:t>《危险废物贮存污染控制标准》</w:t>
            </w:r>
          </w:p>
          <w:p>
            <w:pPr>
              <w:spacing w:line="300" w:lineRule="exact"/>
              <w:jc w:val="center"/>
              <w:rPr>
                <w:rFonts w:ascii="宋体" w:hAnsi="宋体" w:cs="宋体"/>
                <w:sz w:val="24"/>
              </w:rPr>
            </w:pPr>
            <w:r>
              <w:rPr>
                <w:rFonts w:hint="eastAsia" w:ascii="宋体" w:hAnsi="宋体" w:cs="宋体"/>
                <w:sz w:val="24"/>
              </w:rPr>
              <w:t>（GB18597-2001）</w:t>
            </w:r>
          </w:p>
          <w:p>
            <w:pPr>
              <w:spacing w:line="300" w:lineRule="exact"/>
              <w:jc w:val="center"/>
              <w:rPr>
                <w:rFonts w:ascii="宋体" w:hAnsi="宋体" w:cs="宋体"/>
                <w:sz w:val="24"/>
              </w:rPr>
            </w:pPr>
            <w:r>
              <w:rPr>
                <w:rFonts w:ascii="宋体" w:hAnsi="宋体" w:cs="宋体"/>
                <w:sz w:val="24"/>
              </w:rPr>
              <w:t>《危险废物收集贮存运输技术规范》（HJ2025-2012）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251" w:hRule="atLeast"/>
          <w:jc w:val="center"/>
        </w:trPr>
        <w:tc>
          <w:tcPr>
            <w:tcW w:w="699" w:type="dxa"/>
            <w:vAlign w:val="center"/>
          </w:tcPr>
          <w:p>
            <w:pPr>
              <w:adjustRightInd w:val="0"/>
              <w:snapToGrid w:val="0"/>
              <w:jc w:val="center"/>
              <w:rPr>
                <w:rFonts w:ascii="宋体" w:hAnsi="宋体" w:cs="宋体"/>
                <w:kern w:val="0"/>
                <w:szCs w:val="21"/>
              </w:rPr>
            </w:pPr>
            <w:r>
              <w:rPr>
                <w:rFonts w:hint="eastAsia" w:ascii="宋体" w:hAnsi="宋体" w:cs="宋体"/>
                <w:kern w:val="0"/>
                <w:sz w:val="24"/>
              </w:rPr>
              <w:t>其他</w:t>
            </w:r>
          </w:p>
        </w:tc>
        <w:tc>
          <w:tcPr>
            <w:tcW w:w="8080" w:type="dxa"/>
            <w:gridSpan w:val="11"/>
            <w:vAlign w:val="center"/>
          </w:tcPr>
          <w:p>
            <w:pPr>
              <w:pStyle w:val="53"/>
              <w:ind w:firstLine="480"/>
              <w:rPr>
                <w:color w:val="FF0000"/>
                <w:kern w:val="2"/>
                <w:sz w:val="21"/>
                <w:szCs w:val="21"/>
              </w:rPr>
            </w:pPr>
            <w:r>
              <w:rPr>
                <w:rFonts w:hint="eastAsia"/>
              </w:rPr>
              <w:t>本项目钻试周期短，污染物产生量少，钻试期结束后污染物停止排放，故不提出总量控制指标。</w:t>
            </w:r>
          </w:p>
        </w:tc>
      </w:tr>
    </w:tbl>
    <w:p>
      <w:pPr>
        <w:pStyle w:val="2"/>
        <w:rPr>
          <w:snapToGrid w:val="0"/>
        </w:rPr>
      </w:pPr>
      <w:r>
        <w:rPr>
          <w:snapToGrid w:val="0"/>
        </w:rPr>
        <w:br w:type="page"/>
      </w:r>
      <w:r>
        <w:rPr>
          <w:rFonts w:hint="eastAsia"/>
          <w:snapToGrid w:val="0"/>
        </w:rPr>
        <w:t>四、生态环境影响分析</w:t>
      </w:r>
    </w:p>
    <w:tbl>
      <w:tblPr>
        <w:tblStyle w:val="17"/>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41" w:type="dxa"/>
            <w:tcMar>
              <w:left w:w="28" w:type="dxa"/>
              <w:right w:w="28" w:type="dxa"/>
            </w:tcMar>
            <w:vAlign w:val="center"/>
          </w:tcPr>
          <w:p>
            <w:pPr>
              <w:pStyle w:val="14"/>
              <w:adjustRightInd w:val="0"/>
              <w:snapToGrid w:val="0"/>
              <w:spacing w:before="0" w:beforeAutospacing="0" w:after="0" w:afterAutospacing="0"/>
              <w:jc w:val="center"/>
              <w:rPr>
                <w:rFonts w:cs="宋体"/>
                <w:bCs/>
                <w:kern w:val="2"/>
              </w:rPr>
            </w:pPr>
            <w:bookmarkStart w:id="22" w:name="_Hlk49796138"/>
            <w:r>
              <w:rPr>
                <w:rFonts w:hint="eastAsia" w:cs="宋体"/>
                <w:bCs/>
                <w:spacing w:val="10"/>
                <w:kern w:val="2"/>
              </w:rPr>
              <w:t>施工期生态环境影响分析</w:t>
            </w:r>
            <w:bookmarkEnd w:id="22"/>
          </w:p>
        </w:tc>
        <w:tc>
          <w:tcPr>
            <w:tcW w:w="7796" w:type="dxa"/>
            <w:vAlign w:val="center"/>
          </w:tcPr>
          <w:p>
            <w:pPr>
              <w:pStyle w:val="55"/>
              <w:ind w:firstLineChars="200"/>
              <w:rPr>
                <w:rFonts w:ascii="宋体" w:cs="宋体"/>
              </w:rPr>
            </w:pPr>
            <w:bookmarkStart w:id="23" w:name="_Hlk115960266"/>
            <w:r>
              <w:rPr>
                <w:rFonts w:hint="eastAsia" w:ascii="宋体" w:cs="宋体"/>
              </w:rPr>
              <w:t>1、生态环境影响分析</w:t>
            </w:r>
          </w:p>
          <w:bookmarkEnd w:id="23"/>
          <w:p>
            <w:pPr>
              <w:pStyle w:val="54"/>
              <w:adjustRightInd w:val="0"/>
              <w:snapToGrid w:val="0"/>
              <w:spacing w:line="500" w:lineRule="exact"/>
              <w:ind w:firstLineChars="200"/>
              <w:rPr>
                <w:rFonts w:ascii="宋体" w:cs="宋体"/>
              </w:rPr>
            </w:pPr>
            <w:r>
              <w:rPr>
                <w:rFonts w:hint="eastAsia" w:ascii="宋体" w:cs="宋体"/>
              </w:rPr>
              <w:t>（1）占地分析</w:t>
            </w:r>
          </w:p>
          <w:p>
            <w:pPr>
              <w:pStyle w:val="53"/>
              <w:ind w:firstLine="480"/>
              <w:rPr>
                <w:rFonts w:cs="Times New Roman"/>
              </w:rPr>
            </w:pPr>
            <w:r>
              <w:rPr>
                <w:rFonts w:hint="eastAsia"/>
              </w:rPr>
              <w:t>本项目占地施工作业范围</w:t>
            </w:r>
            <w:bookmarkStart w:id="24" w:name="_Hlk105519665"/>
            <w:r>
              <w:rPr>
                <w:rFonts w:hint="eastAsia"/>
              </w:rPr>
              <w:t>主要包括探临道路、井场、放喷管线、生活营地等，总计</w:t>
            </w:r>
            <w:r>
              <w:t>14200m</w:t>
            </w:r>
            <w:r>
              <w:rPr>
                <w:rFonts w:hint="eastAsia"/>
                <w:vertAlign w:val="superscript"/>
              </w:rPr>
              <w:t>2</w:t>
            </w:r>
            <w:r>
              <w:rPr>
                <w:rFonts w:hint="eastAsia"/>
              </w:rPr>
              <w:t>，</w:t>
            </w:r>
            <w:bookmarkEnd w:id="24"/>
            <w:r>
              <w:rPr>
                <w:rFonts w:hint="eastAsia"/>
              </w:rPr>
              <w:t>均为临时占地，目前临时征地相关手续正在办理中，占地类型为其他草地，井场占地情况</w:t>
            </w:r>
            <w:r>
              <w:rPr>
                <w:rFonts w:hint="eastAsia" w:cs="Times New Roman"/>
              </w:rPr>
              <w:t>见</w:t>
            </w:r>
            <w:r>
              <w:rPr>
                <w:rFonts w:cs="Times New Roman"/>
              </w:rPr>
              <w:t>表14。</w:t>
            </w:r>
          </w:p>
          <w:p>
            <w:pPr>
              <w:pStyle w:val="6"/>
              <w:rPr>
                <w:rFonts w:hAnsi="Times New Roman"/>
                <w:szCs w:val="21"/>
              </w:rPr>
            </w:pPr>
            <w:bookmarkStart w:id="25" w:name="_Ref67772631"/>
            <w:r>
              <w:t>表</w:t>
            </w:r>
            <w:bookmarkEnd w:id="25"/>
            <w:r>
              <w:t>14</w:t>
            </w:r>
            <w:r>
              <w:rPr>
                <w:rFonts w:hAnsi="Times New Roman"/>
                <w:szCs w:val="21"/>
              </w:rPr>
              <w:t xml:space="preserve">    </w:t>
            </w:r>
            <w:r>
              <w:rPr>
                <w:rFonts w:hint="eastAsia" w:hAnsi="Times New Roman"/>
                <w:szCs w:val="21"/>
              </w:rPr>
              <w:t>工程占地一览表</w:t>
            </w:r>
          </w:p>
          <w:tbl>
            <w:tblPr>
              <w:tblStyle w:val="17"/>
              <w:tblW w:w="7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007"/>
              <w:gridCol w:w="967"/>
              <w:gridCol w:w="1320"/>
              <w:gridCol w:w="973"/>
              <w:gridCol w:w="1400"/>
              <w:gridCol w:w="971"/>
              <w:gridCol w:w="10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658" w:type="pct"/>
                  <w:vAlign w:val="center"/>
                </w:tcPr>
                <w:p>
                  <w:pPr>
                    <w:pStyle w:val="49"/>
                    <w:spacing w:line="320" w:lineRule="exact"/>
                  </w:pPr>
                  <w:r>
                    <w:rPr>
                      <w:rFonts w:hint="eastAsia"/>
                    </w:rPr>
                    <w:t>井号</w:t>
                  </w:r>
                </w:p>
              </w:tc>
              <w:tc>
                <w:tcPr>
                  <w:tcW w:w="632" w:type="pct"/>
                  <w:vAlign w:val="center"/>
                </w:tcPr>
                <w:p>
                  <w:pPr>
                    <w:pStyle w:val="49"/>
                    <w:spacing w:line="320" w:lineRule="exact"/>
                  </w:pPr>
                  <w:r>
                    <w:rPr>
                      <w:rFonts w:hint="eastAsia"/>
                    </w:rPr>
                    <w:t>施工井场</w:t>
                  </w:r>
                </w:p>
                <w:p>
                  <w:pPr>
                    <w:pStyle w:val="49"/>
                    <w:spacing w:line="320" w:lineRule="exact"/>
                  </w:pPr>
                  <w:r>
                    <w:rPr>
                      <w:rFonts w:hint="eastAsia"/>
                    </w:rPr>
                    <w:t>（m×m）</w:t>
                  </w:r>
                </w:p>
              </w:tc>
              <w:tc>
                <w:tcPr>
                  <w:tcW w:w="863" w:type="pct"/>
                  <w:vAlign w:val="center"/>
                </w:tcPr>
                <w:p>
                  <w:pPr>
                    <w:pStyle w:val="49"/>
                    <w:spacing w:line="320" w:lineRule="exact"/>
                  </w:pPr>
                  <w:r>
                    <w:rPr>
                      <w:rFonts w:hint="eastAsia"/>
                    </w:rPr>
                    <w:t>放喷管线</w:t>
                  </w:r>
                </w:p>
                <w:p>
                  <w:pPr>
                    <w:pStyle w:val="49"/>
                    <w:spacing w:line="320" w:lineRule="exact"/>
                  </w:pPr>
                  <w:r>
                    <w:rPr>
                      <w:rFonts w:hint="eastAsia"/>
                    </w:rPr>
                    <w:t>（m×m）</w:t>
                  </w:r>
                </w:p>
              </w:tc>
              <w:tc>
                <w:tcPr>
                  <w:tcW w:w="636" w:type="pct"/>
                  <w:vAlign w:val="center"/>
                </w:tcPr>
                <w:p>
                  <w:pPr>
                    <w:pStyle w:val="49"/>
                    <w:spacing w:line="320" w:lineRule="exact"/>
                  </w:pPr>
                  <w:r>
                    <w:rPr>
                      <w:rFonts w:hint="eastAsia"/>
                    </w:rPr>
                    <w:t>生活营地（m×m）</w:t>
                  </w:r>
                </w:p>
              </w:tc>
              <w:tc>
                <w:tcPr>
                  <w:tcW w:w="915" w:type="pct"/>
                  <w:vAlign w:val="center"/>
                </w:tcPr>
                <w:p>
                  <w:pPr>
                    <w:pStyle w:val="49"/>
                    <w:spacing w:line="320" w:lineRule="exact"/>
                  </w:pPr>
                  <w:r>
                    <w:rPr>
                      <w:rFonts w:hint="eastAsia"/>
                    </w:rPr>
                    <w:t>岩屑临时堆放场地（m×m）</w:t>
                  </w:r>
                </w:p>
              </w:tc>
              <w:tc>
                <w:tcPr>
                  <w:tcW w:w="635" w:type="pct"/>
                  <w:vAlign w:val="center"/>
                </w:tcPr>
                <w:p>
                  <w:pPr>
                    <w:pStyle w:val="49"/>
                    <w:spacing w:line="320" w:lineRule="exact"/>
                  </w:pPr>
                  <w:r>
                    <w:rPr>
                      <w:rFonts w:hint="eastAsia"/>
                    </w:rPr>
                    <w:t>探临道路</w:t>
                  </w:r>
                </w:p>
                <w:p>
                  <w:pPr>
                    <w:pStyle w:val="49"/>
                    <w:spacing w:line="320" w:lineRule="exact"/>
                  </w:pPr>
                  <w:r>
                    <w:rPr>
                      <w:rFonts w:hint="eastAsia"/>
                    </w:rPr>
                    <w:t>（m×m）</w:t>
                  </w:r>
                </w:p>
              </w:tc>
              <w:tc>
                <w:tcPr>
                  <w:tcW w:w="661" w:type="pct"/>
                  <w:vAlign w:val="center"/>
                </w:tcPr>
                <w:p>
                  <w:pPr>
                    <w:pStyle w:val="49"/>
                    <w:spacing w:line="320" w:lineRule="exact"/>
                  </w:pPr>
                  <w:r>
                    <w:rPr>
                      <w:rFonts w:hint="eastAsia"/>
                    </w:rPr>
                    <w:t>总占地面积（m</w:t>
                  </w:r>
                  <w:r>
                    <w:rPr>
                      <w:rFonts w:hint="eastAsia"/>
                      <w:vertAlign w:val="superscript"/>
                    </w:rPr>
                    <w:t>2</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658" w:type="pct"/>
                  <w:noWrap/>
                  <w:vAlign w:val="center"/>
                </w:tcPr>
                <w:p>
                  <w:pPr>
                    <w:pStyle w:val="49"/>
                    <w:spacing w:line="320" w:lineRule="exact"/>
                  </w:pPr>
                  <w:r>
                    <w:rPr>
                      <w:rFonts w:hint="eastAsia"/>
                    </w:rPr>
                    <w:t>彩61H</w:t>
                  </w:r>
                </w:p>
              </w:tc>
              <w:tc>
                <w:tcPr>
                  <w:tcW w:w="632" w:type="pct"/>
                  <w:vAlign w:val="center"/>
                </w:tcPr>
                <w:p>
                  <w:pPr>
                    <w:pStyle w:val="49"/>
                    <w:spacing w:line="320" w:lineRule="exact"/>
                  </w:pPr>
                  <w:r>
                    <w:rPr>
                      <w:kern w:val="0"/>
                    </w:rPr>
                    <w:t>125</w:t>
                  </w:r>
                  <w:r>
                    <w:rPr>
                      <w:rFonts w:hint="eastAsia"/>
                      <w:kern w:val="0"/>
                    </w:rPr>
                    <w:t>×8</w:t>
                  </w:r>
                  <w:r>
                    <w:rPr>
                      <w:kern w:val="0"/>
                    </w:rPr>
                    <w:t>0</w:t>
                  </w:r>
                </w:p>
              </w:tc>
              <w:tc>
                <w:tcPr>
                  <w:tcW w:w="863" w:type="pct"/>
                  <w:vAlign w:val="center"/>
                </w:tcPr>
                <w:p>
                  <w:pPr>
                    <w:pStyle w:val="49"/>
                    <w:spacing w:line="320" w:lineRule="exact"/>
                  </w:pPr>
                  <w:r>
                    <w:rPr>
                      <w:rFonts w:hint="eastAsia"/>
                    </w:rPr>
                    <w:t>3</w:t>
                  </w:r>
                  <w:r>
                    <w:t>5</w:t>
                  </w:r>
                  <w:r>
                    <w:rPr>
                      <w:rFonts w:hint="eastAsia"/>
                    </w:rPr>
                    <w:t>×3</w:t>
                  </w:r>
                  <w:r>
                    <w:t>+35</w:t>
                  </w:r>
                  <w:r>
                    <w:rPr>
                      <w:rFonts w:hint="eastAsia"/>
                    </w:rPr>
                    <w:t>×</w:t>
                  </w:r>
                  <w:r>
                    <w:t>2</w:t>
                  </w:r>
                </w:p>
              </w:tc>
              <w:tc>
                <w:tcPr>
                  <w:tcW w:w="636" w:type="pct"/>
                  <w:vAlign w:val="center"/>
                </w:tcPr>
                <w:p>
                  <w:pPr>
                    <w:pStyle w:val="49"/>
                    <w:spacing w:line="320" w:lineRule="exact"/>
                  </w:pPr>
                  <w:r>
                    <w:t>55</w:t>
                  </w:r>
                  <w:r>
                    <w:rPr>
                      <w:rFonts w:hint="eastAsia"/>
                    </w:rPr>
                    <w:t>×3</w:t>
                  </w:r>
                  <w:r>
                    <w:t>5</w:t>
                  </w:r>
                </w:p>
              </w:tc>
              <w:tc>
                <w:tcPr>
                  <w:tcW w:w="915" w:type="pct"/>
                  <w:vAlign w:val="center"/>
                </w:tcPr>
                <w:p>
                  <w:pPr>
                    <w:pStyle w:val="49"/>
                    <w:spacing w:line="320" w:lineRule="exact"/>
                  </w:pPr>
                  <w:r>
                    <w:t>70</w:t>
                  </w:r>
                  <w:r>
                    <w:rPr>
                      <w:rFonts w:hint="eastAsia"/>
                    </w:rPr>
                    <w:t>×</w:t>
                  </w:r>
                  <w:r>
                    <w:t>25</w:t>
                  </w:r>
                </w:p>
              </w:tc>
              <w:tc>
                <w:tcPr>
                  <w:tcW w:w="635" w:type="pct"/>
                  <w:vAlign w:val="center"/>
                </w:tcPr>
                <w:p>
                  <w:pPr>
                    <w:pStyle w:val="49"/>
                    <w:spacing w:line="320" w:lineRule="exact"/>
                  </w:pPr>
                  <w:r>
                    <w:t>50</w:t>
                  </w:r>
                  <w:r>
                    <w:rPr>
                      <w:rFonts w:hint="eastAsia"/>
                    </w:rPr>
                    <w:t>×</w:t>
                  </w:r>
                  <w:r>
                    <w:t>7</w:t>
                  </w:r>
                </w:p>
              </w:tc>
              <w:tc>
                <w:tcPr>
                  <w:tcW w:w="661" w:type="pct"/>
                  <w:vAlign w:val="center"/>
                </w:tcPr>
                <w:p>
                  <w:pPr>
                    <w:pStyle w:val="49"/>
                    <w:spacing w:line="320" w:lineRule="exact"/>
                  </w:pPr>
                  <w:r>
                    <w:t>14200</w:t>
                  </w:r>
                </w:p>
              </w:tc>
            </w:tr>
          </w:tbl>
          <w:p>
            <w:pPr>
              <w:pStyle w:val="53"/>
              <w:ind w:firstLine="480"/>
            </w:pPr>
            <w:r>
              <w:rPr>
                <w:rFonts w:hint="eastAsia"/>
              </w:rPr>
              <w:t>（2）对植被的影响分析</w:t>
            </w:r>
          </w:p>
          <w:p>
            <w:pPr>
              <w:pStyle w:val="53"/>
              <w:ind w:firstLine="476"/>
              <w:jc w:val="left"/>
              <w:rPr>
                <w:spacing w:val="-2"/>
              </w:rPr>
            </w:pPr>
            <w:r>
              <w:rPr>
                <w:rFonts w:hint="eastAsia"/>
                <w:spacing w:val="-2"/>
              </w:rPr>
              <w:t>钻前工程建设及各施工阶段的人类活动是造成植被破坏的主要原因，对植被主要影响形式为探临道路铺设以及施工阶段清场过程中对土地的占用，使地表植被在施工过程中因碾压被清理。施工时尽量避开植被密集区域，尤其是自治区Ⅰ级保护植物——梭梭</w:t>
            </w:r>
            <w:r>
              <w:rPr>
                <w:rFonts w:hint="eastAsia"/>
              </w:rPr>
              <w:t>。</w:t>
            </w:r>
            <w:r>
              <w:rPr>
                <w:rFonts w:hint="eastAsia"/>
                <w:lang w:val="zh-CN" w:bidi="ar"/>
              </w:rPr>
              <w:t>地表结构较施工前发生了较大的变化，植被将会在施工结束后逐步恢复。</w:t>
            </w:r>
          </w:p>
          <w:p>
            <w:pPr>
              <w:pStyle w:val="53"/>
              <w:ind w:firstLine="480"/>
            </w:pPr>
            <w:r>
              <w:rPr>
                <w:rFonts w:hint="eastAsia"/>
              </w:rPr>
              <w:t>（3）对野生动物的影响分析</w:t>
            </w:r>
          </w:p>
          <w:p>
            <w:pPr>
              <w:pStyle w:val="53"/>
              <w:ind w:firstLine="480"/>
            </w:pPr>
            <w:r>
              <w:rPr>
                <w:rFonts w:hint="eastAsia"/>
              </w:rPr>
              <w:t>项目的实施对野生动物的影响主要分为直接影响和间接影响两个方面。直接影响主要表现为建设占地使野生动物的生存环境被破坏或改变；间接影响主要表现为由于植被的减少或污染破坏而引起野生动物食物来源减少。由于评价区域野生动物数量少，且不是野生动物的唯一栖息地，故该工程对动物区域性生境不产生明显影响。</w:t>
            </w:r>
          </w:p>
          <w:p>
            <w:pPr>
              <w:pStyle w:val="53"/>
              <w:ind w:firstLine="480"/>
            </w:pPr>
            <w:bookmarkStart w:id="26" w:name="_Hlk115960280"/>
            <w:r>
              <w:rPr>
                <w:rFonts w:hint="eastAsia"/>
              </w:rPr>
              <w:t>（</w:t>
            </w:r>
            <w:r>
              <w:t>4</w:t>
            </w:r>
            <w:r>
              <w:rPr>
                <w:rFonts w:hint="eastAsia"/>
              </w:rPr>
              <w:t>）土地沙化影响分析</w:t>
            </w:r>
          </w:p>
          <w:bookmarkEnd w:id="26"/>
          <w:p>
            <w:pPr>
              <w:pStyle w:val="53"/>
              <w:ind w:firstLine="480"/>
            </w:pPr>
            <w:r>
              <w:rPr>
                <w:rFonts w:hint="eastAsia"/>
              </w:rPr>
              <w:t>项目区为固定沙地，已完全沙漠化。</w:t>
            </w:r>
            <w:r>
              <w:rPr>
                <w:rFonts w:hint="eastAsia"/>
                <w:spacing w:val="4"/>
              </w:rPr>
              <w:t>施工期井场、建设生活营地以及探临道路的布设过程中对原地貌的扰动将破坏地表稳定结构，降低占地范围内的土壤抗侵蚀能力，由于该地区具有多风、降水量偏低等气候特征，故在大风天气条件下易产生严重的扬尘，形成沙尘天气，长期、连续的沙尘天气会影响沙化的趋势。工程对土地的扰动随着钻试工程的结束而停止，在对占地范围内进行平整和清理后，区域内植被渐渐恢复，</w:t>
            </w:r>
            <w:r>
              <w:rPr>
                <w:rFonts w:hint="eastAsia"/>
              </w:rPr>
              <w:t>项目的实施对所在区域土地沙化影响不大。</w:t>
            </w:r>
          </w:p>
          <w:p>
            <w:pPr>
              <w:pStyle w:val="53"/>
              <w:ind w:firstLine="480"/>
            </w:pPr>
            <w:r>
              <w:rPr>
                <w:rFonts w:hint="eastAsia"/>
              </w:rPr>
              <w:t>（</w:t>
            </w:r>
            <w:r>
              <w:t>5</w:t>
            </w:r>
            <w:r>
              <w:rPr>
                <w:rFonts w:hint="eastAsia"/>
              </w:rPr>
              <w:t>）土壤环境影响分析</w:t>
            </w:r>
          </w:p>
          <w:p>
            <w:pPr>
              <w:pStyle w:val="46"/>
              <w:ind w:firstLine="480"/>
            </w:pPr>
            <w:r>
              <w:rPr>
                <w:rFonts w:hint="eastAsia"/>
              </w:rPr>
              <w:t>钻前工程及钻试工程各项施工活动不可避免的会对土壤造成人为扰动，钻井井场、探临道路以及生活营地等占地，以及施工材料堆积、挖掘、辗压、踩踏等均改变原有的土壤结构和理化性质，机械碾压的结果使土壤紧实度增高，地表水入渗减少，土壤团粒结构遭到破坏，不利于野生植被的恢复。施工结束后临时占地得到释放，生活营地占地范围内由于挖掘和机械碾压等施工活动较少，对土壤的影响程度轻，影响特征部分可逆，影响时间短，对原有的土壤结构和理化性质影响不大。</w:t>
            </w:r>
          </w:p>
          <w:p>
            <w:pPr>
              <w:pStyle w:val="53"/>
              <w:ind w:firstLine="482"/>
              <w:rPr>
                <w:b/>
                <w:bCs/>
              </w:rPr>
            </w:pPr>
            <w:r>
              <w:rPr>
                <w:rFonts w:hint="eastAsia"/>
                <w:b/>
                <w:bCs/>
              </w:rPr>
              <w:t>2、水土流失影响分析</w:t>
            </w:r>
          </w:p>
          <w:p>
            <w:pPr>
              <w:pStyle w:val="53"/>
              <w:ind w:firstLine="480"/>
            </w:pPr>
            <w:r>
              <w:rPr>
                <w:rFonts w:hint="eastAsia"/>
              </w:rPr>
              <w:t>阜康市北部荒漠区属于国家区级水土流失重点治理区，因受风力侵蚀而导致水土流失，随着项目的建设地表原有的稳定结构被破坏，粉细物质暴露在地层表面，在风力的作用下，风蚀量会明显加大，这种影响在短时间内不会完全恢复。但随着时间的延长、土壤结构的变化以及地表植被的恢复，风蚀量会随着地表新保护层的逐渐形成而减弱，水土流失的程度会慢慢减轻。</w:t>
            </w:r>
          </w:p>
          <w:p>
            <w:pPr>
              <w:widowControl/>
              <w:snapToGrid w:val="0"/>
              <w:spacing w:line="500" w:lineRule="exact"/>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、大气环境影响分析</w:t>
            </w:r>
          </w:p>
          <w:p>
            <w:pPr>
              <w:pStyle w:val="46"/>
              <w:ind w:firstLine="480"/>
            </w:pPr>
            <w:r>
              <w:rPr>
                <w:rFonts w:hint="eastAsia"/>
              </w:rPr>
              <w:t>施工期间废气主要为柴油机、发电机及各类施工机械燃料燃烧烟气、伴生气放空产生的燃烧烟气以及施工扬尘。</w:t>
            </w:r>
          </w:p>
          <w:p>
            <w:pPr>
              <w:pStyle w:val="46"/>
              <w:ind w:firstLine="480"/>
            </w:pPr>
            <w:r>
              <w:t>根据</w:t>
            </w:r>
            <w:r>
              <w:rPr>
                <w:rFonts w:hint="eastAsia"/>
              </w:rPr>
              <w:t>国家环境工程评估中心编制的</w:t>
            </w:r>
            <w:r>
              <w:t>《社会区域类环境影响评价》一书中</w:t>
            </w:r>
            <w:r>
              <w:rPr>
                <w:rFonts w:hint="eastAsia"/>
              </w:rPr>
              <w:t>提供的资料</w:t>
            </w:r>
            <w:r>
              <w:t>，柴油</w:t>
            </w:r>
            <w:r>
              <w:rPr>
                <w:rFonts w:hint="eastAsia"/>
              </w:rPr>
              <w:t>燃烧</w:t>
            </w:r>
            <w:r>
              <w:t>产污系数为</w:t>
            </w:r>
            <w:r>
              <w:rPr>
                <w:rFonts w:hint="eastAsia"/>
              </w:rPr>
              <w:t>；</w:t>
            </w:r>
            <w:r>
              <w:t>SO</w:t>
            </w:r>
            <w:r>
              <w:rPr>
                <w:vertAlign w:val="subscript"/>
              </w:rPr>
              <w:t>2</w:t>
            </w:r>
            <w:r>
              <w:rPr>
                <w:rFonts w:hint="eastAsia"/>
              </w:rPr>
              <w:t>：</w:t>
            </w:r>
            <w:r>
              <w:t>2.24kg/t，NO</w:t>
            </w:r>
            <w:r>
              <w:rPr>
                <w:vertAlign w:val="subscript"/>
              </w:rPr>
              <w:t>x</w:t>
            </w:r>
            <w:r>
              <w:rPr>
                <w:rFonts w:hint="eastAsia"/>
              </w:rPr>
              <w:t>：</w:t>
            </w:r>
            <w:r>
              <w:t>2.92kg/t，总烃</w:t>
            </w:r>
            <w:r>
              <w:rPr>
                <w:rFonts w:hint="eastAsia"/>
              </w:rPr>
              <w:t>：</w:t>
            </w:r>
            <w:r>
              <w:t>2.13kg/t</w:t>
            </w:r>
            <w:r>
              <w:rPr>
                <w:rFonts w:hint="eastAsia"/>
              </w:rPr>
              <w:t>，本次柴油消耗量约</w:t>
            </w:r>
            <w:r>
              <w:t>144</w:t>
            </w:r>
            <w:r>
              <w:rPr>
                <w:rFonts w:hint="eastAsia"/>
              </w:rPr>
              <w:t>t，</w:t>
            </w:r>
            <w:bookmarkStart w:id="27" w:name="_Hlk15402090"/>
            <w:r>
              <w:rPr>
                <w:rFonts w:hint="eastAsia"/>
              </w:rPr>
              <w:t>钻试期污染物排放总量约为；</w:t>
            </w:r>
            <w:bookmarkEnd w:id="27"/>
            <w:r>
              <w:rPr>
                <w:rFonts w:hint="eastAsia"/>
              </w:rPr>
              <w:t>SO</w:t>
            </w:r>
            <w:r>
              <w:rPr>
                <w:vertAlign w:val="subscript"/>
              </w:rPr>
              <w:t>2</w:t>
            </w:r>
            <w:r>
              <w:rPr>
                <w:rFonts w:hint="eastAsia"/>
              </w:rPr>
              <w:t>：</w:t>
            </w:r>
            <w:r>
              <w:t>0.32</w:t>
            </w:r>
            <w:r>
              <w:rPr>
                <w:rFonts w:hint="eastAsia"/>
              </w:rPr>
              <w:t>t，NO</w:t>
            </w:r>
            <w:r>
              <w:rPr>
                <w:rFonts w:hint="eastAsia"/>
                <w:vertAlign w:val="subscript"/>
              </w:rPr>
              <w:t>x</w:t>
            </w:r>
            <w:r>
              <w:rPr>
                <w:rFonts w:hint="eastAsia"/>
              </w:rPr>
              <w:t>：</w:t>
            </w:r>
            <w:r>
              <w:t>0.42</w:t>
            </w:r>
            <w:r>
              <w:rPr>
                <w:rFonts w:hint="eastAsia"/>
              </w:rPr>
              <w:t>t，总烃：</w:t>
            </w:r>
            <w:r>
              <w:t>0.31</w:t>
            </w:r>
            <w:r>
              <w:rPr>
                <w:rFonts w:hint="eastAsia"/>
              </w:rPr>
              <w:t>t。</w:t>
            </w:r>
          </w:p>
          <w:p>
            <w:pPr>
              <w:pStyle w:val="46"/>
              <w:ind w:firstLine="480"/>
              <w:rPr>
                <w:szCs w:val="20"/>
                <w:lang w:bidi="ar"/>
              </w:rPr>
            </w:pPr>
            <w:r>
              <w:rPr>
                <w:rFonts w:hint="eastAsia"/>
                <w:szCs w:val="20"/>
                <w:lang w:bidi="ar"/>
              </w:rPr>
              <w:t>伴生气产生量不稳定无法进行回收，经过气液分离后通过排气管线燃烧放空，随着试油的结束而停止排放，属于阶段性排放。</w:t>
            </w:r>
          </w:p>
          <w:p>
            <w:pPr>
              <w:pStyle w:val="46"/>
              <w:ind w:firstLine="480"/>
            </w:pPr>
            <w:r>
              <w:rPr>
                <w:rFonts w:hint="eastAsia"/>
              </w:rPr>
              <w:t>试油期井场厂界非甲烷总烃排放执行 《陆上石油天然气开采工业大气污染物排放标准》（GB39728-2020）要求。项目建设工期较短，废气排放时段较为集中，施工扬尘仅在井场平整、道路及生活营地等作业时产生，影响时段短。施工期废气随着钻井及试油的结束而停止排放，且周边无集中居民区，地域空旷、扩散条件良好，因此废气对大气环境影响不大。</w:t>
            </w:r>
          </w:p>
          <w:p>
            <w:pPr>
              <w:widowControl/>
              <w:snapToGrid w:val="0"/>
              <w:spacing w:line="500" w:lineRule="exact"/>
              <w:ind w:firstLine="482" w:firstLineChars="200"/>
              <w:rPr>
                <w:rFonts w:ascii="宋体" w:hAnsi="宋体" w:cs="宋体"/>
                <w:b/>
                <w:bCs/>
                <w:sz w:val="24"/>
              </w:rPr>
            </w:pPr>
            <w:bookmarkStart w:id="28" w:name="_Hlk116081396"/>
            <w:r>
              <w:rPr>
                <w:rFonts w:ascii="宋体" w:hAnsi="宋体" w:cs="宋体"/>
                <w:b/>
                <w:bCs/>
                <w:sz w:val="24"/>
              </w:rPr>
              <w:t>4</w:t>
            </w:r>
            <w:r>
              <w:rPr>
                <w:rFonts w:hint="eastAsia" w:ascii="宋体" w:hAnsi="宋体" w:cs="宋体"/>
                <w:b/>
                <w:bCs/>
                <w:sz w:val="24"/>
              </w:rPr>
              <w:t>、水环境影响分析</w:t>
            </w:r>
          </w:p>
          <w:bookmarkEnd w:id="28"/>
          <w:p>
            <w:pPr>
              <w:pStyle w:val="46"/>
              <w:spacing w:line="520" w:lineRule="exact"/>
              <w:ind w:firstLine="480"/>
            </w:pPr>
            <w:r>
              <w:rPr>
                <w:rFonts w:hint="eastAsia" w:ascii="等线" w:hAnsi="等线"/>
              </w:rPr>
              <w:t>项目产生的废水包括洗井废水、生活污水以及固废压裂返排液。</w:t>
            </w:r>
            <w:r>
              <w:rPr>
                <w:rFonts w:hint="eastAsia"/>
              </w:rPr>
              <w:t>洗井废水总量约</w:t>
            </w:r>
            <w:r>
              <w:t>300</w:t>
            </w:r>
            <w:r>
              <w:rPr>
                <w:rFonts w:hint="eastAsia"/>
              </w:rPr>
              <w:t>m</w:t>
            </w:r>
            <w:r>
              <w:rPr>
                <w:rFonts w:hint="eastAsia"/>
                <w:vertAlign w:val="superscript"/>
              </w:rPr>
              <w:t>3</w:t>
            </w:r>
            <w:r>
              <w:rPr>
                <w:rFonts w:hint="eastAsia"/>
              </w:rPr>
              <w:t>，压裂期间使用压裂液</w:t>
            </w:r>
            <w:r>
              <w:t>16000</w:t>
            </w:r>
            <w:r>
              <w:rPr>
                <w:rFonts w:hint="eastAsia"/>
              </w:rPr>
              <w:t>m</w:t>
            </w:r>
            <w:r>
              <w:rPr>
                <w:vertAlign w:val="superscript"/>
              </w:rPr>
              <w:t>3</w:t>
            </w:r>
            <w:r>
              <w:rPr>
                <w:rFonts w:hint="eastAsia"/>
              </w:rPr>
              <w:t>，根据往期施工数据返排量在2</w:t>
            </w:r>
            <w:r>
              <w:t>0%</w:t>
            </w:r>
            <w:r>
              <w:rPr>
                <w:rFonts w:hint="eastAsia"/>
              </w:rPr>
              <w:t>～5</w:t>
            </w:r>
            <w:r>
              <w:t>0%</w:t>
            </w:r>
            <w:r>
              <w:rPr>
                <w:rFonts w:hint="eastAsia"/>
              </w:rPr>
              <w:t>，取最大值5</w:t>
            </w:r>
            <w:r>
              <w:t>0%</w:t>
            </w:r>
            <w:r>
              <w:rPr>
                <w:rFonts w:hint="eastAsia"/>
              </w:rPr>
              <w:t>计算，项目产生压裂返排液8</w:t>
            </w:r>
            <w:r>
              <w:t>000</w:t>
            </w:r>
            <w:r>
              <w:rPr>
                <w:rFonts w:hint="eastAsia"/>
              </w:rPr>
              <w:t>m</w:t>
            </w:r>
            <w:r>
              <w:rPr>
                <w:vertAlign w:val="superscript"/>
              </w:rPr>
              <w:t>3</w:t>
            </w:r>
            <w:r>
              <w:rPr>
                <w:rFonts w:hint="eastAsia"/>
              </w:rPr>
              <w:t>，试油期产生废水</w:t>
            </w:r>
            <w:r>
              <w:t>8300</w:t>
            </w:r>
            <w:r>
              <w:rPr>
                <w:rFonts w:hint="eastAsia"/>
              </w:rPr>
              <w:t>m</w:t>
            </w:r>
            <w:r>
              <w:rPr>
                <w:vertAlign w:val="superscript"/>
              </w:rPr>
              <w:t>3</w:t>
            </w:r>
            <w:r>
              <w:rPr>
                <w:rFonts w:hint="eastAsia"/>
              </w:rPr>
              <w:t>，主要污染物为石油类、悬浮物等，全部返回井场设置的专用储罐，定期由罐车拉运至彩南联合站采出水处理系统处理。</w:t>
            </w:r>
          </w:p>
          <w:p>
            <w:pPr>
              <w:pStyle w:val="46"/>
              <w:spacing w:line="520" w:lineRule="exact"/>
              <w:ind w:firstLine="480"/>
            </w:pPr>
            <w:r>
              <w:rPr>
                <w:rFonts w:hint="eastAsia" w:cs="宋体"/>
              </w:rPr>
              <w:t>施工期设置有生活营地，根据《新疆维吾尔自治区生活用水定额》单人生活用水量取20L/d，则</w:t>
            </w:r>
            <w:r>
              <w:rPr>
                <w:rFonts w:hint="eastAsia"/>
              </w:rPr>
              <w:t>生活用水总量</w:t>
            </w:r>
            <w:r>
              <w:t>35</w:t>
            </w:r>
            <w:r>
              <w:rPr>
                <w:rFonts w:hint="eastAsia"/>
              </w:rPr>
              <w:t>m</w:t>
            </w:r>
            <w:r>
              <w:rPr>
                <w:rFonts w:hint="eastAsia"/>
                <w:vertAlign w:val="superscript"/>
              </w:rPr>
              <w:t>3</w:t>
            </w:r>
            <w:r>
              <w:rPr>
                <w:rFonts w:hint="eastAsia"/>
              </w:rPr>
              <w:t>，排水系数取0.8，则生活污水产生总量约为</w:t>
            </w:r>
            <w:r>
              <w:t>28</w:t>
            </w:r>
            <w:r>
              <w:rPr>
                <w:rFonts w:hint="eastAsia"/>
              </w:rPr>
              <w:t>m</w:t>
            </w:r>
            <w:r>
              <w:rPr>
                <w:vertAlign w:val="superscript"/>
              </w:rPr>
              <w:t>3</w:t>
            </w:r>
            <w:r>
              <w:rPr>
                <w:rFonts w:hint="eastAsia"/>
              </w:rPr>
              <w:t>，排入生活营地内设置的临时生活污水储集防渗池，该池容积应不小于</w:t>
            </w:r>
            <w:r>
              <w:t>28</w:t>
            </w:r>
            <w:r>
              <w:rPr>
                <w:rFonts w:hint="eastAsia"/>
              </w:rPr>
              <w:t>m</w:t>
            </w:r>
            <w:r>
              <w:rPr>
                <w:vertAlign w:val="superscript"/>
              </w:rPr>
              <w:t>3</w:t>
            </w:r>
            <w:r>
              <w:rPr>
                <w:rFonts w:hint="eastAsia"/>
              </w:rPr>
              <w:t>并铺设</w:t>
            </w:r>
            <w:r>
              <w:rPr>
                <w:rFonts w:hint="eastAsia" w:cs="宋体"/>
              </w:rPr>
              <w:t>渗透系数不低于1×10</w:t>
            </w:r>
            <w:r>
              <w:rPr>
                <w:rFonts w:hint="eastAsia" w:cs="宋体"/>
                <w:vertAlign w:val="superscript"/>
              </w:rPr>
              <w:t>-7</w:t>
            </w:r>
            <w:r>
              <w:rPr>
                <w:rFonts w:hint="eastAsia" w:cs="宋体"/>
              </w:rPr>
              <w:t>cm/s的HDPE防渗膜，</w:t>
            </w:r>
            <w:bookmarkStart w:id="29" w:name="_Hlk116080190"/>
            <w:r>
              <w:rPr>
                <w:rFonts w:hint="eastAsia"/>
              </w:rPr>
              <w:t>其排水水质与居民生活污水相近似</w:t>
            </w:r>
            <w:bookmarkEnd w:id="29"/>
            <w:r>
              <w:rPr>
                <w:rFonts w:hint="eastAsia"/>
              </w:rPr>
              <w:t>：化学需氧量（COD</w:t>
            </w:r>
            <w:r>
              <w:rPr>
                <w:rFonts w:hint="eastAsia"/>
                <w:vertAlign w:val="subscript"/>
              </w:rPr>
              <w:t>Cr</w:t>
            </w:r>
            <w:r>
              <w:rPr>
                <w:rFonts w:hint="eastAsia"/>
              </w:rPr>
              <w:t>）浓度350mg/L，氨氮（NH</w:t>
            </w:r>
            <w:r>
              <w:rPr>
                <w:rFonts w:hint="eastAsia"/>
                <w:vertAlign w:val="subscript"/>
              </w:rPr>
              <w:t>3</w:t>
            </w:r>
            <w:r>
              <w:rPr>
                <w:rFonts w:hint="eastAsia"/>
              </w:rPr>
              <w:t>-N）浓度30mg/L，悬浮物（SS）浓度200mg/L，产生化学需氧量（COD</w:t>
            </w:r>
            <w:r>
              <w:rPr>
                <w:rFonts w:hint="eastAsia"/>
                <w:vertAlign w:val="subscript"/>
              </w:rPr>
              <w:t>Cr</w:t>
            </w:r>
            <w:r>
              <w:rPr>
                <w:rFonts w:hint="eastAsia"/>
              </w:rPr>
              <w:t>）约0.0</w:t>
            </w:r>
            <w:r>
              <w:t>1</w:t>
            </w:r>
            <w:r>
              <w:rPr>
                <w:rFonts w:hint="eastAsia"/>
              </w:rPr>
              <w:t>t，氨氮（NH</w:t>
            </w:r>
            <w:r>
              <w:rPr>
                <w:rFonts w:hint="eastAsia"/>
                <w:vertAlign w:val="subscript"/>
              </w:rPr>
              <w:t>3</w:t>
            </w:r>
            <w:r>
              <w:rPr>
                <w:rFonts w:hint="eastAsia"/>
              </w:rPr>
              <w:t>-N）约0.00</w:t>
            </w:r>
            <w:r>
              <w:t>1</w:t>
            </w:r>
            <w:r>
              <w:rPr>
                <w:rFonts w:hint="eastAsia"/>
              </w:rPr>
              <w:t>t，悬浮物（SS）约0.0</w:t>
            </w:r>
            <w:r>
              <w:t>06</w:t>
            </w:r>
            <w:r>
              <w:rPr>
                <w:rFonts w:hint="eastAsia"/>
              </w:rPr>
              <w:t>t，定期清运至吉木萨尔县污水处理厂处理。</w:t>
            </w:r>
          </w:p>
          <w:p>
            <w:pPr>
              <w:pStyle w:val="46"/>
              <w:spacing w:line="520" w:lineRule="exact"/>
              <w:ind w:firstLine="480"/>
              <w:rPr>
                <w:rFonts w:cs="宋体"/>
              </w:rPr>
            </w:pPr>
            <w:r>
              <w:rPr>
                <w:rFonts w:hint="eastAsia" w:cs="宋体"/>
              </w:rPr>
              <w:t>试油</w:t>
            </w:r>
            <w:r>
              <w:rPr>
                <w:rFonts w:cs="宋体"/>
              </w:rPr>
              <w:t>目的层与地下水处于不同层系，在施工过程中</w:t>
            </w:r>
            <w:r>
              <w:rPr>
                <w:rFonts w:hint="eastAsia" w:cs="宋体"/>
              </w:rPr>
              <w:t>确保套管下入指定深度，有效避免试油作业</w:t>
            </w:r>
            <w:r>
              <w:rPr>
                <w:rFonts w:cs="宋体"/>
              </w:rPr>
              <w:t>对地下水环境的影响。钻井</w:t>
            </w:r>
            <w:r>
              <w:rPr>
                <w:rFonts w:hint="eastAsia" w:cs="宋体"/>
              </w:rPr>
              <w:t>时</w:t>
            </w:r>
            <w:r>
              <w:rPr>
                <w:rFonts w:cs="宋体"/>
              </w:rPr>
              <w:t>严格</w:t>
            </w:r>
            <w:r>
              <w:rPr>
                <w:rFonts w:hint="eastAsia" w:cs="宋体"/>
              </w:rPr>
              <w:t>落实套管下入深度合格和固井质量合格</w:t>
            </w:r>
            <w:r>
              <w:rPr>
                <w:rFonts w:cs="宋体"/>
              </w:rPr>
              <w:t>，对</w:t>
            </w:r>
            <w:r>
              <w:rPr>
                <w:rFonts w:hint="eastAsia" w:cs="宋体"/>
              </w:rPr>
              <w:t>洗井时</w:t>
            </w:r>
            <w:r>
              <w:rPr>
                <w:rFonts w:cs="宋体"/>
              </w:rPr>
              <w:t>产生的废水进行严格管理，基本不会对所在区域地下水产生影响。</w:t>
            </w:r>
            <w:r>
              <w:rPr>
                <w:rFonts w:hint="eastAsia"/>
              </w:rPr>
              <w:t>井场油罐、发电机、材料堆场、不落地设备以及水基岩屑方罐属于一般防渗区，事故状态下紧急开挖的应急放喷池以及井口属于重点防渗区，均采用防渗膜防渗</w:t>
            </w:r>
            <w:r>
              <w:rPr>
                <w:rFonts w:hint="eastAsia" w:cs="宋体"/>
              </w:rPr>
              <w:t>。由于所在</w:t>
            </w:r>
            <w:r>
              <w:rPr>
                <w:rFonts w:cs="宋体"/>
              </w:rPr>
              <w:t>区域气候干旱少雨，不存在大量降水的淋滤作用。</w:t>
            </w:r>
          </w:p>
          <w:p>
            <w:pPr>
              <w:pStyle w:val="46"/>
              <w:spacing w:line="520" w:lineRule="exact"/>
              <w:ind w:firstLine="480"/>
            </w:pPr>
            <w:r>
              <w:rPr>
                <w:rFonts w:hint="eastAsia" w:ascii="等线" w:hAnsi="等线"/>
              </w:rPr>
              <w:t>综上所述，项目的实施</w:t>
            </w:r>
            <w:r>
              <w:rPr>
                <w:rFonts w:hint="eastAsia"/>
              </w:rPr>
              <w:t>对所在区域的水环境影响不大。</w:t>
            </w:r>
          </w:p>
          <w:p>
            <w:pPr>
              <w:widowControl/>
              <w:snapToGrid w:val="0"/>
              <w:spacing w:line="500" w:lineRule="exact"/>
              <w:ind w:firstLine="482" w:firstLineChars="200"/>
              <w:rPr>
                <w:rFonts w:ascii="宋体" w:hAnsi="宋体" w:cs="宋体"/>
                <w:b/>
                <w:bCs/>
                <w:sz w:val="24"/>
              </w:rPr>
            </w:pPr>
            <w:r>
              <w:rPr>
                <w:rFonts w:ascii="宋体" w:hAnsi="宋体"/>
                <w:b/>
                <w:bCs/>
                <w:sz w:val="24"/>
              </w:rPr>
              <w:t>5</w:t>
            </w:r>
            <w:r>
              <w:rPr>
                <w:rFonts w:hint="eastAsia" w:ascii="宋体" w:hAnsi="宋体"/>
                <w:b/>
                <w:bCs/>
                <w:sz w:val="24"/>
              </w:rPr>
              <w:t>、</w:t>
            </w:r>
            <w:r>
              <w:rPr>
                <w:rFonts w:hint="eastAsia" w:ascii="宋体" w:hAnsi="宋体" w:cs="宋体"/>
                <w:b/>
                <w:bCs/>
                <w:sz w:val="24"/>
              </w:rPr>
              <w:t>声环境影响分析</w:t>
            </w:r>
          </w:p>
          <w:p>
            <w:pPr>
              <w:pStyle w:val="46"/>
              <w:ind w:firstLine="480"/>
            </w:pPr>
            <w:r>
              <w:rPr>
                <w:rFonts w:hint="eastAsia" w:cs="宋体"/>
                <w:kern w:val="2"/>
              </w:rPr>
              <w:t>施工期噪声来源于井场、生活营地及道路建设等钻前作业、钻井作业及试油作业等施工活动。噪声源主要包括柴油发电机、柴油机、钻井液循环泵，以及各类施工机械，如挖土机、推土机、轮式装载车等，贯穿于整个施工过程，待施工结束后影响将消失。由于项目50m范围内无声环境敏感目标，因此对声环境影响很小。</w:t>
            </w:r>
          </w:p>
          <w:p>
            <w:pPr>
              <w:pStyle w:val="46"/>
              <w:ind w:firstLine="482"/>
              <w:rPr>
                <w:b/>
                <w:bCs/>
              </w:rPr>
            </w:pPr>
            <w:r>
              <w:rPr>
                <w:b/>
                <w:bCs/>
              </w:rPr>
              <w:t>6</w:t>
            </w:r>
            <w:r>
              <w:rPr>
                <w:rFonts w:hint="eastAsia"/>
                <w:b/>
                <w:bCs/>
              </w:rPr>
              <w:t>、固体废物影响分析</w:t>
            </w:r>
          </w:p>
          <w:p>
            <w:pPr>
              <w:pStyle w:val="53"/>
              <w:ind w:firstLine="480"/>
            </w:pPr>
            <w:r>
              <w:rPr>
                <w:rFonts w:hint="eastAsia"/>
              </w:rPr>
              <w:t>固体废物主要为钻井岩屑、生活垃圾以及废防渗材料。</w:t>
            </w:r>
          </w:p>
          <w:p>
            <w:pPr>
              <w:pStyle w:val="53"/>
              <w:ind w:firstLine="480"/>
            </w:pPr>
            <w:r>
              <w:rPr>
                <w:rFonts w:hint="eastAsia"/>
              </w:rPr>
              <w:t>（1）钻井岩屑</w:t>
            </w:r>
          </w:p>
          <w:p>
            <w:pPr>
              <w:pStyle w:val="53"/>
              <w:ind w:firstLine="480"/>
            </w:pPr>
            <w:r>
              <w:rPr>
                <w:rFonts w:hint="eastAsia"/>
              </w:rPr>
              <w:t>钻井过程中，岩石经钻头研磨而破碎成岩屑，随钻井液排出井口，进入钻井液不落地系统处理后岩屑与钻井液分离，液体回收利用，固体岩屑拉运处理。岩屑产生、排放量与井身结构有关，可按下式计算：</w:t>
            </w:r>
          </w:p>
          <w:p>
            <w:pPr>
              <w:tabs>
                <w:tab w:val="left" w:pos="2064"/>
              </w:tabs>
              <w:adjustRightInd w:val="0"/>
              <w:snapToGrid w:val="0"/>
              <w:spacing w:line="520" w:lineRule="exact"/>
              <w:jc w:val="center"/>
              <w:rPr>
                <w:rFonts w:ascii="宋体" w:hAnsi="宋体" w:cs="宋体"/>
                <w:sz w:val="24"/>
              </w:rPr>
            </w:pPr>
            <w:r>
              <w:rPr>
                <w:rFonts w:hint="eastAsia" w:ascii="宋体" w:hAnsi="宋体" w:cs="宋体"/>
                <w:sz w:val="24"/>
              </w:rPr>
              <w:t>W=1/4×π×D</w:t>
            </w:r>
            <w:r>
              <w:rPr>
                <w:rFonts w:hint="eastAsia" w:ascii="宋体" w:hAnsi="宋体" w:cs="宋体"/>
                <w:sz w:val="24"/>
                <w:vertAlign w:val="superscript"/>
              </w:rPr>
              <w:t>2</w:t>
            </w:r>
            <w:r>
              <w:rPr>
                <w:rFonts w:hint="eastAsia" w:ascii="宋体" w:hAnsi="宋体" w:cs="宋体"/>
                <w:sz w:val="24"/>
              </w:rPr>
              <w:t>×h×P</w:t>
            </w:r>
          </w:p>
          <w:p>
            <w:pPr>
              <w:tabs>
                <w:tab w:val="left" w:pos="2064"/>
              </w:tabs>
              <w:adjustRightInd w:val="0"/>
              <w:snapToGrid w:val="0"/>
              <w:spacing w:line="520" w:lineRule="exact"/>
              <w:ind w:firstLine="480" w:firstLineChars="200"/>
              <w:rPr>
                <w:rFonts w:ascii="宋体" w:hAnsi="宋体" w:cs="宋体"/>
                <w:sz w:val="24"/>
              </w:rPr>
            </w:pPr>
            <w:r>
              <w:rPr>
                <w:rFonts w:hint="eastAsia" w:ascii="宋体" w:hAnsi="宋体" w:cs="宋体"/>
                <w:sz w:val="24"/>
              </w:rPr>
              <w:t>式中：W——产生的岩屑量，m</w:t>
            </w:r>
            <w:r>
              <w:rPr>
                <w:rFonts w:hint="eastAsia" w:ascii="宋体" w:hAnsi="宋体" w:cs="宋体"/>
                <w:sz w:val="24"/>
                <w:vertAlign w:val="superscript"/>
              </w:rPr>
              <w:t>3</w:t>
            </w:r>
            <w:r>
              <w:rPr>
                <w:rFonts w:hint="eastAsia" w:ascii="宋体" w:hAnsi="宋体" w:cs="宋体"/>
                <w:sz w:val="24"/>
              </w:rPr>
              <w:t>；</w:t>
            </w:r>
          </w:p>
          <w:p>
            <w:pPr>
              <w:tabs>
                <w:tab w:val="left" w:pos="2064"/>
              </w:tabs>
              <w:adjustRightInd w:val="0"/>
              <w:snapToGrid w:val="0"/>
              <w:spacing w:line="520" w:lineRule="exact"/>
              <w:ind w:firstLine="480" w:firstLineChars="200"/>
              <w:rPr>
                <w:rFonts w:ascii="宋体" w:hAnsi="宋体" w:cs="宋体"/>
                <w:sz w:val="24"/>
              </w:rPr>
            </w:pPr>
            <w:r>
              <w:rPr>
                <w:rFonts w:hint="eastAsia" w:ascii="宋体" w:hAnsi="宋体" w:cs="宋体"/>
                <w:sz w:val="24"/>
              </w:rPr>
              <w:t xml:space="preserve">      D——井眼平均井径，m；</w:t>
            </w:r>
          </w:p>
          <w:p>
            <w:pPr>
              <w:tabs>
                <w:tab w:val="left" w:pos="2064"/>
              </w:tabs>
              <w:adjustRightInd w:val="0"/>
              <w:snapToGrid w:val="0"/>
              <w:spacing w:line="520" w:lineRule="exact"/>
              <w:ind w:firstLine="480" w:firstLineChars="200"/>
              <w:rPr>
                <w:rFonts w:ascii="宋体" w:hAnsi="宋体" w:cs="宋体"/>
                <w:sz w:val="24"/>
              </w:rPr>
            </w:pPr>
            <w:r>
              <w:rPr>
                <w:rFonts w:hint="eastAsia" w:ascii="宋体" w:hAnsi="宋体" w:cs="宋体"/>
                <w:sz w:val="24"/>
              </w:rPr>
              <w:t xml:space="preserve">      h——裸眼长度，m；</w:t>
            </w:r>
          </w:p>
          <w:p>
            <w:pPr>
              <w:pStyle w:val="53"/>
              <w:spacing w:line="520" w:lineRule="exact"/>
              <w:ind w:left="210" w:leftChars="100" w:firstLine="240" w:firstLineChars="100"/>
            </w:pPr>
            <w:r>
              <w:rPr>
                <w:rFonts w:hint="eastAsia"/>
                <w:szCs w:val="28"/>
              </w:rPr>
              <w:t xml:space="preserve">      P——膨胀系数，</w:t>
            </w:r>
            <w:r>
              <w:rPr>
                <w:rFonts w:hint="eastAsia"/>
              </w:rPr>
              <w:t>取P=1.8；</w:t>
            </w:r>
          </w:p>
          <w:p>
            <w:pPr>
              <w:pStyle w:val="53"/>
              <w:adjustRightInd w:val="0"/>
              <w:snapToGrid w:val="0"/>
              <w:spacing w:line="520" w:lineRule="exact"/>
              <w:ind w:firstLine="480"/>
              <w:rPr>
                <w:rFonts w:cs="Times New Roman"/>
              </w:rPr>
            </w:pPr>
            <w:r>
              <w:rPr>
                <w:rFonts w:hint="eastAsia" w:cs="Times New Roman"/>
              </w:rPr>
              <w:t>根据井身结构计算岩屑产生量，水基岩屑按体积计。岩屑产生量详见表</w:t>
            </w:r>
            <w:r>
              <w:rPr>
                <w:rFonts w:cs="Times New Roman"/>
              </w:rPr>
              <w:t>15。</w:t>
            </w:r>
          </w:p>
          <w:p>
            <w:pPr>
              <w:pStyle w:val="6"/>
              <w:keepNext/>
              <w:spacing w:line="520" w:lineRule="exact"/>
            </w:pPr>
            <w:bookmarkStart w:id="30" w:name="_Ref19642107"/>
            <w:r>
              <w:t>表</w:t>
            </w:r>
            <w:bookmarkEnd w:id="30"/>
            <w:r>
              <w:t xml:space="preserve">15    </w:t>
            </w:r>
            <w:r>
              <w:rPr>
                <w:rFonts w:hint="eastAsia" w:hAnsi="Times New Roman"/>
              </w:rPr>
              <w:t>钻井岩屑产生量一览表</w:t>
            </w:r>
          </w:p>
          <w:tbl>
            <w:tblPr>
              <w:tblStyle w:val="17"/>
              <w:tblW w:w="7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007"/>
              <w:gridCol w:w="2286"/>
              <w:gridCol w:w="973"/>
              <w:gridCol w:w="33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658" w:type="pct"/>
                  <w:vAlign w:val="center"/>
                </w:tcPr>
                <w:p>
                  <w:pPr>
                    <w:pStyle w:val="49"/>
                    <w:spacing w:line="340" w:lineRule="exact"/>
                  </w:pPr>
                  <w:r>
                    <w:rPr>
                      <w:rFonts w:hint="eastAsia"/>
                    </w:rPr>
                    <w:t>井号</w:t>
                  </w:r>
                </w:p>
              </w:tc>
              <w:tc>
                <w:tcPr>
                  <w:tcW w:w="1494" w:type="pct"/>
                  <w:vAlign w:val="center"/>
                </w:tcPr>
                <w:p>
                  <w:pPr>
                    <w:pStyle w:val="49"/>
                    <w:spacing w:line="340" w:lineRule="exact"/>
                  </w:pPr>
                  <w:r>
                    <w:rPr>
                      <w:rFonts w:hint="eastAsia"/>
                    </w:rPr>
                    <w:t>钻井液体系</w:t>
                  </w:r>
                </w:p>
              </w:tc>
              <w:tc>
                <w:tcPr>
                  <w:tcW w:w="636" w:type="pct"/>
                  <w:vAlign w:val="center"/>
                </w:tcPr>
                <w:p>
                  <w:pPr>
                    <w:pStyle w:val="49"/>
                    <w:spacing w:line="340" w:lineRule="exact"/>
                  </w:pPr>
                  <w:r>
                    <w:rPr>
                      <w:rFonts w:hint="eastAsia"/>
                    </w:rPr>
                    <w:t>井段</w:t>
                  </w:r>
                </w:p>
              </w:tc>
              <w:tc>
                <w:tcPr>
                  <w:tcW w:w="2211" w:type="pct"/>
                  <w:vAlign w:val="center"/>
                </w:tcPr>
                <w:p>
                  <w:pPr>
                    <w:pStyle w:val="49"/>
                    <w:spacing w:line="340" w:lineRule="exact"/>
                  </w:pPr>
                  <w:r>
                    <w:rPr>
                      <w:rFonts w:hint="eastAsia"/>
                    </w:rPr>
                    <w:t>体积（m</w:t>
                  </w:r>
                  <w:r>
                    <w:rPr>
                      <w:rFonts w:hint="eastAsia"/>
                      <w:vertAlign w:val="superscript"/>
                    </w:rPr>
                    <w:t>3</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658" w:type="pct"/>
                  <w:vMerge w:val="restart"/>
                  <w:noWrap/>
                  <w:vAlign w:val="center"/>
                </w:tcPr>
                <w:p>
                  <w:pPr>
                    <w:pStyle w:val="49"/>
                    <w:spacing w:line="340" w:lineRule="exact"/>
                  </w:pPr>
                  <w:r>
                    <w:rPr>
                      <w:rFonts w:hint="eastAsia"/>
                    </w:rPr>
                    <w:t>彩61H</w:t>
                  </w:r>
                </w:p>
              </w:tc>
              <w:tc>
                <w:tcPr>
                  <w:tcW w:w="1494" w:type="pct"/>
                  <w:vMerge w:val="restart"/>
                  <w:vAlign w:val="center"/>
                </w:tcPr>
                <w:p>
                  <w:pPr>
                    <w:pStyle w:val="49"/>
                    <w:spacing w:line="340" w:lineRule="exact"/>
                  </w:pPr>
                  <w:r>
                    <w:rPr>
                      <w:rFonts w:hint="eastAsia"/>
                    </w:rPr>
                    <w:t>水基钻井液</w:t>
                  </w:r>
                </w:p>
              </w:tc>
              <w:tc>
                <w:tcPr>
                  <w:tcW w:w="636" w:type="pct"/>
                  <w:vAlign w:val="center"/>
                </w:tcPr>
                <w:p>
                  <w:pPr>
                    <w:pStyle w:val="49"/>
                    <w:spacing w:line="340" w:lineRule="exact"/>
                  </w:pPr>
                  <w:r>
                    <w:rPr>
                      <w:rFonts w:hint="eastAsia"/>
                    </w:rPr>
                    <w:t>一开</w:t>
                  </w:r>
                </w:p>
              </w:tc>
              <w:tc>
                <w:tcPr>
                  <w:tcW w:w="2211" w:type="pct"/>
                  <w:vAlign w:val="center"/>
                </w:tcPr>
                <w:p>
                  <w:pPr>
                    <w:pStyle w:val="49"/>
                    <w:spacing w:line="340" w:lineRule="exact"/>
                  </w:pPr>
                  <w:r>
                    <w:rPr>
                      <w:color w:val="000000"/>
                    </w:rPr>
                    <w:t>112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658" w:type="pct"/>
                  <w:vMerge w:val="continue"/>
                  <w:noWrap/>
                  <w:vAlign w:val="center"/>
                </w:tcPr>
                <w:p>
                  <w:pPr>
                    <w:pStyle w:val="49"/>
                    <w:spacing w:line="340" w:lineRule="exact"/>
                  </w:pPr>
                </w:p>
              </w:tc>
              <w:tc>
                <w:tcPr>
                  <w:tcW w:w="1494" w:type="pct"/>
                  <w:vMerge w:val="continue"/>
                  <w:vAlign w:val="center"/>
                </w:tcPr>
                <w:p>
                  <w:pPr>
                    <w:pStyle w:val="49"/>
                    <w:spacing w:line="340" w:lineRule="exact"/>
                  </w:pPr>
                </w:p>
              </w:tc>
              <w:tc>
                <w:tcPr>
                  <w:tcW w:w="636" w:type="pct"/>
                  <w:vAlign w:val="center"/>
                </w:tcPr>
                <w:p>
                  <w:pPr>
                    <w:pStyle w:val="49"/>
                    <w:spacing w:line="340" w:lineRule="exact"/>
                  </w:pPr>
                  <w:r>
                    <w:rPr>
                      <w:rFonts w:hint="eastAsia"/>
                    </w:rPr>
                    <w:t>二开</w:t>
                  </w:r>
                </w:p>
              </w:tc>
              <w:tc>
                <w:tcPr>
                  <w:tcW w:w="2211" w:type="pct"/>
                  <w:vAlign w:val="center"/>
                </w:tcPr>
                <w:p>
                  <w:pPr>
                    <w:pStyle w:val="49"/>
                    <w:spacing w:line="340" w:lineRule="exact"/>
                  </w:pPr>
                  <w:r>
                    <w:t>236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658" w:type="pct"/>
                  <w:vMerge w:val="continue"/>
                  <w:noWrap/>
                  <w:vAlign w:val="center"/>
                </w:tcPr>
                <w:p>
                  <w:pPr>
                    <w:pStyle w:val="49"/>
                    <w:spacing w:line="340" w:lineRule="exact"/>
                  </w:pPr>
                </w:p>
              </w:tc>
              <w:tc>
                <w:tcPr>
                  <w:tcW w:w="1494" w:type="pct"/>
                  <w:vMerge w:val="continue"/>
                  <w:vAlign w:val="center"/>
                </w:tcPr>
                <w:p>
                  <w:pPr>
                    <w:pStyle w:val="49"/>
                    <w:spacing w:line="340" w:lineRule="exact"/>
                  </w:pPr>
                </w:p>
              </w:tc>
              <w:tc>
                <w:tcPr>
                  <w:tcW w:w="636" w:type="pct"/>
                  <w:vAlign w:val="center"/>
                </w:tcPr>
                <w:p>
                  <w:pPr>
                    <w:pStyle w:val="49"/>
                    <w:spacing w:line="340" w:lineRule="exact"/>
                  </w:pPr>
                  <w:r>
                    <w:rPr>
                      <w:rFonts w:hint="eastAsia"/>
                    </w:rPr>
                    <w:t>三开</w:t>
                  </w:r>
                </w:p>
              </w:tc>
              <w:tc>
                <w:tcPr>
                  <w:tcW w:w="2211" w:type="pct"/>
                  <w:vAlign w:val="center"/>
                </w:tcPr>
                <w:p>
                  <w:pPr>
                    <w:pStyle w:val="49"/>
                    <w:spacing w:line="340" w:lineRule="exact"/>
                  </w:pPr>
                  <w:r>
                    <w:t>126</w:t>
                  </w:r>
                </w:p>
              </w:tc>
            </w:tr>
          </w:tbl>
          <w:p>
            <w:pPr>
              <w:pStyle w:val="46"/>
              <w:spacing w:line="520" w:lineRule="exact"/>
              <w:ind w:firstLine="480"/>
            </w:pPr>
            <w:r>
              <w:rPr>
                <w:rFonts w:hint="eastAsia" w:cs="宋体"/>
              </w:rPr>
              <w:t>本项目产生的水基钻井岩屑4</w:t>
            </w:r>
            <w:r>
              <w:rPr>
                <w:rFonts w:cs="宋体"/>
              </w:rPr>
              <w:t>74</w:t>
            </w:r>
            <w:r>
              <w:rPr>
                <w:rFonts w:hint="eastAsia" w:cs="宋体"/>
              </w:rPr>
              <w:t>m</w:t>
            </w:r>
            <w:r>
              <w:rPr>
                <w:rFonts w:hint="eastAsia" w:cs="宋体"/>
                <w:vertAlign w:val="superscript"/>
              </w:rPr>
              <w:t>3</w:t>
            </w:r>
            <w:r>
              <w:rPr>
                <w:rFonts w:hint="eastAsia" w:cs="宋体"/>
              </w:rPr>
              <w:t>。钻井液不落地设备分离出的水基钻井岩屑</w:t>
            </w:r>
            <w:bookmarkStart w:id="31" w:name="_Hlk116080403"/>
            <w:r>
              <w:rPr>
                <w:rFonts w:hint="eastAsia" w:cs="宋体"/>
              </w:rPr>
              <w:t>进岩屑专用方罐，</w:t>
            </w:r>
            <w:r>
              <w:rPr>
                <w:rFonts w:hint="eastAsia"/>
              </w:rPr>
              <w:t>方罐装满后</w:t>
            </w:r>
            <w:r>
              <w:rPr>
                <w:rFonts w:hint="eastAsia" w:cs="宋体"/>
              </w:rPr>
              <w:t>由岩屑处置单位负责拉运并进行处理，满足《油气田钻井固体废弃物综合利用污染物控制要求》（DB65/T3997-2017）相关要求后进行综合利用。</w:t>
            </w:r>
            <w:bookmarkEnd w:id="31"/>
          </w:p>
          <w:p>
            <w:pPr>
              <w:pStyle w:val="46"/>
              <w:spacing w:line="520" w:lineRule="exact"/>
              <w:ind w:firstLine="480"/>
            </w:pPr>
            <w:r>
              <w:rPr>
                <w:rFonts w:hint="eastAsia"/>
              </w:rPr>
              <w:t>（2）生活垃圾</w:t>
            </w:r>
          </w:p>
          <w:p>
            <w:pPr>
              <w:pStyle w:val="46"/>
              <w:spacing w:line="520" w:lineRule="exact"/>
              <w:ind w:firstLine="480"/>
            </w:pPr>
            <w:r>
              <w:rPr>
                <w:rFonts w:hint="eastAsia"/>
              </w:rPr>
              <w:t>施工期生活垃圾按</w:t>
            </w:r>
            <w:r>
              <w:t>每人每天产生0.5kg</w:t>
            </w:r>
            <w:r>
              <w:rPr>
                <w:rFonts w:hint="eastAsia"/>
              </w:rPr>
              <w:t>计算</w:t>
            </w:r>
            <w:r>
              <w:t>，</w:t>
            </w:r>
            <w:r>
              <w:rPr>
                <w:rFonts w:hint="eastAsia"/>
              </w:rPr>
              <w:t>钻试过程中产生的</w:t>
            </w:r>
            <w:r>
              <w:t>生活垃圾</w:t>
            </w:r>
            <w:r>
              <w:rPr>
                <w:rFonts w:hint="eastAsia"/>
              </w:rPr>
              <w:t>总量约</w:t>
            </w:r>
            <w:r>
              <w:t>0.9</w:t>
            </w:r>
            <w:r>
              <w:rPr>
                <w:rFonts w:hint="eastAsia"/>
              </w:rPr>
              <w:t>t，定期送至吉木萨尔县生活垃圾填埋场填埋处置</w:t>
            </w:r>
            <w:r>
              <w:t>。</w:t>
            </w:r>
          </w:p>
          <w:p>
            <w:pPr>
              <w:pStyle w:val="46"/>
              <w:spacing w:line="520" w:lineRule="exact"/>
              <w:ind w:firstLine="480"/>
            </w:pPr>
            <w:r>
              <w:rPr>
                <w:rFonts w:hint="eastAsia"/>
              </w:rPr>
              <w:t>（3）废防渗材料</w:t>
            </w:r>
          </w:p>
          <w:p>
            <w:pPr>
              <w:pStyle w:val="46"/>
              <w:spacing w:line="520" w:lineRule="exact"/>
              <w:ind w:firstLine="480"/>
            </w:pPr>
            <w:r>
              <w:rPr>
                <w:rFonts w:hint="eastAsia"/>
              </w:rPr>
              <w:t>井场油罐、发电机、岩屑罐区、材料堆场等关键部位及生活污水储集防渗池均采用防渗膜防渗。场地清理时拆除的未破损的防渗膜由施工单位集中回收利用，破损的废防渗膜属于危险废物（HW08类危险废物，废物代码：</w:t>
            </w:r>
            <w:r>
              <w:t>900</w:t>
            </w:r>
            <w:r>
              <w:rPr>
                <w:rFonts w:hint="eastAsia"/>
              </w:rPr>
              <w:t>—</w:t>
            </w:r>
            <w:r>
              <w:t>249</w:t>
            </w:r>
            <w:r>
              <w:rPr>
                <w:rFonts w:hint="eastAsia"/>
              </w:rPr>
              <w:t>—08），</w:t>
            </w:r>
            <w:r>
              <w:rPr>
                <w:rFonts w:hint="eastAsia" w:cs="宋体"/>
                <w:lang w:val="zh-CN"/>
              </w:rPr>
              <w:t>危险特性为毒性和易燃性，</w:t>
            </w:r>
            <w:r>
              <w:rPr>
                <w:rFonts w:hint="eastAsia" w:cs="宋体"/>
              </w:rPr>
              <w:t>集中收集后</w:t>
            </w:r>
            <w:r>
              <w:rPr>
                <w:rFonts w:hint="eastAsia"/>
              </w:rPr>
              <w:t>交由具有相关危险废物处置资质的单位接收、转运以及处置。</w:t>
            </w:r>
          </w:p>
          <w:p>
            <w:pPr>
              <w:pStyle w:val="46"/>
              <w:spacing w:line="520" w:lineRule="exact"/>
              <w:ind w:firstLine="480"/>
            </w:pPr>
            <w:r>
              <w:rPr>
                <w:rFonts w:hint="eastAsia"/>
              </w:rPr>
              <w:t>综上所述，本项目产生的各类固体废物均可得到妥善处置，不会对周围环境造成不良影响。</w:t>
            </w:r>
          </w:p>
          <w:p>
            <w:pPr>
              <w:pStyle w:val="46"/>
              <w:spacing w:line="520" w:lineRule="exact"/>
              <w:ind w:firstLine="482"/>
              <w:rPr>
                <w:rFonts w:cs="宋体"/>
                <w:b/>
                <w:bCs/>
                <w:szCs w:val="21"/>
              </w:rPr>
            </w:pPr>
            <w:r>
              <w:rPr>
                <w:rFonts w:cs="宋体"/>
                <w:b/>
                <w:bCs/>
                <w:szCs w:val="21"/>
              </w:rPr>
              <w:t>7</w:t>
            </w:r>
            <w:r>
              <w:rPr>
                <w:rFonts w:hint="eastAsia" w:cs="宋体"/>
                <w:b/>
                <w:bCs/>
                <w:szCs w:val="21"/>
              </w:rPr>
              <w:t>、环境风险影响分析</w:t>
            </w:r>
          </w:p>
          <w:p>
            <w:pPr>
              <w:pStyle w:val="46"/>
              <w:spacing w:line="520" w:lineRule="exact"/>
              <w:ind w:firstLine="480"/>
              <w:rPr>
                <w:rFonts w:cs="宋体"/>
                <w:szCs w:val="21"/>
              </w:rPr>
            </w:pPr>
            <w:r>
              <w:rPr>
                <w:rFonts w:hint="eastAsia" w:cs="宋体"/>
                <w:szCs w:val="21"/>
              </w:rPr>
              <w:t>（</w:t>
            </w:r>
            <w:r>
              <w:rPr>
                <w:rFonts w:cs="宋体"/>
                <w:szCs w:val="21"/>
              </w:rPr>
              <w:t>1</w:t>
            </w:r>
            <w:r>
              <w:rPr>
                <w:rFonts w:hint="eastAsia" w:cs="宋体"/>
                <w:szCs w:val="21"/>
              </w:rPr>
              <w:t>）环境敏感目标概况</w:t>
            </w:r>
          </w:p>
          <w:p>
            <w:pPr>
              <w:pStyle w:val="46"/>
              <w:spacing w:line="520" w:lineRule="exact"/>
              <w:ind w:firstLine="480"/>
              <w:rPr>
                <w:rFonts w:cs="宋体"/>
                <w:szCs w:val="21"/>
              </w:rPr>
            </w:pPr>
            <w:r>
              <w:rPr>
                <w:rFonts w:hint="eastAsia" w:cs="宋体"/>
              </w:rPr>
              <w:t>项目区无环境风险敏感目标</w:t>
            </w:r>
            <w:r>
              <w:rPr>
                <w:rFonts w:hint="eastAsia" w:cs="宋体"/>
                <w:szCs w:val="21"/>
              </w:rPr>
              <w:t>，不设风险评价范围</w:t>
            </w:r>
            <w:r>
              <w:rPr>
                <w:rFonts w:hint="eastAsia" w:cs="宋体"/>
              </w:rPr>
              <w:t>。</w:t>
            </w:r>
          </w:p>
          <w:p>
            <w:pPr>
              <w:pStyle w:val="46"/>
              <w:spacing w:line="520" w:lineRule="exact"/>
              <w:ind w:firstLine="480"/>
              <w:rPr>
                <w:rFonts w:cs="宋体"/>
                <w:szCs w:val="21"/>
              </w:rPr>
            </w:pPr>
            <w:r>
              <w:rPr>
                <w:rFonts w:hint="eastAsia" w:cs="宋体"/>
                <w:szCs w:val="21"/>
              </w:rPr>
              <w:t>（</w:t>
            </w:r>
            <w:r>
              <w:rPr>
                <w:rFonts w:cs="宋体"/>
                <w:szCs w:val="21"/>
              </w:rPr>
              <w:t>2</w:t>
            </w:r>
            <w:r>
              <w:rPr>
                <w:rFonts w:hint="eastAsia" w:cs="宋体"/>
                <w:szCs w:val="21"/>
              </w:rPr>
              <w:t>）环境风险识别</w:t>
            </w:r>
          </w:p>
          <w:p>
            <w:pPr>
              <w:pStyle w:val="53"/>
              <w:adjustRightInd w:val="0"/>
              <w:snapToGrid w:val="0"/>
              <w:spacing w:line="520" w:lineRule="exact"/>
              <w:ind w:firstLine="480"/>
              <w:rPr>
                <w:bCs/>
              </w:rPr>
            </w:pPr>
            <w:r>
              <w:rPr>
                <w:rFonts w:hint="eastAsia"/>
                <w:bCs/>
              </w:rPr>
              <w:t>①风险物质识别</w:t>
            </w:r>
          </w:p>
          <w:p>
            <w:pPr>
              <w:pStyle w:val="46"/>
              <w:spacing w:line="520" w:lineRule="exact"/>
              <w:ind w:firstLine="480"/>
              <w:rPr>
                <w:rFonts w:cs="宋体"/>
                <w:szCs w:val="21"/>
                <w:lang w:bidi="zh-CN"/>
              </w:rPr>
            </w:pPr>
            <w:r>
              <w:rPr>
                <w:rFonts w:cs="宋体"/>
                <w:szCs w:val="21"/>
                <w:lang w:bidi="zh-CN"/>
              </w:rPr>
              <w:t>本工程涉及的环境风险物质主要为</w:t>
            </w:r>
            <w:r>
              <w:rPr>
                <w:rFonts w:hint="eastAsia" w:cs="宋体"/>
                <w:szCs w:val="21"/>
                <w:lang w:bidi="zh-CN"/>
              </w:rPr>
              <w:t>柴油储罐中存储的柴油、采出物储罐中的</w:t>
            </w:r>
            <w:r>
              <w:rPr>
                <w:rFonts w:cs="宋体"/>
                <w:szCs w:val="21"/>
                <w:lang w:bidi="zh-CN"/>
              </w:rPr>
              <w:t>原油</w:t>
            </w:r>
            <w:r>
              <w:rPr>
                <w:rFonts w:hint="eastAsia" w:cs="宋体"/>
                <w:szCs w:val="21"/>
                <w:lang w:bidi="zh-CN"/>
              </w:rPr>
              <w:t>以及排放量不稳定的伴生</w:t>
            </w:r>
            <w:r>
              <w:rPr>
                <w:rFonts w:cs="宋体"/>
                <w:szCs w:val="21"/>
                <w:lang w:bidi="zh-CN"/>
              </w:rPr>
              <w:t>气。其主要物化、毒理性质、危险</w:t>
            </w:r>
            <w:r>
              <w:rPr>
                <w:rFonts w:hint="eastAsia" w:cs="宋体"/>
                <w:szCs w:val="21"/>
                <w:lang w:bidi="zh-CN"/>
              </w:rPr>
              <w:t>级别</w:t>
            </w:r>
            <w:r>
              <w:rPr>
                <w:rFonts w:cs="宋体"/>
                <w:szCs w:val="21"/>
                <w:lang w:bidi="zh-CN"/>
              </w:rPr>
              <w:t>划分见表16。</w:t>
            </w:r>
          </w:p>
          <w:p>
            <w:pPr>
              <w:pStyle w:val="46"/>
              <w:spacing w:line="520" w:lineRule="exact"/>
              <w:ind w:firstLine="0" w:firstLineChars="0"/>
              <w:jc w:val="center"/>
              <w:rPr>
                <w:rFonts w:ascii="黑体" w:hAnsi="黑体" w:eastAsia="黑体" w:cs="宋体"/>
                <w:sz w:val="21"/>
                <w:szCs w:val="21"/>
                <w:lang w:bidi="zh-CN"/>
              </w:rPr>
            </w:pPr>
            <w:r>
              <w:rPr>
                <w:rFonts w:hint="eastAsia" w:ascii="黑体" w:hAnsi="黑体" w:eastAsia="黑体" w:cs="宋体"/>
                <w:sz w:val="21"/>
                <w:szCs w:val="21"/>
                <w:lang w:bidi="zh-CN"/>
              </w:rPr>
              <w:t>表</w:t>
            </w:r>
            <w:r>
              <w:rPr>
                <w:rFonts w:ascii="黑体" w:hAnsi="黑体" w:eastAsia="黑体" w:cs="宋体"/>
                <w:sz w:val="21"/>
                <w:szCs w:val="21"/>
                <w:lang w:bidi="zh-CN"/>
              </w:rPr>
              <w:t xml:space="preserve">16    </w:t>
            </w:r>
            <w:r>
              <w:rPr>
                <w:rFonts w:hint="eastAsia" w:ascii="黑体" w:hAnsi="黑体" w:eastAsia="黑体" w:cs="宋体"/>
                <w:sz w:val="21"/>
                <w:szCs w:val="21"/>
                <w:lang w:val="zh-CN" w:bidi="zh-CN"/>
              </w:rPr>
              <w:t>危险物质</w:t>
            </w:r>
            <w:r>
              <w:rPr>
                <w:rFonts w:ascii="黑体" w:hAnsi="黑体" w:eastAsia="黑体" w:cs="宋体"/>
                <w:sz w:val="21"/>
                <w:szCs w:val="21"/>
                <w:lang w:val="zh-CN" w:bidi="zh-CN"/>
              </w:rPr>
              <w:t>理化性质及危险级别分类情况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29"/>
              <w:gridCol w:w="429"/>
              <w:gridCol w:w="1045"/>
              <w:gridCol w:w="2829"/>
              <w:gridCol w:w="2253"/>
              <w:gridCol w:w="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序号</w:t>
                  </w:r>
                </w:p>
              </w:tc>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名称</w:t>
                  </w:r>
                </w:p>
              </w:tc>
              <w:tc>
                <w:tcPr>
                  <w:tcW w:w="68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组分</w:t>
                  </w:r>
                </w:p>
              </w:tc>
              <w:tc>
                <w:tcPr>
                  <w:tcW w:w="1849"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危险性</w:t>
                  </w:r>
                </w:p>
              </w:tc>
              <w:tc>
                <w:tcPr>
                  <w:tcW w:w="147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燃烧爆炸特性参数</w:t>
                  </w:r>
                </w:p>
              </w:tc>
              <w:tc>
                <w:tcPr>
                  <w:tcW w:w="434"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危险级别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28" w:hRule="atLeast"/>
                <w:jc w:val="center"/>
              </w:trPr>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1</w:t>
                  </w:r>
                </w:p>
              </w:tc>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原油</w:t>
                  </w:r>
                </w:p>
              </w:tc>
              <w:tc>
                <w:tcPr>
                  <w:tcW w:w="683" w:type="pct"/>
                  <w:vAlign w:val="center"/>
                </w:tcPr>
                <w:p>
                  <w:pPr>
                    <w:pStyle w:val="46"/>
                    <w:wordWrap w:val="0"/>
                    <w:spacing w:line="300" w:lineRule="exact"/>
                    <w:ind w:firstLine="0" w:firstLineChars="0"/>
                    <w:jc w:val="center"/>
                    <w:rPr>
                      <w:rFonts w:cs="宋体"/>
                      <w:sz w:val="21"/>
                      <w:szCs w:val="21"/>
                    </w:rPr>
                  </w:pPr>
                  <w:r>
                    <w:rPr>
                      <w:rFonts w:cs="宋体"/>
                      <w:sz w:val="21"/>
                      <w:szCs w:val="21"/>
                      <w:lang w:bidi="zh-CN"/>
                    </w:rPr>
                    <w:t>各种烃类和非烃类化合物所组成的复杂混合物</w:t>
                  </w:r>
                </w:p>
              </w:tc>
              <w:tc>
                <w:tcPr>
                  <w:tcW w:w="1849"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原油本身无明显毒性。遇热分解出有毒烟雾，人体大量吸入可引起危害：有刺激和麻痹作用，急性中毒者有上呼吸道刺激症状。</w:t>
                  </w:r>
                </w:p>
              </w:tc>
              <w:tc>
                <w:tcPr>
                  <w:tcW w:w="1473" w:type="pct"/>
                  <w:vAlign w:val="center"/>
                </w:tcPr>
                <w:p>
                  <w:pPr>
                    <w:wordWrap w:val="0"/>
                    <w:spacing w:line="300" w:lineRule="exact"/>
                    <w:jc w:val="center"/>
                    <w:rPr>
                      <w:rFonts w:ascii="宋体" w:hAnsi="宋体"/>
                      <w:szCs w:val="21"/>
                    </w:rPr>
                  </w:pPr>
                  <w:r>
                    <w:rPr>
                      <w:rFonts w:hint="eastAsia" w:ascii="宋体" w:hAnsi="宋体"/>
                      <w:szCs w:val="21"/>
                    </w:rPr>
                    <w:t>热值：41870</w:t>
                  </w:r>
                  <w:r>
                    <w:rPr>
                      <w:rFonts w:ascii="宋体" w:hAnsi="宋体"/>
                      <w:szCs w:val="21"/>
                    </w:rPr>
                    <w:t>k</w:t>
                  </w:r>
                  <w:r>
                    <w:rPr>
                      <w:rFonts w:hint="eastAsia" w:ascii="宋体" w:hAnsi="宋体"/>
                      <w:szCs w:val="21"/>
                    </w:rPr>
                    <w:t>J/kg；沸点：300～325℃；闪点：23.5℃；爆炸极限：1.1～6.4%（v）；自然燃点：380～530℃</w:t>
                  </w:r>
                </w:p>
              </w:tc>
              <w:tc>
                <w:tcPr>
                  <w:tcW w:w="434" w:type="pct"/>
                  <w:vAlign w:val="center"/>
                </w:tcPr>
                <w:p>
                  <w:pPr>
                    <w:pStyle w:val="46"/>
                    <w:wordWrap w:val="0"/>
                    <w:spacing w:line="300" w:lineRule="exact"/>
                    <w:ind w:firstLine="0" w:firstLineChars="0"/>
                    <w:jc w:val="center"/>
                    <w:rPr>
                      <w:rFonts w:cs="宋体"/>
                      <w:sz w:val="21"/>
                      <w:szCs w:val="21"/>
                    </w:rPr>
                  </w:pPr>
                  <w:r>
                    <w:rPr>
                      <w:rFonts w:cs="宋体"/>
                      <w:sz w:val="21"/>
                      <w:szCs w:val="21"/>
                      <w:lang w:bidi="zh-CN"/>
                    </w:rPr>
                    <w:t>高闪点液体</w:t>
                  </w:r>
                </w:p>
              </w:tc>
            </w:tr>
          </w:tbl>
          <w:p>
            <w:pPr>
              <w:pStyle w:val="46"/>
              <w:wordWrap w:val="0"/>
              <w:ind w:firstLine="0" w:firstLineChars="0"/>
              <w:jc w:val="center"/>
              <w:rPr>
                <w:rFonts w:ascii="黑体" w:hAnsi="黑体" w:eastAsia="黑体" w:cs="宋体"/>
                <w:sz w:val="21"/>
                <w:szCs w:val="21"/>
                <w:lang w:bidi="zh-CN"/>
              </w:rPr>
            </w:pPr>
            <w:r>
              <w:rPr>
                <w:rFonts w:hint="eastAsia" w:ascii="黑体" w:hAnsi="黑体" w:eastAsia="黑体" w:cs="宋体"/>
                <w:sz w:val="21"/>
                <w:szCs w:val="21"/>
                <w:lang w:bidi="zh-CN"/>
              </w:rPr>
              <w:t>续表</w:t>
            </w:r>
            <w:r>
              <w:rPr>
                <w:rFonts w:ascii="黑体" w:hAnsi="黑体" w:eastAsia="黑体" w:cs="宋体"/>
                <w:sz w:val="21"/>
                <w:szCs w:val="21"/>
                <w:lang w:bidi="zh-CN"/>
              </w:rPr>
              <w:t xml:space="preserve">16    </w:t>
            </w:r>
            <w:r>
              <w:rPr>
                <w:rFonts w:hint="eastAsia" w:ascii="黑体" w:hAnsi="黑体" w:eastAsia="黑体" w:cs="宋体"/>
                <w:sz w:val="21"/>
                <w:szCs w:val="21"/>
                <w:lang w:val="zh-CN" w:bidi="zh-CN"/>
              </w:rPr>
              <w:t>危险物质</w:t>
            </w:r>
            <w:r>
              <w:rPr>
                <w:rFonts w:ascii="黑体" w:hAnsi="黑体" w:eastAsia="黑体" w:cs="宋体"/>
                <w:sz w:val="21"/>
                <w:szCs w:val="21"/>
                <w:lang w:val="zh-CN" w:bidi="zh-CN"/>
              </w:rPr>
              <w:t>理化性质及危险级别分类情况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4"/>
              <w:gridCol w:w="464"/>
              <w:gridCol w:w="1045"/>
              <w:gridCol w:w="2829"/>
              <w:gridCol w:w="2253"/>
              <w:gridCol w:w="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序号</w:t>
                  </w:r>
                </w:p>
              </w:tc>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名称</w:t>
                  </w:r>
                </w:p>
              </w:tc>
              <w:tc>
                <w:tcPr>
                  <w:tcW w:w="68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组分</w:t>
                  </w:r>
                </w:p>
              </w:tc>
              <w:tc>
                <w:tcPr>
                  <w:tcW w:w="1849"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危险性</w:t>
                  </w:r>
                </w:p>
              </w:tc>
              <w:tc>
                <w:tcPr>
                  <w:tcW w:w="147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燃烧爆炸特性参数</w:t>
                  </w:r>
                </w:p>
              </w:tc>
              <w:tc>
                <w:tcPr>
                  <w:tcW w:w="434"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危险级别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49" w:hRule="atLeast"/>
                <w:jc w:val="center"/>
              </w:trPr>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2</w:t>
                  </w:r>
                </w:p>
              </w:tc>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伴生气</w:t>
                  </w:r>
                </w:p>
              </w:tc>
              <w:tc>
                <w:tcPr>
                  <w:tcW w:w="68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主要成分包括甲烷、乙烷等</w:t>
                  </w:r>
                </w:p>
              </w:tc>
              <w:tc>
                <w:tcPr>
                  <w:tcW w:w="1849"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伴生气中主要包括天然气。天然气中含有的甲烷，是一种无毒气体，当空气中大量弥漫这种气体时会使人因氧气不足而呼吸困难，进而失去知觉、昏迷甚至残废。</w:t>
                  </w:r>
                </w:p>
              </w:tc>
              <w:tc>
                <w:tcPr>
                  <w:tcW w:w="147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热值：50009</w:t>
                  </w:r>
                  <w:r>
                    <w:rPr>
                      <w:rFonts w:cs="宋体"/>
                      <w:sz w:val="21"/>
                      <w:szCs w:val="21"/>
                    </w:rPr>
                    <w:t>k</w:t>
                  </w:r>
                  <w:r>
                    <w:rPr>
                      <w:rFonts w:hint="eastAsia" w:cs="宋体"/>
                      <w:sz w:val="21"/>
                      <w:szCs w:val="21"/>
                    </w:rPr>
                    <w:t>J/kg；爆炸极限：5～14%（v）；自然燃点：482～632℃</w:t>
                  </w:r>
                </w:p>
              </w:tc>
              <w:tc>
                <w:tcPr>
                  <w:tcW w:w="434" w:type="pct"/>
                  <w:vAlign w:val="center"/>
                </w:tcPr>
                <w:p>
                  <w:pPr>
                    <w:pStyle w:val="46"/>
                    <w:wordWrap w:val="0"/>
                    <w:spacing w:line="300" w:lineRule="exact"/>
                    <w:ind w:firstLine="0" w:firstLineChars="0"/>
                    <w:jc w:val="center"/>
                    <w:rPr>
                      <w:rFonts w:cs="宋体"/>
                      <w:sz w:val="21"/>
                      <w:szCs w:val="21"/>
                      <w:lang w:bidi="zh-CN"/>
                    </w:rPr>
                  </w:pPr>
                  <w:r>
                    <w:rPr>
                      <w:rFonts w:cs="宋体"/>
                      <w:sz w:val="21"/>
                      <w:szCs w:val="21"/>
                      <w:lang w:bidi="zh-CN"/>
                    </w:rPr>
                    <w:t>易燃气体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59" w:hRule="atLeast"/>
                <w:jc w:val="center"/>
              </w:trPr>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3</w:t>
                  </w:r>
                </w:p>
              </w:tc>
              <w:tc>
                <w:tcPr>
                  <w:tcW w:w="0" w:type="auto"/>
                  <w:vAlign w:val="center"/>
                </w:tcPr>
                <w:p>
                  <w:pPr>
                    <w:pStyle w:val="46"/>
                    <w:wordWrap w:val="0"/>
                    <w:spacing w:line="300" w:lineRule="exact"/>
                    <w:ind w:firstLine="0" w:firstLineChars="0"/>
                    <w:jc w:val="center"/>
                    <w:rPr>
                      <w:rFonts w:cs="宋体"/>
                      <w:sz w:val="21"/>
                      <w:szCs w:val="21"/>
                    </w:rPr>
                  </w:pPr>
                  <w:r>
                    <w:rPr>
                      <w:rFonts w:hint="eastAsia" w:cs="宋体"/>
                      <w:sz w:val="21"/>
                      <w:szCs w:val="21"/>
                    </w:rPr>
                    <w:t>柴油</w:t>
                  </w:r>
                </w:p>
              </w:tc>
              <w:tc>
                <w:tcPr>
                  <w:tcW w:w="683"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复杂烃类(碳原子数约</w:t>
                  </w:r>
                  <w:r>
                    <w:rPr>
                      <w:rFonts w:cs="宋体"/>
                      <w:sz w:val="21"/>
                      <w:szCs w:val="21"/>
                    </w:rPr>
                    <w:t>1</w:t>
                  </w:r>
                  <w:r>
                    <w:rPr>
                      <w:rFonts w:hint="eastAsia" w:cs="宋体"/>
                      <w:sz w:val="21"/>
                      <w:szCs w:val="21"/>
                    </w:rPr>
                    <w:t>0～22)混合物</w:t>
                  </w:r>
                </w:p>
              </w:tc>
              <w:tc>
                <w:tcPr>
                  <w:tcW w:w="1849" w:type="pct"/>
                  <w:vAlign w:val="center"/>
                </w:tcPr>
                <w:p>
                  <w:pPr>
                    <w:pStyle w:val="46"/>
                    <w:wordWrap w:val="0"/>
                    <w:spacing w:line="300" w:lineRule="exact"/>
                    <w:ind w:firstLine="0" w:firstLineChars="0"/>
                    <w:jc w:val="center"/>
                    <w:rPr>
                      <w:rFonts w:cs="宋体"/>
                      <w:sz w:val="21"/>
                      <w:szCs w:val="21"/>
                    </w:rPr>
                  </w:pPr>
                  <w:r>
                    <w:rPr>
                      <w:rFonts w:hint="eastAsia" w:cs="宋体"/>
                      <w:sz w:val="21"/>
                      <w:szCs w:val="21"/>
                    </w:rPr>
                    <w:t>柴油的毒性类似于煤油，但由于添加剂(如硫化酯类)的影响，毒性比煤油略大，主要有麻醉和刺激作用。柴油的雾滴吸入后可致吸入性肺炎，皮肤接触柴油可致接触性皮炎。</w:t>
                  </w:r>
                </w:p>
              </w:tc>
              <w:tc>
                <w:tcPr>
                  <w:tcW w:w="1473" w:type="pct"/>
                  <w:vAlign w:val="center"/>
                </w:tcPr>
                <w:p>
                  <w:pPr>
                    <w:wordWrap w:val="0"/>
                    <w:spacing w:line="300" w:lineRule="exact"/>
                    <w:jc w:val="center"/>
                    <w:rPr>
                      <w:rFonts w:ascii="宋体" w:hAnsi="宋体"/>
                      <w:szCs w:val="21"/>
                    </w:rPr>
                  </w:pPr>
                  <w:r>
                    <w:rPr>
                      <w:rFonts w:hint="eastAsia" w:ascii="宋体" w:hAnsi="宋体" w:cs="宋体"/>
                      <w:szCs w:val="21"/>
                    </w:rPr>
                    <w:t>热值：3.3×10</w:t>
                  </w:r>
                  <w:r>
                    <w:rPr>
                      <w:rFonts w:ascii="宋体" w:hAnsi="宋体" w:cs="宋体"/>
                      <w:szCs w:val="21"/>
                      <w:vertAlign w:val="superscript"/>
                    </w:rPr>
                    <w:t>4</w:t>
                  </w:r>
                  <w:r>
                    <w:rPr>
                      <w:rFonts w:ascii="宋体" w:hAnsi="宋体" w:cs="宋体"/>
                      <w:szCs w:val="21"/>
                    </w:rPr>
                    <w:t>k</w:t>
                  </w:r>
                  <w:r>
                    <w:rPr>
                      <w:rFonts w:hint="eastAsia" w:ascii="宋体" w:hAnsi="宋体" w:cs="宋体"/>
                      <w:szCs w:val="21"/>
                    </w:rPr>
                    <w:t>J/L；沸点范围：180～370℃和350～410℃；两类闪点：</w:t>
                  </w:r>
                  <w:r>
                    <w:rPr>
                      <w:rFonts w:ascii="宋体" w:hAnsi="宋体" w:cs="宋体"/>
                      <w:szCs w:val="21"/>
                    </w:rPr>
                    <w:t>3</w:t>
                  </w:r>
                  <w:r>
                    <w:rPr>
                      <w:rFonts w:hint="eastAsia" w:ascii="宋体" w:hAnsi="宋体" w:cs="宋体"/>
                      <w:szCs w:val="21"/>
                    </w:rPr>
                    <w:t>8℃</w:t>
                  </w:r>
                </w:p>
              </w:tc>
              <w:tc>
                <w:tcPr>
                  <w:tcW w:w="434" w:type="pct"/>
                  <w:vAlign w:val="center"/>
                </w:tcPr>
                <w:p>
                  <w:pPr>
                    <w:pStyle w:val="46"/>
                    <w:wordWrap w:val="0"/>
                    <w:spacing w:line="300" w:lineRule="exact"/>
                    <w:ind w:firstLine="0" w:firstLineChars="0"/>
                    <w:jc w:val="center"/>
                    <w:rPr>
                      <w:rFonts w:cs="宋体"/>
                      <w:sz w:val="21"/>
                      <w:szCs w:val="21"/>
                    </w:rPr>
                  </w:pPr>
                  <w:r>
                    <w:rPr>
                      <w:rFonts w:cs="宋体"/>
                      <w:sz w:val="21"/>
                      <w:szCs w:val="21"/>
                      <w:lang w:bidi="zh-CN"/>
                    </w:rPr>
                    <w:t>高闪点液体</w:t>
                  </w:r>
                </w:p>
              </w:tc>
            </w:tr>
          </w:tbl>
          <w:p>
            <w:pPr>
              <w:pStyle w:val="53"/>
              <w:adjustRightInd w:val="0"/>
              <w:snapToGrid w:val="0"/>
              <w:ind w:firstLine="480"/>
              <w:rPr>
                <w:bCs/>
              </w:rPr>
            </w:pPr>
            <w:r>
              <w:rPr>
                <w:rFonts w:hint="eastAsia"/>
                <w:bCs/>
              </w:rPr>
              <w:t>②井喷事故风险</w:t>
            </w:r>
          </w:p>
          <w:p>
            <w:pPr>
              <w:pStyle w:val="53"/>
              <w:adjustRightInd w:val="0"/>
              <w:snapToGrid w:val="0"/>
              <w:ind w:firstLine="480"/>
              <w:rPr>
                <w:bCs/>
              </w:rPr>
            </w:pPr>
            <w:r>
              <w:rPr>
                <w:rFonts w:hint="eastAsia"/>
                <w:bCs/>
              </w:rPr>
              <w:t>若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53"/>
              <w:adjustRightInd w:val="0"/>
              <w:snapToGrid w:val="0"/>
              <w:ind w:firstLine="480"/>
              <w:rPr>
                <w:bCs/>
              </w:rPr>
            </w:pPr>
            <w:r>
              <w:rPr>
                <w:rFonts w:hint="eastAsia"/>
                <w:bCs/>
              </w:rPr>
              <w:t>③储罐泄漏风险</w:t>
            </w:r>
          </w:p>
          <w:p>
            <w:pPr>
              <w:pStyle w:val="53"/>
              <w:adjustRightInd w:val="0"/>
              <w:snapToGrid w:val="0"/>
              <w:ind w:firstLine="476"/>
              <w:rPr>
                <w:bCs/>
                <w:spacing w:val="-2"/>
              </w:rPr>
            </w:pPr>
            <w:r>
              <w:rPr>
                <w:rFonts w:hint="eastAsia"/>
                <w:bCs/>
                <w:spacing w:val="-2"/>
              </w:rPr>
              <w:t>钻井期井场设水基钻井液循环罐，试油期井场设有柴油储罐、洗井废水储罐和采出物储罐，若储罐因质量、操作运行和管理等环节存在缺陷和失误，可能会发生泄漏，对周围地下水、土壤、大气等环境造成污染。</w:t>
            </w:r>
          </w:p>
          <w:p>
            <w:pPr>
              <w:pStyle w:val="53"/>
              <w:adjustRightInd w:val="0"/>
              <w:snapToGrid w:val="0"/>
              <w:ind w:firstLine="480"/>
            </w:pPr>
            <w:r>
              <w:rPr>
                <w:rFonts w:hint="eastAsia"/>
              </w:rPr>
              <w:t>（3）环境风险分析</w:t>
            </w:r>
          </w:p>
          <w:p>
            <w:pPr>
              <w:pStyle w:val="53"/>
              <w:adjustRightInd w:val="0"/>
              <w:snapToGrid w:val="0"/>
              <w:ind w:firstLine="480"/>
              <w:rPr>
                <w:bCs/>
              </w:rPr>
            </w:pPr>
            <w:r>
              <w:rPr>
                <w:rFonts w:hint="eastAsia"/>
                <w:bCs/>
              </w:rPr>
              <w:t>①井喷事故影响分析</w:t>
            </w:r>
          </w:p>
          <w:p>
            <w:pPr>
              <w:pStyle w:val="53"/>
              <w:adjustRightInd w:val="0"/>
              <w:snapToGrid w:val="0"/>
              <w:ind w:firstLine="480"/>
              <w:rPr>
                <w:bCs/>
              </w:rPr>
            </w:pPr>
            <w:r>
              <w:rPr>
                <w:rFonts w:hint="eastAsia"/>
                <w:bCs/>
              </w:rPr>
              <w:t>井场主要发生的风险事故为钻井及井下作业时发生井喷事故。一旦出现井喷迹象，开始挖掘应急放喷池，并进行人工防渗，</w:t>
            </w:r>
            <w:r>
              <w:rPr>
                <w:rFonts w:hint="eastAsia"/>
              </w:rPr>
              <w:t>防渗材料为HDPE防渗膜，渗透系数≤10</w:t>
            </w:r>
            <w:r>
              <w:rPr>
                <w:rFonts w:hint="eastAsia"/>
                <w:vertAlign w:val="superscript"/>
              </w:rPr>
              <w:t>-</w:t>
            </w:r>
            <w:r>
              <w:rPr>
                <w:vertAlign w:val="superscript"/>
              </w:rPr>
              <w:t>7</w:t>
            </w:r>
            <w:r>
              <w:rPr>
                <w:rFonts w:hint="eastAsia"/>
              </w:rPr>
              <w:t>cm/s。井喷事故发生时，</w:t>
            </w:r>
            <w:r>
              <w:rPr>
                <w:rFonts w:hint="eastAsia"/>
                <w:bCs/>
              </w:rPr>
              <w:t>大量的油气喷出井口，散落于井场周围，据类比资料显示，井喷范围内土壤可见有蜡状的原油喷散物，井喷的影响范围一般为以井眼为圆心、半径200m的区域，由于该地区人口稀少，所以井喷对人员的伤害有限，对土壤环境、大气环境和地下水可能产生影响。发生井喷后，油类物质进入环境空气，挥发的气体</w:t>
            </w:r>
            <w:r>
              <w:rPr>
                <w:bCs/>
              </w:rPr>
              <w:t>可能会对周围环境空气产生影响，若遇明火可</w:t>
            </w:r>
            <w:r>
              <w:rPr>
                <w:rFonts w:hint="eastAsia"/>
                <w:bCs/>
              </w:rPr>
              <w:t>能</w:t>
            </w:r>
            <w:r>
              <w:rPr>
                <w:bCs/>
              </w:rPr>
              <w:t>发生火灾、爆炸，</w:t>
            </w:r>
            <w:r>
              <w:rPr>
                <w:rFonts w:hint="eastAsia"/>
                <w:bCs/>
              </w:rPr>
              <w:t>随之</w:t>
            </w:r>
            <w:r>
              <w:rPr>
                <w:bCs/>
              </w:rPr>
              <w:t>产生的伴生、次生污染物会对环境空气产生一定的影响。由于地域空旷，扩散条件较好，发生事故后，及时采取相应的措施，不会对周围环境空气产生明显影响。</w:t>
            </w:r>
          </w:p>
          <w:p>
            <w:pPr>
              <w:pStyle w:val="53"/>
              <w:adjustRightInd w:val="0"/>
              <w:snapToGrid w:val="0"/>
              <w:ind w:firstLine="480"/>
              <w:rPr>
                <w:bCs/>
              </w:rPr>
            </w:pPr>
            <w:r>
              <w:rPr>
                <w:rFonts w:hint="eastAsia"/>
                <w:bCs/>
              </w:rPr>
              <w:t>根据类比调查，从事故井区土壤剖面分析，井喷事故后石油类污染物主要聚集在土壤剖面1m以内。而该区域地下水埋深在</w:t>
            </w:r>
            <w:r>
              <w:rPr>
                <w:bCs/>
              </w:rPr>
              <w:t>50</w:t>
            </w:r>
            <w:r>
              <w:rPr>
                <w:rFonts w:hint="eastAsia"/>
                <w:bCs/>
              </w:rPr>
              <w:t>～1</w:t>
            </w:r>
            <w:r>
              <w:rPr>
                <w:bCs/>
              </w:rPr>
              <w:t>5</w:t>
            </w:r>
            <w:r>
              <w:rPr>
                <w:rFonts w:hint="eastAsia"/>
                <w:bCs/>
              </w:rPr>
              <w:t>0m左右，石油类污染物主要被拦截在包气带土壤剖面1m以内，同时因为气候干旱少雨，不存在大量降水的淋滤作用，因此对地下水体的影响概率不大。及时清理井喷事故中产生的原油和受浸染土壤，对原油进行回收，受污染的土壤集中收集后交由具有相应危废处置资质的单位进行回收处置，及时采取上述有效措施治理污染后，井喷不会造成地下水污染。</w:t>
            </w:r>
          </w:p>
          <w:p>
            <w:pPr>
              <w:pStyle w:val="53"/>
              <w:adjustRightInd w:val="0"/>
              <w:snapToGrid w:val="0"/>
              <w:ind w:firstLine="480"/>
              <w:rPr>
                <w:bCs/>
              </w:rPr>
            </w:pPr>
            <w:r>
              <w:rPr>
                <w:rFonts w:hint="eastAsia"/>
                <w:bCs/>
              </w:rPr>
              <w:t>井喷事故状态下，发生泄漏，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原油进行回收，受污染的土壤集中收集后由有相应危废处置资质的单位进行回收处置，将井喷事故对周边植被的影响降至最低。</w:t>
            </w:r>
          </w:p>
          <w:p>
            <w:pPr>
              <w:pStyle w:val="53"/>
              <w:adjustRightInd w:val="0"/>
              <w:snapToGrid w:val="0"/>
              <w:ind w:firstLine="480"/>
              <w:rPr>
                <w:bCs/>
              </w:rPr>
            </w:pPr>
            <w:r>
              <w:rPr>
                <w:rFonts w:hint="eastAsia"/>
                <w:bCs/>
              </w:rPr>
              <w:t>②储罐泄漏环境影响分析</w:t>
            </w:r>
          </w:p>
          <w:p>
            <w:pPr>
              <w:pStyle w:val="53"/>
              <w:adjustRightInd w:val="0"/>
              <w:snapToGrid w:val="0"/>
              <w:ind w:firstLine="480"/>
              <w:rPr>
                <w:bCs/>
              </w:rPr>
            </w:pPr>
            <w:r>
              <w:rPr>
                <w:rFonts w:hint="eastAsia"/>
                <w:bCs/>
              </w:rPr>
              <w:t>1）对大气环境影响分析</w:t>
            </w:r>
          </w:p>
          <w:p>
            <w:pPr>
              <w:pStyle w:val="53"/>
              <w:adjustRightInd w:val="0"/>
              <w:snapToGrid w:val="0"/>
              <w:ind w:firstLine="480"/>
              <w:rPr>
                <w:bCs/>
              </w:rPr>
            </w:pPr>
            <w:r>
              <w:rPr>
                <w:rFonts w:hint="eastAsia"/>
                <w:bCs/>
              </w:rPr>
              <w:t>储罐或循环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46"/>
              <w:ind w:firstLine="480"/>
              <w:rPr>
                <w:rFonts w:cs="宋体"/>
                <w:szCs w:val="21"/>
              </w:rPr>
            </w:pPr>
            <w:r>
              <w:rPr>
                <w:rFonts w:hint="eastAsia" w:cs="宋体"/>
                <w:szCs w:val="21"/>
              </w:rPr>
              <w:t>2）对土壤环境影响分析</w:t>
            </w:r>
          </w:p>
          <w:p>
            <w:pPr>
              <w:pStyle w:val="46"/>
              <w:ind w:firstLine="480"/>
              <w:rPr>
                <w:rFonts w:cs="宋体"/>
                <w:szCs w:val="21"/>
              </w:rPr>
            </w:pPr>
            <w:r>
              <w:rPr>
                <w:rFonts w:hint="eastAsia" w:cs="宋体"/>
                <w:szCs w:val="21"/>
              </w:rPr>
              <w:t>泄漏的油类物质可使土壤透气性下降、土壤理化性状发生变化。泄漏情况发生时，相当于向土壤中直接注入油类物质，渗入土壤孔隙，使土壤透气性和呼吸作用减弱，影响土壤中的微生物生存，造成土壤盐碱化，破坏土壤结构，增加土壤中石油类污染物，造成土地肥力下降，改变土壤的理化性质，影响土壤正常的结构和功能。水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pStyle w:val="46"/>
              <w:ind w:firstLine="480"/>
              <w:rPr>
                <w:rFonts w:cs="宋体"/>
                <w:szCs w:val="21"/>
              </w:rPr>
            </w:pPr>
            <w:r>
              <w:rPr>
                <w:rFonts w:hint="eastAsia" w:cs="宋体"/>
                <w:szCs w:val="21"/>
              </w:rPr>
              <w:t>3）对植被的影响</w:t>
            </w:r>
          </w:p>
          <w:p>
            <w:pPr>
              <w:pStyle w:val="46"/>
              <w:ind w:firstLine="480"/>
              <w:rPr>
                <w:rFonts w:cs="宋体"/>
                <w:szCs w:val="21"/>
              </w:rPr>
            </w:pPr>
            <w:r>
              <w:rPr>
                <w:rFonts w:hint="eastAsia" w:cs="宋体"/>
                <w:szCs w:val="21"/>
              </w:rPr>
              <w:t>油类物质泄漏对植被的影响主要分为三种途径，一是泄漏物直接粘附于植物体阻断植物的光合作用，使植物枯萎、死亡；二是污染土壤造成的土壤理性化性状变化间接影响植物生长，严重时会导致植物死亡；三是泄漏物质中的轻组份挥发，在对空气环境产生影响的同时，也对周围植物产生影响。发生事故后，及时采取相应的措施，不会对周围植被产生明显影响。</w:t>
            </w:r>
          </w:p>
          <w:p>
            <w:pPr>
              <w:pStyle w:val="46"/>
              <w:ind w:firstLine="480"/>
              <w:rPr>
                <w:rFonts w:cs="宋体"/>
                <w:szCs w:val="21"/>
              </w:rPr>
            </w:pPr>
            <w:r>
              <w:rPr>
                <w:rFonts w:hint="eastAsia" w:cs="宋体"/>
                <w:szCs w:val="21"/>
              </w:rPr>
              <w:t>4）对地下水环境的影响</w:t>
            </w:r>
          </w:p>
          <w:p>
            <w:pPr>
              <w:pStyle w:val="46"/>
              <w:ind w:firstLine="480"/>
              <w:rPr>
                <w:rFonts w:cs="宋体"/>
                <w:spacing w:val="-2"/>
                <w:szCs w:val="21"/>
              </w:rPr>
            </w:pPr>
            <w:r>
              <w:rPr>
                <w:rFonts w:hint="eastAsia" w:cs="宋体"/>
                <w:szCs w:val="21"/>
              </w:rPr>
              <w:t>水基钻井液循环罐、</w:t>
            </w:r>
            <w:r>
              <w:rPr>
                <w:rFonts w:hint="eastAsia" w:cs="宋体"/>
                <w:spacing w:val="-2"/>
                <w:szCs w:val="21"/>
              </w:rPr>
              <w:t>柴油储罐、采出物储罐及洗井废水储罐泄漏的油品下渗可能导致地下水污染风险的发生，储罐堆放场地为地上设施，发生泄漏事故后易发现并及时维修处理，即使有少量的污染物泄漏，也很难通过防渗层渗入包气带。井场各类储罐底部铺设防渗膜，采取钢制储罐，发生泄漏的概率极小，一旦发生泄漏会在较短时间内发现并采取的堵漏措施，出现长期连续性泄漏的可能性很低，发生渗漏污染地下水的风险事故概率较低。</w:t>
            </w:r>
          </w:p>
          <w:p>
            <w:pPr>
              <w:pStyle w:val="46"/>
              <w:ind w:firstLine="482"/>
              <w:rPr>
                <w:rFonts w:cs="宋体"/>
                <w:b/>
                <w:bCs/>
                <w:szCs w:val="21"/>
              </w:rPr>
            </w:pPr>
            <w:r>
              <w:rPr>
                <w:rFonts w:cs="宋体"/>
                <w:b/>
                <w:bCs/>
                <w:szCs w:val="21"/>
              </w:rPr>
              <w:t>8</w:t>
            </w:r>
            <w:r>
              <w:rPr>
                <w:rFonts w:hint="eastAsia" w:cs="宋体"/>
                <w:b/>
                <w:bCs/>
                <w:szCs w:val="21"/>
              </w:rPr>
              <w:t>、其它产出物说明</w:t>
            </w:r>
          </w:p>
          <w:p>
            <w:pPr>
              <w:pStyle w:val="46"/>
              <w:ind w:firstLine="480"/>
              <w:rPr>
                <w:rFonts w:cs="宋体"/>
                <w:szCs w:val="21"/>
              </w:rPr>
            </w:pPr>
            <w:r>
              <w:rPr>
                <w:rFonts w:hint="eastAsia" w:cs="宋体"/>
                <w:szCs w:val="21"/>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一同进入地面储罐，</w:t>
            </w:r>
            <w:bookmarkStart w:id="32" w:name="_Hlk105532169"/>
            <w:r>
              <w:rPr>
                <w:rFonts w:hint="eastAsia" w:cs="宋体"/>
                <w:szCs w:val="21"/>
              </w:rPr>
              <w:t>拉运至彩南联合站原油处理系统处理。</w:t>
            </w:r>
            <w:bookmarkEnd w:id="3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41" w:type="dxa"/>
            <w:tcMar>
              <w:left w:w="28" w:type="dxa"/>
              <w:right w:w="28" w:type="dxa"/>
            </w:tcMar>
            <w:vAlign w:val="center"/>
          </w:tcPr>
          <w:p>
            <w:pPr>
              <w:pStyle w:val="14"/>
              <w:adjustRightInd w:val="0"/>
              <w:snapToGrid w:val="0"/>
              <w:spacing w:before="0" w:beforeAutospacing="0" w:after="0" w:afterAutospacing="0"/>
              <w:jc w:val="center"/>
              <w:rPr>
                <w:rFonts w:cs="宋体"/>
                <w:bCs/>
                <w:spacing w:val="10"/>
                <w:kern w:val="2"/>
              </w:rPr>
            </w:pPr>
            <w:r>
              <w:rPr>
                <w:rFonts w:hint="eastAsia" w:cs="宋体"/>
                <w:bCs/>
                <w:spacing w:val="10"/>
                <w:kern w:val="2"/>
              </w:rPr>
              <w:t>运营期生态环境影响分析</w:t>
            </w:r>
          </w:p>
        </w:tc>
        <w:tc>
          <w:tcPr>
            <w:tcW w:w="7796" w:type="dxa"/>
            <w:vAlign w:val="center"/>
          </w:tcPr>
          <w:p>
            <w:pPr>
              <w:pStyle w:val="53"/>
              <w:ind w:firstLine="480"/>
            </w:pPr>
            <w:r>
              <w:rPr>
                <w:rFonts w:hint="eastAsia"/>
              </w:rPr>
              <w:t>本项目无运营期，钻试活动结束后环境影响随之消失。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4" w:hRule="atLeast"/>
          <w:jc w:val="center"/>
        </w:trPr>
        <w:tc>
          <w:tcPr>
            <w:tcW w:w="841" w:type="dxa"/>
            <w:vAlign w:val="center"/>
          </w:tcPr>
          <w:p>
            <w:pPr>
              <w:pStyle w:val="14"/>
              <w:adjustRightInd w:val="0"/>
              <w:snapToGrid w:val="0"/>
              <w:spacing w:before="0" w:beforeAutospacing="0" w:after="0" w:afterAutospacing="0"/>
              <w:jc w:val="center"/>
              <w:rPr>
                <w:rFonts w:cs="宋体"/>
                <w:bCs/>
                <w:kern w:val="2"/>
              </w:rPr>
            </w:pPr>
            <w:r>
              <w:rPr>
                <w:rFonts w:hint="eastAsia" w:cs="宋体"/>
                <w:bCs/>
                <w:kern w:val="2"/>
              </w:rPr>
              <w:t>选址选线环境合理性分析</w:t>
            </w:r>
          </w:p>
        </w:tc>
        <w:tc>
          <w:tcPr>
            <w:tcW w:w="7796" w:type="dxa"/>
            <w:vAlign w:val="center"/>
          </w:tcPr>
          <w:p>
            <w:pPr>
              <w:pStyle w:val="46"/>
              <w:ind w:firstLine="480"/>
            </w:pPr>
            <w:r>
              <w:rPr>
                <w:rFonts w:hint="eastAsia"/>
              </w:rPr>
              <w:t>项目行政隶属新疆维吾尔自治区昌吉回族自治州阜康市。阜康市北部荒漠区属于国家级水土流失重点治理区，施工期间及施工结束后严格落实水土流失防治措施，对防止风沙流动、促进生态环境恢复可以起到良好的作用，可将水土流失的程度降低到最小限度。周边无其他自然保护区、风景名胜区、饮用水水源保护区、基本农田保护区、基本草原、沙化土地封禁保护区等，且无以居住、医疗卫生、文化教育、科研、行政办公等为主要功能的区域及文物保护单位。</w:t>
            </w:r>
          </w:p>
          <w:p>
            <w:pPr>
              <w:pStyle w:val="46"/>
              <w:ind w:firstLine="480"/>
              <w:rPr>
                <w:bCs/>
              </w:rPr>
            </w:pPr>
            <w:r>
              <w:rPr>
                <w:rFonts w:hint="eastAsia"/>
              </w:rPr>
              <w:t>彩61H井占地类型为其他草地，属于临时占地。选址时已避开植被茂密地带，且所在区域人类活动频繁，区域内野生动物数量较少环境影响程度低，钻试工程结束后，临时占地均可到释放和恢复，建设期间产生的废气、废水和噪声消失。综上所述，项目选址合理。</w:t>
            </w:r>
          </w:p>
        </w:tc>
      </w:tr>
    </w:tbl>
    <w:p>
      <w:pPr>
        <w:pStyle w:val="14"/>
        <w:jc w:val="center"/>
        <w:rPr>
          <w:rFonts w:ascii="黑体" w:hAnsi="黑体" w:eastAsia="黑体"/>
          <w:snapToGrid w:val="0"/>
          <w:sz w:val="36"/>
          <w:szCs w:val="36"/>
        </w:rPr>
        <w:sectPr>
          <w:footerReference r:id="rId6" w:type="default"/>
          <w:pgSz w:w="11906" w:h="16838"/>
          <w:pgMar w:top="1440" w:right="1800" w:bottom="1440" w:left="1800" w:header="851" w:footer="1077" w:gutter="0"/>
          <w:pgNumType w:start="1"/>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17"/>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8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3" w:type="dxa"/>
            <w:tcMar>
              <w:left w:w="28" w:type="dxa"/>
              <w:right w:w="28" w:type="dxa"/>
            </w:tcMar>
            <w:vAlign w:val="center"/>
          </w:tcPr>
          <w:p>
            <w:pPr>
              <w:adjustRightInd w:val="0"/>
              <w:snapToGrid w:val="0"/>
              <w:jc w:val="center"/>
              <w:rPr>
                <w:rFonts w:ascii="宋体" w:hAnsi="宋体"/>
                <w:bCs/>
                <w:sz w:val="24"/>
              </w:rPr>
            </w:pPr>
            <w:r>
              <w:rPr>
                <w:rFonts w:hint="eastAsia" w:ascii="宋体" w:hAnsi="宋体" w:cs="宋体"/>
                <w:bCs/>
                <w:spacing w:val="10"/>
                <w:sz w:val="24"/>
              </w:rPr>
              <w:t>施工期生态环境保护措施</w:t>
            </w:r>
          </w:p>
        </w:tc>
        <w:tc>
          <w:tcPr>
            <w:tcW w:w="7884" w:type="dxa"/>
          </w:tcPr>
          <w:p>
            <w:pPr>
              <w:pStyle w:val="46"/>
              <w:ind w:firstLine="482"/>
              <w:rPr>
                <w:b/>
                <w:bCs/>
              </w:rPr>
            </w:pPr>
            <w:bookmarkStart w:id="33" w:name="_Hlk115960688"/>
            <w:r>
              <w:rPr>
                <w:rFonts w:hint="eastAsia"/>
                <w:b/>
                <w:bCs/>
              </w:rPr>
              <w:t>1、生态环境保护措施</w:t>
            </w:r>
          </w:p>
          <w:bookmarkEnd w:id="33"/>
          <w:p>
            <w:pPr>
              <w:pStyle w:val="46"/>
              <w:ind w:firstLine="480"/>
            </w:pPr>
            <w:r>
              <w:rPr>
                <w:rFonts w:hint="eastAsia"/>
              </w:rPr>
              <w:t>建设单位及施工单位应严格执行本次评价提出的生态环境保护措施，并确保各项保护措施与钻试工程同时设计、同时施工、同时使用。</w:t>
            </w:r>
          </w:p>
          <w:p>
            <w:pPr>
              <w:pStyle w:val="46"/>
              <w:ind w:firstLine="480"/>
            </w:pPr>
            <w:r>
              <w:rPr>
                <w:rFonts w:hint="eastAsia"/>
              </w:rPr>
              <w:t>（1）生态保护措施</w:t>
            </w:r>
          </w:p>
          <w:p>
            <w:pPr>
              <w:pStyle w:val="46"/>
              <w:ind w:firstLine="480"/>
            </w:pPr>
            <w:bookmarkStart w:id="34" w:name="_Hlk115953181"/>
            <w:r>
              <w:rPr>
                <w:rFonts w:hint="eastAsia"/>
              </w:rPr>
              <w:t>①工程避让措施</w:t>
            </w:r>
            <w:bookmarkEnd w:id="34"/>
            <w:r>
              <w:rPr>
                <w:rFonts w:hint="eastAsia"/>
              </w:rPr>
              <w:t>：</w:t>
            </w:r>
            <w:bookmarkStart w:id="35" w:name="_Hlk116005009"/>
            <w:r>
              <w:rPr>
                <w:rFonts w:hint="eastAsia"/>
              </w:rPr>
              <w:t>井场、生活营地位置以及探临道路等占地，应在满足勘探设计和施工要求的前提下进行适当的调整，以减少占地以避让梭梭。</w:t>
            </w:r>
            <w:bookmarkEnd w:id="35"/>
            <w:r>
              <w:rPr>
                <w:rFonts w:hint="eastAsia"/>
              </w:rPr>
              <w:t>确保各环保设施正常运行，避免各种污染物对土壤环境的影响，从而影响其上部生长的野生植被。</w:t>
            </w:r>
          </w:p>
          <w:p>
            <w:pPr>
              <w:pStyle w:val="46"/>
              <w:ind w:firstLine="480"/>
              <w:rPr>
                <w:rFonts w:cs="宋体"/>
              </w:rPr>
            </w:pPr>
            <w:r>
              <w:rPr>
                <w:rFonts w:hint="eastAsia"/>
              </w:rPr>
              <w:t>②减缓措施：严格遵守油田环境保护规章制度，运输车辆及勘探车辆在规定路线范围内行使，禁止乱碾乱轧，最大程度的减缓对地表稳定层的破坏；严格规定各类工作人员的活动范围，使之限于在各工区范围内活动，需要特别注意对自治区Ⅰ级保护植物——梭梭的保护，最大限度减缓对野生植物生存环境的踩踏破坏。</w:t>
            </w:r>
            <w:r>
              <w:rPr>
                <w:rFonts w:hint="eastAsia" w:cs="宋体"/>
              </w:rPr>
              <w:t>在建设过程中，应避免在大风天气作业，堆放的土方应压实并采用苫布遮盖，避免风蚀从而造成水土流失。</w:t>
            </w:r>
          </w:p>
          <w:p>
            <w:pPr>
              <w:pStyle w:val="46"/>
              <w:ind w:firstLine="480"/>
            </w:pPr>
            <w:bookmarkStart w:id="36" w:name="_Hlk115953205"/>
            <w:r>
              <w:rPr>
                <w:rFonts w:hint="eastAsia"/>
              </w:rPr>
              <w:t>③恢复措施</w:t>
            </w:r>
            <w:bookmarkEnd w:id="36"/>
            <w:r>
              <w:rPr>
                <w:rFonts w:hint="eastAsia"/>
              </w:rPr>
              <w:t>：</w:t>
            </w:r>
            <w:r>
              <w:rPr>
                <w:rFonts w:hint="eastAsia" w:cs="宋体"/>
                <w:lang w:bidi="ar"/>
              </w:rPr>
              <w:t>完井后须对临时占地范围进行恢复，工程量即为所有临时占地，面积约14200m</w:t>
            </w:r>
            <w:r>
              <w:rPr>
                <w:rFonts w:cs="宋体"/>
                <w:vertAlign w:val="superscript"/>
                <w:lang w:bidi="ar"/>
              </w:rPr>
              <w:t>2</w:t>
            </w:r>
            <w:r>
              <w:rPr>
                <w:rFonts w:hint="eastAsia" w:cs="宋体"/>
                <w:lang w:bidi="ar"/>
              </w:rPr>
              <w:t>，</w:t>
            </w:r>
            <w:r>
              <w:rPr>
                <w:rFonts w:hint="eastAsia"/>
              </w:rPr>
              <w:t>完井后施工设备及时撤离，固体废物全部妥善处置，现场禁止遗留，占地应清理平整，尽量</w:t>
            </w:r>
            <w:bookmarkStart w:id="37" w:name="_Hlk105522887"/>
            <w:r>
              <w:rPr>
                <w:rFonts w:hint="eastAsia"/>
              </w:rPr>
              <w:t>利用井场及临时道路施工时产生的弃土对临时占地进行覆盖。</w:t>
            </w:r>
            <w:bookmarkEnd w:id="37"/>
          </w:p>
          <w:p>
            <w:pPr>
              <w:pStyle w:val="46"/>
              <w:ind w:firstLine="476"/>
              <w:rPr>
                <w:spacing w:val="-2"/>
              </w:rPr>
            </w:pPr>
            <w:bookmarkStart w:id="38" w:name="_Hlk115958315"/>
            <w:r>
              <w:rPr>
                <w:rFonts w:hint="eastAsia"/>
                <w:spacing w:val="-2"/>
              </w:rPr>
              <w:t>④补偿措施</w:t>
            </w:r>
            <w:bookmarkEnd w:id="38"/>
            <w:r>
              <w:rPr>
                <w:rFonts w:hint="eastAsia"/>
                <w:spacing w:val="-2"/>
              </w:rPr>
              <w:t>：在项目开工建设前</w:t>
            </w:r>
            <w:r>
              <w:rPr>
                <w:rFonts w:hint="eastAsia"/>
                <w:bCs/>
                <w:spacing w:val="-2"/>
              </w:rPr>
              <w:t>应向相关部门办理临时占地手续，取得占地手续后方可开工建设，</w:t>
            </w:r>
            <w:r>
              <w:rPr>
                <w:rFonts w:hint="eastAsia"/>
                <w:spacing w:val="-2"/>
              </w:rPr>
              <w:t>对占地内因施工破坏的野生植被，建设单位应按照相关规定缴纳生态经济补偿费。严格按照有关规定办理用地审批手续，临时占地在办理临时占地手续后将对其生态损失予以经济补偿。</w:t>
            </w:r>
          </w:p>
          <w:p>
            <w:pPr>
              <w:pStyle w:val="46"/>
              <w:ind w:firstLine="480"/>
            </w:pPr>
            <w:bookmarkStart w:id="39" w:name="_Hlk115960700"/>
            <w:r>
              <w:rPr>
                <w:rFonts w:hint="eastAsia"/>
              </w:rPr>
              <w:t>（2）防沙治沙措施</w:t>
            </w:r>
          </w:p>
          <w:bookmarkEnd w:id="39"/>
          <w:p>
            <w:pPr>
              <w:pStyle w:val="53"/>
              <w:widowControl w:val="0"/>
              <w:ind w:firstLine="480"/>
            </w:pPr>
            <w:r>
              <w:rPr>
                <w:rFonts w:hint="eastAsia"/>
              </w:rPr>
              <w:t>本次评价要求建设单位严格按照</w:t>
            </w:r>
            <w:bookmarkStart w:id="40" w:name="_Hlk105533796"/>
            <w:r>
              <w:rPr>
                <w:rFonts w:hint="eastAsia"/>
              </w:rPr>
              <w:t>《中华人民共和国防沙治沙法》（2018）</w:t>
            </w:r>
            <w:bookmarkEnd w:id="40"/>
            <w:r>
              <w:rPr>
                <w:rFonts w:hint="eastAsia"/>
              </w:rPr>
              <w:t>及《关于加强沙区建设项目环境影响评价工作的通知》（新环环评发〔2020〕138号）中有关规定，执行以下井场防沙治沙措施：</w:t>
            </w:r>
          </w:p>
          <w:p>
            <w:pPr>
              <w:pStyle w:val="53"/>
              <w:ind w:firstLine="480"/>
            </w:pPr>
            <w:r>
              <w:rPr>
                <w:rFonts w:hint="eastAsia"/>
              </w:rPr>
              <w:t>①禁止在沙化土地上砍挖灌木及其他固沙植物，尤其是自治区Ⅰ级保护植物——梭梭，避免固沙植物被破坏。</w:t>
            </w:r>
          </w:p>
          <w:p>
            <w:pPr>
              <w:pStyle w:val="53"/>
              <w:ind w:firstLine="480"/>
            </w:pPr>
            <w:r>
              <w:rPr>
                <w:rFonts w:hint="eastAsia"/>
              </w:rPr>
              <w:t>②</w:t>
            </w:r>
            <w:r>
              <w:t>严格控制施工活动范围，严禁乱碾乱轧，避免对占地范围外的区域造成扰动</w:t>
            </w:r>
            <w:r>
              <w:rPr>
                <w:rFonts w:hint="eastAsia"/>
              </w:rPr>
              <w:t>，保护地表原有稳定结皮不被破坏。</w:t>
            </w:r>
          </w:p>
          <w:p>
            <w:pPr>
              <w:pStyle w:val="53"/>
              <w:adjustRightInd w:val="0"/>
              <w:ind w:firstLine="480"/>
            </w:pPr>
            <w:r>
              <w:rPr>
                <w:rFonts w:hint="eastAsia"/>
              </w:rPr>
              <w:t>③优化施工组织缩短工时，</w:t>
            </w:r>
            <w:r>
              <w:t>避免在</w:t>
            </w:r>
            <w:r>
              <w:rPr>
                <w:rFonts w:hint="eastAsia"/>
              </w:rPr>
              <w:t>大</w:t>
            </w:r>
            <w:r>
              <w:t>风天气作业，</w:t>
            </w:r>
            <w:r>
              <w:rPr>
                <w:rFonts w:hint="eastAsia"/>
              </w:rPr>
              <w:t>施工结束后对场地进行清理、平整并压实，</w:t>
            </w:r>
            <w:r>
              <w:t>以免</w:t>
            </w:r>
            <w:r>
              <w:rPr>
                <w:rFonts w:hint="eastAsia"/>
              </w:rPr>
              <w:t>地表土壤受到风力侵蚀</w:t>
            </w:r>
            <w:r>
              <w:t>。</w:t>
            </w:r>
          </w:p>
          <w:p>
            <w:pPr>
              <w:pStyle w:val="46"/>
              <w:ind w:firstLine="480"/>
            </w:pPr>
            <w:r>
              <w:rPr>
                <w:rFonts w:hint="eastAsia"/>
              </w:rPr>
              <w:t>（3）水土流失防治措施</w:t>
            </w:r>
          </w:p>
          <w:p>
            <w:pPr>
              <w:pStyle w:val="53"/>
              <w:adjustRightInd w:val="0"/>
              <w:snapToGrid w:val="0"/>
              <w:ind w:firstLine="476"/>
              <w:rPr>
                <w:spacing w:val="-2"/>
              </w:rPr>
            </w:pPr>
            <w:r>
              <w:rPr>
                <w:rFonts w:hint="eastAsia"/>
                <w:spacing w:val="-2"/>
              </w:rPr>
              <w:t>①项目选址选线应该充分考虑水土流失因素，尽量避开植被茂盛地段，施工期间严格划定施工活动范围，严格控制和管理运输车辆及重型机械的运行范围，不另辟施工便道，不得离开运输道路随意驾驶。由专人监督负责，避免因土壤和植被受到破坏而导致沙尘天气的情况发生。</w:t>
            </w:r>
          </w:p>
          <w:p>
            <w:pPr>
              <w:pStyle w:val="53"/>
              <w:adjustRightInd w:val="0"/>
              <w:snapToGrid w:val="0"/>
              <w:ind w:firstLine="480"/>
            </w:pPr>
            <w:r>
              <w:rPr>
                <w:rFonts w:hint="eastAsia"/>
              </w:rPr>
              <w:t>②建设项目主管部门应该积极主动，加强水土保护管理，对施工人员进行培训和教育，自觉保持水土，保护植被。严禁施工材料乱堆乱放，不随意乱采乱挖沿线植被。</w:t>
            </w:r>
          </w:p>
          <w:p>
            <w:pPr>
              <w:pStyle w:val="53"/>
              <w:adjustRightInd w:val="0"/>
              <w:snapToGrid w:val="0"/>
              <w:ind w:firstLine="480"/>
            </w:pPr>
            <w:r>
              <w:rPr>
                <w:rFonts w:hint="eastAsia"/>
              </w:rPr>
              <w:t>③加强施工期管理，加速建设进度，减少施工期对土壤的扰动；同时在施工期间，应提前制定严密的交通管理措施，预防水土流失情况的发生。</w:t>
            </w:r>
          </w:p>
          <w:p>
            <w:pPr>
              <w:pStyle w:val="53"/>
              <w:adjustRightInd w:val="0"/>
              <w:snapToGrid w:val="0"/>
              <w:ind w:firstLine="480"/>
            </w:pPr>
            <w:r>
              <w:rPr>
                <w:rFonts w:hint="eastAsia"/>
              </w:rPr>
              <w:t>④</w:t>
            </w:r>
            <w:r>
              <w:t>优化施工组织，缩短施工时间，避免在</w:t>
            </w:r>
            <w:r>
              <w:rPr>
                <w:rFonts w:hint="eastAsia"/>
              </w:rPr>
              <w:t>大</w:t>
            </w:r>
            <w:r>
              <w:t>风天气作业，以免造成土壤风蚀影响。</w:t>
            </w:r>
          </w:p>
          <w:p>
            <w:pPr>
              <w:pStyle w:val="53"/>
              <w:adjustRightInd w:val="0"/>
              <w:snapToGrid w:val="0"/>
              <w:ind w:firstLine="480"/>
            </w:pPr>
            <w:r>
              <w:t>⑤施工结束后对场地进行清理、平整并压实，场站实施场地硬化，避免水土流失影响。</w:t>
            </w:r>
          </w:p>
          <w:p>
            <w:pPr>
              <w:widowControl/>
              <w:snapToGrid w:val="0"/>
              <w:spacing w:line="500" w:lineRule="exact"/>
              <w:ind w:firstLine="480" w:firstLineChars="200"/>
              <w:rPr>
                <w:rFonts w:ascii="宋体" w:hAnsi="宋体" w:cs="宋体"/>
                <w:kern w:val="0"/>
                <w:sz w:val="24"/>
              </w:rPr>
            </w:pPr>
            <w:r>
              <w:rPr>
                <w:rFonts w:hint="eastAsia" w:ascii="宋体" w:hAnsi="宋体" w:cs="宋体"/>
                <w:kern w:val="0"/>
                <w:sz w:val="24"/>
              </w:rPr>
              <w:t>上述生态环境保护措施均为技术可行、经济合理、稳定可靠、便于实施的成熟措施，在油气田勘探过程中得到广泛应用。采取上述措施后，项目施工过程中对周围生态环境的破坏可降低至可接受水平。</w:t>
            </w:r>
          </w:p>
          <w:p>
            <w:pPr>
              <w:widowControl/>
              <w:snapToGrid w:val="0"/>
              <w:spacing w:line="500" w:lineRule="exact"/>
              <w:ind w:firstLine="482" w:firstLineChars="200"/>
              <w:rPr>
                <w:rFonts w:ascii="宋体" w:hAnsi="宋体" w:cs="宋体"/>
                <w:b/>
                <w:bCs/>
                <w:sz w:val="24"/>
              </w:rPr>
            </w:pPr>
            <w:bookmarkStart w:id="41" w:name="_Hlk116081516"/>
            <w:r>
              <w:rPr>
                <w:rFonts w:hint="eastAsia" w:ascii="宋体" w:hAnsi="宋体" w:cs="宋体"/>
                <w:b/>
                <w:bCs/>
                <w:sz w:val="24"/>
              </w:rPr>
              <w:t>2、水环境保护措施</w:t>
            </w:r>
          </w:p>
          <w:bookmarkEnd w:id="41"/>
          <w:p>
            <w:pPr>
              <w:widowControl/>
              <w:snapToGrid w:val="0"/>
              <w:spacing w:line="500" w:lineRule="exact"/>
              <w:ind w:firstLine="480" w:firstLineChars="200"/>
              <w:jc w:val="left"/>
              <w:rPr>
                <w:rFonts w:ascii="宋体" w:hAnsi="宋体" w:cs="宋体"/>
                <w:sz w:val="24"/>
              </w:rPr>
            </w:pPr>
            <w:r>
              <w:rPr>
                <w:rFonts w:hint="eastAsia" w:ascii="宋体" w:hAnsi="宋体" w:cs="宋体"/>
                <w:sz w:val="24"/>
              </w:rPr>
              <w:t>（1）废水处理措施</w:t>
            </w:r>
          </w:p>
          <w:p>
            <w:pPr>
              <w:widowControl/>
              <w:snapToGrid w:val="0"/>
              <w:spacing w:line="500" w:lineRule="exact"/>
              <w:ind w:firstLine="480" w:firstLineChars="200"/>
              <w:jc w:val="left"/>
              <w:rPr>
                <w:rFonts w:ascii="宋体" w:hAnsi="宋体" w:cs="宋体"/>
                <w:sz w:val="24"/>
              </w:rPr>
            </w:pPr>
            <w:r>
              <w:rPr>
                <w:rFonts w:hint="eastAsia" w:ascii="宋体" w:hAnsi="宋体" w:cs="宋体"/>
                <w:sz w:val="24"/>
              </w:rPr>
              <w:t>①试油废水</w:t>
            </w:r>
          </w:p>
          <w:p>
            <w:pPr>
              <w:keepNext/>
              <w:snapToGrid w:val="0"/>
              <w:spacing w:line="500" w:lineRule="exact"/>
              <w:ind w:firstLine="464" w:firstLineChars="200"/>
              <w:rPr>
                <w:rFonts w:ascii="宋体" w:hAnsi="宋体"/>
                <w:spacing w:val="-4"/>
                <w:sz w:val="24"/>
              </w:rPr>
            </w:pPr>
            <w:r>
              <w:rPr>
                <w:rFonts w:hint="eastAsia" w:ascii="宋体" w:hAnsi="宋体" w:cs="宋体"/>
                <w:bCs/>
                <w:spacing w:val="-4"/>
                <w:sz w:val="24"/>
                <w:lang w:bidi="zh-CN"/>
              </w:rPr>
              <w:t>试油期洗井废水全部排入井口方罐，集中送至彩南联合站采出水处理系统处理，该站采出水处理系统</w:t>
            </w:r>
            <w:r>
              <w:rPr>
                <w:rFonts w:ascii="宋体" w:hAnsi="宋体"/>
                <w:spacing w:val="-4"/>
                <w:sz w:val="24"/>
              </w:rPr>
              <w:t>始建于</w:t>
            </w:r>
            <w:r>
              <w:rPr>
                <w:rFonts w:hint="eastAsia" w:ascii="宋体" w:hAnsi="宋体"/>
                <w:spacing w:val="-4"/>
                <w:sz w:val="24"/>
              </w:rPr>
              <w:t>1994年</w:t>
            </w:r>
            <w:r>
              <w:rPr>
                <w:rFonts w:ascii="宋体" w:hAnsi="宋体"/>
                <w:spacing w:val="-4"/>
                <w:sz w:val="24"/>
              </w:rPr>
              <w:t>，</w:t>
            </w:r>
            <w:r>
              <w:rPr>
                <w:rFonts w:hint="eastAsia" w:ascii="宋体" w:hAnsi="宋体"/>
                <w:spacing w:val="-4"/>
                <w:sz w:val="24"/>
              </w:rPr>
              <w:t>相关环保手续见表1</w:t>
            </w:r>
            <w:r>
              <w:rPr>
                <w:rFonts w:ascii="宋体" w:hAnsi="宋体"/>
                <w:spacing w:val="-4"/>
                <w:sz w:val="24"/>
              </w:rPr>
              <w:t>7</w:t>
            </w:r>
            <w:r>
              <w:rPr>
                <w:rFonts w:hint="eastAsia" w:ascii="宋体" w:hAnsi="宋体"/>
                <w:spacing w:val="-4"/>
                <w:sz w:val="24"/>
              </w:rPr>
              <w:t>。</w:t>
            </w:r>
          </w:p>
          <w:p>
            <w:pPr>
              <w:pStyle w:val="6"/>
              <w:adjustRightInd w:val="0"/>
              <w:snapToGrid w:val="0"/>
              <w:rPr>
                <w:b/>
                <w:bCs/>
              </w:rPr>
            </w:pPr>
            <w:r>
              <w:rPr>
                <w:rFonts w:hint="eastAsia"/>
                <w:bCs/>
              </w:rPr>
              <w:t>表</w:t>
            </w:r>
            <w:r>
              <w:rPr>
                <w:bCs/>
              </w:rPr>
              <w:t xml:space="preserve">17   </w:t>
            </w:r>
            <w:r>
              <w:rPr>
                <w:rFonts w:hint="eastAsia"/>
                <w:bCs/>
              </w:rPr>
              <w:t xml:space="preserve"> 依托工程相关环保手续一览表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384"/>
              <w:gridCol w:w="2977"/>
              <w:gridCol w:w="23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555" w:type="pct"/>
                  <w:shd w:val="clear" w:color="auto" w:fill="auto"/>
                  <w:vAlign w:val="center"/>
                </w:tcPr>
                <w:p>
                  <w:pPr>
                    <w:spacing w:line="300" w:lineRule="exact"/>
                    <w:jc w:val="center"/>
                    <w:rPr>
                      <w:rFonts w:ascii="宋体" w:hAnsi="宋体"/>
                      <w:szCs w:val="21"/>
                    </w:rPr>
                  </w:pPr>
                  <w:r>
                    <w:rPr>
                      <w:rFonts w:hint="eastAsia" w:ascii="宋体" w:hAnsi="宋体"/>
                      <w:szCs w:val="21"/>
                    </w:rPr>
                    <w:t>项目名称</w:t>
                  </w:r>
                </w:p>
              </w:tc>
              <w:tc>
                <w:tcPr>
                  <w:tcW w:w="1941" w:type="pct"/>
                  <w:shd w:val="clear" w:color="auto" w:fill="auto"/>
                  <w:vAlign w:val="center"/>
                </w:tcPr>
                <w:p>
                  <w:pPr>
                    <w:spacing w:line="300" w:lineRule="exact"/>
                    <w:jc w:val="center"/>
                    <w:rPr>
                      <w:rFonts w:ascii="宋体" w:hAnsi="宋体"/>
                      <w:szCs w:val="21"/>
                    </w:rPr>
                  </w:pPr>
                  <w:r>
                    <w:rPr>
                      <w:rFonts w:hint="eastAsia" w:ascii="宋体" w:hAnsi="宋体"/>
                      <w:szCs w:val="21"/>
                    </w:rPr>
                    <w:t>环评批复机关及批复文号</w:t>
                  </w:r>
                </w:p>
              </w:tc>
              <w:tc>
                <w:tcPr>
                  <w:tcW w:w="1504" w:type="pct"/>
                  <w:shd w:val="clear" w:color="auto" w:fill="auto"/>
                  <w:vAlign w:val="center"/>
                </w:tcPr>
                <w:p>
                  <w:pPr>
                    <w:spacing w:line="300" w:lineRule="exact"/>
                    <w:jc w:val="center"/>
                    <w:rPr>
                      <w:rFonts w:ascii="宋体" w:hAnsi="宋体"/>
                      <w:szCs w:val="21"/>
                    </w:rPr>
                  </w:pPr>
                  <w:r>
                    <w:rPr>
                      <w:rFonts w:hint="eastAsia" w:ascii="宋体" w:hAnsi="宋体"/>
                      <w:szCs w:val="21"/>
                    </w:rPr>
                    <w:t>环境竣工验收情况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555" w:type="pct"/>
                  <w:shd w:val="clear" w:color="auto" w:fill="auto"/>
                  <w:vAlign w:val="center"/>
                </w:tcPr>
                <w:p>
                  <w:pPr>
                    <w:spacing w:line="300" w:lineRule="exact"/>
                    <w:jc w:val="center"/>
                    <w:rPr>
                      <w:rFonts w:ascii="宋体" w:hAnsi="宋体"/>
                      <w:szCs w:val="21"/>
                    </w:rPr>
                  </w:pPr>
                  <w:r>
                    <w:rPr>
                      <w:rFonts w:hint="eastAsia" w:ascii="宋体" w:hAnsi="宋体"/>
                      <w:lang w:bidi="ar"/>
                    </w:rPr>
                    <w:t>中国石油新疆油田分公司（彩南油田作业区）彩南污水处理系统改扩建工程环境影响报告书</w:t>
                  </w:r>
                </w:p>
              </w:tc>
              <w:tc>
                <w:tcPr>
                  <w:tcW w:w="1941" w:type="pct"/>
                  <w:shd w:val="clear" w:color="auto" w:fill="auto"/>
                  <w:vAlign w:val="center"/>
                </w:tcPr>
                <w:p>
                  <w:pPr>
                    <w:spacing w:line="300" w:lineRule="exact"/>
                    <w:jc w:val="center"/>
                    <w:rPr>
                      <w:rFonts w:ascii="宋体" w:hAnsi="宋体"/>
                      <w:szCs w:val="21"/>
                    </w:rPr>
                  </w:pPr>
                  <w:r>
                    <w:rPr>
                      <w:rFonts w:hint="eastAsia" w:ascii="宋体" w:hAnsi="宋体" w:cs="宋体"/>
                    </w:rPr>
                    <w:t>原新疆维吾尔自治区环境保护厅</w:t>
                  </w:r>
                  <w:r>
                    <w:rPr>
                      <w:rFonts w:hint="eastAsia" w:ascii="宋体" w:hAnsi="宋体"/>
                      <w:lang w:bidi="ar"/>
                    </w:rPr>
                    <w:t>新环函</w:t>
                  </w:r>
                  <w:bookmarkStart w:id="42" w:name="_Hlk115964629"/>
                  <w:r>
                    <w:rPr>
                      <w:rFonts w:hint="eastAsia" w:ascii="宋体" w:hAnsi="宋体" w:cs="宋体"/>
                    </w:rPr>
                    <w:t>〔</w:t>
                  </w:r>
                  <w:r>
                    <w:rPr>
                      <w:rFonts w:ascii="宋体" w:hAnsi="宋体"/>
                      <w:lang w:bidi="ar"/>
                    </w:rPr>
                    <w:t>2014</w:t>
                  </w:r>
                  <w:r>
                    <w:rPr>
                      <w:rFonts w:hint="eastAsia" w:ascii="宋体" w:hAnsi="宋体" w:cs="宋体"/>
                    </w:rPr>
                    <w:t>〕</w:t>
                  </w:r>
                  <w:bookmarkEnd w:id="42"/>
                  <w:r>
                    <w:rPr>
                      <w:rFonts w:ascii="宋体" w:hAnsi="宋体"/>
                      <w:lang w:bidi="ar"/>
                    </w:rPr>
                    <w:t>880</w:t>
                  </w:r>
                  <w:r>
                    <w:rPr>
                      <w:rFonts w:hint="eastAsia" w:ascii="宋体" w:hAnsi="宋体"/>
                      <w:lang w:bidi="ar"/>
                    </w:rPr>
                    <w:t>号</w:t>
                  </w:r>
                </w:p>
              </w:tc>
              <w:tc>
                <w:tcPr>
                  <w:tcW w:w="1504" w:type="pct"/>
                  <w:shd w:val="clear" w:color="auto" w:fill="auto"/>
                  <w:vAlign w:val="center"/>
                </w:tcPr>
                <w:p>
                  <w:pPr>
                    <w:pStyle w:val="44"/>
                    <w:adjustRightInd w:val="0"/>
                    <w:snapToGrid w:val="0"/>
                    <w:rPr>
                      <w:rFonts w:cs="Arial"/>
                      <w:lang w:bidi="ar"/>
                    </w:rPr>
                  </w:pPr>
                  <w:r>
                    <w:rPr>
                      <w:rFonts w:hint="eastAsia" w:cs="Arial"/>
                      <w:lang w:bidi="ar"/>
                    </w:rPr>
                    <w:t>原昌吉州环境保护局</w:t>
                  </w:r>
                </w:p>
                <w:p>
                  <w:pPr>
                    <w:spacing w:line="300" w:lineRule="exact"/>
                    <w:jc w:val="center"/>
                    <w:rPr>
                      <w:rFonts w:ascii="宋体" w:hAnsi="宋体"/>
                      <w:szCs w:val="21"/>
                    </w:rPr>
                  </w:pPr>
                  <w:r>
                    <w:rPr>
                      <w:rFonts w:hint="eastAsia" w:ascii="宋体" w:hAnsi="宋体" w:cs="Arial"/>
                      <w:lang w:bidi="ar"/>
                    </w:rPr>
                    <w:t>昌州环评</w:t>
                  </w:r>
                  <w:r>
                    <w:rPr>
                      <w:rFonts w:hint="eastAsia" w:ascii="宋体" w:hAnsi="宋体" w:cs="宋体"/>
                    </w:rPr>
                    <w:t>〔</w:t>
                  </w:r>
                  <w:r>
                    <w:rPr>
                      <w:rFonts w:ascii="宋体" w:hAnsi="宋体" w:cs="Arial"/>
                      <w:lang w:bidi="ar"/>
                    </w:rPr>
                    <w:t>2017</w:t>
                  </w:r>
                  <w:r>
                    <w:rPr>
                      <w:rFonts w:hint="eastAsia" w:ascii="宋体" w:hAnsi="宋体" w:cs="宋体"/>
                    </w:rPr>
                    <w:t>〕</w:t>
                  </w:r>
                  <w:r>
                    <w:rPr>
                      <w:rFonts w:ascii="宋体" w:hAnsi="宋体" w:cs="Arial"/>
                      <w:lang w:bidi="ar"/>
                    </w:rPr>
                    <w:t>66</w:t>
                  </w:r>
                  <w:r>
                    <w:rPr>
                      <w:rFonts w:hint="eastAsia" w:ascii="宋体" w:hAnsi="宋体" w:cs="Arial"/>
                      <w:lang w:bidi="ar"/>
                    </w:rPr>
                    <w:t>号</w:t>
                  </w:r>
                </w:p>
              </w:tc>
            </w:tr>
          </w:tbl>
          <w:p>
            <w:pPr>
              <w:keepNext/>
              <w:snapToGrid w:val="0"/>
              <w:spacing w:line="500" w:lineRule="exact"/>
              <w:ind w:firstLine="480" w:firstLineChars="200"/>
              <w:rPr>
                <w:rFonts w:ascii="宋体" w:hAnsi="宋体" w:cs="宋体"/>
                <w:spacing w:val="10"/>
                <w:sz w:val="24"/>
              </w:rPr>
            </w:pPr>
            <w:r>
              <w:rPr>
                <w:rFonts w:hint="eastAsia" w:ascii="宋体" w:hAnsi="宋体"/>
                <w:sz w:val="24"/>
              </w:rPr>
              <w:t>彩南联合站采出水处理系统设计</w:t>
            </w:r>
            <w:r>
              <w:rPr>
                <w:rFonts w:ascii="宋体" w:hAnsi="宋体"/>
                <w:sz w:val="24"/>
              </w:rPr>
              <w:t>处理能力为</w:t>
            </w:r>
            <w:r>
              <w:rPr>
                <w:rFonts w:hint="eastAsia" w:ascii="宋体" w:hAnsi="宋体"/>
                <w:sz w:val="24"/>
              </w:rPr>
              <w:t>1.5</w:t>
            </w:r>
            <w:r>
              <w:rPr>
                <w:rFonts w:ascii="宋体" w:hAnsi="宋体"/>
                <w:sz w:val="24"/>
              </w:rPr>
              <w:t>×10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r>
              <w:rPr>
                <w:rFonts w:ascii="宋体" w:hAnsi="宋体"/>
                <w:sz w:val="24"/>
              </w:rPr>
              <w:t>采用</w:t>
            </w:r>
            <w:r>
              <w:rPr>
                <w:rFonts w:hint="eastAsia" w:ascii="宋体" w:hAnsi="宋体"/>
                <w:sz w:val="24"/>
              </w:rPr>
              <w:t>“</w:t>
            </w:r>
            <w:r>
              <w:rPr>
                <w:rFonts w:ascii="宋体" w:hAnsi="宋体"/>
                <w:sz w:val="24"/>
              </w:rPr>
              <w:t>离子调整旋流反应技术</w:t>
            </w:r>
            <w:r>
              <w:rPr>
                <w:rFonts w:hint="eastAsia" w:ascii="宋体" w:hAnsi="宋体"/>
                <w:sz w:val="24"/>
              </w:rPr>
              <w:t>”</w:t>
            </w:r>
            <w:r>
              <w:rPr>
                <w:rFonts w:ascii="宋体" w:hAnsi="宋体"/>
                <w:sz w:val="24"/>
              </w:rPr>
              <w:t>为核心的</w:t>
            </w:r>
            <w:r>
              <w:rPr>
                <w:rFonts w:hint="eastAsia" w:ascii="宋体" w:hAnsi="宋体"/>
                <w:sz w:val="24"/>
              </w:rPr>
              <w:t>“</w:t>
            </w:r>
            <w:r>
              <w:rPr>
                <w:rFonts w:ascii="宋体" w:hAnsi="宋体"/>
                <w:sz w:val="24"/>
              </w:rPr>
              <w:t>重力除油旋流混凝反应+斜板沉降+压力过滤工艺</w:t>
            </w:r>
            <w:r>
              <w:rPr>
                <w:rFonts w:hint="eastAsia" w:ascii="宋体" w:hAnsi="宋体"/>
                <w:sz w:val="24"/>
              </w:rPr>
              <w:t>”</w:t>
            </w:r>
            <w:r>
              <w:rPr>
                <w:rFonts w:ascii="宋体" w:hAnsi="宋体"/>
                <w:sz w:val="24"/>
              </w:rPr>
              <w:t>，增加</w:t>
            </w:r>
            <w:r>
              <w:rPr>
                <w:rFonts w:hint="eastAsia" w:ascii="宋体" w:hAnsi="宋体"/>
                <w:sz w:val="24"/>
              </w:rPr>
              <w:t>“</w:t>
            </w:r>
            <w:r>
              <w:rPr>
                <w:rFonts w:ascii="宋体" w:hAnsi="宋体"/>
                <w:sz w:val="24"/>
              </w:rPr>
              <w:t>一级双滤料+二级纤</w:t>
            </w:r>
            <w:r>
              <w:rPr>
                <w:rFonts w:hint="eastAsia" w:ascii="宋体" w:hAnsi="宋体" w:cs="宋体"/>
                <w:sz w:val="24"/>
              </w:rPr>
              <w:t>维束”过滤器过滤，过滤后出口水质满足相应的标准后进入注水系统回注地层。目前该系统实际处理能力为8500m</w:t>
            </w:r>
            <w:r>
              <w:rPr>
                <w:rFonts w:hint="eastAsia" w:ascii="宋体" w:hAnsi="宋体" w:cs="宋体"/>
                <w:sz w:val="24"/>
                <w:vertAlign w:val="superscript"/>
              </w:rPr>
              <w:t>3</w:t>
            </w:r>
            <w:r>
              <w:rPr>
                <w:rFonts w:hint="eastAsia" w:ascii="宋体" w:hAnsi="宋体" w:cs="宋体"/>
                <w:sz w:val="24"/>
              </w:rPr>
              <w:t>/d，富余处理量为6500m</w:t>
            </w:r>
            <w:r>
              <w:rPr>
                <w:rFonts w:hint="eastAsia" w:ascii="宋体" w:hAnsi="宋体" w:cs="宋体"/>
                <w:sz w:val="24"/>
                <w:vertAlign w:val="superscript"/>
              </w:rPr>
              <w:t>3</w:t>
            </w:r>
            <w:r>
              <w:rPr>
                <w:rFonts w:hint="eastAsia" w:ascii="宋体" w:hAnsi="宋体" w:cs="宋体"/>
                <w:sz w:val="24"/>
              </w:rPr>
              <w:t>/d，</w:t>
            </w:r>
            <w:r>
              <w:rPr>
                <w:rFonts w:hint="eastAsia" w:ascii="宋体" w:hAnsi="宋体" w:cs="宋体"/>
                <w:bCs/>
                <w:sz w:val="24"/>
                <w:lang w:bidi="zh-CN"/>
              </w:rPr>
              <w:t>本项目洗井废水产生总量约为3</w:t>
            </w:r>
            <w:r>
              <w:rPr>
                <w:rFonts w:ascii="宋体" w:hAnsi="宋体" w:cs="宋体"/>
                <w:bCs/>
                <w:sz w:val="24"/>
                <w:lang w:bidi="zh-CN"/>
              </w:rPr>
              <w:t>00</w:t>
            </w:r>
            <w:r>
              <w:rPr>
                <w:rFonts w:hint="eastAsia" w:ascii="宋体" w:hAnsi="宋体" w:cs="宋体"/>
                <w:bCs/>
                <w:sz w:val="24"/>
                <w:lang w:bidi="zh-CN"/>
              </w:rPr>
              <w:t>m</w:t>
            </w:r>
            <w:r>
              <w:rPr>
                <w:rFonts w:hint="eastAsia" w:ascii="宋体" w:hAnsi="宋体" w:cs="宋体"/>
                <w:bCs/>
                <w:sz w:val="24"/>
                <w:vertAlign w:val="superscript"/>
                <w:lang w:bidi="zh-CN"/>
              </w:rPr>
              <w:t>3</w:t>
            </w:r>
            <w:r>
              <w:rPr>
                <w:rFonts w:hint="eastAsia" w:ascii="宋体" w:hAnsi="宋体" w:cs="宋体"/>
                <w:bCs/>
                <w:sz w:val="24"/>
                <w:lang w:bidi="zh-CN"/>
              </w:rPr>
              <w:t>、压裂返排液约为</w:t>
            </w:r>
            <w:r>
              <w:rPr>
                <w:rFonts w:ascii="宋体" w:hAnsi="宋体" w:cs="宋体"/>
                <w:bCs/>
                <w:sz w:val="24"/>
                <w:lang w:bidi="zh-CN"/>
              </w:rPr>
              <w:t>8000</w:t>
            </w:r>
            <w:r>
              <w:rPr>
                <w:rFonts w:hint="eastAsia" w:ascii="宋体" w:hAnsi="宋体" w:cs="宋体"/>
                <w:bCs/>
                <w:sz w:val="24"/>
                <w:lang w:bidi="zh-CN"/>
              </w:rPr>
              <w:t>m</w:t>
            </w:r>
            <w:r>
              <w:rPr>
                <w:rFonts w:hint="eastAsia" w:ascii="宋体" w:hAnsi="宋体" w:cs="宋体"/>
                <w:bCs/>
                <w:sz w:val="24"/>
                <w:vertAlign w:val="superscript"/>
                <w:lang w:bidi="zh-CN"/>
              </w:rPr>
              <w:t>3</w:t>
            </w:r>
            <w:r>
              <w:rPr>
                <w:rFonts w:hint="eastAsia" w:ascii="宋体" w:hAnsi="宋体" w:cs="宋体"/>
                <w:bCs/>
                <w:sz w:val="24"/>
                <w:lang w:bidi="zh-CN"/>
              </w:rPr>
              <w:t>，试油期9</w:t>
            </w:r>
            <w:r>
              <w:rPr>
                <w:rFonts w:ascii="宋体" w:hAnsi="宋体" w:cs="宋体"/>
                <w:bCs/>
                <w:sz w:val="24"/>
                <w:lang w:bidi="zh-CN"/>
              </w:rPr>
              <w:t>0</w:t>
            </w:r>
            <w:r>
              <w:rPr>
                <w:rFonts w:hint="eastAsia" w:ascii="宋体" w:hAnsi="宋体" w:cs="宋体"/>
                <w:bCs/>
                <w:sz w:val="24"/>
                <w:lang w:bidi="zh-CN"/>
              </w:rPr>
              <w:t>天废水产生量约9</w:t>
            </w:r>
            <w:r>
              <w:rPr>
                <w:rFonts w:ascii="宋体" w:hAnsi="宋体" w:cs="宋体"/>
                <w:bCs/>
                <w:sz w:val="24"/>
                <w:lang w:bidi="zh-CN"/>
              </w:rPr>
              <w:t>2.2</w:t>
            </w:r>
            <w:r>
              <w:rPr>
                <w:rFonts w:hint="eastAsia" w:ascii="宋体" w:hAnsi="宋体" w:cs="宋体"/>
                <w:sz w:val="24"/>
              </w:rPr>
              <w:t>m</w:t>
            </w:r>
            <w:r>
              <w:rPr>
                <w:rFonts w:hint="eastAsia" w:ascii="宋体" w:hAnsi="宋体" w:cs="宋体"/>
                <w:sz w:val="24"/>
                <w:vertAlign w:val="superscript"/>
              </w:rPr>
              <w:t>3</w:t>
            </w:r>
            <w:r>
              <w:rPr>
                <w:rFonts w:hint="eastAsia" w:ascii="宋体" w:hAnsi="宋体" w:cs="宋体"/>
                <w:sz w:val="24"/>
              </w:rPr>
              <w:t>/d，</w:t>
            </w:r>
            <w:r>
              <w:rPr>
                <w:rFonts w:hint="eastAsia" w:ascii="宋体" w:hAnsi="宋体" w:cs="宋体"/>
                <w:bCs/>
                <w:sz w:val="24"/>
                <w:lang w:bidi="zh-CN"/>
              </w:rPr>
              <w:t>相较于该站污水富余处理能力占比较小，可满足处理需求，依托可行。</w:t>
            </w:r>
          </w:p>
          <w:p>
            <w:pPr>
              <w:pStyle w:val="57"/>
              <w:spacing w:line="500" w:lineRule="exact"/>
              <w:ind w:firstLine="480" w:firstLineChars="200"/>
              <w:rPr>
                <w:rFonts w:ascii="宋体"/>
                <w:spacing w:val="0"/>
                <w:kern w:val="2"/>
              </w:rPr>
            </w:pPr>
            <w:bookmarkStart w:id="43" w:name="_Hlk105414311"/>
            <w:r>
              <w:rPr>
                <w:rFonts w:hint="eastAsia" w:ascii="宋体"/>
                <w:spacing w:val="0"/>
                <w:kern w:val="2"/>
              </w:rPr>
              <w:t>②生活污水</w:t>
            </w:r>
            <w:bookmarkEnd w:id="43"/>
          </w:p>
          <w:p>
            <w:pPr>
              <w:widowControl/>
              <w:tabs>
                <w:tab w:val="left" w:pos="4584"/>
              </w:tabs>
              <w:adjustRightInd w:val="0"/>
              <w:snapToGrid w:val="0"/>
              <w:spacing w:line="500" w:lineRule="exact"/>
              <w:ind w:firstLine="480" w:firstLineChars="200"/>
              <w:jc w:val="left"/>
              <w:rPr>
                <w:rFonts w:ascii="宋体" w:hAnsi="宋体"/>
                <w:kern w:val="0"/>
                <w:sz w:val="24"/>
              </w:rPr>
            </w:pPr>
            <w:r>
              <w:rPr>
                <w:rFonts w:hint="eastAsia" w:ascii="宋体" w:hAnsi="宋体"/>
                <w:sz w:val="24"/>
              </w:rPr>
              <w:t>生活污水产生量约</w:t>
            </w:r>
            <w:r>
              <w:rPr>
                <w:rFonts w:ascii="宋体" w:hAnsi="宋体"/>
                <w:sz w:val="24"/>
              </w:rPr>
              <w:t>28m</w:t>
            </w:r>
            <w:r>
              <w:rPr>
                <w:rFonts w:ascii="宋体" w:hAnsi="宋体"/>
                <w:sz w:val="24"/>
                <w:vertAlign w:val="superscript"/>
              </w:rPr>
              <w:t>3</w:t>
            </w:r>
            <w:r>
              <w:rPr>
                <w:rFonts w:hint="eastAsia" w:ascii="宋体" w:hAnsi="宋体"/>
                <w:sz w:val="24"/>
              </w:rPr>
              <w:t>，施工期生活污水排入生活营地临时生活污水储集防渗池（容积不小于2</w:t>
            </w:r>
            <w:r>
              <w:rPr>
                <w:rFonts w:ascii="宋体" w:hAnsi="宋体"/>
                <w:sz w:val="24"/>
              </w:rPr>
              <w:t>8</w:t>
            </w:r>
            <w:r>
              <w:rPr>
                <w:rFonts w:hint="eastAsia" w:ascii="宋体" w:hAnsi="宋体"/>
                <w:sz w:val="24"/>
              </w:rPr>
              <w:t>m</w:t>
            </w:r>
            <w:r>
              <w:rPr>
                <w:rFonts w:hint="eastAsia" w:ascii="宋体" w:hAnsi="宋体"/>
                <w:sz w:val="24"/>
                <w:vertAlign w:val="superscript"/>
              </w:rPr>
              <w:t>3</w:t>
            </w:r>
            <w:r>
              <w:rPr>
                <w:rFonts w:hint="eastAsia" w:ascii="宋体" w:hAnsi="宋体"/>
                <w:sz w:val="24"/>
              </w:rPr>
              <w:t>），采用HDPE防渗膜防渗，定期由吸污车将池中的生活污水清运至</w:t>
            </w:r>
            <w:r>
              <w:rPr>
                <w:rFonts w:hint="eastAsia" w:ascii="宋体" w:hAnsi="宋体"/>
                <w:kern w:val="0"/>
                <w:sz w:val="24"/>
              </w:rPr>
              <w:t>吉木萨尔县污水处理厂处理</w:t>
            </w:r>
            <w:r>
              <w:rPr>
                <w:rFonts w:hint="eastAsia" w:ascii="宋体" w:hAnsi="宋体"/>
                <w:sz w:val="24"/>
              </w:rPr>
              <w:t>，</w:t>
            </w:r>
            <w:r>
              <w:rPr>
                <w:rFonts w:hint="eastAsia"/>
                <w:sz w:val="24"/>
              </w:rPr>
              <w:t>完井后撤除防渗膜对防渗池进行填埋，撤出的防渗膜有钻井队负责回收处理</w:t>
            </w:r>
            <w:r>
              <w:rPr>
                <w:rFonts w:hint="eastAsia" w:ascii="宋体" w:hAnsi="宋体"/>
                <w:kern w:val="0"/>
                <w:sz w:val="24"/>
              </w:rPr>
              <w:t>。</w:t>
            </w:r>
          </w:p>
          <w:p>
            <w:pPr>
              <w:widowControl/>
              <w:snapToGrid w:val="0"/>
              <w:spacing w:line="500" w:lineRule="exact"/>
              <w:ind w:firstLine="480" w:firstLineChars="200"/>
              <w:rPr>
                <w:rFonts w:ascii="宋体" w:hAnsi="宋体" w:cs="宋体"/>
                <w:sz w:val="24"/>
              </w:rPr>
            </w:pPr>
            <w:r>
              <w:rPr>
                <w:rFonts w:hint="eastAsia" w:ascii="宋体" w:hAnsi="宋体" w:cs="宋体"/>
                <w:kern w:val="0"/>
                <w:sz w:val="24"/>
              </w:rPr>
              <w:t>吉木萨尔县污水处理厂位于吉木萨尔县城东北15km处（张家庄子村北侧500m），该厂环境影响报告于2015年6月1日通过原昌吉回族自治州环境保护局审批（昌州环评〔2015〕48号），并于2018年9月14日通过了竣工环保验收。污水厂设计污水处理规模为3万m</w:t>
            </w:r>
            <w:r>
              <w:rPr>
                <w:rFonts w:hint="eastAsia" w:ascii="宋体" w:hAnsi="宋体" w:cs="宋体"/>
                <w:kern w:val="0"/>
                <w:sz w:val="24"/>
                <w:vertAlign w:val="superscript"/>
              </w:rPr>
              <w:t>3</w:t>
            </w:r>
            <w:r>
              <w:rPr>
                <w:rFonts w:hint="eastAsia" w:ascii="宋体" w:hAnsi="宋体" w:cs="宋体"/>
                <w:kern w:val="0"/>
                <w:sz w:val="24"/>
              </w:rPr>
              <w:t>/d，实际处理规模为1万m</w:t>
            </w:r>
            <w:r>
              <w:rPr>
                <w:rFonts w:hint="eastAsia" w:ascii="宋体" w:hAnsi="宋体" w:cs="宋体"/>
                <w:kern w:val="0"/>
                <w:sz w:val="24"/>
                <w:vertAlign w:val="superscript"/>
              </w:rPr>
              <w:t>3</w:t>
            </w:r>
            <w:r>
              <w:rPr>
                <w:rFonts w:hint="eastAsia" w:ascii="宋体" w:hAnsi="宋体" w:cs="宋体"/>
                <w:kern w:val="0"/>
                <w:sz w:val="24"/>
              </w:rPr>
              <w:t>/d，采用“强化脱氮改良A</w:t>
            </w:r>
            <w:r>
              <w:rPr>
                <w:rFonts w:hint="eastAsia" w:ascii="宋体" w:hAnsi="宋体" w:cs="宋体"/>
                <w:kern w:val="0"/>
                <w:sz w:val="24"/>
                <w:vertAlign w:val="superscript"/>
              </w:rPr>
              <w:t>2</w:t>
            </w:r>
            <w:r>
              <w:rPr>
                <w:rFonts w:hint="eastAsia" w:ascii="宋体" w:hAnsi="宋体" w:cs="宋体"/>
                <w:kern w:val="0"/>
                <w:sz w:val="24"/>
              </w:rPr>
              <w:t>/O+絮凝沉淀滤布滤池工艺”，目前正常运行，该厂可处理服务范围内的生活污水和工业企业污水，出水符合《城镇污水处理厂污染物排放标准》（GB18918-2002）表1中的一级A标准的要求后再次利用。本次生活污水产生量约</w:t>
            </w:r>
            <w:r>
              <w:rPr>
                <w:rFonts w:ascii="宋体" w:hAnsi="宋体" w:cs="宋体"/>
                <w:kern w:val="0"/>
                <w:sz w:val="24"/>
              </w:rPr>
              <w:t>28</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w:t>
            </w:r>
            <w:r>
              <w:rPr>
                <w:rFonts w:hint="eastAsia" w:ascii="宋体" w:hAnsi="宋体" w:cs="宋体"/>
                <w:sz w:val="24"/>
              </w:rPr>
              <w:t>该污水处理厂富余处理能力可以满足处理需求，依托可行。</w:t>
            </w:r>
          </w:p>
          <w:p>
            <w:pPr>
              <w:widowControl/>
              <w:tabs>
                <w:tab w:val="left" w:pos="4584"/>
              </w:tabs>
              <w:adjustRightInd w:val="0"/>
              <w:snapToGrid w:val="0"/>
              <w:spacing w:line="500" w:lineRule="exact"/>
              <w:ind w:firstLine="480" w:firstLineChars="200"/>
              <w:rPr>
                <w:rFonts w:ascii="宋体" w:hAnsi="宋体" w:cs="宋体"/>
                <w:sz w:val="24"/>
              </w:rPr>
            </w:pPr>
            <w:bookmarkStart w:id="44" w:name="_Hlk116081528"/>
            <w:r>
              <w:rPr>
                <w:rFonts w:hint="eastAsia" w:ascii="宋体" w:hAnsi="宋体" w:cs="宋体"/>
                <w:sz w:val="24"/>
              </w:rPr>
              <w:t>（2）地下水含水层防护措施</w:t>
            </w:r>
          </w:p>
          <w:bookmarkEnd w:id="44"/>
          <w:p>
            <w:pPr>
              <w:pStyle w:val="46"/>
              <w:wordWrap w:val="0"/>
              <w:ind w:firstLine="480"/>
              <w:rPr>
                <w:rFonts w:cs="宋体"/>
              </w:rPr>
            </w:pPr>
            <w:r>
              <w:rPr>
                <w:rFonts w:hint="eastAsia" w:cs="宋体"/>
              </w:rPr>
              <w:t>井场内的柴油机、发电机房、材料堆场、柴油罐、水基岩屑、不落地设备方罐属于一般防渗区，采用HDPE防渗膜进行防渗，其防渗系数不低于</w:t>
            </w:r>
            <w:bookmarkStart w:id="45" w:name="_Hlk77034037"/>
            <w:r>
              <w:rPr>
                <w:rFonts w:hint="eastAsia" w:cs="宋体"/>
              </w:rPr>
              <w:t>1×10</w:t>
            </w:r>
            <w:r>
              <w:rPr>
                <w:rFonts w:hint="eastAsia" w:cs="宋体"/>
                <w:vertAlign w:val="superscript"/>
              </w:rPr>
              <w:t>-7</w:t>
            </w:r>
            <w:r>
              <w:rPr>
                <w:rFonts w:hint="eastAsia" w:cs="宋体"/>
              </w:rPr>
              <w:t>cm/s</w:t>
            </w:r>
            <w:bookmarkEnd w:id="45"/>
            <w:r>
              <w:rPr>
                <w:rFonts w:hint="eastAsia" w:cs="宋体"/>
              </w:rPr>
              <w:t>，其中水基岩屑方罐周边建设</w:t>
            </w:r>
            <w:bookmarkStart w:id="46" w:name="_Hlk77034168"/>
            <w:r>
              <w:rPr>
                <w:rFonts w:hint="eastAsia" w:cs="宋体"/>
              </w:rPr>
              <w:t>防溢流围堰</w:t>
            </w:r>
            <w:bookmarkEnd w:id="46"/>
            <w:r>
              <w:rPr>
                <w:rFonts w:hint="eastAsia" w:cs="宋体"/>
              </w:rPr>
              <w:t>，可对土壤及包气带起到良好的防护。</w:t>
            </w:r>
            <w:r>
              <w:rPr>
                <w:rFonts w:hint="eastAsia"/>
              </w:rPr>
              <w:t>事故状态下紧急开挖的应急放喷池以及井口</w:t>
            </w:r>
            <w:r>
              <w:rPr>
                <w:rFonts w:hint="eastAsia" w:cs="宋体"/>
              </w:rPr>
              <w:t>属于重点防渗区敷设</w:t>
            </w:r>
            <w:bookmarkStart w:id="47" w:name="_Hlk77034088"/>
            <w:r>
              <w:rPr>
                <w:rFonts w:hint="eastAsia" w:cs="宋体"/>
              </w:rPr>
              <w:t>防渗系数不低于1×10</w:t>
            </w:r>
            <w:r>
              <w:rPr>
                <w:rFonts w:hint="eastAsia" w:cs="宋体"/>
                <w:vertAlign w:val="superscript"/>
              </w:rPr>
              <w:t>-</w:t>
            </w:r>
            <w:r>
              <w:rPr>
                <w:rFonts w:cs="宋体"/>
                <w:vertAlign w:val="superscript"/>
              </w:rPr>
              <w:t>7</w:t>
            </w:r>
            <w:r>
              <w:rPr>
                <w:rFonts w:hint="eastAsia" w:cs="宋体"/>
              </w:rPr>
              <w:t>cm/s</w:t>
            </w:r>
            <w:bookmarkEnd w:id="47"/>
            <w:r>
              <w:rPr>
                <w:rFonts w:hint="eastAsia" w:cs="宋体"/>
              </w:rPr>
              <w:t>防渗膜，四周设围堰。</w:t>
            </w:r>
          </w:p>
          <w:p>
            <w:pPr>
              <w:pStyle w:val="46"/>
              <w:ind w:firstLine="476"/>
              <w:rPr>
                <w:rFonts w:cs="宋体"/>
                <w:spacing w:val="-2"/>
              </w:rPr>
            </w:pPr>
            <w:r>
              <w:rPr>
                <w:rFonts w:hint="eastAsia" w:cs="宋体"/>
                <w:spacing w:val="-2"/>
              </w:rPr>
              <w:t>钻井时采用套管与地层隔离开，并在套管与地层之间注入水泥进行固井，水泥浆返至地面，</w:t>
            </w:r>
            <w:r>
              <w:rPr>
                <w:rFonts w:hint="eastAsia" w:cs="宋体"/>
                <w:spacing w:val="-2"/>
                <w:kern w:val="2"/>
              </w:rPr>
              <w:t>封隔疏松地层和水层。项目区含水层埋深在50m～150m，一开表层套管的下土深度为500m，超出本区域地下水含水层深度，有效隔断了油井与含水层之间的联系，可保护地下水环境不受污染。</w:t>
            </w:r>
          </w:p>
          <w:p>
            <w:pPr>
              <w:pStyle w:val="46"/>
              <w:ind w:firstLine="480"/>
              <w:rPr>
                <w:rFonts w:cs="宋体"/>
              </w:rPr>
            </w:pPr>
            <w:r>
              <w:rPr>
                <w:rFonts w:hint="eastAsia" w:cs="宋体"/>
              </w:rPr>
              <w:t>综上所述，执行以上保护措施在正常状况下，不会对地下水环境产生不利影响。</w:t>
            </w:r>
          </w:p>
          <w:p>
            <w:pPr>
              <w:pStyle w:val="46"/>
              <w:ind w:firstLine="482"/>
              <w:rPr>
                <w:b/>
                <w:bCs/>
              </w:rPr>
            </w:pPr>
            <w:r>
              <w:rPr>
                <w:rFonts w:hint="eastAsia"/>
                <w:b/>
                <w:bCs/>
              </w:rPr>
              <w:t>3、大气污染防治措施</w:t>
            </w:r>
          </w:p>
          <w:p>
            <w:pPr>
              <w:pStyle w:val="46"/>
              <w:ind w:firstLine="480"/>
            </w:pPr>
            <w:r>
              <w:rPr>
                <w:rFonts w:hint="eastAsia"/>
              </w:rPr>
              <w:t>钻试过程中需要采取以下大气污染防治措施：</w:t>
            </w:r>
          </w:p>
          <w:p>
            <w:pPr>
              <w:pStyle w:val="46"/>
              <w:ind w:firstLine="480"/>
            </w:pPr>
            <w:r>
              <w:rPr>
                <w:rFonts w:hint="eastAsia"/>
              </w:rPr>
              <w:t>（1）使用符合国家标准的柴油，加强机械、车辆的维护。</w:t>
            </w:r>
          </w:p>
          <w:p>
            <w:pPr>
              <w:pStyle w:val="46"/>
              <w:ind w:firstLine="480"/>
            </w:pPr>
            <w:r>
              <w:rPr>
                <w:rFonts w:hint="eastAsia"/>
              </w:rPr>
              <w:t>（2）施工现场运输车辆应低速慢行，不得超载，并采取密闭或遮盖措施；车辆沿道路行驶，不得随意开设便道，控制车速；对易起尘物料进行遮盖。</w:t>
            </w:r>
          </w:p>
          <w:p>
            <w:pPr>
              <w:pStyle w:val="46"/>
              <w:ind w:firstLine="480"/>
            </w:pPr>
            <w:r>
              <w:rPr>
                <w:rFonts w:hint="eastAsia"/>
              </w:rPr>
              <w:t>（3）</w:t>
            </w:r>
            <w:r>
              <w:rPr>
                <w:rFonts w:hint="eastAsia"/>
                <w:szCs w:val="21"/>
              </w:rPr>
              <w:t>试油期产生的伴生气量不稳定，无法进行回收利用，经排气管线燃烧后排放</w:t>
            </w:r>
            <w:r>
              <w:rPr>
                <w:rFonts w:hint="eastAsia"/>
              </w:rPr>
              <w:t>，定期检查燃烧设备，加强燃烧设备的运营维护，确保伴生气充分燃烧，减少污染物的排放，以减少对所在区域大气环境质量的不良影响。</w:t>
            </w:r>
          </w:p>
          <w:p>
            <w:pPr>
              <w:pStyle w:val="46"/>
              <w:ind w:firstLine="480"/>
            </w:pPr>
            <w:r>
              <w:rPr>
                <w:rFonts w:hint="eastAsia"/>
              </w:rPr>
              <w:t>在采取上述措施后，排放的大气污染物不会对周围环境空气产生明显影响。</w:t>
            </w:r>
          </w:p>
          <w:p>
            <w:pPr>
              <w:pStyle w:val="46"/>
              <w:ind w:firstLine="482"/>
              <w:rPr>
                <w:b/>
                <w:bCs/>
              </w:rPr>
            </w:pPr>
            <w:r>
              <w:rPr>
                <w:rFonts w:hint="eastAsia"/>
                <w:b/>
                <w:bCs/>
              </w:rPr>
              <w:t>4、声环境保护措施</w:t>
            </w:r>
          </w:p>
          <w:p>
            <w:pPr>
              <w:pStyle w:val="46"/>
              <w:ind w:firstLine="480"/>
            </w:pPr>
            <w:r>
              <w:rPr>
                <w:rFonts w:hint="eastAsia"/>
              </w:rPr>
              <w:t>项目区周边不存在声环境保护目标，施工期应加强设备维护及保养，在设备底部进行基础减震处理。待所有施工结束后噪声对周围环境影响随即消失。</w:t>
            </w:r>
          </w:p>
          <w:p>
            <w:pPr>
              <w:pStyle w:val="46"/>
              <w:ind w:firstLine="482"/>
              <w:rPr>
                <w:b/>
                <w:bCs/>
              </w:rPr>
            </w:pPr>
            <w:bookmarkStart w:id="48" w:name="_Hlk116080869"/>
            <w:r>
              <w:rPr>
                <w:rFonts w:hint="eastAsia"/>
                <w:b/>
                <w:bCs/>
              </w:rPr>
              <w:t>5、固体废物处置措施</w:t>
            </w:r>
          </w:p>
          <w:bookmarkEnd w:id="48"/>
          <w:p>
            <w:pPr>
              <w:snapToGrid w:val="0"/>
              <w:spacing w:line="500" w:lineRule="exact"/>
              <w:ind w:firstLine="472" w:firstLineChars="200"/>
              <w:rPr>
                <w:rFonts w:ascii="宋体" w:hAnsi="宋体" w:cs="宋体"/>
                <w:spacing w:val="-2"/>
                <w:sz w:val="24"/>
              </w:rPr>
            </w:pPr>
            <w:r>
              <w:rPr>
                <w:rFonts w:hint="eastAsia" w:ascii="宋体" w:hAnsi="宋体" w:cs="宋体"/>
                <w:spacing w:val="-2"/>
                <w:sz w:val="24"/>
              </w:rPr>
              <w:t>固体废物主要为生活垃圾、钻井岩屑以及废防渗材料。</w:t>
            </w:r>
          </w:p>
          <w:p>
            <w:pPr>
              <w:pStyle w:val="53"/>
              <w:spacing w:line="480" w:lineRule="exact"/>
              <w:ind w:firstLine="480"/>
            </w:pPr>
            <w:bookmarkStart w:id="49" w:name="_Hlk116080878"/>
            <w:r>
              <w:rPr>
                <w:rFonts w:hint="eastAsia"/>
              </w:rPr>
              <w:t>（1）钻井岩屑处置措施</w:t>
            </w:r>
          </w:p>
          <w:bookmarkEnd w:id="49"/>
          <w:p>
            <w:pPr>
              <w:pStyle w:val="53"/>
              <w:spacing w:line="480" w:lineRule="exact"/>
              <w:ind w:firstLine="480"/>
            </w:pPr>
            <w:r>
              <w:rPr>
                <w:rFonts w:hint="eastAsia"/>
              </w:rPr>
              <w:t>①水基岩屑</w:t>
            </w:r>
          </w:p>
          <w:p>
            <w:pPr>
              <w:pStyle w:val="53"/>
              <w:spacing w:line="480" w:lineRule="exact"/>
              <w:ind w:firstLine="480"/>
              <w:rPr>
                <w:spacing w:val="2"/>
              </w:rPr>
            </w:pPr>
            <w:r>
              <w:rPr>
                <w:spacing w:val="2"/>
              </w:rPr>
              <mc:AlternateContent>
                <mc:Choice Requires="wpg">
                  <w:drawing>
                    <wp:anchor distT="0" distB="0" distL="114300" distR="114300" simplePos="0" relativeHeight="251659264" behindDoc="0" locked="0" layoutInCell="1" allowOverlap="1">
                      <wp:simplePos x="0" y="0"/>
                      <wp:positionH relativeFrom="column">
                        <wp:posOffset>-59055</wp:posOffset>
                      </wp:positionH>
                      <wp:positionV relativeFrom="paragraph">
                        <wp:posOffset>2092960</wp:posOffset>
                      </wp:positionV>
                      <wp:extent cx="4966970" cy="914400"/>
                      <wp:effectExtent l="0" t="0" r="24130" b="19050"/>
                      <wp:wrapTopAndBottom/>
                      <wp:docPr id="29" name="组合 33"/>
                      <wp:cNvGraphicFramePr/>
                      <a:graphic xmlns:a="http://schemas.openxmlformats.org/drawingml/2006/main">
                        <a:graphicData uri="http://schemas.microsoft.com/office/word/2010/wordprocessingGroup">
                          <wpg:wgp>
                            <wpg:cNvGrpSpPr/>
                            <wpg:grpSpPr>
                              <a:xfrm>
                                <a:off x="0" y="0"/>
                                <a:ext cx="4966970" cy="914400"/>
                                <a:chOff x="6541" y="508242"/>
                                <a:chExt cx="7831" cy="1425"/>
                              </a:xfrm>
                            </wpg:grpSpPr>
                            <wps:wsp>
                              <wps:cNvPr id="30" name="文本框 56"/>
                              <wps:cNvSpPr txBox="1">
                                <a:spLocks noChangeArrowheads="1"/>
                              </wps:cNvSpPr>
                              <wps:spPr bwMode="auto">
                                <a:xfrm>
                                  <a:off x="6541" y="508354"/>
                                  <a:ext cx="2702" cy="476"/>
                                </a:xfrm>
                                <a:prstGeom prst="rect">
                                  <a:avLst/>
                                </a:prstGeom>
                                <a:solidFill>
                                  <a:srgbClr val="FFFFFF"/>
                                </a:solidFill>
                                <a:ln w="9525">
                                  <a:solidFill>
                                    <a:srgbClr val="000000"/>
                                  </a:solidFill>
                                  <a:miter lim="800000"/>
                                </a:ln>
                              </wps:spPr>
                              <wps:txbx>
                                <w:txbxContent>
                                  <w:p>
                                    <w:pPr>
                                      <w:jc w:val="center"/>
                                      <w:rPr>
                                        <w:b/>
                                        <w:bCs/>
                                        <w:szCs w:val="21"/>
                                      </w:rPr>
                                    </w:pPr>
                                    <w:r>
                                      <w:rPr>
                                        <w:rFonts w:hint="eastAsia"/>
                                        <w:b/>
                                        <w:bCs/>
                                        <w:szCs w:val="21"/>
                                      </w:rPr>
                                      <w:t>井筒返排的钻井液及岩屑</w:t>
                                    </w:r>
                                  </w:p>
                                </w:txbxContent>
                              </wps:txbx>
                              <wps:bodyPr rot="0" vert="horz" wrap="square" lIns="91440" tIns="45720" rIns="91440" bIns="45720" anchor="t" anchorCtr="0" upright="1">
                                <a:noAutofit/>
                              </wps:bodyPr>
                            </wps:wsp>
                            <wps:wsp>
                              <wps:cNvPr id="31" name="文本框 57"/>
                              <wps:cNvSpPr txBox="1">
                                <a:spLocks noChangeArrowheads="1"/>
                              </wps:cNvSpPr>
                              <wps:spPr bwMode="auto">
                                <a:xfrm>
                                  <a:off x="10019" y="508354"/>
                                  <a:ext cx="1671" cy="447"/>
                                </a:xfrm>
                                <a:prstGeom prst="rect">
                                  <a:avLst/>
                                </a:prstGeom>
                                <a:solidFill>
                                  <a:srgbClr val="FFFFFF"/>
                                </a:solidFill>
                                <a:ln w="9525">
                                  <a:solidFill>
                                    <a:srgbClr val="000000"/>
                                  </a:solidFill>
                                  <a:miter lim="800000"/>
                                </a:ln>
                              </wps:spPr>
                              <wps:txbx>
                                <w:txbxContent>
                                  <w:p>
                                    <w:pPr>
                                      <w:jc w:val="center"/>
                                      <w:rPr>
                                        <w:b/>
                                        <w:bCs/>
                                        <w:szCs w:val="21"/>
                                      </w:rPr>
                                    </w:pPr>
                                    <w:r>
                                      <w:rPr>
                                        <w:rFonts w:hint="eastAsia"/>
                                        <w:b/>
                                        <w:bCs/>
                                        <w:szCs w:val="21"/>
                                      </w:rPr>
                                      <w:t>不落地设备</w:t>
                                    </w:r>
                                  </w:p>
                                </w:txbxContent>
                              </wps:txbx>
                              <wps:bodyPr rot="0" vert="horz" wrap="square" lIns="91440" tIns="45720" rIns="91440" bIns="45720" anchor="t" anchorCtr="0" upright="1">
                                <a:noAutofit/>
                              </wps:bodyPr>
                            </wps:wsp>
                            <wps:wsp>
                              <wps:cNvPr id="32" name="文本框 58"/>
                              <wps:cNvSpPr txBox="1">
                                <a:spLocks noChangeArrowheads="1"/>
                              </wps:cNvSpPr>
                              <wps:spPr bwMode="auto">
                                <a:xfrm>
                                  <a:off x="12678" y="508370"/>
                                  <a:ext cx="1694" cy="462"/>
                                </a:xfrm>
                                <a:prstGeom prst="rect">
                                  <a:avLst/>
                                </a:prstGeom>
                                <a:solidFill>
                                  <a:srgbClr val="FFFFFF"/>
                                </a:solidFill>
                                <a:ln w="9525">
                                  <a:solidFill>
                                    <a:srgbClr val="000000"/>
                                  </a:solidFill>
                                  <a:miter lim="800000"/>
                                </a:ln>
                              </wps:spPr>
                              <wps:txbx>
                                <w:txbxContent>
                                  <w:p>
                                    <w:pPr>
                                      <w:jc w:val="center"/>
                                      <w:rPr>
                                        <w:b/>
                                        <w:bCs/>
                                        <w:szCs w:val="21"/>
                                      </w:rPr>
                                    </w:pPr>
                                    <w:r>
                                      <w:rPr>
                                        <w:rFonts w:hint="eastAsia"/>
                                        <w:b/>
                                        <w:bCs/>
                                        <w:szCs w:val="21"/>
                                      </w:rPr>
                                      <w:t>方罐</w:t>
                                    </w:r>
                                  </w:p>
                                </w:txbxContent>
                              </wps:txbx>
                              <wps:bodyPr rot="0" vert="horz" wrap="square" lIns="91440" tIns="45720" rIns="91440" bIns="45720" anchor="t" anchorCtr="0" upright="1">
                                <a:noAutofit/>
                              </wps:bodyPr>
                            </wps:wsp>
                            <wps:wsp>
                              <wps:cNvPr id="33" name="文本框 59"/>
                              <wps:cNvSpPr txBox="1">
                                <a:spLocks noChangeArrowheads="1"/>
                              </wps:cNvSpPr>
                              <wps:spPr bwMode="auto">
                                <a:xfrm>
                                  <a:off x="9824" y="509265"/>
                                  <a:ext cx="2043" cy="402"/>
                                </a:xfrm>
                                <a:prstGeom prst="rect">
                                  <a:avLst/>
                                </a:prstGeom>
                                <a:solidFill>
                                  <a:srgbClr val="FFFFFF"/>
                                </a:solidFill>
                                <a:ln w="9525">
                                  <a:solidFill>
                                    <a:srgbClr val="000000"/>
                                  </a:solidFill>
                                  <a:miter lim="800000"/>
                                </a:ln>
                              </wps:spPr>
                              <wps:txbx>
                                <w:txbxContent>
                                  <w:p>
                                    <w:pPr>
                                      <w:jc w:val="center"/>
                                      <w:rPr>
                                        <w:b/>
                                        <w:bCs/>
                                        <w:szCs w:val="21"/>
                                      </w:rPr>
                                    </w:pPr>
                                    <w:r>
                                      <w:rPr>
                                        <w:rFonts w:hint="eastAsia"/>
                                        <w:b/>
                                        <w:bCs/>
                                        <w:szCs w:val="21"/>
                                      </w:rPr>
                                      <w:t>回用于钻井液配置</w:t>
                                    </w:r>
                                  </w:p>
                                </w:txbxContent>
                              </wps:txbx>
                              <wps:bodyPr rot="0" vert="horz" wrap="square" lIns="91440" tIns="45720" rIns="91440" bIns="45720" anchor="t" anchorCtr="0" upright="1">
                                <a:noAutofit/>
                              </wps:bodyPr>
                            </wps:wsp>
                            <wps:wsp>
                              <wps:cNvPr id="34" name="直线 62"/>
                              <wps:cNvCnPr>
                                <a:cxnSpLocks noChangeShapeType="1"/>
                              </wps:cNvCnPr>
                              <wps:spPr bwMode="auto">
                                <a:xfrm flipV="1">
                                  <a:off x="9228" y="508593"/>
                                  <a:ext cx="808" cy="14"/>
                                </a:xfrm>
                                <a:prstGeom prst="line">
                                  <a:avLst/>
                                </a:prstGeom>
                                <a:noFill/>
                                <a:ln w="19050">
                                  <a:solidFill>
                                    <a:srgbClr val="000000"/>
                                  </a:solidFill>
                                  <a:round/>
                                  <a:tailEnd type="triangle" w="med" len="lg"/>
                                </a:ln>
                              </wps:spPr>
                              <wps:bodyPr/>
                            </wps:wsp>
                            <wps:wsp>
                              <wps:cNvPr id="35" name="直线 63"/>
                              <wps:cNvCnPr>
                                <a:cxnSpLocks noChangeShapeType="1"/>
                              </wps:cNvCnPr>
                              <wps:spPr bwMode="auto">
                                <a:xfrm>
                                  <a:off x="11658" y="508623"/>
                                  <a:ext cx="1033" cy="1"/>
                                </a:xfrm>
                                <a:prstGeom prst="line">
                                  <a:avLst/>
                                </a:prstGeom>
                                <a:noFill/>
                                <a:ln w="19050">
                                  <a:solidFill>
                                    <a:srgbClr val="000000"/>
                                  </a:solidFill>
                                  <a:round/>
                                  <a:tailEnd type="triangle" w="med" len="lg"/>
                                </a:ln>
                              </wps:spPr>
                              <wps:bodyPr/>
                            </wps:wsp>
                            <wps:wsp>
                              <wps:cNvPr id="36" name="直线 64"/>
                              <wps:cNvCnPr>
                                <a:cxnSpLocks noChangeShapeType="1"/>
                              </wps:cNvCnPr>
                              <wps:spPr bwMode="auto">
                                <a:xfrm flipH="1">
                                  <a:off x="10823" y="508799"/>
                                  <a:ext cx="1" cy="494"/>
                                </a:xfrm>
                                <a:prstGeom prst="line">
                                  <a:avLst/>
                                </a:prstGeom>
                                <a:noFill/>
                                <a:ln w="19050">
                                  <a:solidFill>
                                    <a:srgbClr val="000000"/>
                                  </a:solidFill>
                                  <a:round/>
                                  <a:tailEnd type="triangle" w="med" len="lg"/>
                                </a:ln>
                              </wps:spPr>
                              <wps:bodyPr/>
                            </wps:wsp>
                            <wps:wsp>
                              <wps:cNvPr id="37" name="文本框 65"/>
                              <wps:cNvSpPr txBox="1">
                                <a:spLocks noChangeArrowheads="1"/>
                              </wps:cNvSpPr>
                              <wps:spPr bwMode="auto">
                                <a:xfrm>
                                  <a:off x="11756" y="508242"/>
                                  <a:ext cx="754" cy="494"/>
                                </a:xfrm>
                                <a:prstGeom prst="rect">
                                  <a:avLst/>
                                </a:prstGeom>
                                <a:noFill/>
                                <a:ln>
                                  <a:noFill/>
                                </a:ln>
                              </wps:spPr>
                              <wps:txbx>
                                <w:txbxContent>
                                  <w:p>
                                    <w:pPr>
                                      <w:jc w:val="center"/>
                                      <w:rPr>
                                        <w:szCs w:val="21"/>
                                      </w:rPr>
                                    </w:pPr>
                                    <w:r>
                                      <w:rPr>
                                        <w:rFonts w:hint="eastAsia"/>
                                        <w:szCs w:val="21"/>
                                      </w:rPr>
                                      <w:t>固相</w:t>
                                    </w:r>
                                  </w:p>
                                </w:txbxContent>
                              </wps:txbx>
                              <wps:bodyPr rot="0" vert="horz" wrap="square" lIns="91440" tIns="45720" rIns="91440" bIns="45720" anchor="t" anchorCtr="0" upright="1">
                                <a:noAutofit/>
                              </wps:bodyPr>
                            </wps:wsp>
                            <wps:wsp>
                              <wps:cNvPr id="38" name="文本框 66"/>
                              <wps:cNvSpPr txBox="1">
                                <a:spLocks noChangeArrowheads="1"/>
                              </wps:cNvSpPr>
                              <wps:spPr bwMode="auto">
                                <a:xfrm>
                                  <a:off x="10960" y="508869"/>
                                  <a:ext cx="754" cy="494"/>
                                </a:xfrm>
                                <a:prstGeom prst="rect">
                                  <a:avLst/>
                                </a:prstGeom>
                                <a:noFill/>
                                <a:ln>
                                  <a:noFill/>
                                </a:ln>
                              </wps:spPr>
                              <wps:txbx>
                                <w:txbxContent>
                                  <w:p>
                                    <w:pPr>
                                      <w:jc w:val="center"/>
                                      <w:rPr>
                                        <w:szCs w:val="21"/>
                                      </w:rPr>
                                    </w:pPr>
                                    <w:r>
                                      <w:rPr>
                                        <w:rFonts w:hint="eastAsia"/>
                                        <w:szCs w:val="21"/>
                                      </w:rPr>
                                      <w:t>液相</w:t>
                                    </w:r>
                                  </w:p>
                                </w:txbxContent>
                              </wps:txbx>
                              <wps:bodyPr rot="0" vert="horz" wrap="square" lIns="91440" tIns="45720" rIns="91440" bIns="45720" anchor="t" anchorCtr="0" upright="1">
                                <a:noAutofit/>
                              </wps:bodyPr>
                            </wps:wsp>
                          </wpg:wgp>
                        </a:graphicData>
                      </a:graphic>
                    </wp:anchor>
                  </w:drawing>
                </mc:Choice>
                <mc:Fallback>
                  <w:pict>
                    <v:group id="组合 33" o:spid="_x0000_s1026" o:spt="203" style="position:absolute;left:0pt;margin-left:-4.65pt;margin-top:164.8pt;height:72pt;width:391.1pt;mso-wrap-distance-bottom:0pt;mso-wrap-distance-top:0pt;z-index:251659264;mso-width-relative:page;mso-height-relative:page;" coordorigin="6541,508242" coordsize="7831,1425" o:gfxdata="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">
                      <o:lock v:ext="edit" aspectratio="f"/>
                      <v:shape id="文本框 56" o:spid="_x0000_s1026" o:spt="202" type="#_x0000_t202" style="position:absolute;left:6541;top:508354;height:476;width:2702;"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b/>
                                  <w:bCs/>
                                  <w:szCs w:val="21"/>
                                </w:rPr>
                              </w:pPr>
                              <w:r>
                                <w:rPr>
                                  <w:rFonts w:hint="eastAsia"/>
                                  <w:b/>
                                  <w:bCs/>
                                  <w:szCs w:val="21"/>
                                </w:rPr>
                                <w:t>井筒返排的钻井液及岩屑</w:t>
                              </w:r>
                            </w:p>
                          </w:txbxContent>
                        </v:textbox>
                      </v:shape>
                      <v:shape id="文本框 57" o:spid="_x0000_s1026" o:spt="202" type="#_x0000_t202" style="position:absolute;left:10019;top:508354;height:447;width:167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b/>
                                  <w:bCs/>
                                  <w:szCs w:val="21"/>
                                </w:rPr>
                              </w:pPr>
                              <w:r>
                                <w:rPr>
                                  <w:rFonts w:hint="eastAsia"/>
                                  <w:b/>
                                  <w:bCs/>
                                  <w:szCs w:val="21"/>
                                </w:rPr>
                                <w:t>不落地设备</w:t>
                              </w:r>
                            </w:p>
                          </w:txbxContent>
                        </v:textbox>
                      </v:shape>
                      <v:shape id="文本框 58" o:spid="_x0000_s1026" o:spt="202" type="#_x0000_t202" style="position:absolute;left:12678;top:508370;height:462;width:169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b/>
                                  <w:bCs/>
                                  <w:szCs w:val="21"/>
                                </w:rPr>
                              </w:pPr>
                              <w:r>
                                <w:rPr>
                                  <w:rFonts w:hint="eastAsia"/>
                                  <w:b/>
                                  <w:bCs/>
                                  <w:szCs w:val="21"/>
                                </w:rPr>
                                <w:t>方罐</w:t>
                              </w:r>
                            </w:p>
                          </w:txbxContent>
                        </v:textbox>
                      </v:shape>
                      <v:shape id="文本框 59" o:spid="_x0000_s1026" o:spt="202" type="#_x0000_t202" style="position:absolute;left:9824;top:509265;height:402;width:2043;"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b/>
                                  <w:bCs/>
                                  <w:szCs w:val="21"/>
                                </w:rPr>
                              </w:pPr>
                              <w:r>
                                <w:rPr>
                                  <w:rFonts w:hint="eastAsia"/>
                                  <w:b/>
                                  <w:bCs/>
                                  <w:szCs w:val="21"/>
                                </w:rPr>
                                <w:t>回用于钻井液配置</w:t>
                              </w:r>
                            </w:p>
                          </w:txbxContent>
                        </v:textbox>
                      </v:shape>
                      <v:line id="直线 62" o:spid="_x0000_s1026" o:spt="20" style="position:absolute;left:9228;top:508593;flip:y;height:14;width:808;" filled="f" stroked="t" coordsize="21600,21600" o:gfxdata="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wf&#10;wAAAANsAAAAPAAAAAAAAAAEAIAAAACIAAABkcnMvZG93bnJldi54bWxQSwECFAAUAAAACACHTuJA&#10;My8FnjsAAAA5AAAAEAAAAAAAAAABACAAAAAPAQAAZHJzL3NoYXBleG1sLnhtbFBLBQYAAAAABgAG&#10;AFsBAAC5AwAAAAA=&#10;">
                        <v:fill on="f" focussize="0,0"/>
                        <v:stroke weight="1.5pt" color="#000000" joinstyle="round" endarrow="block" endarrowlength="long"/>
                        <v:imagedata o:title=""/>
                        <o:lock v:ext="edit" aspectratio="f"/>
                      </v:line>
                      <v:line id="直线 63" o:spid="_x0000_s1026" o:spt="20" style="position:absolute;left:11658;top:508623;height:1;width:1033;" filled="f" stroked="t" coordsize="21600,21600" o:gfxdata="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0kB&#10;wAAAANsAAAAPAAAAAAAAAAEAIAAAACIAAABkcnMvZG93bnJldi54bWxQSwECFAAUAAAACACHTuJA&#10;My8FnjsAAAA5AAAAEAAAAAAAAAABACAAAAAPAQAAZHJzL3NoYXBleG1sLnhtbFBLBQYAAAAABgAG&#10;AFsBAAC5AwAAAAA=&#10;">
                        <v:fill on="f" focussize="0,0"/>
                        <v:stroke weight="1.5pt" color="#000000" joinstyle="round" endarrow="block" endarrowlength="long"/>
                        <v:imagedata o:title=""/>
                        <o:lock v:ext="edit" aspectratio="f"/>
                      </v:line>
                      <v:line id="直线 64" o:spid="_x0000_s1026" o:spt="20" style="position:absolute;left:10823;top:508799;flip:x;height:494;width:1;" filled="f" stroked="t" coordsize="21600,21600" o:gfxdata="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gh/O/&#10;AAAA2wAAAA8AAAAAAAAAAQAgAAAAIgAAAGRycy9kb3ducmV2LnhtbFBLAQIUABQAAAAIAIdO4kAz&#10;LwWeOwAAADkAAAAQAAAAAAAAAAEAIAAAAA4BAABkcnMvc2hhcGV4bWwueG1sUEsFBgAAAAAGAAYA&#10;WwEAALgDAAAAAA==&#10;">
                        <v:fill on="f" focussize="0,0"/>
                        <v:stroke weight="1.5pt" color="#000000" joinstyle="round" endarrow="block" endarrowlength="long"/>
                        <v:imagedata o:title=""/>
                        <o:lock v:ext="edit" aspectratio="f"/>
                      </v:line>
                      <v:shape id="文本框 65" o:spid="_x0000_s1026" o:spt="202" type="#_x0000_t202" style="position:absolute;left:11756;top:508242;height:494;width:754;"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Cs w:val="21"/>
                                </w:rPr>
                              </w:pPr>
                              <w:r>
                                <w:rPr>
                                  <w:rFonts w:hint="eastAsia"/>
                                  <w:szCs w:val="21"/>
                                </w:rPr>
                                <w:t>固相</w:t>
                              </w:r>
                            </w:p>
                          </w:txbxContent>
                        </v:textbox>
                      </v:shape>
                      <v:shape id="文本框 66" o:spid="_x0000_s1026" o:spt="202" type="#_x0000_t202" style="position:absolute;left:10960;top:508869;height:494;width:754;"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szCs w:val="21"/>
                                </w:rPr>
                              </w:pPr>
                              <w:r>
                                <w:rPr>
                                  <w:rFonts w:hint="eastAsia"/>
                                  <w:szCs w:val="21"/>
                                </w:rPr>
                                <w:t>液相</w:t>
                              </w:r>
                            </w:p>
                          </w:txbxContent>
                        </v:textbox>
                      </v:shape>
                      <w10:wrap type="topAndBottom"/>
                    </v:group>
                  </w:pict>
                </mc:Fallback>
              </mc:AlternateContent>
            </w:r>
            <w:r>
              <w:rPr>
                <w:rFonts w:hint="eastAsia"/>
                <w:spacing w:val="2"/>
              </w:rPr>
              <w:t>钻井液采用水基钻井液，钻井时井筒返排的钻井液及岩屑经固液分离装置进行分离，分离出的液相回用于钻井，固相</w:t>
            </w:r>
            <w:r>
              <w:rPr>
                <w:spacing w:val="2"/>
              </w:rPr>
              <w:t>进岩屑专用方罐，</w:t>
            </w:r>
            <w:bookmarkStart w:id="50" w:name="_Hlk69139413"/>
            <w:r>
              <w:rPr>
                <w:rFonts w:hint="eastAsia"/>
                <w:spacing w:val="2"/>
              </w:rPr>
              <w:t>底部铺设渗透系数不小于1</w:t>
            </w:r>
            <w:r>
              <w:rPr>
                <w:spacing w:val="2"/>
              </w:rPr>
              <w:t>0</w:t>
            </w:r>
            <w:r>
              <w:rPr>
                <w:spacing w:val="2"/>
                <w:vertAlign w:val="superscript"/>
              </w:rPr>
              <w:t>-7</w:t>
            </w:r>
            <w:r>
              <w:rPr>
                <w:spacing w:val="2"/>
              </w:rPr>
              <w:t>cm/s</w:t>
            </w:r>
            <w:r>
              <w:rPr>
                <w:rFonts w:hint="eastAsia"/>
                <w:spacing w:val="2"/>
              </w:rPr>
              <w:t>的厚度2</w:t>
            </w:r>
            <w:r>
              <w:rPr>
                <w:spacing w:val="2"/>
              </w:rPr>
              <w:t>mm</w:t>
            </w:r>
            <w:r>
              <w:rPr>
                <w:rFonts w:hint="eastAsia"/>
                <w:spacing w:val="2"/>
              </w:rPr>
              <w:t>的防渗膜。当交</w:t>
            </w:r>
            <w:r>
              <w:rPr>
                <w:spacing w:val="2"/>
              </w:rPr>
              <w:t>由岩屑处置单位直接</w:t>
            </w:r>
            <w:r>
              <w:rPr>
                <w:rFonts w:hint="eastAsia"/>
                <w:spacing w:val="2"/>
              </w:rPr>
              <w:t>拉运</w:t>
            </w:r>
            <w:r>
              <w:rPr>
                <w:spacing w:val="2"/>
              </w:rPr>
              <w:t>进行处理</w:t>
            </w:r>
            <w:bookmarkEnd w:id="50"/>
            <w:r>
              <w:rPr>
                <w:rFonts w:hint="eastAsia"/>
                <w:spacing w:val="2"/>
              </w:rPr>
              <w:t>，满足《油气田钻井固体废物综合利用污染控制要求》（DB 65/T 3997-2017）中各项要求后，用于铺设服务油田生产的各种内部道路、铺垫井场等</w:t>
            </w:r>
            <w:r>
              <w:rPr>
                <w:spacing w:val="2"/>
              </w:rPr>
              <w:t>；</w:t>
            </w:r>
            <w:r>
              <w:rPr>
                <w:rFonts w:hint="eastAsia"/>
                <w:spacing w:val="2"/>
              </w:rPr>
              <w:t>水基钻井岩屑处理工艺流程如图</w:t>
            </w:r>
            <w:r>
              <w:rPr>
                <w:spacing w:val="2"/>
              </w:rPr>
              <w:t>2</w:t>
            </w:r>
            <w:r>
              <w:rPr>
                <w:rFonts w:hint="eastAsia"/>
                <w:spacing w:val="2"/>
              </w:rPr>
              <w:t>所示。</w:t>
            </w:r>
          </w:p>
          <w:p>
            <w:pPr>
              <w:pStyle w:val="53"/>
              <w:spacing w:line="480" w:lineRule="exact"/>
              <w:ind w:firstLine="420"/>
              <w:jc w:val="center"/>
            </w:pPr>
            <w:bookmarkStart w:id="51" w:name="_Ref19646805"/>
            <w:bookmarkStart w:id="52" w:name="_Hlk530765038"/>
            <w:bookmarkStart w:id="53" w:name="_Hlk116080892"/>
            <w:r>
              <w:rPr>
                <w:rFonts w:hint="eastAsia" w:ascii="黑体" w:hAnsi="黑体" w:eastAsia="黑体" w:cs="Times New Roman"/>
                <w:kern w:val="2"/>
                <w:sz w:val="21"/>
              </w:rPr>
              <w:t>图</w:t>
            </w:r>
            <w:bookmarkEnd w:id="51"/>
            <w:r>
              <w:rPr>
                <w:rFonts w:ascii="黑体" w:hAnsi="黑体" w:eastAsia="黑体" w:cs="Times New Roman"/>
                <w:kern w:val="2"/>
                <w:sz w:val="21"/>
              </w:rPr>
              <w:t>2</w:t>
            </w:r>
            <w:r>
              <w:rPr>
                <w:rFonts w:hint="eastAsia" w:ascii="黑体" w:hAnsi="黑体" w:eastAsia="黑体" w:cs="Times New Roman"/>
                <w:kern w:val="2"/>
                <w:sz w:val="21"/>
              </w:rPr>
              <w:t xml:space="preserve">  </w:t>
            </w:r>
            <w:r>
              <w:rPr>
                <w:rFonts w:ascii="黑体" w:hAnsi="黑体" w:eastAsia="黑体" w:cs="Times New Roman"/>
                <w:kern w:val="2"/>
                <w:sz w:val="21"/>
              </w:rPr>
              <w:t xml:space="preserve">  </w:t>
            </w:r>
            <w:r>
              <w:rPr>
                <w:rFonts w:hint="eastAsia" w:ascii="黑体" w:hAnsi="黑体" w:eastAsia="黑体" w:cs="Times New Roman"/>
                <w:kern w:val="2"/>
                <w:sz w:val="21"/>
              </w:rPr>
              <w:t>水基钻井岩屑井场处理工</w:t>
            </w:r>
            <w:r>
              <w:rPr>
                <w:rFonts w:hint="eastAsia" w:eastAsia="黑体" w:cs="Times New Roman"/>
                <w:kern w:val="2"/>
                <w:sz w:val="21"/>
              </w:rPr>
              <w:t>艺流程</w:t>
            </w:r>
            <w:bookmarkEnd w:id="52"/>
          </w:p>
          <w:bookmarkEnd w:id="53"/>
          <w:p>
            <w:pPr>
              <w:pStyle w:val="53"/>
              <w:tabs>
                <w:tab w:val="left" w:pos="1420"/>
              </w:tabs>
              <w:ind w:firstLine="460"/>
              <w:rPr>
                <w:bCs/>
              </w:rPr>
            </w:pPr>
            <w:r>
              <w:rPr>
                <w:rFonts w:hint="eastAsia"/>
                <w:bCs/>
                <w:spacing w:val="-10"/>
              </w:rPr>
              <w:t>（2）</w:t>
            </w:r>
            <w:r>
              <w:rPr>
                <w:rFonts w:hint="eastAsia"/>
                <w:bCs/>
              </w:rPr>
              <w:t>废防渗材料处置措施</w:t>
            </w:r>
          </w:p>
          <w:p>
            <w:pPr>
              <w:pStyle w:val="53"/>
              <w:widowControl w:val="0"/>
              <w:ind w:firstLine="480"/>
              <w:rPr>
                <w:bCs/>
              </w:rPr>
            </w:pPr>
            <w:r>
              <w:rPr>
                <w:rFonts w:hint="eastAsia"/>
                <w:bCs/>
              </w:rPr>
              <w:t>井场油罐、发电机、岩屑罐区、材料堆场等关键部位及生活污水储集防渗池均采用防渗膜防渗。场地清理时拆除的未破损的防渗膜由施工单位集中回收利用，破损的废防渗膜属于危险废物属于HW08类危险废物（废物代码：</w:t>
            </w:r>
            <w:r>
              <w:rPr>
                <w:bCs/>
              </w:rPr>
              <w:t>900</w:t>
            </w:r>
            <w:r>
              <w:rPr>
                <w:rFonts w:hint="eastAsia"/>
                <w:bCs/>
              </w:rPr>
              <w:t>—</w:t>
            </w:r>
            <w:r>
              <w:rPr>
                <w:bCs/>
              </w:rPr>
              <w:t>249</w:t>
            </w:r>
            <w:r>
              <w:rPr>
                <w:rFonts w:hint="eastAsia"/>
                <w:bCs/>
              </w:rPr>
              <w:t>—08），施工期间应规范建立危废台账，按照要求在固废管理系统报备管理计划，规范运行危险废物转移联单，施工结束后交由具有相关危险废物处置资质的单位接收、转运以及处置。</w:t>
            </w:r>
          </w:p>
          <w:p>
            <w:pPr>
              <w:pStyle w:val="53"/>
              <w:widowControl w:val="0"/>
              <w:ind w:firstLine="480"/>
              <w:rPr>
                <w:bCs/>
              </w:rPr>
            </w:pPr>
            <w:r>
              <w:rPr>
                <w:rFonts w:hint="eastAsia"/>
                <w:bCs/>
              </w:rPr>
              <w:t>本项目施工期间产生的危险废物，具体信息见表</w:t>
            </w:r>
            <w:r>
              <w:rPr>
                <w:bCs/>
              </w:rPr>
              <w:t>18</w:t>
            </w:r>
            <w:r>
              <w:rPr>
                <w:rFonts w:hint="eastAsia"/>
                <w:bCs/>
              </w:rPr>
              <w:t>。</w:t>
            </w:r>
          </w:p>
          <w:p>
            <w:pPr>
              <w:pStyle w:val="53"/>
              <w:widowControl w:val="0"/>
              <w:ind w:firstLine="480"/>
              <w:rPr>
                <w:bCs/>
              </w:rPr>
            </w:pPr>
          </w:p>
          <w:p>
            <w:pPr>
              <w:pStyle w:val="53"/>
              <w:widowControl w:val="0"/>
              <w:ind w:firstLine="480"/>
              <w:rPr>
                <w:bCs/>
              </w:rPr>
            </w:pPr>
          </w:p>
          <w:p>
            <w:pPr>
              <w:pStyle w:val="53"/>
              <w:ind w:firstLine="0" w:firstLineChars="0"/>
              <w:jc w:val="center"/>
              <w:rPr>
                <w:rFonts w:ascii="黑体" w:hAnsi="黑体" w:eastAsia="黑体"/>
                <w:sz w:val="21"/>
                <w:szCs w:val="21"/>
              </w:rPr>
            </w:pPr>
            <w:r>
              <w:rPr>
                <w:rFonts w:hint="eastAsia" w:ascii="黑体" w:hAnsi="黑体" w:eastAsia="黑体"/>
                <w:bCs/>
                <w:sz w:val="21"/>
                <w:szCs w:val="21"/>
              </w:rPr>
              <w:t>表</w:t>
            </w:r>
            <w:r>
              <w:rPr>
                <w:rFonts w:ascii="黑体" w:hAnsi="黑体" w:eastAsia="黑体"/>
                <w:bCs/>
                <w:sz w:val="21"/>
                <w:szCs w:val="21"/>
              </w:rPr>
              <w:t xml:space="preserve">18    </w:t>
            </w:r>
            <w:r>
              <w:rPr>
                <w:rFonts w:hint="eastAsia" w:ascii="黑体" w:hAnsi="黑体" w:eastAsia="黑体"/>
                <w:sz w:val="21"/>
                <w:szCs w:val="21"/>
              </w:rPr>
              <w:t>危险废物汇总样表</w:t>
            </w:r>
          </w:p>
          <w:tbl>
            <w:tblPr>
              <w:tblStyle w:val="17"/>
              <w:tblW w:w="77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7"/>
              <w:gridCol w:w="925"/>
              <w:gridCol w:w="712"/>
              <w:gridCol w:w="816"/>
              <w:gridCol w:w="877"/>
              <w:gridCol w:w="701"/>
              <w:gridCol w:w="859"/>
              <w:gridCol w:w="541"/>
              <w:gridCol w:w="877"/>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339" w:type="pct"/>
                  <w:vAlign w:val="center"/>
                </w:tcPr>
                <w:p>
                  <w:pPr>
                    <w:topLinePunct/>
                    <w:adjustRightInd w:val="0"/>
                    <w:snapToGrid w:val="0"/>
                    <w:spacing w:line="240" w:lineRule="exact"/>
                    <w:jc w:val="center"/>
                    <w:rPr>
                      <w:rFonts w:ascii="宋体" w:hAnsi="宋体"/>
                      <w:kern w:val="0"/>
                      <w:szCs w:val="21"/>
                    </w:rPr>
                  </w:pPr>
                  <w:r>
                    <w:rPr>
                      <w:rFonts w:hint="eastAsia" w:ascii="宋体" w:hAnsi="宋体"/>
                      <w:kern w:val="0"/>
                      <w:szCs w:val="21"/>
                    </w:rPr>
                    <w:t>序号</w:t>
                  </w:r>
                </w:p>
              </w:tc>
              <w:tc>
                <w:tcPr>
                  <w:tcW w:w="595"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危险废物名称</w:t>
                  </w:r>
                </w:p>
              </w:tc>
              <w:tc>
                <w:tcPr>
                  <w:tcW w:w="458"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危险废物类别</w:t>
                  </w:r>
                </w:p>
              </w:tc>
              <w:tc>
                <w:tcPr>
                  <w:tcW w:w="525"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危险废物代码</w:t>
                  </w:r>
                </w:p>
              </w:tc>
              <w:tc>
                <w:tcPr>
                  <w:tcW w:w="564"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产生工序</w:t>
                  </w:r>
                </w:p>
              </w:tc>
              <w:tc>
                <w:tcPr>
                  <w:tcW w:w="451"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形态</w:t>
                  </w:r>
                </w:p>
              </w:tc>
              <w:tc>
                <w:tcPr>
                  <w:tcW w:w="553"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主要成分</w:t>
                  </w:r>
                </w:p>
              </w:tc>
              <w:tc>
                <w:tcPr>
                  <w:tcW w:w="348"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有害成分</w:t>
                  </w:r>
                </w:p>
              </w:tc>
              <w:tc>
                <w:tcPr>
                  <w:tcW w:w="564"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危险</w:t>
                  </w:r>
                </w:p>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特性</w:t>
                  </w:r>
                </w:p>
              </w:tc>
              <w:tc>
                <w:tcPr>
                  <w:tcW w:w="602"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9" w:type="pct"/>
                  <w:vAlign w:val="center"/>
                </w:tcPr>
                <w:p>
                  <w:pPr>
                    <w:wordWrap w:val="0"/>
                    <w:topLinePunct/>
                    <w:adjustRightInd w:val="0"/>
                    <w:snapToGrid w:val="0"/>
                    <w:spacing w:line="240" w:lineRule="exact"/>
                    <w:jc w:val="center"/>
                    <w:rPr>
                      <w:rFonts w:ascii="宋体" w:hAnsi="宋体"/>
                      <w:kern w:val="0"/>
                      <w:szCs w:val="21"/>
                    </w:rPr>
                  </w:pPr>
                  <w:r>
                    <w:rPr>
                      <w:rFonts w:ascii="宋体" w:hAnsi="宋体"/>
                      <w:kern w:val="0"/>
                      <w:szCs w:val="21"/>
                    </w:rPr>
                    <w:t>1</w:t>
                  </w:r>
                </w:p>
              </w:tc>
              <w:tc>
                <w:tcPr>
                  <w:tcW w:w="595"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破损的废防渗膜</w:t>
                  </w:r>
                </w:p>
              </w:tc>
              <w:tc>
                <w:tcPr>
                  <w:tcW w:w="458"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bCs/>
                      <w:kern w:val="0"/>
                      <w:szCs w:val="21"/>
                    </w:rPr>
                    <w:t>HW08</w:t>
                  </w:r>
                </w:p>
              </w:tc>
              <w:tc>
                <w:tcPr>
                  <w:tcW w:w="525" w:type="pct"/>
                  <w:vAlign w:val="center"/>
                </w:tcPr>
                <w:p>
                  <w:pPr>
                    <w:wordWrap w:val="0"/>
                    <w:topLinePunct/>
                    <w:adjustRightInd w:val="0"/>
                    <w:snapToGrid w:val="0"/>
                    <w:spacing w:line="240" w:lineRule="exact"/>
                    <w:jc w:val="center"/>
                    <w:rPr>
                      <w:rFonts w:ascii="宋体" w:hAnsi="宋体"/>
                      <w:kern w:val="0"/>
                      <w:szCs w:val="21"/>
                    </w:rPr>
                  </w:pPr>
                  <w:r>
                    <w:rPr>
                      <w:rFonts w:ascii="宋体" w:hAnsi="宋体"/>
                      <w:bCs/>
                      <w:kern w:val="0"/>
                      <w:szCs w:val="21"/>
                    </w:rPr>
                    <w:t>900</w:t>
                  </w:r>
                  <w:r>
                    <w:rPr>
                      <w:rFonts w:hint="eastAsia" w:ascii="宋体" w:hAnsi="宋体"/>
                      <w:bCs/>
                      <w:kern w:val="0"/>
                      <w:szCs w:val="21"/>
                    </w:rPr>
                    <w:t>—</w:t>
                  </w:r>
                  <w:r>
                    <w:rPr>
                      <w:rFonts w:ascii="宋体" w:hAnsi="宋体"/>
                      <w:bCs/>
                      <w:kern w:val="0"/>
                      <w:szCs w:val="21"/>
                    </w:rPr>
                    <w:t>249</w:t>
                  </w:r>
                  <w:r>
                    <w:rPr>
                      <w:rFonts w:hint="eastAsia" w:ascii="宋体" w:hAnsi="宋体"/>
                      <w:bCs/>
                      <w:kern w:val="0"/>
                      <w:szCs w:val="21"/>
                    </w:rPr>
                    <w:t>—08</w:t>
                  </w:r>
                </w:p>
              </w:tc>
              <w:tc>
                <w:tcPr>
                  <w:tcW w:w="564"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场地清理过程</w:t>
                  </w:r>
                </w:p>
              </w:tc>
              <w:tc>
                <w:tcPr>
                  <w:tcW w:w="451"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固态</w:t>
                  </w:r>
                </w:p>
              </w:tc>
              <w:tc>
                <w:tcPr>
                  <w:tcW w:w="553"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柴油、聚乙烯树脂</w:t>
                  </w:r>
                </w:p>
              </w:tc>
              <w:tc>
                <w:tcPr>
                  <w:tcW w:w="348"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柴油</w:t>
                  </w:r>
                </w:p>
              </w:tc>
              <w:tc>
                <w:tcPr>
                  <w:tcW w:w="564"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kern w:val="0"/>
                      <w:szCs w:val="21"/>
                    </w:rPr>
                    <w:t>毒性，</w:t>
                  </w:r>
                  <w:r>
                    <w:rPr>
                      <w:rFonts w:ascii="宋体" w:hAnsi="宋体"/>
                      <w:kern w:val="0"/>
                      <w:szCs w:val="21"/>
                    </w:rPr>
                    <w:t>易燃</w:t>
                  </w:r>
                  <w:r>
                    <w:rPr>
                      <w:rFonts w:hint="eastAsia" w:ascii="宋体" w:hAnsi="宋体"/>
                      <w:kern w:val="0"/>
                      <w:szCs w:val="21"/>
                    </w:rPr>
                    <w:t>性</w:t>
                  </w:r>
                </w:p>
              </w:tc>
              <w:tc>
                <w:tcPr>
                  <w:tcW w:w="602" w:type="pct"/>
                  <w:vAlign w:val="center"/>
                </w:tcPr>
                <w:p>
                  <w:pPr>
                    <w:wordWrap w:val="0"/>
                    <w:topLinePunct/>
                    <w:adjustRightInd w:val="0"/>
                    <w:snapToGrid w:val="0"/>
                    <w:spacing w:line="240" w:lineRule="exact"/>
                    <w:jc w:val="center"/>
                    <w:rPr>
                      <w:rFonts w:ascii="宋体" w:hAnsi="宋体"/>
                      <w:kern w:val="0"/>
                      <w:szCs w:val="21"/>
                    </w:rPr>
                  </w:pPr>
                  <w:r>
                    <w:rPr>
                      <w:rFonts w:hint="eastAsia" w:ascii="宋体" w:hAnsi="宋体"/>
                      <w:bCs/>
                      <w:kern w:val="0"/>
                      <w:szCs w:val="21"/>
                    </w:rPr>
                    <w:t>有相关危险废物处置资质的单位</w:t>
                  </w:r>
                </w:p>
              </w:tc>
            </w:tr>
          </w:tbl>
          <w:p>
            <w:pPr>
              <w:pStyle w:val="53"/>
              <w:ind w:firstLine="480"/>
            </w:pPr>
            <w:r>
              <w:rPr>
                <w:rFonts w:hint="eastAsia"/>
              </w:rPr>
              <w:t>（</w:t>
            </w:r>
            <w:r>
              <w:t>3</w:t>
            </w:r>
            <w:r>
              <w:rPr>
                <w:rFonts w:hint="eastAsia"/>
              </w:rPr>
              <w:t>）生活垃圾处置措施</w:t>
            </w:r>
          </w:p>
          <w:p>
            <w:pPr>
              <w:pStyle w:val="53"/>
              <w:ind w:firstLine="480"/>
              <w:rPr>
                <w:bCs/>
              </w:rPr>
            </w:pPr>
            <w:r>
              <w:rPr>
                <w:rFonts w:hint="eastAsia"/>
                <w:bCs/>
              </w:rPr>
              <w:t>井场和生活营地设置生活垃圾收集箱，箱底铺设防渗膜，上部遮盖篷布，钻试期共计产生</w:t>
            </w:r>
            <w:r>
              <w:rPr>
                <w:bCs/>
              </w:rPr>
              <w:t>0.9</w:t>
            </w:r>
            <w:r>
              <w:rPr>
                <w:rFonts w:hint="eastAsia"/>
                <w:bCs/>
              </w:rPr>
              <w:t>t生活垃圾，集中收集后定期拉运至吉木萨尔县生活垃圾填埋场填埋处置。</w:t>
            </w:r>
          </w:p>
          <w:p>
            <w:pPr>
              <w:keepNext/>
              <w:spacing w:line="500" w:lineRule="exact"/>
              <w:ind w:firstLine="480" w:firstLineChars="200"/>
              <w:rPr>
                <w:rFonts w:ascii="宋体" w:hAnsi="宋体" w:cs="宋体"/>
                <w:sz w:val="24"/>
              </w:rPr>
            </w:pPr>
            <w:r>
              <w:rPr>
                <w:rFonts w:hint="eastAsia" w:ascii="宋体" w:hAnsi="宋体" w:cs="宋体"/>
                <w:kern w:val="0"/>
                <w:sz w:val="24"/>
              </w:rPr>
              <w:t>吉木萨尔县生活垃圾填埋场位于吉木萨尔县新地乡，中心地理坐标为东经89°04′15.8″，北纬43°59′10.1″，</w:t>
            </w:r>
            <w:r>
              <w:rPr>
                <w:rFonts w:hint="eastAsia" w:ascii="宋体" w:hAnsi="宋体" w:cs="宋体"/>
                <w:sz w:val="24"/>
              </w:rPr>
              <w:t>已于2008年12月取得原新疆维吾尔自治区环境保护厅《关于吉木萨尔县生活垃圾处理工程环境影响报告书的批复》（新环监函〔2008〕537号）；并于2015年9月29日通过竣工环境保护验收（昌州环函〔2015〕358号）。该垃圾填埋场</w:t>
            </w:r>
            <w:r>
              <w:rPr>
                <w:rFonts w:hint="eastAsia" w:ascii="宋体" w:hAnsi="宋体" w:cs="宋体"/>
                <w:kern w:val="0"/>
                <w:sz w:val="24"/>
              </w:rPr>
              <w:t>近期工程设计规模：生活垃圾清运处理量100t/d，总库容63×10</w:t>
            </w:r>
            <w:r>
              <w:rPr>
                <w:rFonts w:hint="eastAsia" w:ascii="宋体" w:hAnsi="宋体" w:cs="宋体"/>
                <w:kern w:val="0"/>
                <w:sz w:val="24"/>
                <w:vertAlign w:val="superscript"/>
              </w:rPr>
              <w:t>4</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，服务年限11年；远期工程设计规模：生活垃圾清运处理量130t/d，总库容94.5×10</w:t>
            </w:r>
            <w:r>
              <w:rPr>
                <w:rFonts w:hint="eastAsia" w:ascii="宋体" w:hAnsi="宋体" w:cs="宋体"/>
                <w:kern w:val="0"/>
                <w:sz w:val="24"/>
                <w:vertAlign w:val="superscript"/>
              </w:rPr>
              <w:t>4</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，服务年限12年，</w:t>
            </w:r>
            <w:r>
              <w:rPr>
                <w:rFonts w:hint="eastAsia" w:ascii="宋体" w:hAnsi="宋体" w:cs="宋体"/>
                <w:sz w:val="24"/>
              </w:rPr>
              <w:t>采用卫生填埋工艺，</w:t>
            </w:r>
            <w:r>
              <w:rPr>
                <w:rFonts w:hint="eastAsia" w:ascii="宋体" w:hAnsi="宋体" w:cs="宋体"/>
                <w:kern w:val="0"/>
                <w:sz w:val="24"/>
              </w:rPr>
              <w:t>主要处置城镇生活垃圾，不作为工业固体废物和危险废弃物处置场所。</w:t>
            </w:r>
            <w:r>
              <w:rPr>
                <w:rFonts w:hint="eastAsia" w:ascii="宋体" w:hAnsi="宋体" w:cs="宋体"/>
                <w:sz w:val="24"/>
              </w:rPr>
              <w:t>本次施工期生活垃圾产生量较少仅</w:t>
            </w:r>
            <w:r>
              <w:rPr>
                <w:rFonts w:ascii="宋体" w:hAnsi="宋体" w:cs="宋体"/>
                <w:sz w:val="24"/>
              </w:rPr>
              <w:t>0.9</w:t>
            </w:r>
            <w:r>
              <w:rPr>
                <w:rFonts w:hint="eastAsia" w:ascii="宋体" w:hAnsi="宋体" w:cs="宋体"/>
                <w:sz w:val="24"/>
              </w:rPr>
              <w:t>t，依托可行。</w:t>
            </w:r>
          </w:p>
          <w:p>
            <w:pPr>
              <w:snapToGrid w:val="0"/>
              <w:spacing w:line="500" w:lineRule="exact"/>
              <w:ind w:firstLine="480" w:firstLineChars="200"/>
              <w:rPr>
                <w:rFonts w:ascii="宋体" w:hAnsi="宋体"/>
                <w:sz w:val="24"/>
              </w:rPr>
            </w:pPr>
            <w:r>
              <w:rPr>
                <w:rFonts w:hint="eastAsia" w:ascii="宋体" w:hAnsi="宋体"/>
                <w:sz w:val="24"/>
              </w:rPr>
              <w:t>（4）危险废物环境管理要求</w:t>
            </w:r>
          </w:p>
          <w:p>
            <w:pPr>
              <w:snapToGrid w:val="0"/>
              <w:spacing w:line="500" w:lineRule="exact"/>
              <w:ind w:firstLine="480" w:firstLineChars="200"/>
              <w:rPr>
                <w:rFonts w:ascii="宋体" w:hAnsi="宋体" w:cs="宋体"/>
                <w:sz w:val="24"/>
              </w:rPr>
            </w:pPr>
            <w:r>
              <w:rPr>
                <w:rFonts w:hint="eastAsia" w:ascii="宋体" w:hAnsi="宋体"/>
                <w:sz w:val="24"/>
              </w:rPr>
              <w:t>施工期间应按照《危险废物环境管理指南  陆上石油天然气开采》中的相关</w:t>
            </w:r>
            <w:r>
              <w:rPr>
                <w:rFonts w:hint="eastAsia" w:ascii="宋体" w:hAnsi="宋体" w:cs="宋体"/>
                <w:sz w:val="24"/>
              </w:rPr>
              <w:t>要求进行环境管理：</w:t>
            </w:r>
          </w:p>
          <w:p>
            <w:pPr>
              <w:snapToGrid w:val="0"/>
              <w:spacing w:line="500" w:lineRule="exact"/>
              <w:ind w:firstLine="480" w:firstLineChars="200"/>
              <w:rPr>
                <w:rFonts w:ascii="宋体" w:hAnsi="宋体" w:cs="宋体"/>
                <w:sz w:val="24"/>
              </w:rPr>
            </w:pPr>
            <w:r>
              <w:rPr>
                <w:rFonts w:hint="eastAsia" w:ascii="宋体" w:hAnsi="宋体"/>
                <w:sz w:val="24"/>
              </w:rPr>
              <w:t>①</w:t>
            </w:r>
            <w:r>
              <w:rPr>
                <w:rFonts w:hint="eastAsia" w:ascii="宋体" w:hAnsi="宋体" w:cs="宋体"/>
                <w:sz w:val="24"/>
              </w:rPr>
              <w:t>落实污染环境防治责任制度。</w:t>
            </w:r>
          </w:p>
          <w:p>
            <w:pPr>
              <w:snapToGrid w:val="0"/>
              <w:spacing w:line="500" w:lineRule="exact"/>
              <w:ind w:firstLine="480" w:firstLineChars="200"/>
              <w:rPr>
                <w:rFonts w:ascii="宋体" w:hAnsi="宋体" w:cs="宋体"/>
                <w:sz w:val="24"/>
              </w:rPr>
            </w:pPr>
            <w:r>
              <w:rPr>
                <w:rFonts w:hint="eastAsia" w:ascii="宋体" w:hAnsi="宋体" w:cs="宋体"/>
                <w:sz w:val="24"/>
              </w:rPr>
              <w:t>②落实危险废物识别标志制度，按照《环境保护图形标志 固体废物贮存（处置）场》（GB 15562.2）等有关规定，对危险废物的容器和收集、贮存、危险废物的场所设置危险废物识别标志。</w:t>
            </w:r>
          </w:p>
          <w:p>
            <w:pPr>
              <w:snapToGrid w:val="0"/>
              <w:spacing w:line="500" w:lineRule="exact"/>
              <w:ind w:firstLine="480" w:firstLineChars="200"/>
              <w:rPr>
                <w:rFonts w:ascii="宋体" w:hAnsi="宋体" w:cs="宋体"/>
                <w:sz w:val="24"/>
              </w:rPr>
            </w:pPr>
            <w:r>
              <w:rPr>
                <w:rFonts w:hint="eastAsia" w:ascii="宋体" w:hAnsi="宋体" w:cs="宋体"/>
                <w:sz w:val="24"/>
              </w:rPr>
              <w:t>③落实危险废物管理计划制度，按照《危险废物产生单位管理计划制定指南》等有关要求制定危险废物管理计划，并报所在地生态环境主管部门备案。</w:t>
            </w:r>
          </w:p>
          <w:p>
            <w:pPr>
              <w:wordWrap w:val="0"/>
              <w:snapToGrid w:val="0"/>
              <w:spacing w:line="500" w:lineRule="exact"/>
              <w:ind w:firstLine="480" w:firstLineChars="200"/>
              <w:rPr>
                <w:rFonts w:ascii="宋体" w:hAnsi="宋体" w:cs="宋体"/>
                <w:sz w:val="24"/>
              </w:rPr>
            </w:pPr>
            <w:r>
              <w:rPr>
                <w:rFonts w:hint="eastAsia" w:ascii="宋体" w:hAnsi="宋体" w:cs="宋体"/>
                <w:sz w:val="24"/>
              </w:rPr>
              <w:t>④</w:t>
            </w:r>
            <w:r>
              <w:rPr>
                <w:rFonts w:hint="eastAsia" w:ascii="宋体" w:hAnsi="宋体" w:cs="宋体"/>
                <w:spacing w:val="-2"/>
                <w:sz w:val="24"/>
              </w:rPr>
              <w:t>落实危险废物管理台账及申报制度，建立危险废物管理台账，如实记录有关信息，并通过国家危险废物信息管理系统向所在地生态环境主管部门申报危险废物的种类、产生量、流向、贮存、处置等有关资料。</w:t>
            </w:r>
          </w:p>
          <w:p>
            <w:pPr>
              <w:wordWrap w:val="0"/>
              <w:snapToGrid w:val="0"/>
              <w:spacing w:line="500" w:lineRule="exact"/>
              <w:ind w:firstLine="480" w:firstLineChars="200"/>
              <w:rPr>
                <w:rFonts w:ascii="宋体" w:hAnsi="宋体" w:cs="宋体"/>
                <w:sz w:val="24"/>
              </w:rPr>
            </w:pPr>
            <w:r>
              <w:rPr>
                <w:rFonts w:hint="eastAsia" w:ascii="宋体" w:hAnsi="宋体" w:cs="宋体"/>
                <w:sz w:val="24"/>
              </w:rPr>
              <w:t>⑤落实危险废物转移联单制度，转移危险废物的，应当按照《危险废物转移管理办法》的有关规定填写、运行危险废物转移联单。</w:t>
            </w:r>
          </w:p>
          <w:p>
            <w:pPr>
              <w:pStyle w:val="53"/>
              <w:ind w:firstLine="460"/>
              <w:rPr>
                <w:bCs/>
                <w:spacing w:val="-6"/>
              </w:rPr>
            </w:pPr>
            <w:r>
              <w:rPr>
                <w:rFonts w:hint="eastAsia"/>
                <w:bCs/>
                <w:spacing w:val="-10"/>
              </w:rPr>
              <w:t>综上所述，本项目产生的固体废物均可得到妥善处置，对生态环境造成的影响较小</w:t>
            </w:r>
            <w:r>
              <w:rPr>
                <w:rFonts w:hint="eastAsia"/>
                <w:bCs/>
                <w:spacing w:val="-6"/>
              </w:rPr>
              <w:t>。</w:t>
            </w:r>
          </w:p>
          <w:p>
            <w:pPr>
              <w:pStyle w:val="46"/>
              <w:ind w:firstLine="482"/>
              <w:rPr>
                <w:b/>
                <w:bCs/>
              </w:rPr>
            </w:pPr>
            <w:bookmarkStart w:id="54" w:name="_Hlk116082008"/>
            <w:r>
              <w:rPr>
                <w:rFonts w:hint="eastAsia"/>
                <w:b/>
                <w:bCs/>
              </w:rPr>
              <w:t>6、环境风险防范措施及应急要求</w:t>
            </w:r>
          </w:p>
          <w:bookmarkEnd w:id="54"/>
          <w:p>
            <w:pPr>
              <w:pStyle w:val="46"/>
              <w:ind w:firstLine="480"/>
            </w:pPr>
            <w:r>
              <w:rPr>
                <w:rFonts w:hint="eastAsia"/>
              </w:rPr>
              <w:t>（1）井喷</w:t>
            </w:r>
          </w:p>
          <w:p>
            <w:pPr>
              <w:pStyle w:val="46"/>
              <w:ind w:firstLine="480"/>
            </w:pPr>
            <w:r>
              <w:rPr>
                <w:rFonts w:hint="eastAsia"/>
              </w:rPr>
              <w:t>①钻井工程中确保钻井液密度及其它性能符合设计要求，并按设计要求储备压井液、加重剂、堵漏材料和其它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46"/>
              <w:ind w:firstLine="480"/>
            </w:pPr>
            <w:r>
              <w:rPr>
                <w:rFonts w:hint="eastAsia"/>
              </w:rPr>
              <w:t>②钻开油层后：落实专人坐岗观察井口和钻井液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46"/>
              <w:ind w:firstLine="480"/>
            </w:pPr>
            <w:r>
              <w:rPr>
                <w:rFonts w:hint="eastAsia"/>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46"/>
              <w:ind w:firstLine="480"/>
            </w:pPr>
            <w:r>
              <w:rPr>
                <w:rFonts w:hint="eastAsia"/>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46"/>
              <w:ind w:firstLine="480"/>
            </w:pPr>
            <w:r>
              <w:rPr>
                <w:rFonts w:hint="eastAsia"/>
              </w:rPr>
              <w:t>⑤一旦有井喷迹象出现，应立即启动相应的环境突发事件专项应急预案，立即关闭井口切断污染源，建设应急放喷池（20m×10m），控制污染面积，事故控制住后对放喷液进行集中收集处理，应急放喷池清理后取出防渗膜覆土填埋，废防渗膜属于危险废物，交由具有相应危废处置资质的单位进行处理。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w:t>
            </w:r>
          </w:p>
          <w:p>
            <w:pPr>
              <w:pStyle w:val="46"/>
              <w:ind w:firstLine="480"/>
            </w:pPr>
            <w:r>
              <w:rPr>
                <w:rFonts w:hint="eastAsia"/>
              </w:rPr>
              <w:t>（2）储罐泄漏</w:t>
            </w:r>
          </w:p>
          <w:p>
            <w:pPr>
              <w:pStyle w:val="46"/>
              <w:ind w:firstLine="476"/>
              <w:rPr>
                <w:spacing w:val="-2"/>
              </w:rPr>
            </w:pPr>
            <w:r>
              <w:rPr>
                <w:rFonts w:hint="eastAsia"/>
                <w:spacing w:val="-2"/>
              </w:rPr>
              <w:t>①选用质量、防腐措施合格的储罐。安装过程中焊接要经过1</w:t>
            </w:r>
            <w:r>
              <w:rPr>
                <w:spacing w:val="-2"/>
              </w:rPr>
              <w:t>00</w:t>
            </w:r>
            <w:r>
              <w:rPr>
                <w:rFonts w:hint="eastAsia"/>
                <w:spacing w:val="-2"/>
              </w:rPr>
              <w:t>%的探伤，安装时应选择刚性不燃的坚固基础作为罐体基础。储罐在投用前，必须严格按照《压力容器安全技术监察规程》进行强度和气密性试验。</w:t>
            </w:r>
          </w:p>
          <w:p>
            <w:pPr>
              <w:pStyle w:val="46"/>
              <w:ind w:firstLine="480"/>
            </w:pPr>
            <w:r>
              <w:rPr>
                <w:rFonts w:hint="eastAsia"/>
              </w:rPr>
              <w:t>②在储罐区严格用火管理；采用有效的避雷装置和接地装置等防止雷电的措施。</w:t>
            </w:r>
          </w:p>
          <w:p>
            <w:pPr>
              <w:pStyle w:val="46"/>
              <w:ind w:firstLine="480"/>
            </w:pPr>
            <w:r>
              <w:rPr>
                <w:rFonts w:hint="eastAsia"/>
              </w:rPr>
              <w:t>③加强储罐和管线接口的检查工作，防止腐蚀穿孔。定期进行壁厚检测，腐蚀余量低于规定的允许值时，要及时进行检修和更换。</w:t>
            </w:r>
          </w:p>
          <w:p>
            <w:pPr>
              <w:pStyle w:val="46"/>
              <w:ind w:firstLine="480"/>
            </w:pPr>
            <w:r>
              <w:rPr>
                <w:rFonts w:hint="eastAsia"/>
              </w:rPr>
              <w:t>④加强消防安全管理</w:t>
            </w:r>
          </w:p>
          <w:p>
            <w:pPr>
              <w:pStyle w:val="46"/>
              <w:ind w:firstLine="480"/>
            </w:pPr>
            <w:r>
              <w:rPr>
                <w:rFonts w:hint="eastAsia"/>
              </w:rPr>
              <w:t>定期进行消防培训与实战演练，要求岗位工作人员具有较强的消防安全意识，加强巡检，确保无异常情况出现。</w:t>
            </w:r>
          </w:p>
          <w:p>
            <w:pPr>
              <w:pStyle w:val="46"/>
              <w:ind w:firstLine="480"/>
            </w:pPr>
            <w:r>
              <w:rPr>
                <w:rFonts w:hint="eastAsia"/>
              </w:rPr>
              <w:t>（3）硫化氢防范措施</w:t>
            </w:r>
          </w:p>
          <w:p>
            <w:pPr>
              <w:pStyle w:val="46"/>
              <w:ind w:firstLine="480"/>
            </w:pPr>
            <w:r>
              <w:rPr>
                <w:rFonts w:hint="eastAsia"/>
              </w:rPr>
              <w:t>①在钻井、试油作业过程中配备便携式硫化氢监测仪，做好硫化氢监测预警工作，并制定防硫化氢应急预案。当监测到硫化氢浓度大于75mg/m</w:t>
            </w:r>
            <w:r>
              <w:rPr>
                <w:rFonts w:hint="eastAsia"/>
                <w:vertAlign w:val="superscript"/>
              </w:rPr>
              <w:t>3</w:t>
            </w:r>
            <w:r>
              <w:rPr>
                <w:rFonts w:hint="eastAsia"/>
              </w:rPr>
              <w:t>（50ppm）时，按照含硫油气井作业规程执行。</w:t>
            </w:r>
          </w:p>
          <w:p>
            <w:pPr>
              <w:pStyle w:val="46"/>
              <w:ind w:firstLine="480"/>
            </w:pPr>
            <w:r>
              <w:rPr>
                <w:rFonts w:hint="eastAsia"/>
              </w:rPr>
              <w:t>②钻井期在作业现场显著位置设置5处风向标；试油期设置2处风向标，并在不同方向上划定2个紧急集合点，并规划撤离路线，发生紧急情况时向上风向撤离。</w:t>
            </w:r>
          </w:p>
          <w:p>
            <w:pPr>
              <w:pStyle w:val="46"/>
              <w:ind w:firstLine="480"/>
            </w:pPr>
            <w:r>
              <w:rPr>
                <w:rFonts w:hint="eastAsia"/>
              </w:rPr>
              <w:t>（</w:t>
            </w:r>
            <w:r>
              <w:t>4</w:t>
            </w:r>
            <w:r>
              <w:rPr>
                <w:rFonts w:hint="eastAsia"/>
              </w:rPr>
              <w:t>）</w:t>
            </w:r>
            <w:r>
              <w:rPr>
                <w:rFonts w:hint="eastAsia"/>
                <w:bCs/>
              </w:rPr>
              <w:t>环境风险应急预案</w:t>
            </w:r>
          </w:p>
          <w:p>
            <w:pPr>
              <w:pStyle w:val="46"/>
              <w:ind w:firstLine="480"/>
            </w:pPr>
            <w:r>
              <w:rPr>
                <w:rFonts w:hint="eastAsia"/>
              </w:rPr>
              <w:t>项目属于中国石油新疆油田分公司勘探事业部管理，应纳入《新疆油田分公司勘探事业部突发环境事件应急预案》。</w:t>
            </w:r>
          </w:p>
          <w:p>
            <w:pPr>
              <w:pStyle w:val="46"/>
              <w:ind w:firstLine="480"/>
            </w:pPr>
            <w:r>
              <w:rPr>
                <w:rFonts w:hint="eastAsia"/>
              </w:rPr>
              <w:t>（5）结论</w:t>
            </w:r>
          </w:p>
          <w:p>
            <w:pPr>
              <w:pStyle w:val="46"/>
              <w:ind w:firstLine="480"/>
            </w:pPr>
            <w:r>
              <w:rPr>
                <w:rFonts w:hint="eastAsia"/>
              </w:rPr>
              <w:t>本项目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53" w:type="dxa"/>
            <w:tcMar>
              <w:left w:w="28" w:type="dxa"/>
              <w:right w:w="28" w:type="dxa"/>
            </w:tcMar>
            <w:vAlign w:val="center"/>
          </w:tcPr>
          <w:p>
            <w:pPr>
              <w:adjustRightInd w:val="0"/>
              <w:snapToGrid w:val="0"/>
              <w:jc w:val="center"/>
              <w:rPr>
                <w:rFonts w:ascii="宋体" w:hAnsi="宋体" w:cs="宋体"/>
                <w:bCs/>
                <w:spacing w:val="10"/>
                <w:sz w:val="24"/>
              </w:rPr>
            </w:pPr>
            <w:bookmarkStart w:id="55" w:name="_Hlk116068481"/>
            <w:r>
              <w:rPr>
                <w:rFonts w:hint="eastAsia" w:ascii="宋体" w:hAnsi="宋体" w:cs="宋体"/>
                <w:bCs/>
                <w:spacing w:val="10"/>
                <w:sz w:val="24"/>
              </w:rPr>
              <w:t>运营期生态环境保护措施</w:t>
            </w:r>
            <w:bookmarkEnd w:id="55"/>
          </w:p>
        </w:tc>
        <w:tc>
          <w:tcPr>
            <w:tcW w:w="7884" w:type="dxa"/>
            <w:vAlign w:val="center"/>
          </w:tcPr>
          <w:p>
            <w:pPr>
              <w:pStyle w:val="46"/>
              <w:ind w:firstLine="480"/>
            </w:pPr>
            <w:r>
              <w:rPr>
                <w:rFonts w:hint="eastAsia"/>
              </w:rPr>
              <w:t>本项目无运营期，无需提出环境保护措施及环境监测计划。</w:t>
            </w:r>
            <w:bookmarkStart w:id="56" w:name="_Hlk115957760"/>
            <w:r>
              <w:rPr>
                <w:rFonts w:hint="eastAsia"/>
              </w:rPr>
              <w:t>根据试油结果决定新钻井是否转为生产井</w:t>
            </w:r>
            <w:bookmarkEnd w:id="56"/>
            <w:r>
              <w:rPr>
                <w:rFonts w:hint="eastAsia"/>
              </w:rPr>
              <w:t>，</w:t>
            </w:r>
            <w:bookmarkStart w:id="57" w:name="_Hlk115957790"/>
            <w:r>
              <w:rPr>
                <w:rFonts w:hint="eastAsia"/>
              </w:rPr>
              <w:t>若可转为生产井，则应当在产能开发建设前开展其环境影响评价工作，</w:t>
            </w:r>
            <w:bookmarkEnd w:id="57"/>
            <w:r>
              <w:rPr>
                <w:rFonts w:hint="eastAsia"/>
              </w:rPr>
              <w:t>编制环境影响评价文件，</w:t>
            </w:r>
            <w:bookmarkStart w:id="58" w:name="_Hlk115957849"/>
            <w:r>
              <w:rPr>
                <w:rFonts w:hint="eastAsia"/>
              </w:rPr>
              <w:t>若不具备转产条件，则应封井，</w:t>
            </w:r>
            <w:bookmarkStart w:id="59" w:name="_Hlk115959753"/>
            <w:r>
              <w:rPr>
                <w:rFonts w:hint="eastAsia"/>
              </w:rPr>
              <w:t>封井时要根据《</w:t>
            </w:r>
            <w:bookmarkStart w:id="60" w:name="_Hlk115959903"/>
            <w:r>
              <w:rPr>
                <w:rFonts w:hint="eastAsia"/>
              </w:rPr>
              <w:t>废弃井封井回填技术指南</w:t>
            </w:r>
            <w:bookmarkEnd w:id="60"/>
            <w:r>
              <w:rPr>
                <w:rFonts w:hint="eastAsia"/>
              </w:rPr>
              <w:t>（试行）》、《废弃井及长停井处置指南》（SY/T 6646-2017）、《矿山生态环境保护与恢复治理技术规范（试行）（HJ 651—2013）》以及《陆上石油天然气开采业绿色矿山建设规范（DZ/T0317—2018）》</w:t>
            </w:r>
            <w:bookmarkEnd w:id="59"/>
            <w:r>
              <w:rPr>
                <w:rFonts w:hint="eastAsia"/>
              </w:rPr>
              <w:t>等执行以下封井生态恢复措施</w:t>
            </w:r>
            <w:bookmarkEnd w:id="58"/>
            <w:r>
              <w:rPr>
                <w:rFonts w:hint="eastAsia"/>
              </w:rPr>
              <w:t>：</w:t>
            </w:r>
          </w:p>
          <w:p>
            <w:pPr>
              <w:pStyle w:val="46"/>
              <w:ind w:firstLine="480"/>
            </w:pPr>
            <w:r>
              <w:rPr>
                <w:rFonts w:hint="eastAsia"/>
              </w:rPr>
              <w:t>①回填材料应无污染，不得使用可能对地下水造成污染的材料。</w:t>
            </w:r>
          </w:p>
          <w:p>
            <w:pPr>
              <w:pStyle w:val="46"/>
              <w:ind w:firstLine="480"/>
            </w:pPr>
            <w:r>
              <w:rPr>
                <w:rFonts w:hint="eastAsia"/>
              </w:rPr>
              <w:t>②应开展井盖封堵或密闭填充，确保地表污染物不进入井内，各层位地下水不连通。</w:t>
            </w:r>
          </w:p>
          <w:p>
            <w:pPr>
              <w:pStyle w:val="46"/>
              <w:ind w:firstLine="480"/>
            </w:pPr>
            <w:r>
              <w:rPr>
                <w:rFonts w:hint="eastAsia"/>
              </w:rPr>
              <w:t>③各项建（构）筑物和基础设施应全部拆除确保固井质量和封井质量合格。</w:t>
            </w:r>
          </w:p>
          <w:p>
            <w:pPr>
              <w:pStyle w:val="46"/>
              <w:ind w:firstLine="480"/>
              <w:rPr>
                <w:spacing w:val="-4"/>
              </w:rPr>
            </w:pPr>
            <w:r>
              <w:rPr>
                <w:rFonts w:hint="eastAsia"/>
              </w:rPr>
              <w:t>④试油结束后及时清理作业现场，做到“工完、料尽、场地清”，确保采取的封井措施有效可行。确保采取的封井措施有效可行；及时对施工场地进行平整，尽量利用井场施工时产生的土壤对临时占地进行覆盖，相关规定对占地进行经济补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adjustRightInd w:val="0"/>
              <w:snapToGrid w:val="0"/>
              <w:jc w:val="center"/>
              <w:rPr>
                <w:rFonts w:ascii="宋体" w:hAnsi="宋体" w:cs="宋体"/>
                <w:bCs/>
                <w:spacing w:val="10"/>
                <w:sz w:val="24"/>
              </w:rPr>
            </w:pPr>
            <w:r>
              <w:rPr>
                <w:rFonts w:hint="eastAsia" w:ascii="宋体" w:hAnsi="宋体"/>
                <w:bCs/>
                <w:sz w:val="24"/>
              </w:rPr>
              <w:t>其他</w:t>
            </w:r>
          </w:p>
        </w:tc>
        <w:tc>
          <w:tcPr>
            <w:tcW w:w="7884" w:type="dxa"/>
            <w:vAlign w:val="center"/>
          </w:tcPr>
          <w:p>
            <w:pPr>
              <w:pStyle w:val="46"/>
              <w:ind w:firstLine="480"/>
            </w:pPr>
            <w:r>
              <w:rPr>
                <w:rFonts w:hint="eastAsia"/>
              </w:rPr>
              <w:t>建设过程中应根据中国石油新疆油田分公司在环境管理上建立的健康、安全与环境管理体系（HSE管理体系），落实各项环保和安全措施，减少项目开发对周围环境的影响。本报告提出的环境管理主要内容见下表</w:t>
            </w:r>
            <w:r>
              <w:t>19</w:t>
            </w:r>
            <w:r>
              <w:rPr>
                <w:rFonts w:hint="eastAsia"/>
              </w:rPr>
              <w:t>。</w:t>
            </w:r>
            <w:bookmarkStart w:id="61" w:name="_Ref70449414"/>
            <w:bookmarkEnd w:id="61"/>
          </w:p>
          <w:p>
            <w:pPr>
              <w:pStyle w:val="6"/>
              <w:keepNext/>
              <w:spacing w:line="460" w:lineRule="exact"/>
            </w:pPr>
            <w:r>
              <w:rPr>
                <w:rFonts w:hint="eastAsia"/>
              </w:rPr>
              <w:t>表</w:t>
            </w:r>
            <w:r>
              <w:t>19</w:t>
            </w:r>
            <w:r>
              <w:rPr>
                <w:rFonts w:hint="eastAsia" w:cs="黑体"/>
              </w:rPr>
              <w:t xml:space="preserve"> </w:t>
            </w:r>
            <w:r>
              <w:rPr>
                <w:rFonts w:cs="黑体"/>
              </w:rPr>
              <w:t xml:space="preserve">  </w:t>
            </w:r>
            <w:r>
              <w:rPr>
                <w:rFonts w:hint="eastAsia" w:cs="黑体"/>
              </w:rPr>
              <w:t xml:space="preserve"> 施工期环境保护行动计划</w:t>
            </w:r>
          </w:p>
          <w:tbl>
            <w:tblPr>
              <w:tblStyle w:val="17"/>
              <w:tblW w:w="774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5"/>
              <w:gridCol w:w="992"/>
              <w:gridCol w:w="62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3" w:type="pct"/>
                  <w:tcMar>
                    <w:left w:w="0" w:type="dxa"/>
                    <w:right w:w="0" w:type="dxa"/>
                  </w:tcMar>
                  <w:vAlign w:val="center"/>
                </w:tcPr>
                <w:p>
                  <w:pPr>
                    <w:pStyle w:val="49"/>
                    <w:spacing w:line="300" w:lineRule="exact"/>
                    <w:rPr>
                      <w:rFonts w:cs="宋体"/>
                    </w:rPr>
                  </w:pPr>
                  <w:r>
                    <w:rPr>
                      <w:rFonts w:hint="eastAsia" w:cs="宋体"/>
                    </w:rPr>
                    <w:t>序号</w:t>
                  </w:r>
                </w:p>
              </w:tc>
              <w:tc>
                <w:tcPr>
                  <w:tcW w:w="640" w:type="pct"/>
                  <w:tcMar>
                    <w:left w:w="0" w:type="dxa"/>
                    <w:right w:w="0" w:type="dxa"/>
                  </w:tcMar>
                  <w:vAlign w:val="center"/>
                </w:tcPr>
                <w:p>
                  <w:pPr>
                    <w:pStyle w:val="49"/>
                    <w:spacing w:line="300" w:lineRule="exact"/>
                    <w:rPr>
                      <w:rFonts w:cs="宋体"/>
                    </w:rPr>
                  </w:pPr>
                  <w:r>
                    <w:rPr>
                      <w:rFonts w:hint="eastAsia" w:cs="宋体"/>
                    </w:rPr>
                    <w:t>影响因素</w:t>
                  </w:r>
                </w:p>
              </w:tc>
              <w:tc>
                <w:tcPr>
                  <w:tcW w:w="4047" w:type="pct"/>
                  <w:tcMar>
                    <w:left w:w="0" w:type="dxa"/>
                    <w:right w:w="0" w:type="dxa"/>
                  </w:tcMar>
                  <w:vAlign w:val="center"/>
                </w:tcPr>
                <w:p>
                  <w:pPr>
                    <w:pStyle w:val="49"/>
                    <w:spacing w:line="300" w:lineRule="exact"/>
                    <w:rPr>
                      <w:rFonts w:cs="宋体"/>
                    </w:rPr>
                  </w:pPr>
                  <w:r>
                    <w:rPr>
                      <w:rFonts w:hint="eastAsia" w:cs="宋体"/>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313" w:type="pct"/>
                  <w:tcMar>
                    <w:left w:w="0" w:type="dxa"/>
                    <w:right w:w="0" w:type="dxa"/>
                  </w:tcMar>
                  <w:vAlign w:val="center"/>
                </w:tcPr>
                <w:p>
                  <w:pPr>
                    <w:pStyle w:val="49"/>
                    <w:spacing w:line="300" w:lineRule="exact"/>
                    <w:rPr>
                      <w:rFonts w:cs="宋体"/>
                    </w:rPr>
                  </w:pPr>
                  <w:r>
                    <w:rPr>
                      <w:rFonts w:hint="eastAsia" w:cs="宋体"/>
                    </w:rPr>
                    <w:t>1</w:t>
                  </w:r>
                </w:p>
              </w:tc>
              <w:tc>
                <w:tcPr>
                  <w:tcW w:w="640" w:type="pct"/>
                  <w:tcMar>
                    <w:left w:w="0" w:type="dxa"/>
                    <w:right w:w="0" w:type="dxa"/>
                  </w:tcMar>
                  <w:vAlign w:val="center"/>
                </w:tcPr>
                <w:p>
                  <w:pPr>
                    <w:pStyle w:val="49"/>
                    <w:spacing w:line="300" w:lineRule="exact"/>
                    <w:rPr>
                      <w:rFonts w:cs="宋体"/>
                    </w:rPr>
                  </w:pPr>
                  <w:r>
                    <w:rPr>
                      <w:rFonts w:hint="eastAsia" w:cs="宋体"/>
                    </w:rPr>
                    <w:t>大气环境</w:t>
                  </w:r>
                </w:p>
              </w:tc>
              <w:tc>
                <w:tcPr>
                  <w:tcW w:w="4047" w:type="pct"/>
                  <w:tcMar>
                    <w:left w:w="0" w:type="dxa"/>
                    <w:right w:w="0" w:type="dxa"/>
                  </w:tcMar>
                  <w:vAlign w:val="center"/>
                </w:tcPr>
                <w:p>
                  <w:pPr>
                    <w:pStyle w:val="49"/>
                    <w:spacing w:line="300" w:lineRule="exact"/>
                    <w:jc w:val="both"/>
                    <w:rPr>
                      <w:rFonts w:cs="宋体"/>
                    </w:rPr>
                  </w:pPr>
                  <w:r>
                    <w:rPr>
                      <w:rFonts w:hint="eastAsia" w:cs="宋体"/>
                    </w:rPr>
                    <w:t>施工单位在钻井时应使用符合国家标准的柴油，并定期对设备进行保养维护，柴油机燃烧充分，合理匹配载荷。逸散性材料在井场堆放时，采用苫布遮盖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13" w:type="pct"/>
                  <w:tcMar>
                    <w:left w:w="0" w:type="dxa"/>
                    <w:right w:w="0" w:type="dxa"/>
                  </w:tcMar>
                  <w:vAlign w:val="center"/>
                </w:tcPr>
                <w:p>
                  <w:pPr>
                    <w:pStyle w:val="49"/>
                    <w:spacing w:line="300" w:lineRule="exact"/>
                    <w:rPr>
                      <w:rFonts w:cs="宋体"/>
                    </w:rPr>
                  </w:pPr>
                  <w:r>
                    <w:rPr>
                      <w:rFonts w:hint="eastAsia" w:cs="宋体"/>
                    </w:rPr>
                    <w:t>2</w:t>
                  </w:r>
                </w:p>
              </w:tc>
              <w:tc>
                <w:tcPr>
                  <w:tcW w:w="640" w:type="pct"/>
                  <w:tcMar>
                    <w:left w:w="0" w:type="dxa"/>
                    <w:right w:w="0" w:type="dxa"/>
                  </w:tcMar>
                  <w:vAlign w:val="center"/>
                </w:tcPr>
                <w:p>
                  <w:pPr>
                    <w:pStyle w:val="49"/>
                    <w:spacing w:line="300" w:lineRule="exact"/>
                    <w:rPr>
                      <w:rFonts w:cs="宋体"/>
                    </w:rPr>
                  </w:pPr>
                  <w:r>
                    <w:rPr>
                      <w:rFonts w:hint="eastAsia" w:cs="宋体"/>
                    </w:rPr>
                    <w:t>声环境</w:t>
                  </w:r>
                </w:p>
              </w:tc>
              <w:tc>
                <w:tcPr>
                  <w:tcW w:w="4047" w:type="pct"/>
                  <w:tcMar>
                    <w:left w:w="0" w:type="dxa"/>
                    <w:right w:w="0" w:type="dxa"/>
                  </w:tcMar>
                  <w:vAlign w:val="center"/>
                </w:tcPr>
                <w:p>
                  <w:pPr>
                    <w:pStyle w:val="49"/>
                    <w:spacing w:line="300" w:lineRule="exact"/>
                    <w:jc w:val="both"/>
                    <w:rPr>
                      <w:rFonts w:cs="宋体"/>
                    </w:rPr>
                  </w:pPr>
                  <w:r>
                    <w:rPr>
                      <w:rFonts w:hint="eastAsia" w:cs="宋体"/>
                    </w:rPr>
                    <w:t>施工单位应使用低噪声的施工设备、机械，并定期进行检修和维护，使其处于运行良好的状态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13" w:type="pct"/>
                  <w:tcMar>
                    <w:left w:w="0" w:type="dxa"/>
                    <w:right w:w="0" w:type="dxa"/>
                  </w:tcMar>
                  <w:vAlign w:val="center"/>
                </w:tcPr>
                <w:p>
                  <w:pPr>
                    <w:pStyle w:val="49"/>
                    <w:spacing w:line="300" w:lineRule="exact"/>
                    <w:rPr>
                      <w:rFonts w:cs="宋体"/>
                    </w:rPr>
                  </w:pPr>
                  <w:r>
                    <w:rPr>
                      <w:rFonts w:hint="eastAsia" w:cs="宋体"/>
                    </w:rPr>
                    <w:t>3</w:t>
                  </w:r>
                </w:p>
              </w:tc>
              <w:tc>
                <w:tcPr>
                  <w:tcW w:w="640" w:type="pct"/>
                  <w:tcMar>
                    <w:left w:w="0" w:type="dxa"/>
                    <w:right w:w="0" w:type="dxa"/>
                  </w:tcMar>
                  <w:vAlign w:val="center"/>
                </w:tcPr>
                <w:p>
                  <w:pPr>
                    <w:pStyle w:val="49"/>
                    <w:spacing w:line="300" w:lineRule="exact"/>
                    <w:rPr>
                      <w:rFonts w:cs="宋体"/>
                    </w:rPr>
                  </w:pPr>
                  <w:r>
                    <w:rPr>
                      <w:rFonts w:hint="eastAsia" w:cs="宋体"/>
                    </w:rPr>
                    <w:t>水环境</w:t>
                  </w:r>
                </w:p>
              </w:tc>
              <w:tc>
                <w:tcPr>
                  <w:tcW w:w="4047" w:type="pct"/>
                  <w:tcMar>
                    <w:left w:w="0" w:type="dxa"/>
                    <w:right w:w="0" w:type="dxa"/>
                  </w:tcMar>
                  <w:vAlign w:val="center"/>
                </w:tcPr>
                <w:p>
                  <w:pPr>
                    <w:pStyle w:val="49"/>
                    <w:spacing w:line="300" w:lineRule="exact"/>
                    <w:jc w:val="both"/>
                    <w:rPr>
                      <w:rFonts w:cs="宋体"/>
                    </w:rPr>
                  </w:pPr>
                  <w:r>
                    <w:rPr>
                      <w:rFonts w:hint="eastAsia" w:cs="宋体"/>
                    </w:rPr>
                    <w:t>洗井废水收集至方罐中，集中收集后由罐车拉运至彩南联合站处理；生活污水排至</w:t>
                  </w:r>
                  <w:r>
                    <w:rPr>
                      <w:rFonts w:hint="eastAsia"/>
                    </w:rPr>
                    <w:t>临时生活污水储集防渗池</w:t>
                  </w:r>
                  <w:r>
                    <w:rPr>
                      <w:rFonts w:hint="eastAsia" w:cs="宋体"/>
                    </w:rPr>
                    <w:t>，定期由吸污车将池中的生活污水清运至吉木萨尔县污水处理厂处理</w:t>
                  </w:r>
                </w:p>
              </w:tc>
            </w:tr>
          </w:tbl>
          <w:p>
            <w:pPr>
              <w:pStyle w:val="6"/>
              <w:keepNext/>
              <w:spacing w:line="460" w:lineRule="exact"/>
            </w:pPr>
            <w:r>
              <w:rPr>
                <w:rFonts w:hint="eastAsia"/>
              </w:rPr>
              <w:t>续表</w:t>
            </w:r>
            <w:r>
              <w:t>19</w:t>
            </w:r>
            <w:r>
              <w:rPr>
                <w:rFonts w:hint="eastAsia" w:cs="黑体"/>
              </w:rPr>
              <w:t xml:space="preserve"> </w:t>
            </w:r>
            <w:r>
              <w:rPr>
                <w:rFonts w:cs="黑体"/>
              </w:rPr>
              <w:t xml:space="preserve">  </w:t>
            </w:r>
            <w:r>
              <w:rPr>
                <w:rFonts w:hint="eastAsia" w:cs="黑体"/>
              </w:rPr>
              <w:t xml:space="preserve"> 施工期环境保护行动计划</w:t>
            </w:r>
          </w:p>
          <w:tbl>
            <w:tblPr>
              <w:tblStyle w:val="17"/>
              <w:tblW w:w="781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5"/>
              <w:gridCol w:w="992"/>
              <w:gridCol w:w="9"/>
              <w:gridCol w:w="6262"/>
              <w:gridCol w:w="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42" w:type="pct"/>
                <w:trHeight w:val="57" w:hRule="atLeast"/>
                <w:jc w:val="center"/>
              </w:trPr>
              <w:tc>
                <w:tcPr>
                  <w:tcW w:w="310" w:type="pct"/>
                  <w:tcMar>
                    <w:left w:w="0" w:type="dxa"/>
                    <w:right w:w="0" w:type="dxa"/>
                  </w:tcMar>
                  <w:vAlign w:val="center"/>
                </w:tcPr>
                <w:p>
                  <w:pPr>
                    <w:pStyle w:val="49"/>
                    <w:spacing w:line="300" w:lineRule="exact"/>
                    <w:rPr>
                      <w:rFonts w:cs="宋体"/>
                    </w:rPr>
                  </w:pPr>
                  <w:r>
                    <w:rPr>
                      <w:rFonts w:hint="eastAsia" w:cs="宋体"/>
                    </w:rPr>
                    <w:t>序号</w:t>
                  </w:r>
                </w:p>
              </w:tc>
              <w:tc>
                <w:tcPr>
                  <w:tcW w:w="635" w:type="pct"/>
                  <w:tcMar>
                    <w:left w:w="0" w:type="dxa"/>
                    <w:right w:w="0" w:type="dxa"/>
                  </w:tcMar>
                  <w:vAlign w:val="center"/>
                </w:tcPr>
                <w:p>
                  <w:pPr>
                    <w:pStyle w:val="49"/>
                    <w:spacing w:line="300" w:lineRule="exact"/>
                    <w:rPr>
                      <w:rFonts w:cs="宋体"/>
                    </w:rPr>
                  </w:pPr>
                  <w:r>
                    <w:rPr>
                      <w:rFonts w:hint="eastAsia" w:cs="宋体"/>
                    </w:rPr>
                    <w:t>影响因素</w:t>
                  </w:r>
                </w:p>
              </w:tc>
              <w:tc>
                <w:tcPr>
                  <w:tcW w:w="4013" w:type="pct"/>
                  <w:gridSpan w:val="2"/>
                  <w:tcMar>
                    <w:left w:w="0" w:type="dxa"/>
                    <w:right w:w="0" w:type="dxa"/>
                  </w:tcMar>
                  <w:vAlign w:val="center"/>
                </w:tcPr>
                <w:p>
                  <w:pPr>
                    <w:pStyle w:val="49"/>
                    <w:spacing w:line="300" w:lineRule="exact"/>
                    <w:rPr>
                      <w:rFonts w:cs="宋体"/>
                    </w:rPr>
                  </w:pPr>
                  <w:r>
                    <w:rPr>
                      <w:rFonts w:hint="eastAsia" w:cs="宋体"/>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310" w:type="pct"/>
                  <w:tcMar>
                    <w:left w:w="0" w:type="dxa"/>
                    <w:right w:w="0" w:type="dxa"/>
                  </w:tcMar>
                  <w:vAlign w:val="center"/>
                </w:tcPr>
                <w:p>
                  <w:pPr>
                    <w:pStyle w:val="49"/>
                    <w:spacing w:line="300" w:lineRule="exact"/>
                    <w:rPr>
                      <w:rFonts w:cs="宋体"/>
                    </w:rPr>
                  </w:pPr>
                  <w:r>
                    <w:rPr>
                      <w:rFonts w:hint="eastAsia" w:cs="宋体"/>
                    </w:rPr>
                    <w:t>4</w:t>
                  </w:r>
                </w:p>
              </w:tc>
              <w:tc>
                <w:tcPr>
                  <w:tcW w:w="635" w:type="pct"/>
                  <w:tcMar>
                    <w:left w:w="0" w:type="dxa"/>
                    <w:right w:w="0" w:type="dxa"/>
                  </w:tcMar>
                  <w:vAlign w:val="center"/>
                </w:tcPr>
                <w:p>
                  <w:pPr>
                    <w:pStyle w:val="49"/>
                    <w:spacing w:line="300" w:lineRule="exact"/>
                    <w:rPr>
                      <w:rFonts w:cs="宋体"/>
                    </w:rPr>
                  </w:pPr>
                  <w:r>
                    <w:rPr>
                      <w:rFonts w:hint="eastAsia" w:cs="宋体"/>
                    </w:rPr>
                    <w:t>固体废物</w:t>
                  </w:r>
                </w:p>
              </w:tc>
              <w:tc>
                <w:tcPr>
                  <w:tcW w:w="4055" w:type="pct"/>
                  <w:gridSpan w:val="3"/>
                  <w:tcMar>
                    <w:left w:w="0" w:type="dxa"/>
                    <w:right w:w="0" w:type="dxa"/>
                  </w:tcMar>
                  <w:vAlign w:val="center"/>
                </w:tcPr>
                <w:p>
                  <w:pPr>
                    <w:pStyle w:val="49"/>
                    <w:spacing w:line="300" w:lineRule="exact"/>
                    <w:jc w:val="both"/>
                    <w:rPr>
                      <w:rFonts w:cs="宋体"/>
                      <w:spacing w:val="-8"/>
                    </w:rPr>
                  </w:pPr>
                  <w:r>
                    <w:rPr>
                      <w:rFonts w:hint="eastAsia" w:cs="宋体"/>
                    </w:rPr>
                    <w:t>生活垃圾集中收集后定期拉运至吉木萨尔县生活垃圾填埋场填埋处理。水基钻井岩屑采用不落地系统进行处理，处理后固相进岩屑专用方罐，由岩屑处置单位进行处理，满足《油气田钻井固体废物综合利用污染控制要求》（DB 65/T 3997-2017）相关要求后进行综合利用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310" w:type="pct"/>
                  <w:tcMar>
                    <w:left w:w="0" w:type="dxa"/>
                    <w:right w:w="0" w:type="dxa"/>
                  </w:tcMar>
                  <w:vAlign w:val="center"/>
                </w:tcPr>
                <w:p>
                  <w:pPr>
                    <w:pStyle w:val="49"/>
                    <w:spacing w:line="300" w:lineRule="exact"/>
                    <w:rPr>
                      <w:rFonts w:cs="宋体"/>
                    </w:rPr>
                  </w:pPr>
                  <w:r>
                    <w:rPr>
                      <w:rFonts w:hint="eastAsia" w:cs="宋体"/>
                    </w:rPr>
                    <w:t>5</w:t>
                  </w:r>
                </w:p>
              </w:tc>
              <w:tc>
                <w:tcPr>
                  <w:tcW w:w="641" w:type="pct"/>
                  <w:gridSpan w:val="2"/>
                  <w:tcMar>
                    <w:left w:w="0" w:type="dxa"/>
                    <w:right w:w="0" w:type="dxa"/>
                  </w:tcMar>
                  <w:vAlign w:val="center"/>
                </w:tcPr>
                <w:p>
                  <w:pPr>
                    <w:pStyle w:val="49"/>
                    <w:spacing w:line="300" w:lineRule="exact"/>
                    <w:rPr>
                      <w:rFonts w:cs="宋体"/>
                    </w:rPr>
                  </w:pPr>
                  <w:r>
                    <w:rPr>
                      <w:rFonts w:hint="eastAsia" w:cs="宋体"/>
                    </w:rPr>
                    <w:t>生态环境</w:t>
                  </w:r>
                </w:p>
              </w:tc>
              <w:tc>
                <w:tcPr>
                  <w:tcW w:w="4049" w:type="pct"/>
                  <w:gridSpan w:val="2"/>
                  <w:tcMar>
                    <w:left w:w="0" w:type="dxa"/>
                    <w:right w:w="0" w:type="dxa"/>
                  </w:tcMar>
                  <w:vAlign w:val="center"/>
                </w:tcPr>
                <w:p>
                  <w:pPr>
                    <w:pStyle w:val="49"/>
                    <w:spacing w:line="300" w:lineRule="exact"/>
                    <w:jc w:val="both"/>
                    <w:rPr>
                      <w:rFonts w:cs="宋体"/>
                    </w:rPr>
                  </w:pPr>
                  <w:r>
                    <w:rPr>
                      <w:rFonts w:hint="eastAsia" w:cs="宋体"/>
                      <w:spacing w:val="-8"/>
                    </w:rPr>
                    <w:t>用地面积按实际征地面积划定，不得超过规定面积。施工车辆严格按规定路线行驶，严禁随意开道，碾压植被、扰动土壤避免造成水土流失；严禁破坏植被、捕杀野生动物。施工结束后应对施工场地进行平整，以便自然恢复。钻试工程结束后，环保竣工验收时应对临时占地内土壤进行监测，</w:t>
                  </w:r>
                  <w:r>
                    <w:rPr>
                      <w:rFonts w:hint="eastAsia"/>
                    </w:rPr>
                    <w:t>满足《土壤环境质量 建设用地土壤污染风险管控标准（试行）》（GB36600-2018）第二类用地土壤污染风险筛选值的要求。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310" w:type="pct"/>
                  <w:tcMar>
                    <w:left w:w="0" w:type="dxa"/>
                    <w:right w:w="0" w:type="dxa"/>
                  </w:tcMar>
                  <w:vAlign w:val="center"/>
                </w:tcPr>
                <w:p>
                  <w:pPr>
                    <w:pStyle w:val="49"/>
                    <w:spacing w:line="300" w:lineRule="exact"/>
                    <w:rPr>
                      <w:rFonts w:cs="宋体"/>
                    </w:rPr>
                  </w:pPr>
                  <w:r>
                    <w:rPr>
                      <w:rFonts w:hint="eastAsia" w:cs="宋体"/>
                    </w:rPr>
                    <w:t>6</w:t>
                  </w:r>
                </w:p>
              </w:tc>
              <w:tc>
                <w:tcPr>
                  <w:tcW w:w="641" w:type="pct"/>
                  <w:gridSpan w:val="2"/>
                  <w:tcMar>
                    <w:left w:w="0" w:type="dxa"/>
                    <w:right w:w="0" w:type="dxa"/>
                  </w:tcMar>
                  <w:vAlign w:val="center"/>
                </w:tcPr>
                <w:p>
                  <w:pPr>
                    <w:pStyle w:val="49"/>
                    <w:spacing w:line="300" w:lineRule="exact"/>
                    <w:rPr>
                      <w:rFonts w:cs="宋体"/>
                    </w:rPr>
                  </w:pPr>
                  <w:r>
                    <w:rPr>
                      <w:rFonts w:hint="eastAsia" w:cs="宋体"/>
                    </w:rPr>
                    <w:t>环境管理</w:t>
                  </w:r>
                </w:p>
              </w:tc>
              <w:tc>
                <w:tcPr>
                  <w:tcW w:w="4049" w:type="pct"/>
                  <w:gridSpan w:val="2"/>
                  <w:tcMar>
                    <w:left w:w="0" w:type="dxa"/>
                    <w:right w:w="0" w:type="dxa"/>
                  </w:tcMar>
                  <w:vAlign w:val="center"/>
                </w:tcPr>
                <w:p>
                  <w:pPr>
                    <w:pStyle w:val="49"/>
                    <w:spacing w:line="300" w:lineRule="exact"/>
                    <w:jc w:val="both"/>
                    <w:rPr>
                      <w:rFonts w:cs="宋体"/>
                    </w:rPr>
                  </w:pPr>
                  <w:r>
                    <w:rPr>
                      <w:rFonts w:hint="eastAsia" w:cs="宋体"/>
                    </w:rPr>
                    <w:t>施工单位应建立环境保护档案，保存施工前后项目区的影像资料，使施工全过程各类污染物产生、去向和各个污染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3" w:hRule="atLeast"/>
          <w:jc w:val="center"/>
        </w:trPr>
        <w:tc>
          <w:tcPr>
            <w:tcW w:w="753" w:type="dxa"/>
            <w:vAlign w:val="center"/>
          </w:tcPr>
          <w:p>
            <w:pPr>
              <w:adjustRightInd w:val="0"/>
              <w:snapToGrid w:val="0"/>
              <w:jc w:val="center"/>
              <w:rPr>
                <w:rFonts w:ascii="宋体" w:hAnsi="宋体" w:cs="宋体"/>
                <w:bCs/>
                <w:spacing w:val="10"/>
                <w:sz w:val="24"/>
              </w:rPr>
            </w:pPr>
            <w:r>
              <w:rPr>
                <w:rFonts w:hint="eastAsia" w:ascii="宋体" w:hAnsi="宋体"/>
                <w:bCs/>
                <w:sz w:val="24"/>
              </w:rPr>
              <w:t>环保投资</w:t>
            </w:r>
          </w:p>
        </w:tc>
        <w:tc>
          <w:tcPr>
            <w:tcW w:w="7884" w:type="dxa"/>
            <w:vAlign w:val="center"/>
          </w:tcPr>
          <w:p>
            <w:pPr>
              <w:pStyle w:val="46"/>
              <w:spacing w:line="460" w:lineRule="exact"/>
              <w:ind w:firstLine="480"/>
              <w:rPr>
                <w:rFonts w:ascii="Times New Roman"/>
              </w:rPr>
            </w:pPr>
            <w:r>
              <w:rPr>
                <w:rFonts w:hint="eastAsia"/>
              </w:rPr>
              <w:t>本项目总投资约为</w:t>
            </w:r>
            <w:r>
              <w:t>1400</w:t>
            </w:r>
            <w:r>
              <w:rPr>
                <w:rFonts w:hint="eastAsia"/>
              </w:rPr>
              <w:t>万元，环保投资共为</w:t>
            </w:r>
            <w:r>
              <w:t>137.4万元</w:t>
            </w:r>
            <w:r>
              <w:rPr>
                <w:rFonts w:hint="eastAsia"/>
              </w:rPr>
              <w:t>，占总投资的</w:t>
            </w:r>
            <w:r>
              <w:t>9.8</w:t>
            </w:r>
            <w:r>
              <w:rPr>
                <w:rFonts w:hint="eastAsia"/>
              </w:rPr>
              <w:t>%，详见</w:t>
            </w:r>
            <w:r>
              <w:t>表15</w:t>
            </w:r>
          </w:p>
          <w:p>
            <w:pPr>
              <w:pStyle w:val="6"/>
              <w:keepNext/>
              <w:spacing w:line="460" w:lineRule="exact"/>
              <w:rPr>
                <w:szCs w:val="21"/>
              </w:rPr>
            </w:pPr>
            <w:r>
              <w:rPr>
                <w:rFonts w:hint="eastAsia" w:hAnsi="Times New Roman"/>
              </w:rPr>
              <w:t>表</w:t>
            </w:r>
            <w:r>
              <w:rPr>
                <w:rFonts w:hAnsi="Times New Roman"/>
              </w:rPr>
              <w:t xml:space="preserve">15    </w:t>
            </w:r>
            <w:bookmarkStart w:id="62" w:name="_Hlk115960921"/>
            <w:r>
              <w:rPr>
                <w:szCs w:val="21"/>
              </w:rPr>
              <w:t>环保治理设施环保投资表</w:t>
            </w:r>
            <w:bookmarkEnd w:id="62"/>
          </w:p>
          <w:tbl>
            <w:tblPr>
              <w:tblStyle w:val="17"/>
              <w:tblW w:w="7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85"/>
              <w:gridCol w:w="4875"/>
              <w:gridCol w:w="850"/>
              <w:gridCol w:w="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55" w:type="dxa"/>
                  <w:tcMar>
                    <w:left w:w="0" w:type="dxa"/>
                    <w:right w:w="0" w:type="dxa"/>
                  </w:tcMar>
                  <w:vAlign w:val="center"/>
                </w:tcPr>
                <w:p>
                  <w:pPr>
                    <w:pStyle w:val="44"/>
                    <w:spacing w:line="280" w:lineRule="exact"/>
                  </w:pPr>
                  <w:r>
                    <w:rPr>
                      <w:rFonts w:hint="eastAsia"/>
                    </w:rPr>
                    <w:t>序号</w:t>
                  </w:r>
                </w:p>
              </w:tc>
              <w:tc>
                <w:tcPr>
                  <w:tcW w:w="1085" w:type="dxa"/>
                  <w:tcMar>
                    <w:left w:w="0" w:type="dxa"/>
                    <w:right w:w="0" w:type="dxa"/>
                  </w:tcMar>
                  <w:vAlign w:val="center"/>
                </w:tcPr>
                <w:p>
                  <w:pPr>
                    <w:pStyle w:val="44"/>
                    <w:spacing w:line="280" w:lineRule="exact"/>
                  </w:pPr>
                  <w:r>
                    <w:rPr>
                      <w:rFonts w:hint="eastAsia"/>
                    </w:rPr>
                    <w:t>工程名称</w:t>
                  </w:r>
                </w:p>
              </w:tc>
              <w:tc>
                <w:tcPr>
                  <w:tcW w:w="4875" w:type="dxa"/>
                  <w:tcMar>
                    <w:left w:w="0" w:type="dxa"/>
                    <w:right w:w="0" w:type="dxa"/>
                  </w:tcMar>
                  <w:vAlign w:val="center"/>
                </w:tcPr>
                <w:p>
                  <w:pPr>
                    <w:pStyle w:val="44"/>
                    <w:spacing w:line="280" w:lineRule="exact"/>
                  </w:pPr>
                  <w:r>
                    <w:rPr>
                      <w:rFonts w:hint="eastAsia"/>
                    </w:rPr>
                    <w:t>预计效果</w:t>
                  </w:r>
                </w:p>
              </w:tc>
              <w:tc>
                <w:tcPr>
                  <w:tcW w:w="850" w:type="dxa"/>
                  <w:tcMar>
                    <w:left w:w="0" w:type="dxa"/>
                    <w:right w:w="0" w:type="dxa"/>
                  </w:tcMar>
                  <w:vAlign w:val="center"/>
                </w:tcPr>
                <w:p>
                  <w:pPr>
                    <w:pStyle w:val="44"/>
                    <w:spacing w:line="280" w:lineRule="exact"/>
                  </w:pPr>
                  <w:r>
                    <w:rPr>
                      <w:rFonts w:hint="eastAsia"/>
                    </w:rPr>
                    <w:t>投资</w:t>
                  </w:r>
                </w:p>
                <w:p>
                  <w:pPr>
                    <w:pStyle w:val="44"/>
                    <w:spacing w:line="280" w:lineRule="exact"/>
                  </w:pPr>
                  <w:r>
                    <w:rPr>
                      <w:rFonts w:hint="eastAsia"/>
                    </w:rPr>
                    <w:t>（万元）</w:t>
                  </w:r>
                </w:p>
              </w:tc>
              <w:tc>
                <w:tcPr>
                  <w:tcW w:w="512" w:type="dxa"/>
                  <w:tcMar>
                    <w:left w:w="0" w:type="dxa"/>
                    <w:right w:w="0" w:type="dxa"/>
                  </w:tcMar>
                  <w:vAlign w:val="center"/>
                </w:tcPr>
                <w:p>
                  <w:pPr>
                    <w:pStyle w:val="44"/>
                    <w:spacing w:line="280" w:lineRule="exact"/>
                  </w:pPr>
                  <w:r>
                    <w:rPr>
                      <w:rFonts w:hint="eastAsia"/>
                    </w:rPr>
                    <w:t>实施时间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vMerge w:val="restart"/>
                  <w:tcMar>
                    <w:left w:w="0" w:type="dxa"/>
                    <w:right w:w="0" w:type="dxa"/>
                  </w:tcMar>
                  <w:vAlign w:val="center"/>
                </w:tcPr>
                <w:p>
                  <w:pPr>
                    <w:pStyle w:val="44"/>
                    <w:spacing w:line="280" w:lineRule="exact"/>
                  </w:pPr>
                  <w:r>
                    <w:rPr>
                      <w:rFonts w:hint="eastAsia"/>
                    </w:rPr>
                    <w:t>1</w:t>
                  </w:r>
                </w:p>
              </w:tc>
              <w:tc>
                <w:tcPr>
                  <w:tcW w:w="1085" w:type="dxa"/>
                  <w:vMerge w:val="restart"/>
                  <w:tcMar>
                    <w:left w:w="0" w:type="dxa"/>
                    <w:right w:w="0" w:type="dxa"/>
                  </w:tcMar>
                  <w:vAlign w:val="center"/>
                </w:tcPr>
                <w:p>
                  <w:pPr>
                    <w:pStyle w:val="44"/>
                    <w:spacing w:line="280" w:lineRule="exact"/>
                  </w:pPr>
                  <w:r>
                    <w:rPr>
                      <w:rFonts w:hint="eastAsia"/>
                    </w:rPr>
                    <w:t>固体废物</w:t>
                  </w:r>
                </w:p>
                <w:p>
                  <w:pPr>
                    <w:pStyle w:val="44"/>
                    <w:spacing w:line="280" w:lineRule="exact"/>
                  </w:pPr>
                  <w:r>
                    <w:rPr>
                      <w:rFonts w:hint="eastAsia"/>
                    </w:rPr>
                    <w:t>处置</w:t>
                  </w:r>
                </w:p>
              </w:tc>
              <w:tc>
                <w:tcPr>
                  <w:tcW w:w="4875" w:type="dxa"/>
                  <w:tcMar>
                    <w:left w:w="0" w:type="dxa"/>
                    <w:right w:w="0" w:type="dxa"/>
                  </w:tcMar>
                  <w:vAlign w:val="center"/>
                </w:tcPr>
                <w:p>
                  <w:pPr>
                    <w:pStyle w:val="44"/>
                    <w:spacing w:line="280" w:lineRule="exact"/>
                  </w:pPr>
                  <w:r>
                    <w:rPr>
                      <w:rFonts w:hint="eastAsia"/>
                    </w:rPr>
                    <w:t>水基岩屑经不落地系统处理后，岩屑交由岩屑处置单位处置</w:t>
                  </w:r>
                </w:p>
              </w:tc>
              <w:tc>
                <w:tcPr>
                  <w:tcW w:w="850" w:type="dxa"/>
                  <w:tcMar>
                    <w:left w:w="0" w:type="dxa"/>
                    <w:right w:w="0" w:type="dxa"/>
                  </w:tcMar>
                  <w:vAlign w:val="center"/>
                </w:tcPr>
                <w:p>
                  <w:pPr>
                    <w:pStyle w:val="44"/>
                    <w:spacing w:line="280" w:lineRule="exact"/>
                  </w:pPr>
                  <w:r>
                    <w:rPr>
                      <w:rFonts w:hint="eastAsia"/>
                      <w:color w:val="000000"/>
                    </w:rPr>
                    <w:t>50</w:t>
                  </w:r>
                </w:p>
              </w:tc>
              <w:tc>
                <w:tcPr>
                  <w:tcW w:w="512" w:type="dxa"/>
                  <w:vMerge w:val="restart"/>
                  <w:tcMar>
                    <w:left w:w="0" w:type="dxa"/>
                    <w:right w:w="0" w:type="dxa"/>
                  </w:tcMar>
                  <w:vAlign w:val="center"/>
                </w:tcPr>
                <w:p>
                  <w:pPr>
                    <w:pStyle w:val="44"/>
                    <w:spacing w:line="280" w:lineRule="exact"/>
                  </w:pPr>
                  <w:r>
                    <w:rPr>
                      <w:rFonts w:hint="eastAsia"/>
                    </w:rPr>
                    <w:t>与钻井、试油期同步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vMerge w:val="continue"/>
                  <w:tcMar>
                    <w:left w:w="0" w:type="dxa"/>
                    <w:right w:w="0" w:type="dxa"/>
                  </w:tcMar>
                  <w:vAlign w:val="center"/>
                </w:tcPr>
                <w:p>
                  <w:pPr>
                    <w:pStyle w:val="44"/>
                    <w:spacing w:line="280" w:lineRule="exact"/>
                  </w:pPr>
                </w:p>
              </w:tc>
              <w:tc>
                <w:tcPr>
                  <w:tcW w:w="1085" w:type="dxa"/>
                  <w:vMerge w:val="continue"/>
                  <w:tcMar>
                    <w:left w:w="0" w:type="dxa"/>
                    <w:right w:w="0" w:type="dxa"/>
                  </w:tcMar>
                  <w:vAlign w:val="center"/>
                </w:tcPr>
                <w:p>
                  <w:pPr>
                    <w:pStyle w:val="44"/>
                    <w:spacing w:line="280" w:lineRule="exact"/>
                  </w:pPr>
                </w:p>
              </w:tc>
              <w:tc>
                <w:tcPr>
                  <w:tcW w:w="4875" w:type="dxa"/>
                  <w:tcMar>
                    <w:left w:w="0" w:type="dxa"/>
                    <w:right w:w="0" w:type="dxa"/>
                  </w:tcMar>
                  <w:vAlign w:val="center"/>
                </w:tcPr>
                <w:p>
                  <w:pPr>
                    <w:pStyle w:val="44"/>
                    <w:spacing w:line="280" w:lineRule="exact"/>
                  </w:pPr>
                  <w:r>
                    <w:rPr>
                      <w:rFonts w:hint="eastAsia"/>
                    </w:rPr>
                    <w:t>生活垃圾集中收集后定期送至吉木萨尔县生活垃圾填埋场填埋处置</w:t>
                  </w:r>
                </w:p>
              </w:tc>
              <w:tc>
                <w:tcPr>
                  <w:tcW w:w="850" w:type="dxa"/>
                  <w:tcMar>
                    <w:left w:w="0" w:type="dxa"/>
                    <w:right w:w="0" w:type="dxa"/>
                  </w:tcMar>
                  <w:vAlign w:val="center"/>
                </w:tcPr>
                <w:p>
                  <w:pPr>
                    <w:pStyle w:val="44"/>
                    <w:spacing w:line="280" w:lineRule="exact"/>
                  </w:pPr>
                  <w:r>
                    <w:rPr>
                      <w:rFonts w:hint="eastAsia"/>
                      <w:color w:val="000000"/>
                    </w:rPr>
                    <w:t>15</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vMerge w:val="continue"/>
                  <w:tcMar>
                    <w:left w:w="0" w:type="dxa"/>
                    <w:right w:w="0" w:type="dxa"/>
                  </w:tcMar>
                  <w:vAlign w:val="center"/>
                </w:tcPr>
                <w:p>
                  <w:pPr>
                    <w:pStyle w:val="44"/>
                    <w:spacing w:line="280" w:lineRule="exact"/>
                  </w:pPr>
                </w:p>
              </w:tc>
              <w:tc>
                <w:tcPr>
                  <w:tcW w:w="1085" w:type="dxa"/>
                  <w:vMerge w:val="continue"/>
                  <w:tcMar>
                    <w:left w:w="0" w:type="dxa"/>
                    <w:right w:w="0" w:type="dxa"/>
                  </w:tcMar>
                  <w:vAlign w:val="center"/>
                </w:tcPr>
                <w:p>
                  <w:pPr>
                    <w:pStyle w:val="44"/>
                    <w:spacing w:line="280" w:lineRule="exact"/>
                  </w:pPr>
                </w:p>
              </w:tc>
              <w:tc>
                <w:tcPr>
                  <w:tcW w:w="4875" w:type="dxa"/>
                  <w:tcMar>
                    <w:left w:w="0" w:type="dxa"/>
                    <w:right w:w="0" w:type="dxa"/>
                  </w:tcMar>
                  <w:vAlign w:val="center"/>
                </w:tcPr>
                <w:p>
                  <w:pPr>
                    <w:pStyle w:val="44"/>
                    <w:spacing w:line="280" w:lineRule="exact"/>
                  </w:pPr>
                  <w:r>
                    <w:rPr>
                      <w:rFonts w:hint="eastAsia" w:cs="宋体"/>
                    </w:rPr>
                    <w:t>废防渗材料交由具有相应危废处置资质的单位处置</w:t>
                  </w:r>
                </w:p>
              </w:tc>
              <w:tc>
                <w:tcPr>
                  <w:tcW w:w="850" w:type="dxa"/>
                  <w:tcMar>
                    <w:left w:w="0" w:type="dxa"/>
                    <w:right w:w="0" w:type="dxa"/>
                  </w:tcMar>
                  <w:vAlign w:val="center"/>
                </w:tcPr>
                <w:p>
                  <w:pPr>
                    <w:pStyle w:val="44"/>
                    <w:spacing w:line="280" w:lineRule="exact"/>
                  </w:pPr>
                  <w:r>
                    <w:rPr>
                      <w:rFonts w:hint="eastAsia"/>
                      <w:color w:val="000000"/>
                    </w:rPr>
                    <w:t>5</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tcMar>
                    <w:left w:w="0" w:type="dxa"/>
                    <w:right w:w="0" w:type="dxa"/>
                  </w:tcMar>
                  <w:vAlign w:val="center"/>
                </w:tcPr>
                <w:p>
                  <w:pPr>
                    <w:pStyle w:val="44"/>
                    <w:spacing w:line="280" w:lineRule="exact"/>
                  </w:pPr>
                  <w:r>
                    <w:t>2</w:t>
                  </w:r>
                </w:p>
              </w:tc>
              <w:tc>
                <w:tcPr>
                  <w:tcW w:w="1085" w:type="dxa"/>
                  <w:tcMar>
                    <w:left w:w="0" w:type="dxa"/>
                    <w:right w:w="0" w:type="dxa"/>
                  </w:tcMar>
                  <w:vAlign w:val="center"/>
                </w:tcPr>
                <w:p>
                  <w:pPr>
                    <w:pStyle w:val="44"/>
                    <w:spacing w:line="280" w:lineRule="exact"/>
                  </w:pPr>
                  <w:r>
                    <w:rPr>
                      <w:rFonts w:hint="eastAsia"/>
                    </w:rPr>
                    <w:t>井控装置</w:t>
                  </w:r>
                </w:p>
              </w:tc>
              <w:tc>
                <w:tcPr>
                  <w:tcW w:w="4875" w:type="dxa"/>
                  <w:tcMar>
                    <w:left w:w="0" w:type="dxa"/>
                    <w:right w:w="0" w:type="dxa"/>
                  </w:tcMar>
                  <w:vAlign w:val="center"/>
                </w:tcPr>
                <w:p>
                  <w:pPr>
                    <w:pStyle w:val="44"/>
                    <w:spacing w:line="280" w:lineRule="exact"/>
                  </w:pPr>
                  <w:r>
                    <w:rPr>
                      <w:rFonts w:hint="eastAsia"/>
                    </w:rPr>
                    <w:t>防止井喷</w:t>
                  </w:r>
                </w:p>
              </w:tc>
              <w:tc>
                <w:tcPr>
                  <w:tcW w:w="850" w:type="dxa"/>
                  <w:tcMar>
                    <w:left w:w="0" w:type="dxa"/>
                    <w:right w:w="0" w:type="dxa"/>
                  </w:tcMar>
                  <w:vAlign w:val="center"/>
                </w:tcPr>
                <w:p>
                  <w:pPr>
                    <w:pStyle w:val="44"/>
                    <w:spacing w:line="280" w:lineRule="exact"/>
                  </w:pPr>
                  <w:r>
                    <w:rPr>
                      <w:rFonts w:hint="eastAsia"/>
                      <w:color w:val="000000"/>
                    </w:rPr>
                    <w:t>20</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55" w:type="dxa"/>
                  <w:tcMar>
                    <w:left w:w="0" w:type="dxa"/>
                    <w:right w:w="0" w:type="dxa"/>
                  </w:tcMar>
                  <w:vAlign w:val="center"/>
                </w:tcPr>
                <w:p>
                  <w:pPr>
                    <w:pStyle w:val="44"/>
                    <w:spacing w:line="280" w:lineRule="exact"/>
                  </w:pPr>
                  <w:r>
                    <w:rPr>
                      <w:rFonts w:hint="eastAsia"/>
                    </w:rPr>
                    <w:t>3</w:t>
                  </w:r>
                </w:p>
              </w:tc>
              <w:tc>
                <w:tcPr>
                  <w:tcW w:w="1085" w:type="dxa"/>
                  <w:tcMar>
                    <w:left w:w="0" w:type="dxa"/>
                    <w:right w:w="0" w:type="dxa"/>
                  </w:tcMar>
                  <w:vAlign w:val="center"/>
                </w:tcPr>
                <w:p>
                  <w:pPr>
                    <w:pStyle w:val="44"/>
                    <w:spacing w:line="280" w:lineRule="exact"/>
                  </w:pPr>
                  <w:r>
                    <w:rPr>
                      <w:rFonts w:hint="eastAsia"/>
                    </w:rPr>
                    <w:t>生活污水</w:t>
                  </w:r>
                </w:p>
                <w:p>
                  <w:pPr>
                    <w:pStyle w:val="44"/>
                    <w:spacing w:line="280" w:lineRule="exact"/>
                  </w:pPr>
                  <w:r>
                    <w:rPr>
                      <w:rFonts w:hint="eastAsia"/>
                    </w:rPr>
                    <w:t>处置</w:t>
                  </w:r>
                </w:p>
              </w:tc>
              <w:tc>
                <w:tcPr>
                  <w:tcW w:w="4875" w:type="dxa"/>
                  <w:tcMar>
                    <w:left w:w="0" w:type="dxa"/>
                    <w:right w:w="0" w:type="dxa"/>
                  </w:tcMar>
                  <w:vAlign w:val="center"/>
                </w:tcPr>
                <w:p>
                  <w:pPr>
                    <w:pStyle w:val="44"/>
                    <w:spacing w:line="280" w:lineRule="exact"/>
                  </w:pPr>
                  <w:r>
                    <w:rPr>
                      <w:rFonts w:hint="eastAsia"/>
                    </w:rPr>
                    <w:t>生活污水排至生活营地临时生活污水储集防渗池，定期清运至吉木萨尔县污水处理厂处理</w:t>
                  </w:r>
                </w:p>
              </w:tc>
              <w:tc>
                <w:tcPr>
                  <w:tcW w:w="850" w:type="dxa"/>
                  <w:tcMar>
                    <w:left w:w="0" w:type="dxa"/>
                    <w:right w:w="0" w:type="dxa"/>
                  </w:tcMar>
                  <w:vAlign w:val="center"/>
                </w:tcPr>
                <w:p>
                  <w:pPr>
                    <w:pStyle w:val="44"/>
                    <w:spacing w:line="280" w:lineRule="exact"/>
                  </w:pPr>
                  <w:r>
                    <w:rPr>
                      <w:rFonts w:hint="eastAsia"/>
                      <w:color w:val="000000"/>
                    </w:rPr>
                    <w:t>15</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tcMar>
                    <w:left w:w="0" w:type="dxa"/>
                    <w:right w:w="0" w:type="dxa"/>
                  </w:tcMar>
                  <w:vAlign w:val="center"/>
                </w:tcPr>
                <w:p>
                  <w:pPr>
                    <w:pStyle w:val="44"/>
                    <w:spacing w:line="280" w:lineRule="exact"/>
                  </w:pPr>
                  <w:r>
                    <w:rPr>
                      <w:rFonts w:hint="eastAsia"/>
                    </w:rPr>
                    <w:t>4</w:t>
                  </w:r>
                </w:p>
              </w:tc>
              <w:tc>
                <w:tcPr>
                  <w:tcW w:w="1085" w:type="dxa"/>
                  <w:tcMar>
                    <w:left w:w="0" w:type="dxa"/>
                    <w:right w:w="0" w:type="dxa"/>
                  </w:tcMar>
                  <w:vAlign w:val="center"/>
                </w:tcPr>
                <w:p>
                  <w:pPr>
                    <w:pStyle w:val="44"/>
                    <w:spacing w:line="280" w:lineRule="exact"/>
                  </w:pPr>
                  <w:r>
                    <w:rPr>
                      <w:rFonts w:hint="eastAsia"/>
                    </w:rPr>
                    <w:t>洗井废水</w:t>
                  </w:r>
                </w:p>
                <w:p>
                  <w:pPr>
                    <w:pStyle w:val="44"/>
                    <w:spacing w:line="280" w:lineRule="exact"/>
                  </w:pPr>
                  <w:r>
                    <w:rPr>
                      <w:rFonts w:hint="eastAsia"/>
                    </w:rPr>
                    <w:t>处理</w:t>
                  </w:r>
                </w:p>
              </w:tc>
              <w:tc>
                <w:tcPr>
                  <w:tcW w:w="4875" w:type="dxa"/>
                  <w:tcMar>
                    <w:left w:w="0" w:type="dxa"/>
                    <w:right w:w="0" w:type="dxa"/>
                  </w:tcMar>
                  <w:vAlign w:val="center"/>
                </w:tcPr>
                <w:p>
                  <w:pPr>
                    <w:pStyle w:val="44"/>
                    <w:spacing w:line="280" w:lineRule="exact"/>
                  </w:pPr>
                  <w:r>
                    <w:rPr>
                      <w:rFonts w:hint="eastAsia"/>
                    </w:rPr>
                    <w:t>拉运至彩南联合站处理</w:t>
                  </w:r>
                </w:p>
              </w:tc>
              <w:tc>
                <w:tcPr>
                  <w:tcW w:w="850" w:type="dxa"/>
                  <w:tcMar>
                    <w:left w:w="0" w:type="dxa"/>
                    <w:right w:w="0" w:type="dxa"/>
                  </w:tcMar>
                  <w:vAlign w:val="center"/>
                </w:tcPr>
                <w:p>
                  <w:pPr>
                    <w:pStyle w:val="44"/>
                    <w:spacing w:line="280" w:lineRule="exact"/>
                  </w:pPr>
                  <w:r>
                    <w:rPr>
                      <w:rFonts w:hint="eastAsia"/>
                      <w:color w:val="000000"/>
                    </w:rPr>
                    <w:t>10</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55" w:type="dxa"/>
                  <w:tcMar>
                    <w:left w:w="0" w:type="dxa"/>
                    <w:right w:w="0" w:type="dxa"/>
                  </w:tcMar>
                  <w:vAlign w:val="center"/>
                </w:tcPr>
                <w:p>
                  <w:pPr>
                    <w:pStyle w:val="44"/>
                    <w:spacing w:line="280" w:lineRule="exact"/>
                  </w:pPr>
                  <w:r>
                    <w:rPr>
                      <w:rFonts w:hint="eastAsia"/>
                    </w:rPr>
                    <w:t>5</w:t>
                  </w:r>
                </w:p>
              </w:tc>
              <w:tc>
                <w:tcPr>
                  <w:tcW w:w="1085" w:type="dxa"/>
                  <w:tcMar>
                    <w:left w:w="0" w:type="dxa"/>
                    <w:right w:w="0" w:type="dxa"/>
                  </w:tcMar>
                  <w:vAlign w:val="center"/>
                </w:tcPr>
                <w:p>
                  <w:pPr>
                    <w:pStyle w:val="44"/>
                    <w:spacing w:line="280" w:lineRule="exact"/>
                  </w:pPr>
                  <w:r>
                    <w:rPr>
                      <w:rFonts w:hint="eastAsia"/>
                    </w:rPr>
                    <w:t>硫化氢监测</w:t>
                  </w:r>
                </w:p>
              </w:tc>
              <w:tc>
                <w:tcPr>
                  <w:tcW w:w="4875" w:type="dxa"/>
                  <w:tcMar>
                    <w:left w:w="0" w:type="dxa"/>
                    <w:right w:w="0" w:type="dxa"/>
                  </w:tcMar>
                  <w:vAlign w:val="center"/>
                </w:tcPr>
                <w:p>
                  <w:pPr>
                    <w:pStyle w:val="44"/>
                    <w:spacing w:line="280" w:lineRule="exact"/>
                  </w:pPr>
                  <w:r>
                    <w:rPr>
                      <w:rStyle w:val="48"/>
                      <w:rFonts w:hint="eastAsia"/>
                    </w:rPr>
                    <w:t>对硫化氢气体浓度进行检测</w:t>
                  </w:r>
                </w:p>
              </w:tc>
              <w:tc>
                <w:tcPr>
                  <w:tcW w:w="850" w:type="dxa"/>
                  <w:tcMar>
                    <w:left w:w="0" w:type="dxa"/>
                    <w:right w:w="0" w:type="dxa"/>
                  </w:tcMar>
                  <w:vAlign w:val="center"/>
                </w:tcPr>
                <w:p>
                  <w:pPr>
                    <w:pStyle w:val="44"/>
                    <w:spacing w:line="280" w:lineRule="exact"/>
                  </w:pPr>
                  <w:r>
                    <w:rPr>
                      <w:rFonts w:hint="eastAsia"/>
                      <w:color w:val="000000"/>
                    </w:rPr>
                    <w:t>5</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55" w:type="dxa"/>
                  <w:tcMar>
                    <w:left w:w="0" w:type="dxa"/>
                    <w:right w:w="0" w:type="dxa"/>
                  </w:tcMar>
                  <w:vAlign w:val="center"/>
                </w:tcPr>
                <w:p>
                  <w:pPr>
                    <w:pStyle w:val="44"/>
                    <w:spacing w:line="280" w:lineRule="exact"/>
                  </w:pPr>
                  <w:r>
                    <w:rPr>
                      <w:rFonts w:hint="eastAsia"/>
                    </w:rPr>
                    <w:t>6</w:t>
                  </w:r>
                </w:p>
              </w:tc>
              <w:tc>
                <w:tcPr>
                  <w:tcW w:w="1085" w:type="dxa"/>
                  <w:tcMar>
                    <w:left w:w="0" w:type="dxa"/>
                    <w:right w:w="0" w:type="dxa"/>
                  </w:tcMar>
                  <w:vAlign w:val="center"/>
                </w:tcPr>
                <w:p>
                  <w:pPr>
                    <w:pStyle w:val="44"/>
                    <w:spacing w:line="280" w:lineRule="exact"/>
                  </w:pPr>
                  <w:r>
                    <w:rPr>
                      <w:rFonts w:hint="eastAsia"/>
                    </w:rPr>
                    <w:t>完井后恢复</w:t>
                  </w:r>
                </w:p>
              </w:tc>
              <w:tc>
                <w:tcPr>
                  <w:tcW w:w="4875" w:type="dxa"/>
                  <w:tcMar>
                    <w:left w:w="0" w:type="dxa"/>
                    <w:right w:w="0" w:type="dxa"/>
                  </w:tcMar>
                  <w:vAlign w:val="center"/>
                </w:tcPr>
                <w:p>
                  <w:pPr>
                    <w:pStyle w:val="44"/>
                    <w:spacing w:line="280" w:lineRule="exact"/>
                    <w:rPr>
                      <w:spacing w:val="8"/>
                    </w:rPr>
                  </w:pPr>
                  <w:r>
                    <w:rPr>
                      <w:rFonts w:hint="eastAsia"/>
                      <w:spacing w:val="8"/>
                    </w:rPr>
                    <w:t>征地及草地补偿，场地清理，恢复平整，防沙治沙措施</w:t>
                  </w:r>
                </w:p>
              </w:tc>
              <w:tc>
                <w:tcPr>
                  <w:tcW w:w="850" w:type="dxa"/>
                  <w:tcMar>
                    <w:left w:w="0" w:type="dxa"/>
                    <w:right w:w="0" w:type="dxa"/>
                  </w:tcMar>
                  <w:vAlign w:val="center"/>
                </w:tcPr>
                <w:p>
                  <w:pPr>
                    <w:pStyle w:val="44"/>
                    <w:spacing w:line="280" w:lineRule="exact"/>
                  </w:pPr>
                  <w:r>
                    <w:rPr>
                      <w:color w:val="000000"/>
                    </w:rPr>
                    <w:t>1</w:t>
                  </w:r>
                  <w:r>
                    <w:rPr>
                      <w:rFonts w:hint="eastAsia"/>
                      <w:color w:val="000000"/>
                    </w:rPr>
                    <w:t>7.4</w:t>
                  </w:r>
                </w:p>
              </w:tc>
              <w:tc>
                <w:tcPr>
                  <w:tcW w:w="512" w:type="dxa"/>
                  <w:vMerge w:val="continue"/>
                  <w:tcMar>
                    <w:left w:w="0" w:type="dxa"/>
                    <w:right w:w="0" w:type="dxa"/>
                  </w:tcMar>
                  <w:vAlign w:val="center"/>
                </w:tcPr>
                <w:p>
                  <w:pPr>
                    <w:pStyle w:val="44"/>
                    <w:spacing w:line="280" w:lineRule="exact"/>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dxa"/>
                  <w:tcMar>
                    <w:left w:w="0" w:type="dxa"/>
                    <w:right w:w="0" w:type="dxa"/>
                  </w:tcMar>
                  <w:vAlign w:val="center"/>
                </w:tcPr>
                <w:p>
                  <w:pPr>
                    <w:pStyle w:val="44"/>
                    <w:spacing w:line="280" w:lineRule="exact"/>
                  </w:pPr>
                  <w:r>
                    <w:rPr>
                      <w:rFonts w:hint="eastAsia"/>
                    </w:rPr>
                    <w:t>合计</w:t>
                  </w:r>
                </w:p>
              </w:tc>
              <w:tc>
                <w:tcPr>
                  <w:tcW w:w="1085" w:type="dxa"/>
                  <w:tcMar>
                    <w:left w:w="0" w:type="dxa"/>
                    <w:right w:w="0" w:type="dxa"/>
                  </w:tcMar>
                  <w:vAlign w:val="center"/>
                </w:tcPr>
                <w:p>
                  <w:pPr>
                    <w:pStyle w:val="44"/>
                    <w:spacing w:line="280" w:lineRule="exact"/>
                  </w:pPr>
                  <w:r>
                    <w:rPr>
                      <w:rFonts w:hint="eastAsia"/>
                    </w:rPr>
                    <w:t>/</w:t>
                  </w:r>
                </w:p>
              </w:tc>
              <w:tc>
                <w:tcPr>
                  <w:tcW w:w="4875" w:type="dxa"/>
                  <w:tcMar>
                    <w:left w:w="0" w:type="dxa"/>
                    <w:right w:w="0" w:type="dxa"/>
                  </w:tcMar>
                  <w:vAlign w:val="center"/>
                </w:tcPr>
                <w:p>
                  <w:pPr>
                    <w:pStyle w:val="44"/>
                    <w:spacing w:line="280" w:lineRule="exact"/>
                  </w:pPr>
                  <w:r>
                    <w:rPr>
                      <w:rFonts w:hint="eastAsia"/>
                    </w:rPr>
                    <w:t>/</w:t>
                  </w:r>
                </w:p>
              </w:tc>
              <w:tc>
                <w:tcPr>
                  <w:tcW w:w="850" w:type="dxa"/>
                  <w:tcMar>
                    <w:left w:w="0" w:type="dxa"/>
                    <w:right w:w="0" w:type="dxa"/>
                  </w:tcMar>
                  <w:vAlign w:val="center"/>
                </w:tcPr>
                <w:p>
                  <w:pPr>
                    <w:pStyle w:val="44"/>
                    <w:spacing w:line="280" w:lineRule="exact"/>
                  </w:pPr>
                  <w:r>
                    <w:t>137.4</w:t>
                  </w:r>
                </w:p>
              </w:tc>
              <w:tc>
                <w:tcPr>
                  <w:tcW w:w="512" w:type="dxa"/>
                  <w:vMerge w:val="continue"/>
                  <w:tcMar>
                    <w:left w:w="0" w:type="dxa"/>
                    <w:right w:w="0" w:type="dxa"/>
                  </w:tcMar>
                  <w:vAlign w:val="center"/>
                </w:tcPr>
                <w:p>
                  <w:pPr>
                    <w:pStyle w:val="44"/>
                    <w:spacing w:line="280" w:lineRule="exact"/>
                  </w:pPr>
                </w:p>
              </w:tc>
            </w:tr>
          </w:tbl>
          <w:p>
            <w:pPr>
              <w:rPr>
                <w:rFonts w:ascii="宋体" w:hAnsi="宋体" w:cs="宋体"/>
                <w:szCs w:val="21"/>
              </w:rPr>
            </w:pPr>
          </w:p>
        </w:tc>
      </w:tr>
    </w:tbl>
    <w:p>
      <w:pPr>
        <w:sectPr>
          <w:pgSz w:w="11907" w:h="16840"/>
          <w:pgMar w:top="1440" w:right="1797" w:bottom="1440" w:left="1797" w:header="851" w:footer="1077" w:gutter="0"/>
          <w:cols w:space="720" w:num="1"/>
          <w:docGrid w:linePitch="312" w:charSpace="0"/>
        </w:sectPr>
      </w:pPr>
    </w:p>
    <w:p>
      <w:pPr>
        <w:pStyle w:val="14"/>
        <w:spacing w:before="0" w:beforeAutospacing="0" w:after="0" w:afterAutospacing="0" w:line="500" w:lineRule="exact"/>
        <w:jc w:val="center"/>
        <w:outlineLvl w:val="0"/>
        <w:rPr>
          <w:rFonts w:ascii="黑体" w:hAnsi="黑体" w:eastAsia="黑体"/>
          <w:snapToGrid w:val="0"/>
          <w:sz w:val="30"/>
          <w:szCs w:val="30"/>
        </w:rPr>
      </w:pPr>
      <w:r>
        <w:rPr>
          <w:rFonts w:hint="eastAsia" w:ascii="黑体" w:hAnsi="黑体" w:eastAsia="黑体"/>
          <w:snapToGrid w:val="0"/>
          <w:sz w:val="30"/>
          <w:szCs w:val="30"/>
        </w:rPr>
        <w:t>六、</w:t>
      </w:r>
      <w:bookmarkStart w:id="63" w:name="_Hlk115960757"/>
      <w:r>
        <w:rPr>
          <w:rFonts w:hint="eastAsia" w:ascii="黑体" w:hAnsi="黑体" w:eastAsia="黑体"/>
          <w:snapToGrid w:val="0"/>
          <w:sz w:val="30"/>
          <w:szCs w:val="30"/>
        </w:rPr>
        <w:t>生态环境保护措施监督检查清单</w:t>
      </w:r>
      <w:bookmarkEnd w:id="63"/>
    </w:p>
    <w:tbl>
      <w:tblPr>
        <w:tblStyle w:val="17"/>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66"/>
        <w:gridCol w:w="4621"/>
        <w:gridCol w:w="1761"/>
        <w:gridCol w:w="708"/>
        <w:gridCol w:w="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10" w:type="pct"/>
            <w:vMerge w:val="restart"/>
            <w:tcBorders>
              <w:tl2br w:val="single" w:color="auto" w:sz="4" w:space="0"/>
            </w:tcBorders>
          </w:tcPr>
          <w:p>
            <w:pPr>
              <w:pStyle w:val="14"/>
              <w:adjustRightInd w:val="0"/>
              <w:snapToGrid w:val="0"/>
              <w:spacing w:before="72" w:beforeLines="30" w:beforeAutospacing="0" w:after="0" w:afterAutospacing="0" w:line="300" w:lineRule="exact"/>
              <w:jc w:val="right"/>
              <w:rPr>
                <w:rFonts w:cs="宋体"/>
                <w:kern w:val="2"/>
                <w:sz w:val="21"/>
                <w:szCs w:val="21"/>
              </w:rPr>
            </w:pPr>
            <w:r>
              <w:rPr>
                <w:rFonts w:hint="eastAsia" w:cs="宋体"/>
                <w:kern w:val="2"/>
                <w:sz w:val="21"/>
                <w:szCs w:val="21"/>
              </w:rPr>
              <w:t>内容</w:t>
            </w:r>
          </w:p>
          <w:p>
            <w:pPr>
              <w:pStyle w:val="14"/>
              <w:adjustRightInd w:val="0"/>
              <w:snapToGrid w:val="0"/>
              <w:spacing w:before="0" w:beforeAutospacing="0" w:after="0" w:afterAutospacing="0" w:line="300" w:lineRule="exact"/>
              <w:rPr>
                <w:rFonts w:cs="宋体"/>
                <w:kern w:val="2"/>
                <w:sz w:val="21"/>
                <w:szCs w:val="21"/>
              </w:rPr>
            </w:pPr>
            <w:r>
              <w:rPr>
                <w:rFonts w:hint="eastAsia" w:cs="宋体"/>
                <w:kern w:val="2"/>
                <w:sz w:val="21"/>
                <w:szCs w:val="21"/>
              </w:rPr>
              <w:t xml:space="preserve">  </w:t>
            </w:r>
          </w:p>
          <w:p>
            <w:pPr>
              <w:pStyle w:val="14"/>
              <w:adjustRightInd w:val="0"/>
              <w:snapToGrid w:val="0"/>
              <w:spacing w:before="0" w:beforeAutospacing="0" w:after="0" w:afterAutospacing="0" w:line="300" w:lineRule="exact"/>
              <w:jc w:val="both"/>
              <w:rPr>
                <w:rFonts w:cs="宋体"/>
                <w:kern w:val="2"/>
                <w:sz w:val="21"/>
                <w:szCs w:val="21"/>
              </w:rPr>
            </w:pPr>
            <w:r>
              <w:rPr>
                <w:rFonts w:hint="eastAsia" w:cs="宋体"/>
                <w:kern w:val="2"/>
                <w:sz w:val="21"/>
                <w:szCs w:val="21"/>
              </w:rPr>
              <w:t>要素</w:t>
            </w:r>
          </w:p>
        </w:tc>
        <w:tc>
          <w:tcPr>
            <w:tcW w:w="3649" w:type="pct"/>
            <w:gridSpan w:val="2"/>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施工期</w:t>
            </w:r>
          </w:p>
        </w:tc>
        <w:tc>
          <w:tcPr>
            <w:tcW w:w="740" w:type="pct"/>
            <w:gridSpan w:val="2"/>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10" w:type="pct"/>
            <w:vMerge w:val="continue"/>
          </w:tcPr>
          <w:p>
            <w:pPr>
              <w:pStyle w:val="14"/>
              <w:adjustRightInd w:val="0"/>
              <w:snapToGrid w:val="0"/>
              <w:spacing w:before="0" w:beforeAutospacing="0" w:after="0" w:afterAutospacing="0" w:line="300" w:lineRule="exact"/>
              <w:ind w:firstLine="840"/>
              <w:jc w:val="center"/>
              <w:rPr>
                <w:rFonts w:cs="宋体"/>
                <w:kern w:val="2"/>
                <w:sz w:val="21"/>
                <w:szCs w:val="21"/>
              </w:rPr>
            </w:pPr>
          </w:p>
        </w:tc>
        <w:tc>
          <w:tcPr>
            <w:tcW w:w="2643" w:type="pct"/>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环境保护措施</w:t>
            </w:r>
          </w:p>
        </w:tc>
        <w:tc>
          <w:tcPr>
            <w:tcW w:w="1007" w:type="pct"/>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验收要求</w:t>
            </w:r>
          </w:p>
        </w:tc>
        <w:tc>
          <w:tcPr>
            <w:tcW w:w="405" w:type="pct"/>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环境保护措施</w:t>
            </w:r>
          </w:p>
        </w:tc>
        <w:tc>
          <w:tcPr>
            <w:tcW w:w="335" w:type="pct"/>
            <w:vAlign w:val="center"/>
          </w:tcPr>
          <w:p>
            <w:pPr>
              <w:pStyle w:val="14"/>
              <w:adjustRightInd w:val="0"/>
              <w:snapToGrid w:val="0"/>
              <w:spacing w:before="0" w:beforeAutospacing="0" w:after="0" w:afterAutospacing="0" w:line="300" w:lineRule="exact"/>
              <w:jc w:val="center"/>
              <w:rPr>
                <w:rFonts w:cs="宋体"/>
                <w:kern w:val="2"/>
                <w:sz w:val="21"/>
                <w:szCs w:val="21"/>
              </w:rPr>
            </w:pPr>
            <w:r>
              <w:rPr>
                <w:rFonts w:hint="eastAsia"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9"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陆生生态</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①确保各环保设施正常运行，避免各种污染物对土壤环境的影响；②严格控制占地，严格遵守油田环境保护规章制度，严格划定路线，禁止乱碾乱轧；③严格规定各类工作人员的活动范围；④完井后施工设备及时撤离，固体废物全部妥善处置，现场禁止遗留，占地应清理平整，尽量利用井场及临时道路施工时产生的弃土对临时占地进行覆盖；⑤按用地审批手续进行经济补偿费</w:t>
            </w:r>
          </w:p>
        </w:tc>
        <w:tc>
          <w:tcPr>
            <w:tcW w:w="1007" w:type="pct"/>
            <w:vAlign w:val="center"/>
          </w:tcPr>
          <w:p>
            <w:pPr>
              <w:adjustRightInd w:val="0"/>
              <w:snapToGrid w:val="0"/>
              <w:spacing w:line="300" w:lineRule="exact"/>
              <w:rPr>
                <w:rFonts w:ascii="宋体" w:hAnsi="宋体" w:cs="宋体"/>
                <w:szCs w:val="21"/>
              </w:rPr>
            </w:pPr>
            <w:r>
              <w:rPr>
                <w:rFonts w:hint="eastAsia" w:ascii="宋体" w:hAnsi="宋体" w:cs="宋体"/>
                <w:szCs w:val="21"/>
              </w:rPr>
              <w:t>生态保护措施落实情况；井场及周边占地恢复情况</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防沙治沙</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①优化施工组织，缩短施工时间；②施工结束后对场地进行清理、平整并压实，场站实施场地硬化；③禁止在沙化土地上砍挖灌木、药材及其他固沙植物</w:t>
            </w:r>
          </w:p>
        </w:tc>
        <w:tc>
          <w:tcPr>
            <w:tcW w:w="1007" w:type="pct"/>
            <w:vAlign w:val="center"/>
          </w:tcPr>
          <w:p>
            <w:pPr>
              <w:adjustRightInd w:val="0"/>
              <w:snapToGrid w:val="0"/>
              <w:spacing w:line="300" w:lineRule="exact"/>
              <w:rPr>
                <w:rFonts w:ascii="宋体" w:hAnsi="宋体" w:cs="宋体"/>
                <w:szCs w:val="21"/>
              </w:rPr>
            </w:pPr>
            <w:r>
              <w:rPr>
                <w:rFonts w:hint="eastAsia" w:ascii="宋体" w:hAnsi="宋体" w:cs="宋体"/>
                <w:szCs w:val="21"/>
              </w:rPr>
              <w:t>防沙治沙措施落实情况；井场及周边占地恢复情况</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水土流失</w:t>
            </w:r>
          </w:p>
        </w:tc>
        <w:tc>
          <w:tcPr>
            <w:tcW w:w="2643" w:type="pct"/>
            <w:vAlign w:val="center"/>
          </w:tcPr>
          <w:p>
            <w:pPr>
              <w:adjustRightInd w:val="0"/>
              <w:snapToGrid w:val="0"/>
              <w:spacing w:line="300" w:lineRule="exact"/>
              <w:rPr>
                <w:rFonts w:ascii="宋体" w:hAnsi="宋体" w:cs="宋体"/>
                <w:szCs w:val="21"/>
              </w:rPr>
            </w:pPr>
            <w:r>
              <w:rPr>
                <w:rFonts w:hint="eastAsia" w:ascii="宋体" w:hAnsi="宋体"/>
                <w:szCs w:val="21"/>
              </w:rPr>
              <w:t>①不另辟施工便道，不得离开运输道路及随意驾驶；②加强施工期管理，加速建设进度，减少施工期水土流失的产生；③</w:t>
            </w:r>
            <w:r>
              <w:rPr>
                <w:rFonts w:ascii="宋体" w:hAnsi="宋体"/>
                <w:szCs w:val="21"/>
              </w:rPr>
              <w:t>施工结束后对场地进行清理、平整并压实，场站实施场地硬化，避免水土流失影响</w:t>
            </w:r>
          </w:p>
        </w:tc>
        <w:tc>
          <w:tcPr>
            <w:tcW w:w="1007" w:type="pct"/>
            <w:vAlign w:val="center"/>
          </w:tcPr>
          <w:p>
            <w:pPr>
              <w:adjustRightInd w:val="0"/>
              <w:snapToGrid w:val="0"/>
              <w:spacing w:line="300" w:lineRule="exact"/>
              <w:rPr>
                <w:rFonts w:ascii="宋体" w:hAnsi="宋体" w:cs="宋体"/>
                <w:szCs w:val="21"/>
              </w:rPr>
            </w:pPr>
            <w:r>
              <w:rPr>
                <w:rFonts w:hint="eastAsia" w:ascii="宋体" w:hAnsi="宋体" w:cs="宋体"/>
                <w:szCs w:val="21"/>
              </w:rPr>
              <w:t>水土流失措施落实情况；井场及周边占地恢复情况</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水生生态</w:t>
            </w:r>
          </w:p>
        </w:tc>
        <w:tc>
          <w:tcPr>
            <w:tcW w:w="2643" w:type="pct"/>
            <w:vAlign w:val="center"/>
          </w:tcPr>
          <w:p>
            <w:pPr>
              <w:adjustRightInd w:val="0"/>
              <w:snapToGrid w:val="0"/>
              <w:spacing w:line="300" w:lineRule="exact"/>
              <w:jc w:val="center"/>
              <w:rPr>
                <w:rFonts w:ascii="宋体" w:hAnsi="宋体" w:cs="宋体"/>
                <w:szCs w:val="21"/>
              </w:rPr>
            </w:pPr>
          </w:p>
        </w:tc>
        <w:tc>
          <w:tcPr>
            <w:tcW w:w="1007" w:type="pct"/>
            <w:vAlign w:val="center"/>
          </w:tcPr>
          <w:p>
            <w:pPr>
              <w:adjustRightInd w:val="0"/>
              <w:snapToGrid w:val="0"/>
              <w:spacing w:line="300" w:lineRule="exact"/>
              <w:jc w:val="center"/>
              <w:rPr>
                <w:rFonts w:ascii="宋体" w:hAnsi="宋体" w:cs="宋体"/>
                <w:szCs w:val="21"/>
              </w:rPr>
            </w:pPr>
          </w:p>
        </w:tc>
        <w:tc>
          <w:tcPr>
            <w:tcW w:w="405" w:type="pct"/>
            <w:vAlign w:val="center"/>
          </w:tcPr>
          <w:p>
            <w:pPr>
              <w:adjustRightInd w:val="0"/>
              <w:snapToGrid w:val="0"/>
              <w:spacing w:line="300" w:lineRule="exact"/>
              <w:jc w:val="center"/>
              <w:rPr>
                <w:rFonts w:ascii="宋体" w:hAnsi="宋体" w:cs="宋体"/>
                <w:szCs w:val="21"/>
              </w:rPr>
            </w:pPr>
          </w:p>
        </w:tc>
        <w:tc>
          <w:tcPr>
            <w:tcW w:w="335" w:type="pct"/>
            <w:vAlign w:val="center"/>
          </w:tcPr>
          <w:p>
            <w:pPr>
              <w:adjustRightInd w:val="0"/>
              <w:snapToGrid w:val="0"/>
              <w:spacing w:line="300" w:lineRule="exact"/>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10" w:type="pct"/>
            <w:vAlign w:val="center"/>
          </w:tcPr>
          <w:p>
            <w:pPr>
              <w:adjustRightInd w:val="0"/>
              <w:snapToGrid w:val="0"/>
              <w:spacing w:line="300" w:lineRule="exact"/>
              <w:jc w:val="center"/>
              <w:rPr>
                <w:rFonts w:ascii="宋体" w:hAnsi="宋体" w:cs="宋体"/>
                <w:spacing w:val="-10"/>
                <w:szCs w:val="21"/>
              </w:rPr>
            </w:pPr>
            <w:r>
              <w:rPr>
                <w:rFonts w:hint="eastAsia" w:ascii="宋体" w:hAnsi="宋体" w:cs="宋体"/>
                <w:spacing w:val="-10"/>
                <w:szCs w:val="21"/>
              </w:rPr>
              <w:t>地表水环境</w:t>
            </w:r>
          </w:p>
        </w:tc>
        <w:tc>
          <w:tcPr>
            <w:tcW w:w="2643"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地下水及土壤环境</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①生活污水：排至</w:t>
            </w:r>
            <w:r>
              <w:rPr>
                <w:rFonts w:hint="eastAsia" w:ascii="宋体" w:hAnsi="宋体"/>
                <w:szCs w:val="21"/>
              </w:rPr>
              <w:t>临时生活污水储集防渗池</w:t>
            </w:r>
            <w:r>
              <w:rPr>
                <w:rFonts w:hint="eastAsia" w:ascii="宋体" w:hAnsi="宋体" w:cs="宋体"/>
                <w:szCs w:val="21"/>
              </w:rPr>
              <w:t>，定期清运至</w:t>
            </w:r>
            <w:bookmarkStart w:id="64" w:name="_Hlk116085366"/>
            <w:r>
              <w:rPr>
                <w:rFonts w:hint="eastAsia" w:ascii="宋体" w:hAnsi="宋体" w:cs="宋体"/>
                <w:szCs w:val="21"/>
              </w:rPr>
              <w:t>吉木萨尔县污水处理厂</w:t>
            </w:r>
            <w:bookmarkEnd w:id="64"/>
            <w:r>
              <w:rPr>
                <w:rFonts w:hint="eastAsia" w:ascii="宋体" w:hAnsi="宋体" w:cs="宋体"/>
                <w:szCs w:val="21"/>
              </w:rPr>
              <w:t>处理；②洗井废水：集中收集后送至彩南联合站处理</w:t>
            </w:r>
          </w:p>
        </w:tc>
        <w:tc>
          <w:tcPr>
            <w:tcW w:w="1007" w:type="pct"/>
            <w:vAlign w:val="center"/>
          </w:tcPr>
          <w:p>
            <w:pPr>
              <w:wordWrap w:val="0"/>
              <w:adjustRightInd w:val="0"/>
              <w:snapToGrid w:val="0"/>
              <w:spacing w:line="300" w:lineRule="exact"/>
              <w:rPr>
                <w:rFonts w:ascii="宋体" w:hAnsi="宋体" w:cs="宋体"/>
                <w:szCs w:val="21"/>
              </w:rPr>
            </w:pPr>
            <w:r>
              <w:rPr>
                <w:rFonts w:hint="eastAsia" w:ascii="宋体" w:hAnsi="宋体"/>
                <w:szCs w:val="21"/>
              </w:rPr>
              <w:t>①生活污水签订清运协议；</w:t>
            </w:r>
            <w:r>
              <w:rPr>
                <w:rFonts w:hint="eastAsia" w:ascii="宋体" w:hAnsi="宋体" w:cs="宋体"/>
                <w:szCs w:val="21"/>
              </w:rPr>
              <w:t>②洗井废水不外排；③临时占地范围内土壤应满足</w:t>
            </w:r>
            <w:r>
              <w:rPr>
                <w:rFonts w:hint="eastAsia" w:ascii="宋体" w:hAnsi="宋体"/>
                <w:szCs w:val="21"/>
              </w:rPr>
              <w:t>《土壤环境质量 建设用地土壤污染风险管控标准（试行）》（GB36600-2018）第二类用地土壤污染风险筛选值</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声环境</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设备底部进行基础减震</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随着钻试工程的结束现场无噪音产生</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振动</w:t>
            </w:r>
          </w:p>
        </w:tc>
        <w:tc>
          <w:tcPr>
            <w:tcW w:w="2643"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大气环境</w:t>
            </w:r>
          </w:p>
        </w:tc>
        <w:tc>
          <w:tcPr>
            <w:tcW w:w="2643" w:type="pct"/>
            <w:vAlign w:val="center"/>
          </w:tcPr>
          <w:p>
            <w:pPr>
              <w:adjustRightInd w:val="0"/>
              <w:snapToGrid w:val="0"/>
              <w:spacing w:line="300" w:lineRule="exact"/>
              <w:rPr>
                <w:rFonts w:ascii="宋体" w:hAnsi="宋体" w:cs="宋体"/>
                <w:spacing w:val="-2"/>
                <w:szCs w:val="21"/>
              </w:rPr>
            </w:pPr>
            <w:r>
              <w:rPr>
                <w:rFonts w:hint="eastAsia" w:ascii="宋体" w:hAnsi="宋体" w:cs="宋体"/>
                <w:spacing w:val="-2"/>
                <w:szCs w:val="21"/>
              </w:rPr>
              <w:t>①使用达标柴油，加强设备维护；②试油期产生的伴生气不稳定无法进行回收，经排气管线燃烧后排放；③对易起尘物料遮盖，加强车辆管理</w:t>
            </w:r>
          </w:p>
        </w:tc>
        <w:tc>
          <w:tcPr>
            <w:tcW w:w="1007" w:type="pct"/>
            <w:vAlign w:val="center"/>
          </w:tcPr>
          <w:p>
            <w:pPr>
              <w:adjustRightInd w:val="0"/>
              <w:snapToGrid w:val="0"/>
              <w:spacing w:line="300" w:lineRule="exact"/>
              <w:rPr>
                <w:rFonts w:ascii="宋体" w:hAnsi="宋体" w:cs="宋体"/>
                <w:szCs w:val="21"/>
              </w:rPr>
            </w:pPr>
            <w:r>
              <w:rPr>
                <w:rFonts w:hint="eastAsia" w:ascii="宋体" w:hAnsi="宋体" w:cs="宋体"/>
                <w:szCs w:val="21"/>
              </w:rPr>
              <w:t>随着钻试工程的结束现场无废气排放</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固体废物</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①水基钻井岩屑：</w:t>
            </w:r>
            <w:r>
              <w:rPr>
                <w:rFonts w:hint="eastAsia" w:ascii="宋体" w:hAnsi="宋体" w:cs="宋体"/>
                <w:color w:val="000000"/>
                <w:szCs w:val="21"/>
              </w:rPr>
              <w:t>采用不落地系统进行处理，交由岩屑处置单位转运至岩屑处理单位进行岩屑无害化处理；</w:t>
            </w:r>
            <w:r>
              <w:rPr>
                <w:rFonts w:hint="eastAsia" w:ascii="宋体" w:hAnsi="宋体" w:cs="宋体"/>
                <w:szCs w:val="21"/>
              </w:rPr>
              <w:t>②废防渗材料：</w:t>
            </w:r>
            <w:r>
              <w:rPr>
                <w:rFonts w:hint="eastAsia" w:ascii="宋体" w:hAnsi="宋体"/>
                <w:szCs w:val="21"/>
              </w:rPr>
              <w:t>交由具有相应处置资质的危废处置单位负责</w:t>
            </w:r>
            <w:r>
              <w:rPr>
                <w:rFonts w:hint="eastAsia" w:ascii="宋体" w:hAnsi="宋体" w:cs="宋体"/>
                <w:szCs w:val="21"/>
              </w:rPr>
              <w:t>接收、转运和处置</w:t>
            </w:r>
            <w:r>
              <w:rPr>
                <w:rFonts w:hint="eastAsia" w:ascii="宋体" w:hAnsi="宋体" w:cs="宋体"/>
                <w:color w:val="000000"/>
                <w:szCs w:val="21"/>
              </w:rPr>
              <w:t>；③</w:t>
            </w:r>
            <w:r>
              <w:rPr>
                <w:rFonts w:hint="eastAsia" w:ascii="宋体" w:hAnsi="宋体" w:cs="宋体"/>
                <w:szCs w:val="21"/>
              </w:rPr>
              <w:t>生活垃圾：集中收集后定期送至</w:t>
            </w:r>
            <w:bookmarkStart w:id="65" w:name="_Hlk116085382"/>
            <w:r>
              <w:rPr>
                <w:rFonts w:hint="eastAsia" w:ascii="宋体" w:hAnsi="宋体" w:cs="宋体"/>
                <w:szCs w:val="21"/>
              </w:rPr>
              <w:t>吉木萨尔县生活垃圾填埋场</w:t>
            </w:r>
            <w:bookmarkEnd w:id="65"/>
            <w:r>
              <w:rPr>
                <w:rFonts w:hint="eastAsia" w:ascii="宋体" w:hAnsi="宋体" w:cs="宋体"/>
                <w:szCs w:val="21"/>
              </w:rPr>
              <w:t>填埋处置；</w:t>
            </w:r>
            <w:r>
              <w:rPr>
                <w:rFonts w:hint="eastAsia" w:ascii="宋体" w:hAnsi="宋体" w:cs="宋体"/>
                <w:color w:val="000000"/>
                <w:szCs w:val="21"/>
              </w:rPr>
              <w:t>④</w:t>
            </w:r>
            <w:r>
              <w:rPr>
                <w:rFonts w:hint="eastAsia" w:ascii="宋体" w:hAnsi="宋体" w:cs="宋体"/>
                <w:szCs w:val="21"/>
              </w:rPr>
              <w:t>压裂返排液集中收集后送至彩南联合站处理。</w:t>
            </w:r>
          </w:p>
        </w:tc>
        <w:tc>
          <w:tcPr>
            <w:tcW w:w="1007" w:type="pct"/>
            <w:vAlign w:val="center"/>
          </w:tcPr>
          <w:p>
            <w:pPr>
              <w:wordWrap w:val="0"/>
              <w:adjustRightInd w:val="0"/>
              <w:snapToGrid w:val="0"/>
              <w:spacing w:line="300" w:lineRule="exact"/>
              <w:rPr>
                <w:rFonts w:ascii="宋体" w:hAnsi="宋体" w:cs="宋体"/>
                <w:spacing w:val="16"/>
                <w:szCs w:val="21"/>
              </w:rPr>
            </w:pPr>
            <w:r>
              <w:rPr>
                <w:rFonts w:hint="eastAsia" w:ascii="宋体" w:hAnsi="宋体" w:cs="宋体"/>
                <w:szCs w:val="21"/>
              </w:rPr>
              <w:t>①水基钻井岩屑签订处置协议，查阅台账，处置后需满足《油气田钻井固体废弃物综合利用污染物控制要求》（DB65/T3997-2017）方可综合利用；②废防渗材料签订处置协议</w:t>
            </w:r>
            <w:r>
              <w:rPr>
                <w:rFonts w:hint="eastAsia" w:ascii="宋体" w:hAnsi="宋体"/>
                <w:szCs w:val="21"/>
              </w:rPr>
              <w:t>。</w:t>
            </w:r>
            <w:r>
              <w:rPr>
                <w:rFonts w:hint="eastAsia" w:ascii="宋体" w:hAnsi="宋体" w:cs="宋体"/>
                <w:szCs w:val="21"/>
              </w:rPr>
              <w:t>查阅危险废物台账，检查现场是否有遗留；③生活垃圾签订接收协议</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电磁环境</w:t>
            </w:r>
          </w:p>
        </w:tc>
        <w:tc>
          <w:tcPr>
            <w:tcW w:w="2643"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环境风险</w:t>
            </w:r>
          </w:p>
        </w:tc>
        <w:tc>
          <w:tcPr>
            <w:tcW w:w="2643" w:type="pct"/>
            <w:vAlign w:val="center"/>
          </w:tcPr>
          <w:p>
            <w:pPr>
              <w:adjustRightInd w:val="0"/>
              <w:snapToGrid w:val="0"/>
              <w:spacing w:line="300" w:lineRule="exact"/>
              <w:ind w:left="101" w:hanging="97" w:hangingChars="50"/>
              <w:rPr>
                <w:rFonts w:ascii="宋体" w:hAnsi="宋体" w:cs="宋体"/>
                <w:spacing w:val="-8"/>
                <w:szCs w:val="21"/>
              </w:rPr>
            </w:pPr>
            <w:r>
              <w:rPr>
                <w:rFonts w:hint="eastAsia" w:ascii="宋体" w:hAnsi="宋体" w:cs="宋体"/>
                <w:spacing w:val="-8"/>
                <w:szCs w:val="21"/>
              </w:rPr>
              <w:t>①施工时应严格执行相关风险防范措施和规章制度，严禁违规操作；②加强设备维修与巡检，避免储罐泄漏事故的发生；③应将本项目纳入《新疆油田分公司勘探事业部突发环境事件应急预案》</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环境监测</w:t>
            </w:r>
          </w:p>
        </w:tc>
        <w:tc>
          <w:tcPr>
            <w:tcW w:w="2643"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1007"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610"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其他</w:t>
            </w:r>
          </w:p>
        </w:tc>
        <w:tc>
          <w:tcPr>
            <w:tcW w:w="2643" w:type="pct"/>
            <w:vAlign w:val="center"/>
          </w:tcPr>
          <w:p>
            <w:pPr>
              <w:adjustRightInd w:val="0"/>
              <w:snapToGrid w:val="0"/>
              <w:spacing w:line="300" w:lineRule="exact"/>
              <w:rPr>
                <w:rFonts w:ascii="宋体" w:hAnsi="宋体" w:cs="宋体"/>
                <w:szCs w:val="21"/>
              </w:rPr>
            </w:pPr>
            <w:r>
              <w:rPr>
                <w:rFonts w:hint="eastAsia" w:ascii="宋体" w:hAnsi="宋体" w:cs="宋体"/>
                <w:szCs w:val="21"/>
              </w:rPr>
              <w:t>①</w:t>
            </w:r>
            <w:r>
              <w:rPr>
                <w:rFonts w:ascii="宋体" w:hAnsi="宋体" w:cs="宋体"/>
                <w:szCs w:val="21"/>
              </w:rPr>
              <w:t>施工单位应建立环境保护档案，保存施工前后项目区的影像资料</w:t>
            </w:r>
            <w:r>
              <w:rPr>
                <w:rFonts w:hint="eastAsia" w:ascii="宋体" w:hAnsi="宋体" w:cs="宋体"/>
                <w:szCs w:val="21"/>
              </w:rPr>
              <w:t>；②</w:t>
            </w:r>
            <w:r>
              <w:rPr>
                <w:rFonts w:ascii="宋体" w:hAnsi="宋体" w:cs="宋体"/>
                <w:szCs w:val="21"/>
              </w:rPr>
              <w:t>施工全过程各类污染物产生、去向和各个污染措施及实施情况均记录在案</w:t>
            </w:r>
            <w:r>
              <w:rPr>
                <w:rFonts w:hint="eastAsia" w:ascii="宋体" w:hAnsi="宋体" w:cs="宋体"/>
                <w:szCs w:val="21"/>
              </w:rPr>
              <w:t>；③</w:t>
            </w:r>
            <w:r>
              <w:rPr>
                <w:rFonts w:ascii="宋体" w:hAnsi="宋体" w:cs="宋体"/>
                <w:szCs w:val="21"/>
              </w:rPr>
              <w:t>建设单位对施工单位钻井期间进行环保日常检查并做好记录；</w:t>
            </w:r>
            <w:r>
              <w:rPr>
                <w:rFonts w:hint="eastAsia" w:ascii="宋体" w:hAnsi="宋体" w:cs="宋体"/>
                <w:szCs w:val="21"/>
              </w:rPr>
              <w:t>④</w:t>
            </w:r>
            <w:r>
              <w:rPr>
                <w:rFonts w:ascii="宋体" w:hAnsi="宋体" w:cs="宋体"/>
                <w:szCs w:val="21"/>
              </w:rPr>
              <w:t>完工交井前，建设单位主管部门现场验收，合格后方可记录为完工，做到工完料净场地清，并做好记录</w:t>
            </w:r>
          </w:p>
        </w:tc>
        <w:tc>
          <w:tcPr>
            <w:tcW w:w="1007" w:type="pct"/>
            <w:vAlign w:val="center"/>
          </w:tcPr>
          <w:p>
            <w:pPr>
              <w:adjustRightInd w:val="0"/>
              <w:snapToGrid w:val="0"/>
              <w:spacing w:line="300" w:lineRule="exact"/>
              <w:rPr>
                <w:rFonts w:ascii="宋体" w:hAnsi="宋体" w:cs="宋体"/>
                <w:szCs w:val="21"/>
              </w:rPr>
            </w:pPr>
            <w:r>
              <w:rPr>
                <w:rFonts w:hint="eastAsia" w:ascii="宋体" w:hAnsi="宋体" w:cs="宋体"/>
                <w:szCs w:val="21"/>
              </w:rPr>
              <w:t>环境管理制度是否建立并完善，环保机构及人员是否设置到位；是否保留必要的影像资料</w:t>
            </w:r>
          </w:p>
        </w:tc>
        <w:tc>
          <w:tcPr>
            <w:tcW w:w="40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c>
          <w:tcPr>
            <w:tcW w:w="335"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w:t>
            </w:r>
          </w:p>
        </w:tc>
      </w:tr>
    </w:tbl>
    <w:p>
      <w:pPr>
        <w:pStyle w:val="14"/>
        <w:spacing w:before="0" w:beforeAutospacing="0" w:line="15" w:lineRule="auto"/>
        <w:jc w:val="center"/>
        <w:rPr>
          <w:rFonts w:ascii="黑体" w:hAnsi="黑体" w:eastAsia="黑体"/>
          <w:snapToGrid w:val="0"/>
          <w:sz w:val="30"/>
          <w:szCs w:val="30"/>
        </w:rPr>
      </w:pPr>
      <w:r>
        <w:rPr>
          <w:rFonts w:ascii="黑体" w:hAnsi="黑体" w:eastAsia="黑体"/>
          <w:snapToGrid w:val="0"/>
          <w:sz w:val="30"/>
          <w:szCs w:val="30"/>
        </w:rPr>
        <w:br w:type="page"/>
      </w:r>
    </w:p>
    <w:p>
      <w:pPr>
        <w:pStyle w:val="14"/>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17"/>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779" w:type="dxa"/>
          </w:tcPr>
          <w:p>
            <w:pPr>
              <w:pStyle w:val="46"/>
              <w:ind w:firstLine="480"/>
              <w:rPr>
                <w:rFonts w:cs="宋体"/>
                <w:szCs w:val="21"/>
              </w:rPr>
            </w:pPr>
            <w:r>
              <w:rPr>
                <w:rFonts w:hint="eastAsia"/>
              </w:rPr>
              <w:t>本项目符合国家产业政策</w:t>
            </w:r>
            <w:r>
              <w:rPr>
                <w:rFonts w:hint="eastAsia" w:cs="宋体"/>
              </w:rPr>
              <w:t>、“三线一单”和相关规划</w:t>
            </w:r>
            <w:r>
              <w:rPr>
                <w:rFonts w:hint="eastAsia"/>
              </w:rPr>
              <w:t>，选址合理，在严格执行已有各项环保政策、规定，认真落实报告表中提出的污染防治措施和生态影响减缓措施的前提下，从生态环境保护角度分析建设可行。</w:t>
            </w:r>
          </w:p>
        </w:tc>
      </w:tr>
    </w:tbl>
    <w:p>
      <w:pPr>
        <w:rPr>
          <w:rFonts w:ascii="宋体"/>
        </w:rPr>
      </w:pPr>
    </w:p>
    <w:p>
      <w:pPr>
        <w:pStyle w:val="14"/>
        <w:adjustRightInd w:val="0"/>
        <w:snapToGrid w:val="0"/>
        <w:spacing w:before="0" w:beforeAutospacing="0" w:after="0" w:afterAutospacing="0"/>
        <w:outlineLvl w:val="0"/>
        <w:rPr>
          <w:b/>
          <w:bCs/>
        </w:rPr>
      </w:pPr>
      <w:r>
        <w:rPr>
          <w:rFonts w:ascii="黑体" w:hAnsi="黑体" w:eastAsia="黑体"/>
          <w:snapToGrid w:val="0"/>
          <w:sz w:val="32"/>
          <w:szCs w:val="32"/>
        </w:rPr>
        <w:br w:type="page"/>
      </w:r>
      <w:r>
        <w:rPr>
          <w:rFonts w:hint="eastAsia"/>
          <w:b/>
          <w:bCs/>
        </w:rPr>
        <w:t>附表</w:t>
      </w:r>
    </w:p>
    <w:p>
      <w:pPr>
        <w:widowControl/>
        <w:adjustRightInd w:val="0"/>
        <w:snapToGrid w:val="0"/>
        <w:spacing w:before="192" w:beforeLines="80"/>
        <w:jc w:val="left"/>
      </w:pPr>
      <w:r>
        <w:drawing>
          <wp:inline distT="0" distB="0" distL="0" distR="0">
            <wp:extent cx="5265420" cy="74447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5420" cy="7444740"/>
                    </a:xfrm>
                    <a:prstGeom prst="rect">
                      <a:avLst/>
                    </a:prstGeom>
                    <a:noFill/>
                    <a:ln>
                      <a:noFill/>
                    </a:ln>
                  </pic:spPr>
                </pic:pic>
              </a:graphicData>
            </a:graphic>
          </wp:inline>
        </w:drawing>
      </w:r>
    </w:p>
    <w:p>
      <w:pPr>
        <w:widowControl/>
        <w:adjustRightInd w:val="0"/>
        <w:snapToGrid w:val="0"/>
        <w:spacing w:before="192" w:beforeLines="80"/>
        <w:jc w:val="left"/>
      </w:pPr>
    </w:p>
    <w:p>
      <w:pPr>
        <w:widowControl/>
        <w:adjustRightInd w:val="0"/>
        <w:snapToGrid w:val="0"/>
        <w:spacing w:before="192" w:beforeLines="80"/>
        <w:jc w:val="left"/>
      </w:pPr>
    </w:p>
    <w:p>
      <w:pPr>
        <w:widowControl/>
        <w:adjustRightInd w:val="0"/>
        <w:snapToGrid w:val="0"/>
        <w:spacing w:before="192" w:beforeLines="80"/>
        <w:jc w:val="left"/>
        <w:rPr>
          <w:rFonts w:ascii="宋体"/>
        </w:rPr>
        <w:sectPr>
          <w:pgSz w:w="11906" w:h="16838"/>
          <w:pgMar w:top="1440" w:right="1800" w:bottom="1440" w:left="1800" w:header="851" w:footer="1077" w:gutter="0"/>
          <w:cols w:space="720" w:num="1"/>
          <w:docGrid w:linePitch="312" w:charSpace="0"/>
        </w:sectPr>
      </w:pPr>
    </w:p>
    <w:p>
      <w:pPr>
        <w:widowControl/>
        <w:adjustRightInd w:val="0"/>
        <w:snapToGrid w:val="0"/>
        <w:jc w:val="left"/>
        <w:outlineLvl w:val="0"/>
        <w:rPr>
          <w:rFonts w:ascii="宋体" w:hAnsi="宋体"/>
          <w:b/>
          <w:bCs/>
          <w:kern w:val="0"/>
          <w:sz w:val="24"/>
        </w:rPr>
      </w:pPr>
      <w:r>
        <w:rPr>
          <w:rFonts w:hint="eastAsia" w:ascii="宋体" w:hAnsi="宋体"/>
          <w:b/>
          <w:bCs/>
          <w:kern w:val="0"/>
          <w:sz w:val="24"/>
        </w:rPr>
        <w:t>附图1</w:t>
      </w:r>
      <w:r>
        <w:rPr>
          <w:rFonts w:ascii="宋体" w:hAnsi="宋体"/>
          <w:b/>
          <w:bCs/>
          <w:kern w:val="0"/>
          <w:sz w:val="24"/>
        </w:rPr>
        <w:t xml:space="preserve">    </w:t>
      </w:r>
      <w:r>
        <w:rPr>
          <w:rFonts w:hint="eastAsia" w:ascii="宋体" w:hAnsi="宋体"/>
          <w:b/>
          <w:bCs/>
          <w:kern w:val="0"/>
          <w:sz w:val="24"/>
        </w:rPr>
        <w:t>昌吉回族自治州“三线一单”环境管控单元分类图</w:t>
      </w:r>
    </w:p>
    <w:p>
      <w:pPr>
        <w:widowControl/>
        <w:adjustRightInd w:val="0"/>
        <w:snapToGrid w:val="0"/>
        <w:spacing w:before="192" w:beforeLines="80"/>
        <w:jc w:val="center"/>
        <w:rPr>
          <w:rFonts w:ascii="宋体"/>
        </w:rPr>
      </w:pPr>
      <w:r>
        <w:rPr>
          <w:rFonts w:ascii="宋体"/>
        </w:rPr>
        <w:drawing>
          <wp:inline distT="0" distB="0" distL="0" distR="0">
            <wp:extent cx="7665720" cy="4787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673046" cy="4792190"/>
                    </a:xfrm>
                    <a:prstGeom prst="rect">
                      <a:avLst/>
                    </a:prstGeom>
                    <a:noFill/>
                    <a:ln>
                      <a:noFill/>
                    </a:ln>
                  </pic:spPr>
                </pic:pic>
              </a:graphicData>
            </a:graphic>
          </wp:inline>
        </w:drawing>
      </w:r>
    </w:p>
    <w:p>
      <w:pPr>
        <w:widowControl/>
        <w:adjustRightInd w:val="0"/>
        <w:snapToGrid w:val="0"/>
        <w:spacing w:before="192" w:beforeLines="80"/>
        <w:jc w:val="left"/>
        <w:rPr>
          <w:rFonts w:ascii="宋体"/>
        </w:rPr>
        <w:sectPr>
          <w:pgSz w:w="16838" w:h="11906" w:orient="landscape"/>
          <w:pgMar w:top="1800" w:right="1440" w:bottom="1800" w:left="1440" w:header="851" w:footer="1077" w:gutter="0"/>
          <w:cols w:space="720" w:num="1"/>
          <w:docGrid w:linePitch="312" w:charSpace="0"/>
        </w:sectPr>
      </w:pPr>
    </w:p>
    <w:p>
      <w:pPr>
        <w:pStyle w:val="46"/>
        <w:ind w:firstLine="0" w:firstLineChars="0"/>
        <w:outlineLvl w:val="0"/>
        <w:rPr>
          <w:b/>
          <w:bCs/>
        </w:rPr>
      </w:pPr>
      <w:r>
        <w:rPr>
          <w:rFonts w:hint="eastAsia"/>
          <w:b/>
          <w:bCs/>
        </w:rPr>
        <w:t>附图</w:t>
      </w:r>
      <w:r>
        <w:rPr>
          <w:b/>
          <w:bCs/>
        </w:rPr>
        <w:t xml:space="preserve">2    </w:t>
      </w:r>
      <w:r>
        <w:rPr>
          <w:rFonts w:hint="eastAsia"/>
          <w:b/>
          <w:bCs/>
        </w:rPr>
        <w:t>地理位置示意图</w:t>
      </w:r>
    </w:p>
    <w:p>
      <w:pPr>
        <w:pStyle w:val="46"/>
        <w:spacing w:line="240" w:lineRule="auto"/>
        <w:ind w:firstLine="0" w:firstLineChars="0"/>
        <w:jc w:val="center"/>
        <w:rPr>
          <w:b/>
          <w:bCs/>
        </w:rPr>
      </w:pPr>
      <w:r>
        <w:drawing>
          <wp:inline distT="0" distB="0" distL="0" distR="0">
            <wp:extent cx="8669655" cy="509714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669655" cy="5097145"/>
                    </a:xfrm>
                    <a:prstGeom prst="rect">
                      <a:avLst/>
                    </a:prstGeom>
                    <a:noFill/>
                    <a:ln>
                      <a:noFill/>
                    </a:ln>
                  </pic:spPr>
                </pic:pic>
              </a:graphicData>
            </a:graphic>
          </wp:inline>
        </w:drawing>
      </w:r>
    </w:p>
    <w:p>
      <w:pPr>
        <w:pStyle w:val="46"/>
        <w:ind w:firstLine="0" w:firstLineChars="0"/>
        <w:outlineLvl w:val="0"/>
        <w:rPr>
          <w:b/>
          <w:bCs/>
        </w:rPr>
        <w:sectPr>
          <w:pgSz w:w="16838" w:h="11906" w:orient="landscape"/>
          <w:pgMar w:top="1418" w:right="1588" w:bottom="1418" w:left="1588" w:header="1021" w:footer="1021" w:gutter="0"/>
          <w:cols w:space="720" w:num="1"/>
          <w:docGrid w:linePitch="312" w:charSpace="0"/>
        </w:sectPr>
      </w:pPr>
    </w:p>
    <w:p>
      <w:pPr>
        <w:pStyle w:val="46"/>
        <w:ind w:firstLine="0" w:firstLineChars="0"/>
        <w:outlineLvl w:val="0"/>
        <w:rPr>
          <w:b/>
          <w:bCs/>
        </w:rPr>
      </w:pPr>
      <w:r>
        <w:rPr>
          <w:rFonts w:hint="eastAsia"/>
          <w:b/>
          <w:bCs/>
        </w:rPr>
        <w:t>附图3</w:t>
      </w:r>
      <w:r>
        <w:rPr>
          <w:b/>
          <w:bCs/>
        </w:rPr>
        <w:t xml:space="preserve">    </w:t>
      </w:r>
      <w:r>
        <w:rPr>
          <w:rFonts w:hint="eastAsia"/>
          <w:b/>
          <w:bCs/>
        </w:rPr>
        <w:t>钻井井场平面布置图</w:t>
      </w:r>
    </w:p>
    <w:p>
      <w:pPr>
        <w:pStyle w:val="46"/>
        <w:spacing w:line="240" w:lineRule="auto"/>
        <w:ind w:firstLine="0" w:firstLineChars="0"/>
        <w:jc w:val="center"/>
        <w:rPr>
          <w:b/>
          <w:bCs/>
        </w:rPr>
      </w:pPr>
      <w:r>
        <w:drawing>
          <wp:inline distT="0" distB="0" distL="0" distR="0">
            <wp:extent cx="7184390" cy="5284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l="450" r="432" b="515"/>
                    <a:stretch>
                      <a:fillRect/>
                    </a:stretch>
                  </pic:blipFill>
                  <pic:spPr>
                    <a:xfrm>
                      <a:off x="0" y="0"/>
                      <a:ext cx="7209693" cy="5302947"/>
                    </a:xfrm>
                    <a:prstGeom prst="rect">
                      <a:avLst/>
                    </a:prstGeom>
                    <a:noFill/>
                    <a:ln>
                      <a:noFill/>
                    </a:ln>
                  </pic:spPr>
                </pic:pic>
              </a:graphicData>
            </a:graphic>
          </wp:inline>
        </w:drawing>
      </w:r>
    </w:p>
    <w:p>
      <w:pPr>
        <w:pStyle w:val="46"/>
        <w:ind w:firstLine="0" w:firstLineChars="0"/>
        <w:outlineLvl w:val="0"/>
        <w:rPr>
          <w:b/>
          <w:bCs/>
        </w:rPr>
      </w:pPr>
      <w:r>
        <w:rPr>
          <w:rFonts w:hint="eastAsia"/>
          <w:b/>
          <w:bCs/>
        </w:rPr>
        <w:t>附图4</w:t>
      </w:r>
      <w:r>
        <w:rPr>
          <w:b/>
          <w:bCs/>
        </w:rPr>
        <w:t xml:space="preserve">    </w:t>
      </w:r>
      <w:r>
        <w:rPr>
          <w:rFonts w:hint="eastAsia"/>
          <w:b/>
          <w:bCs/>
        </w:rPr>
        <w:t>试油期平面布置图</w:t>
      </w:r>
    </w:p>
    <w:p>
      <w:pPr>
        <w:pStyle w:val="44"/>
      </w:pPr>
    </w:p>
    <w:p>
      <w:pPr>
        <w:pStyle w:val="44"/>
        <w:spacing w:line="240" w:lineRule="auto"/>
      </w:pPr>
      <w:r>
        <w:drawing>
          <wp:inline distT="0" distB="0" distL="0" distR="0">
            <wp:extent cx="8756650" cy="5003165"/>
            <wp:effectExtent l="0" t="0" r="6350" b="6985"/>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98007" cy="5027130"/>
                    </a:xfrm>
                    <a:prstGeom prst="rect">
                      <a:avLst/>
                    </a:prstGeom>
                    <a:noFill/>
                    <a:ln>
                      <a:noFill/>
                    </a:ln>
                  </pic:spPr>
                </pic:pic>
              </a:graphicData>
            </a:graphic>
          </wp:inline>
        </w:drawing>
      </w:r>
    </w:p>
    <w:p>
      <w:pPr>
        <w:pStyle w:val="44"/>
      </w:pPr>
    </w:p>
    <w:p>
      <w:pPr>
        <w:pStyle w:val="44"/>
        <w:sectPr>
          <w:pgSz w:w="16838" w:h="11906" w:orient="landscape"/>
          <w:pgMar w:top="1418" w:right="1588" w:bottom="1418" w:left="1588" w:header="1021" w:footer="1021" w:gutter="0"/>
          <w:cols w:space="720" w:num="1"/>
          <w:docGrid w:linePitch="312" w:charSpace="0"/>
        </w:sectPr>
      </w:pPr>
    </w:p>
    <w:p>
      <w:pPr>
        <w:pStyle w:val="46"/>
        <w:ind w:firstLine="0" w:firstLineChars="0"/>
        <w:outlineLvl w:val="0"/>
        <w:rPr>
          <w:b/>
          <w:bCs/>
        </w:rPr>
      </w:pPr>
      <w:r>
        <w:rPr>
          <w:rFonts w:hint="eastAsia"/>
          <w:b/>
          <w:bCs/>
        </w:rPr>
        <w:t>附图5</w:t>
      </w:r>
      <w:r>
        <w:rPr>
          <w:b/>
          <w:bCs/>
        </w:rPr>
        <w:t xml:space="preserve">    </w:t>
      </w:r>
      <w:r>
        <w:rPr>
          <w:rFonts w:hint="eastAsia"/>
          <w:b/>
          <w:bCs/>
        </w:rPr>
        <w:t>井身结构示意图</w:t>
      </w:r>
    </w:p>
    <w:p>
      <w:pPr>
        <w:pStyle w:val="46"/>
        <w:ind w:firstLine="0" w:firstLineChars="0"/>
        <w:rPr>
          <w:b/>
          <w:bCs/>
        </w:rPr>
      </w:pPr>
    </w:p>
    <w:p>
      <w:pPr>
        <w:widowControl/>
        <w:jc w:val="center"/>
        <w:rPr>
          <w:b/>
          <w:bCs/>
        </w:rPr>
      </w:pPr>
      <w:r>
        <w:drawing>
          <wp:inline distT="0" distB="0" distL="0" distR="0">
            <wp:extent cx="4097020" cy="7947660"/>
            <wp:effectExtent l="0" t="0" r="0" b="0"/>
            <wp:docPr id="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示&#10;&#10;描述已自动生成"/>
                    <pic:cNvPicPr>
                      <a:picLocks noChangeAspect="1"/>
                    </pic:cNvPicPr>
                  </pic:nvPicPr>
                  <pic:blipFill>
                    <a:blip r:embed="rId17"/>
                    <a:stretch>
                      <a:fillRect/>
                    </a:stretch>
                  </pic:blipFill>
                  <pic:spPr>
                    <a:xfrm>
                      <a:off x="0" y="0"/>
                      <a:ext cx="4098235" cy="7950028"/>
                    </a:xfrm>
                    <a:prstGeom prst="rect">
                      <a:avLst/>
                    </a:prstGeom>
                  </pic:spPr>
                </pic:pic>
              </a:graphicData>
            </a:graphic>
          </wp:inline>
        </w:drawing>
      </w:r>
    </w:p>
    <w:p>
      <w:pPr>
        <w:pStyle w:val="46"/>
        <w:ind w:firstLine="0" w:firstLineChars="0"/>
        <w:rPr>
          <w:b/>
          <w:bCs/>
        </w:rPr>
        <w:sectPr>
          <w:pgSz w:w="11906" w:h="16838"/>
          <w:pgMar w:top="1588" w:right="1418" w:bottom="1588" w:left="1418" w:header="1021" w:footer="1021" w:gutter="0"/>
          <w:cols w:space="720" w:num="1"/>
          <w:docGrid w:linePitch="312" w:charSpace="0"/>
        </w:sectPr>
      </w:pPr>
    </w:p>
    <w:p>
      <w:pPr>
        <w:pStyle w:val="46"/>
        <w:ind w:firstLine="0" w:firstLineChars="0"/>
        <w:outlineLvl w:val="0"/>
        <w:rPr>
          <w:b/>
          <w:bCs/>
        </w:rPr>
      </w:pPr>
      <w:r>
        <w:rPr>
          <w:rFonts w:hint="eastAsia"/>
          <w:b/>
          <w:bCs/>
        </w:rPr>
        <w:t>附图6</w:t>
      </w:r>
      <w:r>
        <w:rPr>
          <w:b/>
          <w:bCs/>
        </w:rPr>
        <w:t xml:space="preserve">    </w:t>
      </w:r>
      <w:r>
        <w:rPr>
          <w:rFonts w:hint="eastAsia"/>
          <w:b/>
          <w:bCs/>
        </w:rPr>
        <w:t>植被类型图</w:t>
      </w:r>
    </w:p>
    <w:p>
      <w:pPr>
        <w:pStyle w:val="46"/>
        <w:spacing w:line="480" w:lineRule="auto"/>
        <w:ind w:firstLine="0" w:firstLineChars="0"/>
        <w:jc w:val="center"/>
        <w:rPr>
          <w:b/>
          <w:bCs/>
        </w:rPr>
      </w:pPr>
      <w:r>
        <w:rPr>
          <w:rFonts w:hint="eastAsia"/>
          <w:b/>
          <w:bCs/>
        </w:rPr>
        <w:drawing>
          <wp:inline distT="0" distB="0" distL="0" distR="0">
            <wp:extent cx="7385050" cy="530352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386794" cy="5304660"/>
                    </a:xfrm>
                    <a:prstGeom prst="rect">
                      <a:avLst/>
                    </a:prstGeom>
                    <a:noFill/>
                    <a:ln>
                      <a:noFill/>
                    </a:ln>
                  </pic:spPr>
                </pic:pic>
              </a:graphicData>
            </a:graphic>
          </wp:inline>
        </w:drawing>
      </w:r>
    </w:p>
    <w:p>
      <w:pPr>
        <w:pStyle w:val="46"/>
        <w:ind w:firstLine="0" w:firstLineChars="0"/>
        <w:outlineLvl w:val="0"/>
        <w:rPr>
          <w:b/>
          <w:bCs/>
        </w:rPr>
      </w:pPr>
      <w:r>
        <w:rPr>
          <w:rFonts w:hint="eastAsia"/>
          <w:b/>
          <w:bCs/>
        </w:rPr>
        <w:t>附图7</w:t>
      </w:r>
      <w:r>
        <w:rPr>
          <w:b/>
          <w:bCs/>
        </w:rPr>
        <w:t xml:space="preserve">    </w:t>
      </w:r>
      <w:r>
        <w:rPr>
          <w:rFonts w:hint="eastAsia"/>
          <w:b/>
          <w:bCs/>
        </w:rPr>
        <w:t>土地利用现状图</w:t>
      </w:r>
    </w:p>
    <w:p>
      <w:pPr>
        <w:pStyle w:val="46"/>
        <w:spacing w:line="240" w:lineRule="auto"/>
        <w:ind w:firstLine="0" w:firstLineChars="0"/>
        <w:jc w:val="center"/>
        <w:rPr>
          <w:b/>
          <w:bCs/>
        </w:rPr>
      </w:pPr>
      <w:r>
        <w:rPr>
          <w:rFonts w:hint="eastAsia"/>
          <w:b/>
          <w:bCs/>
        </w:rPr>
        <w:drawing>
          <wp:inline distT="0" distB="0" distL="0" distR="0">
            <wp:extent cx="7223760" cy="51873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227441" cy="5190224"/>
                    </a:xfrm>
                    <a:prstGeom prst="rect">
                      <a:avLst/>
                    </a:prstGeom>
                    <a:noFill/>
                    <a:ln>
                      <a:noFill/>
                    </a:ln>
                  </pic:spPr>
                </pic:pic>
              </a:graphicData>
            </a:graphic>
          </wp:inline>
        </w:drawing>
      </w:r>
    </w:p>
    <w:p>
      <w:pPr>
        <w:pStyle w:val="46"/>
        <w:ind w:firstLine="0" w:firstLineChars="0"/>
        <w:outlineLvl w:val="0"/>
        <w:rPr>
          <w:b/>
          <w:bCs/>
        </w:rPr>
      </w:pPr>
      <w:r>
        <w:rPr>
          <w:rFonts w:hint="eastAsia"/>
          <w:b/>
          <w:bCs/>
        </w:rPr>
        <w:t>附图</w:t>
      </w:r>
      <w:r>
        <w:rPr>
          <w:b/>
          <w:bCs/>
        </w:rPr>
        <w:t xml:space="preserve">8    </w:t>
      </w:r>
      <w:r>
        <w:rPr>
          <w:rFonts w:hint="eastAsia"/>
          <w:b/>
          <w:bCs/>
        </w:rPr>
        <w:t>土壤类型图</w:t>
      </w:r>
    </w:p>
    <w:p>
      <w:pPr>
        <w:pStyle w:val="46"/>
        <w:spacing w:line="240" w:lineRule="auto"/>
        <w:ind w:firstLine="0" w:firstLineChars="0"/>
        <w:jc w:val="center"/>
        <w:rPr>
          <w:b/>
          <w:bCs/>
        </w:rPr>
      </w:pPr>
      <w:r>
        <w:rPr>
          <w:rFonts w:hint="eastAsia"/>
          <w:b/>
          <w:bCs/>
        </w:rPr>
        <w:drawing>
          <wp:inline distT="0" distB="0" distL="0" distR="0">
            <wp:extent cx="7399020" cy="53130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00326" cy="5314378"/>
                    </a:xfrm>
                    <a:prstGeom prst="rect">
                      <a:avLst/>
                    </a:prstGeom>
                    <a:noFill/>
                    <a:ln>
                      <a:noFill/>
                    </a:ln>
                  </pic:spPr>
                </pic:pic>
              </a:graphicData>
            </a:graphic>
          </wp:inline>
        </w:drawing>
      </w:r>
    </w:p>
    <w:p>
      <w:pPr>
        <w:pStyle w:val="46"/>
        <w:ind w:firstLine="0" w:firstLineChars="0"/>
        <w:outlineLvl w:val="0"/>
        <w:rPr>
          <w:b/>
          <w:bCs/>
        </w:rPr>
      </w:pPr>
      <w:r>
        <w:rPr>
          <w:rFonts w:hint="eastAsia"/>
          <w:b/>
          <w:bCs/>
        </w:rPr>
        <w:t>附图9</w:t>
      </w:r>
      <w:r>
        <w:rPr>
          <w:b/>
          <w:bCs/>
        </w:rPr>
        <w:t xml:space="preserve">    </w:t>
      </w:r>
      <w:r>
        <w:rPr>
          <w:rFonts w:hint="eastAsia"/>
          <w:b/>
          <w:bCs/>
        </w:rPr>
        <w:t>土地沙化现状</w:t>
      </w:r>
    </w:p>
    <w:p>
      <w:pPr>
        <w:pStyle w:val="46"/>
        <w:spacing w:line="240" w:lineRule="auto"/>
        <w:ind w:firstLine="0" w:firstLineChars="0"/>
        <w:jc w:val="center"/>
        <w:rPr>
          <w:b/>
          <w:bCs/>
        </w:rPr>
      </w:pPr>
      <w:r>
        <w:rPr>
          <w:rFonts w:hint="eastAsia"/>
          <w:b/>
          <w:bCs/>
        </w:rPr>
        <w:drawing>
          <wp:inline distT="0" distB="0" distL="0" distR="0">
            <wp:extent cx="6918960" cy="4939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924151" cy="4943948"/>
                    </a:xfrm>
                    <a:prstGeom prst="rect">
                      <a:avLst/>
                    </a:prstGeom>
                    <a:noFill/>
                    <a:ln>
                      <a:noFill/>
                    </a:ln>
                  </pic:spPr>
                </pic:pic>
              </a:graphicData>
            </a:graphic>
          </wp:inline>
        </w:drawing>
      </w:r>
    </w:p>
    <w:p>
      <w:pPr>
        <w:pStyle w:val="46"/>
        <w:ind w:firstLine="198" w:firstLineChars="82"/>
        <w:rPr>
          <w:b/>
          <w:bCs/>
        </w:rPr>
        <w:sectPr>
          <w:pgSz w:w="16838" w:h="11906" w:orient="landscape"/>
          <w:pgMar w:top="1418" w:right="1588" w:bottom="1418" w:left="1588" w:header="1021" w:footer="1021" w:gutter="0"/>
          <w:cols w:space="720" w:num="1"/>
          <w:docGrid w:linePitch="312" w:charSpace="0"/>
        </w:sectPr>
      </w:pPr>
    </w:p>
    <w:p>
      <w:pPr>
        <w:pStyle w:val="46"/>
        <w:ind w:firstLine="0" w:firstLineChars="0"/>
        <w:outlineLvl w:val="0"/>
        <w:rPr>
          <w:b/>
          <w:bCs/>
        </w:rPr>
      </w:pPr>
      <w:r>
        <w:rPr>
          <w:rFonts w:hint="eastAsia"/>
          <w:b/>
          <w:bCs/>
        </w:rPr>
        <w:t>附图</w:t>
      </w:r>
      <w:r>
        <w:rPr>
          <w:b/>
          <w:bCs/>
        </w:rPr>
        <w:t xml:space="preserve">10    </w:t>
      </w:r>
      <w:r>
        <w:rPr>
          <w:rFonts w:hint="eastAsia"/>
          <w:b/>
          <w:bCs/>
        </w:rPr>
        <w:t>现场踏勘照片</w:t>
      </w:r>
    </w:p>
    <w:p>
      <w:pPr>
        <w:pStyle w:val="46"/>
        <w:spacing w:line="240" w:lineRule="auto"/>
        <w:ind w:firstLine="0" w:firstLineChars="0"/>
        <w:jc w:val="center"/>
        <w:rPr>
          <w:b/>
          <w:bCs/>
        </w:rPr>
      </w:pPr>
      <w:r>
        <w:rPr>
          <w:b/>
          <w:bCs/>
        </w:rPr>
        <w:drawing>
          <wp:inline distT="0" distB="0" distL="0" distR="0">
            <wp:extent cx="3987800" cy="35769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00721" cy="3588882"/>
                    </a:xfrm>
                    <a:prstGeom prst="rect">
                      <a:avLst/>
                    </a:prstGeom>
                    <a:noFill/>
                    <a:ln>
                      <a:noFill/>
                    </a:ln>
                  </pic:spPr>
                </pic:pic>
              </a:graphicData>
            </a:graphic>
          </wp:inline>
        </w:drawing>
      </w:r>
    </w:p>
    <w:p>
      <w:pPr>
        <w:pStyle w:val="46"/>
        <w:spacing w:before="120" w:beforeLines="50" w:after="120" w:afterLines="50" w:line="240" w:lineRule="auto"/>
        <w:ind w:firstLine="0" w:firstLineChars="0"/>
        <w:jc w:val="center"/>
        <w:rPr>
          <w:rFonts w:ascii="黑体" w:hAnsi="黑体" w:eastAsia="黑体"/>
          <w:kern w:val="2"/>
          <w:sz w:val="21"/>
          <w:szCs w:val="21"/>
        </w:rPr>
      </w:pPr>
      <w:r>
        <w:rPr>
          <w:rFonts w:hint="eastAsia" w:ascii="黑体" w:hAnsi="黑体" w:eastAsia="黑体"/>
          <w:kern w:val="2"/>
          <w:sz w:val="21"/>
          <w:szCs w:val="21"/>
        </w:rPr>
        <w:t>彩61H井井位处</w:t>
      </w:r>
    </w:p>
    <w:p>
      <w:pPr>
        <w:pStyle w:val="46"/>
        <w:spacing w:line="240" w:lineRule="auto"/>
        <w:ind w:firstLine="0" w:firstLineChars="0"/>
        <w:jc w:val="center"/>
        <w:rPr>
          <w:b/>
          <w:bCs/>
        </w:rPr>
      </w:pPr>
      <w:r>
        <w:rPr>
          <w:b/>
          <w:bCs/>
        </w:rPr>
        <w:drawing>
          <wp:inline distT="0" distB="0" distL="0" distR="0">
            <wp:extent cx="4080510" cy="38119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95039" cy="3825615"/>
                    </a:xfrm>
                    <a:prstGeom prst="rect">
                      <a:avLst/>
                    </a:prstGeom>
                    <a:noFill/>
                    <a:ln>
                      <a:noFill/>
                    </a:ln>
                  </pic:spPr>
                </pic:pic>
              </a:graphicData>
            </a:graphic>
          </wp:inline>
        </w:drawing>
      </w:r>
    </w:p>
    <w:p>
      <w:pPr>
        <w:pStyle w:val="46"/>
        <w:spacing w:before="120" w:beforeLines="50" w:line="240" w:lineRule="auto"/>
        <w:ind w:firstLine="0" w:firstLineChars="0"/>
        <w:jc w:val="center"/>
      </w:pPr>
      <w:r>
        <w:rPr>
          <w:rFonts w:hint="eastAsia" w:ascii="黑体" w:hAnsi="黑体" w:eastAsia="黑体"/>
          <w:kern w:val="2"/>
          <w:sz w:val="21"/>
          <w:szCs w:val="21"/>
        </w:rPr>
        <w:t>井口周边</w:t>
      </w:r>
    </w:p>
    <w:p>
      <w:pPr>
        <w:widowControl/>
        <w:jc w:val="center"/>
        <w:sectPr>
          <w:pgSz w:w="11906" w:h="16838"/>
          <w:pgMar w:top="1588" w:right="1418" w:bottom="1588" w:left="1418" w:header="1021" w:footer="1021" w:gutter="0"/>
          <w:cols w:space="720" w:num="1"/>
          <w:docGrid w:linePitch="312" w:charSpace="0"/>
        </w:sectPr>
      </w:pPr>
    </w:p>
    <w:p>
      <w:pPr>
        <w:pStyle w:val="46"/>
        <w:spacing w:line="240" w:lineRule="auto"/>
        <w:ind w:firstLine="0" w:firstLineChars="0"/>
        <w:outlineLvl w:val="0"/>
        <w:rPr>
          <w:b/>
          <w:bCs/>
        </w:rPr>
      </w:pPr>
      <w:r>
        <w:rPr>
          <w:b/>
          <w:bCs/>
        </w:rPr>
        <w:t>附件</w:t>
      </w:r>
      <w:r>
        <w:rPr>
          <w:rFonts w:hint="eastAsia"/>
          <w:b/>
          <w:bCs/>
        </w:rPr>
        <w:t>1</w:t>
      </w:r>
      <w:r>
        <w:rPr>
          <w:b/>
          <w:bCs/>
        </w:rPr>
        <w:t xml:space="preserve">    </w:t>
      </w:r>
      <w:r>
        <w:rPr>
          <w:rFonts w:hint="eastAsia"/>
          <w:b/>
          <w:bCs/>
        </w:rPr>
        <w:t>委托书</w:t>
      </w:r>
    </w:p>
    <w:p>
      <w:pPr>
        <w:pStyle w:val="46"/>
        <w:spacing w:line="240" w:lineRule="auto"/>
        <w:ind w:firstLine="0" w:firstLineChars="0"/>
        <w:rPr>
          <w:b/>
          <w:bCs/>
        </w:rPr>
      </w:pPr>
    </w:p>
    <w:p>
      <w:pPr>
        <w:pStyle w:val="46"/>
        <w:spacing w:line="240" w:lineRule="auto"/>
        <w:ind w:firstLine="0" w:firstLineChars="0"/>
        <w:jc w:val="center"/>
        <w:rPr>
          <w:b/>
          <w:bCs/>
        </w:rPr>
      </w:pPr>
      <w:r>
        <w:rPr>
          <w:b/>
          <w:bCs/>
        </w:rPr>
        <w:drawing>
          <wp:inline distT="0" distB="0" distL="0" distR="0">
            <wp:extent cx="5274945" cy="746760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945" cy="7467600"/>
                    </a:xfrm>
                    <a:prstGeom prst="rect">
                      <a:avLst/>
                    </a:prstGeom>
                    <a:noFill/>
                    <a:ln>
                      <a:noFill/>
                    </a:ln>
                  </pic:spPr>
                </pic:pic>
              </a:graphicData>
            </a:graphic>
          </wp:inline>
        </w:drawing>
      </w:r>
    </w:p>
    <w:p>
      <w:pPr>
        <w:pStyle w:val="46"/>
        <w:spacing w:line="240" w:lineRule="auto"/>
        <w:ind w:firstLine="0" w:firstLineChars="0"/>
        <w:jc w:val="center"/>
        <w:rPr>
          <w:b/>
          <w:bCs/>
        </w:rPr>
      </w:pPr>
    </w:p>
    <w:p>
      <w:pPr>
        <w:pStyle w:val="46"/>
        <w:spacing w:line="240" w:lineRule="auto"/>
        <w:ind w:firstLine="0" w:firstLineChars="0"/>
        <w:jc w:val="center"/>
        <w:rPr>
          <w:b/>
          <w:bCs/>
        </w:rPr>
      </w:pPr>
    </w:p>
    <w:p>
      <w:pPr>
        <w:pStyle w:val="46"/>
        <w:spacing w:line="240" w:lineRule="auto"/>
        <w:ind w:firstLine="0" w:firstLineChars="0"/>
        <w:jc w:val="center"/>
        <w:rPr>
          <w:b/>
          <w:bCs/>
        </w:rPr>
      </w:pPr>
    </w:p>
    <w:p>
      <w:pPr>
        <w:pStyle w:val="46"/>
        <w:spacing w:line="240" w:lineRule="auto"/>
        <w:ind w:firstLine="0" w:firstLineChars="0"/>
        <w:rPr>
          <w:b/>
          <w:bCs/>
        </w:rPr>
      </w:pPr>
    </w:p>
    <w:p>
      <w:pPr>
        <w:spacing w:before="249" w:beforeLines="80" w:line="1120" w:lineRule="exact"/>
        <w:jc w:val="center"/>
        <w:rPr>
          <w:rFonts w:ascii="宋体" w:hAnsi="宋体"/>
          <w:b/>
          <w:bCs/>
          <w:spacing w:val="-8"/>
          <w:sz w:val="32"/>
          <w:szCs w:val="32"/>
        </w:rPr>
      </w:pPr>
      <w:bookmarkStart w:id="66" w:name="_Hlk85065977"/>
      <w:bookmarkStart w:id="67" w:name="_Hlk96022841"/>
      <w:bookmarkStart w:id="68" w:name="_Hlk116126944"/>
      <w:r>
        <w:rPr>
          <w:rFonts w:hint="eastAsia" w:ascii="宋体" w:hAnsi="宋体"/>
          <w:b/>
          <w:bCs/>
          <w:spacing w:val="-8"/>
          <w:sz w:val="32"/>
          <w:szCs w:val="32"/>
        </w:rPr>
        <w:t>彩6</w:t>
      </w:r>
      <w:r>
        <w:rPr>
          <w:rFonts w:ascii="宋体" w:hAnsi="宋体"/>
          <w:b/>
          <w:bCs/>
          <w:spacing w:val="-8"/>
          <w:sz w:val="32"/>
          <w:szCs w:val="32"/>
        </w:rPr>
        <w:t>1H</w:t>
      </w:r>
      <w:r>
        <w:rPr>
          <w:rFonts w:hint="eastAsia" w:ascii="宋体" w:hAnsi="宋体"/>
          <w:b/>
          <w:bCs/>
          <w:spacing w:val="-8"/>
          <w:sz w:val="32"/>
          <w:szCs w:val="32"/>
        </w:rPr>
        <w:t>勘探钻探项目</w:t>
      </w:r>
    </w:p>
    <w:p>
      <w:pPr>
        <w:spacing w:before="249" w:beforeLines="80" w:line="1120" w:lineRule="exact"/>
        <w:jc w:val="center"/>
        <w:rPr>
          <w:rFonts w:ascii="宋体" w:hAnsi="宋体"/>
          <w:b/>
          <w:bCs/>
          <w:spacing w:val="-10"/>
          <w:sz w:val="84"/>
          <w:szCs w:val="84"/>
        </w:rPr>
      </w:pPr>
      <w:r>
        <w:rPr>
          <w:rFonts w:hint="eastAsia" w:ascii="宋体" w:hAnsi="宋体"/>
          <w:b/>
          <w:bCs/>
          <w:sz w:val="84"/>
          <w:szCs w:val="84"/>
        </w:rPr>
        <w:t>环</w:t>
      </w:r>
      <w:r>
        <w:rPr>
          <w:rFonts w:hint="eastAsia" w:ascii="宋体" w:hAnsi="宋体"/>
          <w:b/>
          <w:bCs/>
          <w:sz w:val="52"/>
          <w:szCs w:val="52"/>
        </w:rPr>
        <w:t xml:space="preserve"> </w:t>
      </w:r>
      <w:r>
        <w:rPr>
          <w:rFonts w:hint="eastAsia" w:ascii="宋体" w:hAnsi="宋体"/>
          <w:b/>
          <w:bCs/>
          <w:sz w:val="84"/>
          <w:szCs w:val="84"/>
        </w:rPr>
        <w:t>境</w:t>
      </w:r>
      <w:r>
        <w:rPr>
          <w:rFonts w:hint="eastAsia" w:ascii="宋体" w:hAnsi="宋体"/>
          <w:b/>
          <w:bCs/>
          <w:sz w:val="52"/>
          <w:szCs w:val="52"/>
        </w:rPr>
        <w:t xml:space="preserve"> </w:t>
      </w:r>
      <w:r>
        <w:rPr>
          <w:rFonts w:hint="eastAsia" w:ascii="宋体" w:hAnsi="宋体"/>
          <w:b/>
          <w:bCs/>
          <w:sz w:val="84"/>
          <w:szCs w:val="84"/>
        </w:rPr>
        <w:t>影</w:t>
      </w:r>
      <w:r>
        <w:rPr>
          <w:rFonts w:hint="eastAsia" w:ascii="宋体" w:hAnsi="宋体"/>
          <w:b/>
          <w:bCs/>
          <w:sz w:val="52"/>
          <w:szCs w:val="52"/>
        </w:rPr>
        <w:t xml:space="preserve"> </w:t>
      </w:r>
      <w:r>
        <w:rPr>
          <w:rFonts w:hint="eastAsia" w:ascii="宋体" w:hAnsi="宋体"/>
          <w:b/>
          <w:bCs/>
          <w:sz w:val="84"/>
          <w:szCs w:val="84"/>
        </w:rPr>
        <w:t>响</w:t>
      </w:r>
      <w:r>
        <w:rPr>
          <w:rFonts w:hint="eastAsia" w:ascii="宋体" w:hAnsi="宋体"/>
          <w:b/>
          <w:bCs/>
          <w:sz w:val="52"/>
          <w:szCs w:val="52"/>
        </w:rPr>
        <w:t xml:space="preserve"> </w:t>
      </w:r>
      <w:r>
        <w:rPr>
          <w:rFonts w:hint="eastAsia" w:ascii="宋体" w:hAnsi="宋体"/>
          <w:b/>
          <w:bCs/>
          <w:sz w:val="84"/>
          <w:szCs w:val="84"/>
        </w:rPr>
        <w:t>报</w:t>
      </w:r>
      <w:r>
        <w:rPr>
          <w:rFonts w:hint="eastAsia" w:ascii="宋体" w:hAnsi="宋体"/>
          <w:b/>
          <w:bCs/>
          <w:sz w:val="52"/>
          <w:szCs w:val="52"/>
        </w:rPr>
        <w:t xml:space="preserve"> </w:t>
      </w:r>
      <w:r>
        <w:rPr>
          <w:rFonts w:hint="eastAsia" w:ascii="宋体" w:hAnsi="宋体"/>
          <w:b/>
          <w:bCs/>
          <w:sz w:val="84"/>
          <w:szCs w:val="84"/>
        </w:rPr>
        <w:t>告</w:t>
      </w:r>
      <w:r>
        <w:rPr>
          <w:rFonts w:hint="eastAsia" w:ascii="宋体" w:hAnsi="宋体"/>
          <w:b/>
          <w:bCs/>
          <w:sz w:val="52"/>
          <w:szCs w:val="52"/>
        </w:rPr>
        <w:t xml:space="preserve"> </w:t>
      </w:r>
      <w:r>
        <w:rPr>
          <w:rFonts w:hint="eastAsia" w:ascii="宋体" w:hAnsi="宋体"/>
          <w:b/>
          <w:bCs/>
          <w:sz w:val="84"/>
          <w:szCs w:val="84"/>
        </w:rPr>
        <w:t>表</w:t>
      </w:r>
    </w:p>
    <w:p>
      <w:pPr>
        <w:spacing w:line="360" w:lineRule="auto"/>
        <w:jc w:val="center"/>
        <w:outlineLvl w:val="0"/>
        <w:rPr>
          <w:rFonts w:ascii="宋体" w:hAnsi="宋体" w:cs="Calibri"/>
          <w:b/>
          <w:bCs/>
          <w:sz w:val="32"/>
          <w:szCs w:val="32"/>
        </w:rPr>
      </w:pPr>
      <w:r>
        <w:rPr>
          <w:rFonts w:hint="eastAsia" w:ascii="宋体" w:hAnsi="宋体" w:cs="Calibri"/>
          <w:b/>
          <w:bCs/>
          <w:sz w:val="32"/>
          <w:szCs w:val="32"/>
        </w:rPr>
        <w:t>专家函审意见</w:t>
      </w:r>
      <w:r>
        <w:rPr>
          <w:rFonts w:ascii="宋体" w:hAnsi="宋体" w:cs="Calibri"/>
          <w:b/>
          <w:bCs/>
          <w:sz w:val="32"/>
          <w:szCs w:val="32"/>
        </w:rPr>
        <w:t xml:space="preserve"> </w:t>
      </w:r>
    </w:p>
    <w:p>
      <w:pPr>
        <w:spacing w:line="360" w:lineRule="auto"/>
        <w:ind w:firstLine="199" w:firstLineChars="45"/>
        <w:jc w:val="center"/>
        <w:rPr>
          <w:rFonts w:ascii="宋体" w:hAnsi="宋体" w:cs="Calibri"/>
          <w:b/>
          <w:bCs/>
          <w:sz w:val="44"/>
          <w:szCs w:val="44"/>
        </w:rPr>
      </w:pPr>
      <w:r>
        <w:rPr>
          <w:rFonts w:hint="eastAsia" w:ascii="宋体" w:hAnsi="宋体"/>
          <w:b/>
          <w:bCs/>
          <w:sz w:val="44"/>
          <w:szCs w:val="44"/>
        </w:rPr>
        <w:t>修</w:t>
      </w:r>
    </w:p>
    <w:p>
      <w:pPr>
        <w:spacing w:line="360" w:lineRule="auto"/>
        <w:ind w:firstLine="199" w:firstLineChars="45"/>
        <w:jc w:val="center"/>
        <w:rPr>
          <w:rFonts w:ascii="宋体" w:hAnsi="宋体" w:cs="Calibri"/>
          <w:b/>
          <w:bCs/>
          <w:sz w:val="44"/>
          <w:szCs w:val="44"/>
        </w:rPr>
      </w:pPr>
      <w:r>
        <w:rPr>
          <w:rFonts w:hint="eastAsia" w:ascii="宋体" w:hAnsi="宋体"/>
          <w:b/>
          <w:bCs/>
          <w:sz w:val="44"/>
          <w:szCs w:val="44"/>
        </w:rPr>
        <w:t>改</w:t>
      </w:r>
    </w:p>
    <w:p>
      <w:pPr>
        <w:spacing w:line="360" w:lineRule="auto"/>
        <w:ind w:firstLine="199" w:firstLineChars="45"/>
        <w:jc w:val="center"/>
        <w:rPr>
          <w:rFonts w:ascii="宋体" w:hAnsi="宋体" w:cs="Calibri"/>
          <w:b/>
          <w:bCs/>
          <w:sz w:val="44"/>
          <w:szCs w:val="44"/>
        </w:rPr>
      </w:pPr>
      <w:r>
        <w:rPr>
          <w:rFonts w:hint="eastAsia" w:ascii="宋体" w:hAnsi="宋体"/>
          <w:b/>
          <w:bCs/>
          <w:sz w:val="44"/>
          <w:szCs w:val="44"/>
        </w:rPr>
        <w:t>说</w:t>
      </w:r>
    </w:p>
    <w:p>
      <w:pPr>
        <w:spacing w:line="360" w:lineRule="auto"/>
        <w:ind w:firstLine="199" w:firstLineChars="45"/>
        <w:jc w:val="center"/>
        <w:rPr>
          <w:rFonts w:ascii="宋体" w:hAnsi="宋体" w:cs="Calibri"/>
          <w:b/>
          <w:bCs/>
          <w:sz w:val="44"/>
          <w:szCs w:val="44"/>
        </w:rPr>
      </w:pPr>
      <w:r>
        <w:rPr>
          <w:rFonts w:hint="eastAsia" w:ascii="宋体" w:hAnsi="宋体"/>
          <w:b/>
          <w:bCs/>
          <w:sz w:val="44"/>
          <w:szCs w:val="44"/>
        </w:rPr>
        <w:t>明</w:t>
      </w:r>
    </w:p>
    <w:p>
      <w:pPr>
        <w:jc w:val="center"/>
        <w:rPr>
          <w:rFonts w:ascii="宋体" w:hAnsi="宋体"/>
          <w:b/>
          <w:bCs/>
          <w:sz w:val="28"/>
          <w:szCs w:val="28"/>
        </w:rPr>
      </w:pPr>
      <w:r>
        <w:rPr>
          <w:rFonts w:hint="eastAsia" w:ascii="宋体" w:hAnsi="宋体"/>
          <w:b/>
          <w:bCs/>
          <w:sz w:val="28"/>
          <w:szCs w:val="28"/>
        </w:rPr>
        <w:t xml:space="preserve"> </w:t>
      </w:r>
    </w:p>
    <w:p>
      <w:pPr>
        <w:jc w:val="center"/>
        <w:rPr>
          <w:rFonts w:ascii="宋体" w:hAnsi="宋体"/>
          <w:b/>
          <w:bCs/>
          <w:sz w:val="28"/>
          <w:szCs w:val="28"/>
        </w:rPr>
      </w:pPr>
      <w:r>
        <w:rPr>
          <w:rFonts w:hint="eastAsia" w:ascii="宋体" w:hAnsi="宋体"/>
          <w:b/>
          <w:bCs/>
          <w:sz w:val="28"/>
          <w:szCs w:val="28"/>
        </w:rPr>
        <w:t xml:space="preserve"> </w:t>
      </w:r>
    </w:p>
    <w:p>
      <w:pPr>
        <w:jc w:val="center"/>
        <w:rPr>
          <w:rFonts w:ascii="宋体" w:hAnsi="宋体"/>
          <w:b/>
          <w:bCs/>
          <w:sz w:val="28"/>
          <w:szCs w:val="28"/>
        </w:rPr>
      </w:pPr>
      <w:r>
        <w:rPr>
          <w:rFonts w:hint="eastAsia" w:ascii="宋体" w:hAnsi="宋体"/>
          <w:b/>
          <w:bCs/>
          <w:sz w:val="28"/>
          <w:szCs w:val="28"/>
        </w:rPr>
        <w:t xml:space="preserve"> </w:t>
      </w:r>
    </w:p>
    <w:p>
      <w:pPr>
        <w:spacing w:line="320" w:lineRule="exact"/>
        <w:ind w:firstLine="643"/>
        <w:rPr>
          <w:rFonts w:ascii="宋体" w:hAnsi="宋体"/>
          <w:b/>
          <w:bCs/>
          <w:sz w:val="32"/>
          <w:szCs w:val="32"/>
        </w:rPr>
      </w:pPr>
      <w:r>
        <w:rPr>
          <w:rFonts w:hint="eastAsia" w:ascii="宋体" w:hAnsi="宋体"/>
          <w:b/>
          <w:bCs/>
          <w:sz w:val="32"/>
          <w:szCs w:val="32"/>
        </w:rPr>
        <w:t xml:space="preserve"> </w:t>
      </w:r>
    </w:p>
    <w:p>
      <w:pPr>
        <w:spacing w:line="360" w:lineRule="auto"/>
        <w:ind w:firstLine="964" w:firstLineChars="300"/>
        <w:rPr>
          <w:rFonts w:ascii="宋体" w:hAnsi="宋体"/>
          <w:b/>
          <w:bCs/>
          <w:sz w:val="32"/>
          <w:szCs w:val="32"/>
        </w:rPr>
      </w:pPr>
      <w:r>
        <w:rPr>
          <w:rFonts w:hint="eastAsia" w:ascii="宋体" w:hAnsi="宋体"/>
          <w:b/>
          <w:bCs/>
          <w:sz w:val="32"/>
          <w:szCs w:val="32"/>
        </w:rPr>
        <w:t>建设单位：中国石油新疆油田分公司勘探事业部</w:t>
      </w:r>
    </w:p>
    <w:p>
      <w:pPr>
        <w:spacing w:line="360" w:lineRule="auto"/>
        <w:ind w:firstLine="964" w:firstLineChars="300"/>
        <w:rPr>
          <w:rFonts w:ascii="宋体" w:hAnsi="宋体"/>
          <w:b/>
          <w:bCs/>
          <w:sz w:val="32"/>
          <w:szCs w:val="32"/>
        </w:rPr>
      </w:pPr>
      <w:r>
        <w:rPr>
          <w:rFonts w:hint="eastAsia" w:ascii="宋体" w:hAnsi="宋体"/>
          <w:b/>
          <w:bCs/>
          <w:sz w:val="32"/>
          <w:szCs w:val="32"/>
        </w:rPr>
        <w:t>编制单位：中勘冶金勘察设计研究院有限责任公司</w:t>
      </w:r>
    </w:p>
    <w:p>
      <w:pPr>
        <w:spacing w:line="360" w:lineRule="auto"/>
        <w:ind w:firstLine="964" w:firstLineChars="300"/>
        <w:jc w:val="left"/>
        <w:rPr>
          <w:rFonts w:ascii="宋体" w:hAnsi="宋体"/>
          <w:b/>
          <w:bCs/>
          <w:sz w:val="32"/>
          <w:szCs w:val="32"/>
        </w:rPr>
        <w:sectPr>
          <w:footerReference r:id="rId7" w:type="default"/>
          <w:pgSz w:w="11906" w:h="16838"/>
          <w:pgMar w:top="1440" w:right="1800" w:bottom="1440" w:left="1800" w:header="851" w:footer="992" w:gutter="0"/>
          <w:cols w:space="720" w:num="1"/>
          <w:docGrid w:type="lines" w:linePitch="312" w:charSpace="0"/>
        </w:sectPr>
      </w:pPr>
      <w:r>
        <w:rPr>
          <w:rFonts w:hint="eastAsia" w:ascii="宋体" w:hAnsi="宋体"/>
          <w:b/>
          <w:bCs/>
          <w:sz w:val="32"/>
          <w:szCs w:val="32"/>
        </w:rPr>
        <w:t>编制时间：二〇二二年十月</w:t>
      </w:r>
    </w:p>
    <w:p>
      <w:pPr>
        <w:spacing w:line="500" w:lineRule="exact"/>
        <w:rPr>
          <w:rFonts w:ascii="黑体" w:hAnsi="黑体" w:eastAsia="黑体"/>
          <w:kern w:val="0"/>
          <w:sz w:val="28"/>
          <w:szCs w:val="28"/>
        </w:rPr>
      </w:pPr>
      <w:bookmarkStart w:id="69" w:name="_Hlk115950813"/>
      <w:bookmarkStart w:id="70" w:name="_Hlk77036139"/>
      <w:r>
        <w:rPr>
          <w:rFonts w:hint="eastAsia" w:ascii="黑体" w:hAnsi="黑体" w:eastAsia="黑体"/>
          <w:kern w:val="0"/>
          <w:sz w:val="28"/>
          <w:szCs w:val="28"/>
        </w:rPr>
        <w:t>昌吉回族自治州生态环境局：</w:t>
      </w:r>
    </w:p>
    <w:p>
      <w:pPr>
        <w:spacing w:line="500" w:lineRule="exact"/>
        <w:ind w:firstLine="480" w:firstLineChars="200"/>
        <w:contextualSpacing/>
        <w:rPr>
          <w:rFonts w:ascii="宋体" w:hAnsi="宋体"/>
          <w:kern w:val="0"/>
          <w:sz w:val="24"/>
        </w:rPr>
      </w:pPr>
      <w:r>
        <w:rPr>
          <w:rFonts w:hint="eastAsia" w:ascii="宋体" w:hAnsi="宋体"/>
          <w:kern w:val="0"/>
          <w:sz w:val="24"/>
        </w:rPr>
        <w:t>我单位按照专家提出的宝贵意见对报告表相关内容进行了补充、修改、完善，具体内容如下：</w:t>
      </w:r>
    </w:p>
    <w:p>
      <w:pPr>
        <w:spacing w:line="500" w:lineRule="exact"/>
        <w:rPr>
          <w:rFonts w:ascii="宋体" w:hAnsi="宋体"/>
          <w:b/>
          <w:sz w:val="24"/>
        </w:rPr>
      </w:pPr>
      <w:r>
        <w:rPr>
          <w:rFonts w:hint="eastAsia" w:ascii="宋体" w:hAnsi="宋体"/>
          <w:b/>
          <w:sz w:val="24"/>
        </w:rPr>
        <w:t>1、朱彬专家意见：</w:t>
      </w:r>
    </w:p>
    <w:bookmarkEnd w:id="69"/>
    <w:p>
      <w:pPr>
        <w:spacing w:line="500" w:lineRule="exact"/>
        <w:rPr>
          <w:rFonts w:ascii="宋体" w:hAnsi="宋体"/>
          <w:b/>
          <w:sz w:val="24"/>
        </w:rPr>
      </w:pPr>
      <w:r>
        <w:rPr>
          <w:rFonts w:hint="eastAsia" w:ascii="宋体" w:hAnsi="宋体"/>
          <w:b/>
          <w:sz w:val="24"/>
        </w:rPr>
        <w:t>（1）结合区域生态环境现状，根据照片显示，项目占地范围内涉及梭梭？若涉及评价则分析施工期如何避让；完善施工结束后项目区临时占地恢复措施。</w:t>
      </w:r>
    </w:p>
    <w:p>
      <w:pPr>
        <w:spacing w:line="500" w:lineRule="exact"/>
        <w:ind w:firstLine="482" w:firstLineChars="200"/>
        <w:rPr>
          <w:rFonts w:ascii="宋体" w:hAnsi="宋体"/>
          <w:bCs/>
          <w:kern w:val="0"/>
          <w:sz w:val="24"/>
        </w:rPr>
      </w:pPr>
      <w:r>
        <w:rPr>
          <w:rFonts w:hint="eastAsia" w:ascii="宋体" w:hAnsi="宋体"/>
          <w:b/>
          <w:kern w:val="0"/>
          <w:sz w:val="24"/>
        </w:rPr>
        <w:t>修改说明：</w:t>
      </w:r>
      <w:r>
        <w:rPr>
          <w:rFonts w:hint="eastAsia" w:ascii="宋体" w:hAnsi="宋体"/>
          <w:bCs/>
          <w:kern w:val="0"/>
          <w:sz w:val="24"/>
        </w:rPr>
        <w:t>根据现场调查情况，项目占地范围内确有梭梭，已根据梭梭分布情况提出施工期避让措施，详见报告报告“五、主要生态环境保护措施——1、生态环境保护措施——（1）生态环境保护——①工程避让措施”。施工结束后对临时占地进行平整，向相关部门缴纳占地补偿费，详见报告“五、主要生态环境保护措施——1、生态环境保护措施——（1）生态环境保护——③恢复措施”。</w:t>
      </w:r>
    </w:p>
    <w:p>
      <w:pPr>
        <w:spacing w:before="156" w:beforeLines="50" w:line="500" w:lineRule="exact"/>
        <w:rPr>
          <w:rFonts w:ascii="宋体" w:hAnsi="宋体"/>
          <w:b/>
          <w:sz w:val="24"/>
        </w:rPr>
      </w:pPr>
      <w:r>
        <w:rPr>
          <w:rFonts w:hint="eastAsia" w:ascii="宋体" w:hAnsi="宋体"/>
          <w:b/>
          <w:sz w:val="24"/>
        </w:rPr>
        <w:t>（2）核实项目钻井期间及试油期间用水量，补充钻井液配置用水量。</w:t>
      </w:r>
    </w:p>
    <w:p>
      <w:pPr>
        <w:spacing w:line="500" w:lineRule="exact"/>
        <w:ind w:firstLine="482" w:firstLineChars="200"/>
        <w:rPr>
          <w:rFonts w:ascii="宋体" w:hAnsi="宋体"/>
          <w:bCs/>
          <w:kern w:val="0"/>
          <w:sz w:val="24"/>
        </w:rPr>
      </w:pPr>
      <w:r>
        <w:rPr>
          <w:rFonts w:hint="eastAsia" w:ascii="宋体" w:hAnsi="宋体"/>
          <w:b/>
          <w:kern w:val="0"/>
          <w:sz w:val="24"/>
        </w:rPr>
        <w:t>修改说明：</w:t>
      </w:r>
      <w:r>
        <w:rPr>
          <w:rFonts w:hint="eastAsia" w:ascii="宋体" w:hAnsi="宋体"/>
          <w:bCs/>
          <w:kern w:val="0"/>
          <w:sz w:val="24"/>
        </w:rPr>
        <w:t>经与建设单位核实，钻试期间使用水基钻井液9</w:t>
      </w:r>
      <w:r>
        <w:rPr>
          <w:rFonts w:ascii="宋体" w:hAnsi="宋体"/>
          <w:bCs/>
          <w:kern w:val="0"/>
          <w:sz w:val="24"/>
        </w:rPr>
        <w:t>30</w:t>
      </w:r>
      <w:r>
        <w:rPr>
          <w:rFonts w:hint="eastAsia" w:ascii="宋体" w:hAnsi="宋体"/>
          <w:bCs/>
          <w:kern w:val="0"/>
          <w:sz w:val="24"/>
        </w:rPr>
        <w:t>m</w:t>
      </w:r>
      <w:r>
        <w:rPr>
          <w:rFonts w:ascii="宋体" w:hAnsi="宋体"/>
          <w:bCs/>
          <w:kern w:val="0"/>
          <w:sz w:val="24"/>
          <w:vertAlign w:val="superscript"/>
        </w:rPr>
        <w:t>3</w:t>
      </w:r>
      <w:r>
        <w:rPr>
          <w:rFonts w:hint="eastAsia" w:ascii="宋体" w:hAnsi="宋体"/>
          <w:bCs/>
          <w:kern w:val="0"/>
          <w:sz w:val="24"/>
        </w:rPr>
        <w:t>，新鲜用水3</w:t>
      </w:r>
      <w:r>
        <w:rPr>
          <w:rFonts w:ascii="宋体" w:hAnsi="宋体"/>
          <w:bCs/>
          <w:kern w:val="0"/>
          <w:sz w:val="24"/>
        </w:rPr>
        <w:t>35</w:t>
      </w:r>
      <w:r>
        <w:rPr>
          <w:rFonts w:hint="eastAsia" w:ascii="宋体" w:hAnsi="宋体"/>
          <w:bCs/>
          <w:kern w:val="0"/>
          <w:sz w:val="24"/>
        </w:rPr>
        <w:t>m</w:t>
      </w:r>
      <w:r>
        <w:rPr>
          <w:rFonts w:ascii="宋体" w:hAnsi="宋体"/>
          <w:bCs/>
          <w:kern w:val="0"/>
          <w:sz w:val="24"/>
          <w:vertAlign w:val="superscript"/>
        </w:rPr>
        <w:t>3</w:t>
      </w:r>
      <w:r>
        <w:rPr>
          <w:rFonts w:hint="eastAsia" w:ascii="宋体" w:hAnsi="宋体"/>
          <w:bCs/>
          <w:kern w:val="0"/>
          <w:sz w:val="24"/>
        </w:rPr>
        <w:t>（洗井用水、生活用水），钻井液由钻井液公司统一配置，成品用罐车拉运至井场，不在现场配置</w:t>
      </w:r>
      <w:r>
        <w:rPr>
          <w:rFonts w:hint="eastAsia"/>
          <w:color w:val="000000" w:themeColor="text1"/>
          <w:sz w:val="24"/>
          <w14:textFill>
            <w14:solidFill>
              <w14:schemeClr w14:val="tx1"/>
            </w14:solidFill>
          </w14:textFill>
        </w:rPr>
        <w:t>。详见报告“二、建设内容——施工方案——1、钻井施工方案——（</w:t>
      </w:r>
      <w:r>
        <w:rPr>
          <w:color w:val="000000" w:themeColor="text1"/>
          <w:sz w:val="24"/>
          <w14:textFill>
            <w14:solidFill>
              <w14:schemeClr w14:val="tx1"/>
            </w14:solidFill>
          </w14:textFill>
        </w:rPr>
        <w:t>2）钻井工程</w:t>
      </w:r>
      <w:r>
        <w:rPr>
          <w:rFonts w:hint="eastAsia"/>
          <w:color w:val="000000" w:themeColor="text1"/>
          <w:sz w:val="24"/>
          <w14:textFill>
            <w14:solidFill>
              <w14:schemeClr w14:val="tx1"/>
            </w14:solidFill>
          </w14:textFill>
        </w:rPr>
        <w:t>——④钻井液体系”。</w:t>
      </w:r>
    </w:p>
    <w:p>
      <w:pPr>
        <w:spacing w:line="500" w:lineRule="exact"/>
        <w:rPr>
          <w:rFonts w:ascii="宋体" w:hAnsi="宋体"/>
          <w:b/>
          <w:sz w:val="24"/>
        </w:rPr>
      </w:pPr>
      <w:r>
        <w:rPr>
          <w:rFonts w:hint="eastAsia" w:ascii="宋体" w:hAnsi="宋体"/>
          <w:b/>
          <w:sz w:val="24"/>
        </w:rPr>
        <w:t>（3）核实项目占地面积，一般情况下勘探井完成钻探后根据油气资源情况确定后续是否进行开发，若无利用价值则永久封井，因此建议评价结合勘探完成后的利用价值，核实项目是否设置永久占地，针对项目临时占地建议给出临时占地征用时间，说明目前临时占地是否办理了征地手续。</w:t>
      </w:r>
    </w:p>
    <w:p>
      <w:pPr>
        <w:spacing w:line="500" w:lineRule="exact"/>
        <w:ind w:firstLine="482" w:firstLineChars="200"/>
        <w:rPr>
          <w:rFonts w:ascii="宋体" w:hAnsi="宋体"/>
          <w:b/>
          <w:sz w:val="24"/>
        </w:rPr>
      </w:pPr>
      <w:r>
        <w:rPr>
          <w:rFonts w:hint="eastAsia" w:ascii="宋体" w:hAnsi="宋体"/>
          <w:b/>
          <w:kern w:val="0"/>
          <w:sz w:val="24"/>
        </w:rPr>
        <w:t>修改说明：</w:t>
      </w:r>
      <w:r>
        <w:rPr>
          <w:rFonts w:hint="eastAsia" w:ascii="宋体" w:hAnsi="宋体"/>
          <w:bCs/>
          <w:kern w:val="0"/>
          <w:sz w:val="24"/>
        </w:rPr>
        <w:t>经与建设单位核实，项目设计临时占地面积为1</w:t>
      </w:r>
      <w:r>
        <w:rPr>
          <w:rFonts w:ascii="宋体" w:hAnsi="宋体"/>
          <w:bCs/>
          <w:kern w:val="0"/>
          <w:sz w:val="24"/>
        </w:rPr>
        <w:t>4200</w:t>
      </w:r>
      <w:r>
        <w:rPr>
          <w:rFonts w:hint="eastAsia" w:ascii="宋体" w:hAnsi="宋体"/>
          <w:bCs/>
          <w:kern w:val="0"/>
          <w:sz w:val="24"/>
        </w:rPr>
        <w:t>m</w:t>
      </w:r>
      <w:r>
        <w:rPr>
          <w:rFonts w:ascii="宋体" w:hAnsi="宋体"/>
          <w:bCs/>
          <w:kern w:val="0"/>
          <w:sz w:val="24"/>
          <w:vertAlign w:val="superscript"/>
        </w:rPr>
        <w:t>2</w:t>
      </w:r>
      <w:r>
        <w:rPr>
          <w:rFonts w:hint="eastAsia" w:ascii="宋体" w:hAnsi="宋体"/>
          <w:bCs/>
          <w:kern w:val="0"/>
          <w:sz w:val="24"/>
        </w:rPr>
        <w:t>，不涉及永久占地。根据试油结果决定新钻井是否转为生产井，若可转为生产井，则应当在产能开发建设前开展其环境影响评价工作，若不具备转产条件，则应封井，封井时要根据《废弃井封井回填技术指南（试行）》、《废弃井及长停井处置指南》（</w:t>
      </w:r>
      <w:r>
        <w:rPr>
          <w:rFonts w:ascii="宋体" w:hAnsi="宋体"/>
          <w:bCs/>
          <w:kern w:val="0"/>
          <w:sz w:val="24"/>
        </w:rPr>
        <w:t>SY/T 6646-2017）、《矿山生态环境保护与恢复治理技术规范（试行）（HJ 651—2013）》以及《陆上石油天然气开采业绿色矿山建设规范（DZ/T0317—2018）》等执行封井措施</w:t>
      </w:r>
      <w:r>
        <w:rPr>
          <w:rFonts w:hint="eastAsia" w:ascii="宋体" w:hAnsi="宋体"/>
          <w:bCs/>
          <w:kern w:val="0"/>
          <w:sz w:val="24"/>
        </w:rPr>
        <w:t>，详见报告“五、主要生态环境保护措施——运营期生态保护措施”。在项目开工建设前应向相关部门办理临时占地手续，取得占地手续后方可开工建设，征地时限通常为两年，详见报告“五、主要生态环境保护措施——1、生态环境保护措施——（1）生态环境保护——④补偿措施”以及“三、生态环境现状、保护目标及评价标准——生态保护目标——生态评价等级判定依据”。</w:t>
      </w:r>
    </w:p>
    <w:p>
      <w:pPr>
        <w:spacing w:line="500" w:lineRule="exact"/>
        <w:rPr>
          <w:rFonts w:ascii="宋体" w:hAnsi="宋体"/>
          <w:b/>
          <w:sz w:val="24"/>
        </w:rPr>
      </w:pPr>
      <w:r>
        <w:rPr>
          <w:rFonts w:hint="eastAsia" w:ascii="宋体" w:hAnsi="宋体"/>
          <w:b/>
          <w:sz w:val="24"/>
        </w:rPr>
        <w:t>（4）补充项目与《新疆维吾尔自治区重点行业环境准入条件（修订）》（新环发</w:t>
      </w:r>
      <w:r>
        <w:rPr>
          <w:rFonts w:ascii="宋体" w:hAnsi="宋体"/>
          <w:b/>
          <w:sz w:val="24"/>
        </w:rPr>
        <w:t>[2017] 1号）符合性。结合</w:t>
      </w:r>
      <w:bookmarkStart w:id="71" w:name="_Hlk115959802"/>
      <w:r>
        <w:rPr>
          <w:rFonts w:ascii="宋体" w:hAnsi="宋体"/>
          <w:b/>
          <w:sz w:val="24"/>
        </w:rPr>
        <w:t>《废弃井封井回填技术指南（试行）》</w:t>
      </w:r>
      <w:bookmarkEnd w:id="71"/>
      <w:r>
        <w:rPr>
          <w:rFonts w:ascii="宋体" w:hAnsi="宋体"/>
          <w:b/>
          <w:sz w:val="24"/>
        </w:rPr>
        <w:t>《矿山生态环境保护与恢复治理技术规范（试行）（HJ 651-2013）》《陆上石油天然气开采业绿色矿山建设规范（DZ/T0317-2018）》《废弃井及长停井处置指南》（SY/T6646-2017）要求，补充完善封闭井生态恢复措施和要求。</w:t>
      </w:r>
    </w:p>
    <w:p>
      <w:pPr>
        <w:spacing w:line="500" w:lineRule="exact"/>
        <w:ind w:firstLine="482" w:firstLineChars="200"/>
        <w:rPr>
          <w:rFonts w:ascii="宋体" w:hAnsi="宋体"/>
          <w:b/>
          <w:sz w:val="24"/>
        </w:rPr>
      </w:pPr>
      <w:r>
        <w:rPr>
          <w:rFonts w:hint="eastAsia" w:ascii="宋体" w:hAnsi="宋体"/>
          <w:b/>
          <w:kern w:val="0"/>
          <w:sz w:val="24"/>
        </w:rPr>
        <w:t>修改说明：</w:t>
      </w:r>
      <w:r>
        <w:rPr>
          <w:rFonts w:hint="eastAsia" w:ascii="宋体" w:hAnsi="宋体"/>
          <w:bCs/>
          <w:kern w:val="0"/>
          <w:sz w:val="24"/>
        </w:rPr>
        <w:t>已补充项目与《新疆维吾尔自治区重点行业环境准入条件（修订）》（新环发〔</w:t>
      </w:r>
      <w:r>
        <w:rPr>
          <w:rFonts w:ascii="宋体" w:hAnsi="宋体"/>
          <w:bCs/>
          <w:kern w:val="0"/>
          <w:sz w:val="24"/>
        </w:rPr>
        <w:t>2017〕 1号）符合性</w:t>
      </w:r>
      <w:r>
        <w:rPr>
          <w:rFonts w:hint="eastAsia" w:ascii="宋体" w:hAnsi="宋体"/>
          <w:bCs/>
          <w:kern w:val="0"/>
          <w:sz w:val="24"/>
        </w:rPr>
        <w:t>分析，详见报告“一、建设项目基本情况——相关环保政策”。封井时根据《废弃井封井回填技术指南（试行）》、《废弃井及长停井处置指南》（</w:t>
      </w:r>
      <w:r>
        <w:rPr>
          <w:rFonts w:ascii="宋体" w:hAnsi="宋体"/>
          <w:bCs/>
          <w:kern w:val="0"/>
          <w:sz w:val="24"/>
        </w:rPr>
        <w:t>SY/T 6646-2017）、《矿山生态环境保护与恢复治理技术规范（试行）（HJ 651—2013）》以及《陆上石油天然气开采业绿色矿山建设规范（DZ/T0317—2018）》</w:t>
      </w:r>
      <w:r>
        <w:rPr>
          <w:rFonts w:hint="eastAsia" w:ascii="宋体" w:hAnsi="宋体"/>
          <w:bCs/>
          <w:kern w:val="0"/>
          <w:sz w:val="24"/>
        </w:rPr>
        <w:t>补充完善封闭井生态恢复措施和要求，详见报告“五、主要生态环境保护措施——运营期生态保护措施”。</w:t>
      </w:r>
    </w:p>
    <w:p>
      <w:pPr>
        <w:spacing w:line="500" w:lineRule="exact"/>
        <w:rPr>
          <w:rFonts w:ascii="宋体" w:hAnsi="宋体"/>
          <w:b/>
          <w:sz w:val="24"/>
        </w:rPr>
      </w:pPr>
      <w:r>
        <w:rPr>
          <w:rFonts w:hint="eastAsia" w:ascii="宋体" w:hAnsi="宋体"/>
          <w:b/>
          <w:sz w:val="24"/>
        </w:rPr>
        <w:t>（5）沙区开发建设项目是指在沙漠、戈壁、沙地、沙化土地和潜在沙化土地上实施的开发建设项目，主要包括在沙区范围内开发的工业、农业、畜牧业、能源、水利、交通、城市建设、旅游、自然资源等建设项目，报告表应按照《防沙治沙法》和《关于加强沙区建设项目环境影响评价工作的通知》（新环环评发</w:t>
      </w:r>
      <w:r>
        <w:rPr>
          <w:rFonts w:ascii="宋体" w:hAnsi="宋体"/>
          <w:b/>
          <w:sz w:val="24"/>
        </w:rPr>
        <w:t>[2020]138号）要求，细化项目实施过程中对沙化土地产生的影响及防沙治沙措施（具体措施），并纳入环保投资和监督检查内容。</w:t>
      </w:r>
    </w:p>
    <w:p>
      <w:pPr>
        <w:spacing w:line="500" w:lineRule="exact"/>
        <w:ind w:firstLine="482" w:firstLineChars="200"/>
        <w:rPr>
          <w:rFonts w:ascii="宋体" w:hAnsi="宋体"/>
          <w:b/>
          <w:sz w:val="24"/>
        </w:rPr>
      </w:pPr>
      <w:r>
        <w:rPr>
          <w:rFonts w:hint="eastAsia" w:ascii="宋体" w:hAnsi="宋体"/>
          <w:b/>
          <w:kern w:val="0"/>
          <w:sz w:val="24"/>
        </w:rPr>
        <w:t>修改说明：</w:t>
      </w:r>
      <w:r>
        <w:rPr>
          <w:rFonts w:hint="eastAsia" w:ascii="宋体" w:hAnsi="宋体"/>
          <w:bCs/>
          <w:kern w:val="0"/>
          <w:sz w:val="24"/>
        </w:rPr>
        <w:t>针对项目实施过程中对沙地的生态环境影响分析见报告“四、生态环境影响分析——</w:t>
      </w:r>
      <w:r>
        <w:rPr>
          <w:rFonts w:ascii="宋体" w:hAnsi="宋体"/>
          <w:bCs/>
          <w:kern w:val="0"/>
          <w:sz w:val="24"/>
        </w:rPr>
        <w:t>1、生态环境影响分析</w:t>
      </w:r>
      <w:r>
        <w:rPr>
          <w:rFonts w:hint="eastAsia" w:ascii="宋体" w:hAnsi="宋体"/>
          <w:bCs/>
          <w:kern w:val="0"/>
          <w:sz w:val="24"/>
        </w:rPr>
        <w:t>——（</w:t>
      </w:r>
      <w:r>
        <w:rPr>
          <w:rFonts w:ascii="宋体" w:hAnsi="宋体"/>
          <w:bCs/>
          <w:kern w:val="0"/>
          <w:sz w:val="24"/>
        </w:rPr>
        <w:t>4）土地沙化影响分析</w:t>
      </w:r>
      <w:r>
        <w:rPr>
          <w:rFonts w:hint="eastAsia" w:ascii="宋体" w:hAnsi="宋体"/>
          <w:bCs/>
          <w:kern w:val="0"/>
          <w:sz w:val="24"/>
        </w:rPr>
        <w:t>”，对于项目实施过程中的防沙治沙措施详见报告“五、主要生态环境保护措施——</w:t>
      </w:r>
      <w:r>
        <w:rPr>
          <w:rFonts w:ascii="宋体" w:hAnsi="宋体"/>
          <w:bCs/>
          <w:kern w:val="0"/>
          <w:sz w:val="24"/>
        </w:rPr>
        <w:t>1、生态环境保护措施</w:t>
      </w:r>
      <w:r>
        <w:rPr>
          <w:rFonts w:hint="eastAsia" w:ascii="宋体" w:hAnsi="宋体"/>
          <w:bCs/>
          <w:kern w:val="0"/>
          <w:sz w:val="24"/>
        </w:rPr>
        <w:t>——（</w:t>
      </w:r>
      <w:r>
        <w:rPr>
          <w:rFonts w:ascii="宋体" w:hAnsi="宋体"/>
          <w:bCs/>
          <w:kern w:val="0"/>
          <w:sz w:val="24"/>
        </w:rPr>
        <w:t>2）防沙治沙措施</w:t>
      </w:r>
      <w:r>
        <w:rPr>
          <w:rFonts w:hint="eastAsia" w:ascii="宋体" w:hAnsi="宋体"/>
          <w:bCs/>
          <w:kern w:val="0"/>
          <w:sz w:val="24"/>
        </w:rPr>
        <w:t>”，并将防沙治沙措施纳入环保投资（见报告“五、主要生态环境保护措施——环保投资——表1</w:t>
      </w:r>
      <w:r>
        <w:rPr>
          <w:rFonts w:ascii="宋体" w:hAnsi="宋体"/>
          <w:bCs/>
          <w:kern w:val="0"/>
          <w:sz w:val="24"/>
        </w:rPr>
        <w:t>5</w:t>
      </w:r>
      <w:r>
        <w:rPr>
          <w:rFonts w:hint="eastAsia" w:ascii="宋体" w:hAnsi="宋体"/>
          <w:bCs/>
          <w:kern w:val="0"/>
          <w:sz w:val="24"/>
        </w:rPr>
        <w:t>环保治理设施环保投资表”）以及生态环境保护措施监督检查清单。</w:t>
      </w:r>
    </w:p>
    <w:p>
      <w:pPr>
        <w:spacing w:line="500" w:lineRule="exact"/>
        <w:rPr>
          <w:rFonts w:ascii="宋体" w:hAnsi="宋体"/>
          <w:b/>
          <w:sz w:val="24"/>
        </w:rPr>
      </w:pPr>
      <w:r>
        <w:rPr>
          <w:rFonts w:hint="eastAsia" w:ascii="宋体" w:hAnsi="宋体"/>
          <w:b/>
          <w:sz w:val="24"/>
        </w:rPr>
        <w:t>（6）说明工程占地中，是否需要砍伐植被，如有，说明面积及植被类型；建议细化草地类型、等级。</w:t>
      </w:r>
    </w:p>
    <w:p>
      <w:pPr>
        <w:spacing w:line="500" w:lineRule="exact"/>
        <w:ind w:firstLine="482" w:firstLineChars="200"/>
        <w:rPr>
          <w:rFonts w:ascii="宋体" w:hAnsi="宋体"/>
          <w:bCs/>
          <w:kern w:val="0"/>
          <w:sz w:val="24"/>
        </w:rPr>
      </w:pPr>
      <w:r>
        <w:rPr>
          <w:rFonts w:hint="eastAsia" w:ascii="宋体" w:hAnsi="宋体"/>
          <w:b/>
          <w:kern w:val="0"/>
          <w:sz w:val="24"/>
        </w:rPr>
        <w:t>修改说明：</w:t>
      </w:r>
      <w:r>
        <w:rPr>
          <w:rFonts w:hint="eastAsia" w:ascii="宋体" w:hAnsi="宋体"/>
          <w:bCs/>
          <w:kern w:val="0"/>
          <w:sz w:val="24"/>
        </w:rPr>
        <w:t>项目施工过程中根据</w:t>
      </w:r>
      <w:bookmarkStart w:id="72" w:name="_Hlk105613030"/>
      <w:r>
        <w:rPr>
          <w:rFonts w:hint="eastAsia" w:ascii="宋体" w:hAnsi="宋体"/>
          <w:bCs/>
          <w:kern w:val="0"/>
          <w:sz w:val="24"/>
        </w:rPr>
        <w:t>现场植被实际情况进行避让，避开植被茂密区域进行施工，是否砍伐植被根据建设实际情况确定，但在项目施工前建设单位应向相关部门办理临时用地相关手续，并缴纳植被恢复费用。项目占地为其他草地，根据《土地利用现状分类》（G</w:t>
      </w:r>
      <w:r>
        <w:rPr>
          <w:rFonts w:ascii="宋体" w:hAnsi="宋体"/>
          <w:bCs/>
          <w:kern w:val="0"/>
          <w:sz w:val="24"/>
        </w:rPr>
        <w:t>B/T 21010</w:t>
      </w:r>
      <w:r>
        <w:rPr>
          <w:rFonts w:hint="eastAsia" w:ascii="宋体" w:hAnsi="宋体"/>
          <w:bCs/>
          <w:kern w:val="0"/>
          <w:sz w:val="24"/>
        </w:rPr>
        <w:t>—2</w:t>
      </w:r>
      <w:r>
        <w:rPr>
          <w:rFonts w:ascii="宋体" w:hAnsi="宋体"/>
          <w:bCs/>
          <w:kern w:val="0"/>
          <w:sz w:val="24"/>
        </w:rPr>
        <w:t>017</w:t>
      </w:r>
      <w:r>
        <w:rPr>
          <w:rFonts w:hint="eastAsia" w:ascii="宋体" w:hAnsi="宋体"/>
          <w:bCs/>
          <w:kern w:val="0"/>
          <w:sz w:val="24"/>
        </w:rPr>
        <w:t>）相关要求，其他草地属于未利用地，未进行等级划分。</w:t>
      </w:r>
      <w:bookmarkEnd w:id="72"/>
    </w:p>
    <w:p>
      <w:pPr>
        <w:spacing w:line="500" w:lineRule="exact"/>
        <w:rPr>
          <w:rFonts w:ascii="宋体" w:hAnsi="宋体"/>
          <w:b/>
          <w:sz w:val="24"/>
        </w:rPr>
      </w:pPr>
      <w:r>
        <w:rPr>
          <w:rFonts w:hint="eastAsia" w:ascii="宋体" w:hAnsi="宋体"/>
          <w:b/>
          <w:sz w:val="24"/>
        </w:rPr>
        <w:t>2、李建专家意见：</w:t>
      </w:r>
    </w:p>
    <w:p>
      <w:pPr>
        <w:spacing w:line="500" w:lineRule="exact"/>
        <w:rPr>
          <w:rFonts w:ascii="宋体" w:hAnsi="宋体"/>
          <w:b/>
          <w:sz w:val="24"/>
        </w:rPr>
      </w:pPr>
      <w:r>
        <w:rPr>
          <w:rFonts w:hint="eastAsia" w:ascii="宋体" w:hAnsi="宋体"/>
          <w:b/>
          <w:sz w:val="24"/>
        </w:rPr>
        <w:t>（1）补充政策文件，关于加强生态保护红线管理的通知，今年8月的文件。</w:t>
      </w:r>
    </w:p>
    <w:p>
      <w:pPr>
        <w:spacing w:line="500" w:lineRule="exact"/>
        <w:ind w:firstLine="482" w:firstLineChars="200"/>
        <w:rPr>
          <w:rFonts w:ascii="宋体" w:hAnsi="宋体"/>
          <w:kern w:val="0"/>
          <w:sz w:val="24"/>
        </w:rPr>
      </w:pPr>
      <w:r>
        <w:rPr>
          <w:rFonts w:hint="eastAsia" w:ascii="宋体" w:hAnsi="宋体"/>
          <w:b/>
          <w:kern w:val="0"/>
          <w:sz w:val="24"/>
        </w:rPr>
        <w:t>修改说明：</w:t>
      </w:r>
      <w:r>
        <w:rPr>
          <w:rFonts w:hint="eastAsia" w:ascii="宋体" w:hAnsi="宋体"/>
          <w:bCs/>
          <w:kern w:val="0"/>
          <w:sz w:val="24"/>
        </w:rPr>
        <w:t>本项目占地不占用生态红线范围，不涉及《自然资源部 生态环境部 国家林业和草原局关于加强生态保护红线管理的通知（试行）》（自然资源发〔</w:t>
      </w:r>
      <w:r>
        <w:rPr>
          <w:rFonts w:ascii="宋体" w:hAnsi="宋体"/>
          <w:bCs/>
          <w:kern w:val="0"/>
          <w:sz w:val="24"/>
        </w:rPr>
        <w:t>2022〕</w:t>
      </w:r>
      <w:r>
        <w:rPr>
          <w:rFonts w:hint="eastAsia" w:ascii="宋体" w:hAnsi="宋体"/>
          <w:bCs/>
          <w:kern w:val="0"/>
          <w:sz w:val="24"/>
        </w:rPr>
        <w:t>1</w:t>
      </w:r>
      <w:r>
        <w:rPr>
          <w:rFonts w:ascii="宋体" w:hAnsi="宋体"/>
          <w:bCs/>
          <w:kern w:val="0"/>
          <w:sz w:val="24"/>
        </w:rPr>
        <w:t>42</w:t>
      </w:r>
      <w:r>
        <w:rPr>
          <w:rFonts w:hint="eastAsia" w:ascii="宋体" w:hAnsi="宋体"/>
          <w:bCs/>
          <w:kern w:val="0"/>
          <w:sz w:val="24"/>
        </w:rPr>
        <w:t>号），已补充政策文件分析至报告“一、建设项目基本情况——其他符合性分析——生态保护红线”。</w:t>
      </w:r>
    </w:p>
    <w:p>
      <w:pPr>
        <w:spacing w:line="500" w:lineRule="exact"/>
        <w:rPr>
          <w:rFonts w:ascii="宋体" w:hAnsi="宋体"/>
          <w:b/>
          <w:sz w:val="24"/>
        </w:rPr>
      </w:pPr>
      <w:r>
        <w:rPr>
          <w:rFonts w:hint="eastAsia" w:ascii="宋体" w:hAnsi="宋体"/>
          <w:b/>
          <w:sz w:val="24"/>
        </w:rPr>
        <w:t>（</w:t>
      </w:r>
      <w:r>
        <w:rPr>
          <w:rFonts w:ascii="宋体" w:hAnsi="宋体"/>
          <w:b/>
          <w:sz w:val="24"/>
        </w:rPr>
        <w:t>2</w:t>
      </w:r>
      <w:r>
        <w:rPr>
          <w:rFonts w:hint="eastAsia" w:ascii="宋体" w:hAnsi="宋体"/>
          <w:b/>
          <w:sz w:val="24"/>
        </w:rPr>
        <w:t>）补充项目区域内外自治区Ⅰ级保护植物——梭梭的现状情况，本项目会破坏多少，提出有针对性的具体保护措施和在环保投资中体现。</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bCs/>
          <w:kern w:val="0"/>
          <w:sz w:val="24"/>
        </w:rPr>
        <w:t>根据现场调查，项目占地范围内植被盖度约5</w:t>
      </w:r>
      <w:r>
        <w:rPr>
          <w:rFonts w:ascii="宋体" w:hAnsi="宋体"/>
          <w:bCs/>
          <w:kern w:val="0"/>
          <w:sz w:val="24"/>
        </w:rPr>
        <w:t>%</w:t>
      </w:r>
      <w:r>
        <w:rPr>
          <w:rFonts w:hint="eastAsia" w:ascii="宋体" w:hAnsi="宋体"/>
          <w:bCs/>
          <w:kern w:val="0"/>
          <w:sz w:val="24"/>
        </w:rPr>
        <w:t>，在施工过程中根据现场植被实际情况进行避让</w:t>
      </w:r>
      <w:r>
        <w:rPr>
          <w:rFonts w:hint="eastAsia" w:ascii="宋体" w:hAnsi="宋体"/>
          <w:sz w:val="24"/>
        </w:rPr>
        <w:t>，是否砍伐植被根据建设实际情况确定，但在项目施工前建设单位应向相关部门办理临时用地相关手续，并缴纳植被恢复费用。针对占地范围内外的植被保护，报告从避让、减缓、补偿以及防沙治沙四个方面提出保护要求，详见报告“五、主要生态保护措施——1、生态环境保护措施——（1）生态保护措施、（2）防沙治沙措施”。</w:t>
      </w:r>
    </w:p>
    <w:p>
      <w:pPr>
        <w:spacing w:line="500" w:lineRule="exact"/>
        <w:rPr>
          <w:rFonts w:ascii="宋体" w:hAnsi="宋体"/>
          <w:b/>
          <w:sz w:val="24"/>
        </w:rPr>
      </w:pPr>
      <w:r>
        <w:rPr>
          <w:rFonts w:ascii="宋体" w:hAnsi="宋体"/>
          <w:b/>
          <w:sz w:val="24"/>
        </w:rPr>
        <w:t>3</w:t>
      </w:r>
      <w:r>
        <w:rPr>
          <w:rFonts w:hint="eastAsia" w:ascii="宋体" w:hAnsi="宋体"/>
          <w:b/>
          <w:sz w:val="24"/>
        </w:rPr>
        <w:t>、杨永虎专家意见：</w:t>
      </w:r>
    </w:p>
    <w:p>
      <w:pPr>
        <w:spacing w:line="500" w:lineRule="exact"/>
        <w:rPr>
          <w:rFonts w:ascii="宋体" w:hAnsi="宋体"/>
          <w:b/>
          <w:spacing w:val="2"/>
          <w:sz w:val="24"/>
        </w:rPr>
      </w:pPr>
      <w:r>
        <w:rPr>
          <w:rFonts w:hint="eastAsia" w:ascii="宋体" w:hAnsi="宋体"/>
          <w:b/>
          <w:spacing w:val="2"/>
          <w:sz w:val="24"/>
        </w:rPr>
        <w:t>（1）更新项目建设与《新疆维吾尔自治区矿产资源总体规划（</w:t>
      </w:r>
      <w:r>
        <w:rPr>
          <w:rFonts w:ascii="宋体" w:hAnsi="宋体"/>
          <w:b/>
          <w:spacing w:val="2"/>
          <w:sz w:val="24"/>
        </w:rPr>
        <w:t>2021-2025）》的符合性分析内容</w:t>
      </w:r>
      <w:r>
        <w:rPr>
          <w:rFonts w:hint="eastAsia" w:ascii="宋体" w:hAnsi="宋体"/>
          <w:b/>
          <w:spacing w:val="2"/>
          <w:sz w:val="24"/>
        </w:rPr>
        <w:t>。</w:t>
      </w:r>
    </w:p>
    <w:p>
      <w:pPr>
        <w:spacing w:line="500" w:lineRule="exact"/>
        <w:ind w:firstLine="482" w:firstLineChars="200"/>
        <w:rPr>
          <w:rFonts w:ascii="宋体" w:hAnsi="宋体"/>
          <w:sz w:val="24"/>
        </w:rPr>
      </w:pPr>
      <w:r>
        <w:rPr>
          <w:rFonts w:hint="eastAsia" w:ascii="宋体" w:hAnsi="宋体"/>
          <w:b/>
          <w:sz w:val="24"/>
        </w:rPr>
        <w:t>修改说明：</w:t>
      </w:r>
      <w:bookmarkStart w:id="73" w:name="_Hlk116073501"/>
      <w:bookmarkStart w:id="74" w:name="_Hlk105614220"/>
      <w:r>
        <w:rPr>
          <w:rFonts w:hint="eastAsia" w:ascii="宋体" w:hAnsi="宋体"/>
          <w:sz w:val="24"/>
        </w:rPr>
        <w:t>目前《新疆维吾尔自治区矿产资源总体规划（</w:t>
      </w:r>
      <w:r>
        <w:rPr>
          <w:rFonts w:ascii="宋体" w:hAnsi="宋体"/>
          <w:sz w:val="24"/>
        </w:rPr>
        <w:t>2021-2025）》</w:t>
      </w:r>
      <w:r>
        <w:rPr>
          <w:rFonts w:hint="eastAsia" w:ascii="宋体" w:hAnsi="宋体"/>
          <w:sz w:val="24"/>
        </w:rPr>
        <w:t>仅发布规划文件，规划审查文件以及规划环评目前处于正在审查阶段尚未发布相关文号。目前仅根据规划文件相关要求进行修改，见报告“一、建设项目基本情况——规划及规划环境影响评价符合性分析”。</w:t>
      </w:r>
      <w:bookmarkEnd w:id="73"/>
    </w:p>
    <w:bookmarkEnd w:id="74"/>
    <w:p>
      <w:pPr>
        <w:spacing w:line="500" w:lineRule="exact"/>
        <w:rPr>
          <w:rFonts w:ascii="宋体" w:hAnsi="宋体" w:cs="宋体"/>
          <w:b/>
          <w:kern w:val="0"/>
          <w:sz w:val="24"/>
        </w:rPr>
      </w:pPr>
      <w:r>
        <w:rPr>
          <w:rFonts w:hint="eastAsia" w:ascii="宋体" w:hAnsi="宋体"/>
          <w:b/>
          <w:sz w:val="24"/>
        </w:rPr>
        <w:t>（2）细化项目建设与《新疆维吾尔自治区煤炭石油天然气开发环境保护条例》、《关于进一步加</w:t>
      </w:r>
      <w:r>
        <w:rPr>
          <w:rFonts w:ascii="宋体" w:hAnsi="宋体"/>
          <w:b/>
          <w:sz w:val="24"/>
        </w:rPr>
        <w:t>强石油天然气行业环境影响评价管理的通知》、《新疆生态环境保护“十四五”规划》和《昌吉州生态环境保护“十四五”规划》符合性分析内容，即给出项目建设与上述规划中相关条款的符合性分析内容；</w:t>
      </w:r>
      <w:r>
        <w:rPr>
          <w:rFonts w:hint="eastAsia" w:ascii="宋体" w:hAnsi="宋体"/>
          <w:b/>
          <w:sz w:val="24"/>
        </w:rPr>
        <w:t>如后期根据油田开发要求转入开采井，补充后期进行环境影响评价的要求。</w:t>
      </w:r>
    </w:p>
    <w:p>
      <w:pPr>
        <w:spacing w:line="500" w:lineRule="exact"/>
        <w:ind w:firstLine="482" w:firstLineChars="200"/>
        <w:rPr>
          <w:rFonts w:ascii="宋体" w:hAnsi="宋体"/>
          <w:b/>
          <w:spacing w:val="-4"/>
          <w:sz w:val="24"/>
        </w:rPr>
      </w:pPr>
      <w:r>
        <w:rPr>
          <w:rFonts w:hint="eastAsia" w:ascii="宋体" w:hAnsi="宋体"/>
          <w:b/>
          <w:sz w:val="24"/>
        </w:rPr>
        <w:t>修改说明：</w:t>
      </w:r>
      <w:bookmarkStart w:id="75" w:name="_Hlk105614258"/>
      <w:r>
        <w:rPr>
          <w:rFonts w:hint="eastAsia" w:ascii="宋体" w:hAnsi="宋体"/>
          <w:sz w:val="24"/>
        </w:rPr>
        <w:t>已细化项目建设与《石油天然气开采业污染防治技术政策》、《新疆维吾尔自治区煤炭石油天然气开发环境保护条例》、《关于进一步加强石油天然气行业环境影响评价管理的通知》、《新疆维吾尔自治区重点行业环境准入条件（修订）》、《新疆生态环境保护“十四五”规划》和《昌吉州生态环境保护“十四五”规划》的相关要求。符合性分析，详见报告“一、建设项目基本情况——</w:t>
      </w:r>
      <w:r>
        <w:rPr>
          <w:rFonts w:ascii="宋体" w:hAnsi="宋体"/>
          <w:sz w:val="24"/>
        </w:rPr>
        <w:t>与生态环境保护法律法规的符合性分析</w:t>
      </w:r>
      <w:r>
        <w:rPr>
          <w:rFonts w:hint="eastAsia" w:ascii="宋体" w:hAnsi="宋体"/>
          <w:sz w:val="24"/>
        </w:rPr>
        <w:t>”。试油作业结束后，如该井具备商业开采价值，则对其进行关井，后期根据油田开发要求转为开采井，若转为生产井需另行办理环评手续，在取得环评手续后方可进行施工。详见报告：“二、建设内容——3、完井施工方案”。</w:t>
      </w:r>
      <w:bookmarkEnd w:id="75"/>
    </w:p>
    <w:p>
      <w:pPr>
        <w:spacing w:line="500" w:lineRule="exact"/>
        <w:rPr>
          <w:rFonts w:ascii="宋体" w:hAnsi="宋体" w:cs="宋体"/>
          <w:b/>
          <w:kern w:val="0"/>
          <w:sz w:val="24"/>
        </w:rPr>
      </w:pPr>
      <w:r>
        <w:rPr>
          <w:rFonts w:hint="eastAsia" w:ascii="宋体" w:hAnsi="宋体" w:cs="宋体"/>
          <w:b/>
          <w:kern w:val="0"/>
          <w:sz w:val="24"/>
        </w:rPr>
        <w:t>（3）核实项目占地面积，根据报告介绍，本次评价给出的占地面积全部为临时占地面积，一般</w:t>
      </w:r>
      <w:r>
        <w:rPr>
          <w:rFonts w:ascii="宋体" w:hAnsi="宋体" w:cs="宋体"/>
          <w:b/>
          <w:kern w:val="0"/>
          <w:sz w:val="24"/>
        </w:rPr>
        <w:t>情况下勘探井完成钻探后根据油气资源情况确定后续是否进行开发，若无利用价值则永久封井，因此建议评价结合勘探完成后的利用价值，核实项目是否设置永久占地，针对项目临时占地建议给出临时占地征用时间，说明目前临时占地是否办理了征地手续；</w:t>
      </w:r>
    </w:p>
    <w:p>
      <w:pPr>
        <w:spacing w:line="500" w:lineRule="exact"/>
        <w:ind w:firstLine="482" w:firstLineChars="200"/>
        <w:rPr>
          <w:rFonts w:ascii="宋体" w:hAnsi="宋体"/>
          <w:bCs/>
          <w:kern w:val="0"/>
          <w:sz w:val="24"/>
        </w:rPr>
      </w:pPr>
      <w:bookmarkStart w:id="76" w:name="_Hlk77037088"/>
      <w:r>
        <w:rPr>
          <w:rFonts w:hint="eastAsia" w:ascii="宋体" w:hAnsi="宋体"/>
          <w:b/>
          <w:sz w:val="24"/>
        </w:rPr>
        <w:t>修改说明：</w:t>
      </w:r>
      <w:bookmarkStart w:id="77" w:name="_Hlk105614280"/>
      <w:r>
        <w:rPr>
          <w:rFonts w:hint="eastAsia" w:ascii="宋体" w:hAnsi="宋体" w:cs="宋体"/>
          <w:sz w:val="24"/>
        </w:rPr>
        <w:t>根</w:t>
      </w:r>
      <w:bookmarkEnd w:id="76"/>
      <w:bookmarkEnd w:id="77"/>
      <w:r>
        <w:rPr>
          <w:rFonts w:hint="eastAsia" w:ascii="宋体" w:hAnsi="宋体"/>
          <w:bCs/>
          <w:kern w:val="0"/>
          <w:sz w:val="24"/>
        </w:rPr>
        <w:t>经与建设单位核实，项目设计临时占地面积为1</w:t>
      </w:r>
      <w:r>
        <w:rPr>
          <w:rFonts w:ascii="宋体" w:hAnsi="宋体"/>
          <w:bCs/>
          <w:kern w:val="0"/>
          <w:sz w:val="24"/>
        </w:rPr>
        <w:t>4200</w:t>
      </w:r>
      <w:r>
        <w:rPr>
          <w:rFonts w:hint="eastAsia" w:ascii="宋体" w:hAnsi="宋体"/>
          <w:bCs/>
          <w:kern w:val="0"/>
          <w:sz w:val="24"/>
        </w:rPr>
        <w:t>m</w:t>
      </w:r>
      <w:r>
        <w:rPr>
          <w:rFonts w:ascii="宋体" w:hAnsi="宋体"/>
          <w:bCs/>
          <w:kern w:val="0"/>
          <w:sz w:val="24"/>
          <w:vertAlign w:val="superscript"/>
        </w:rPr>
        <w:t>2</w:t>
      </w:r>
      <w:r>
        <w:rPr>
          <w:rFonts w:hint="eastAsia" w:ascii="宋体" w:hAnsi="宋体"/>
          <w:bCs/>
          <w:kern w:val="0"/>
          <w:sz w:val="24"/>
        </w:rPr>
        <w:t>，不涉及永久占地。根据试油结果决定新钻井是否转为生产井，若可转为生产井，则应当在产能开发建设前开展其环境影响评价工作，若不具备转产条件，则应封井，封井时要根据《废弃井封井回填技术指南（试行）》、《废弃井及长停井处置指南》（</w:t>
      </w:r>
      <w:r>
        <w:rPr>
          <w:rFonts w:ascii="宋体" w:hAnsi="宋体"/>
          <w:bCs/>
          <w:kern w:val="0"/>
          <w:sz w:val="24"/>
        </w:rPr>
        <w:t>SY/T 6646-2017）、《矿山生态环境保护与恢复治理技术规范（试行）（HJ 651—2013）》以及《陆上石油天然气开采业绿色矿山建设规范（DZ/T0317—2018）》等执行以下封井措施</w:t>
      </w:r>
      <w:r>
        <w:rPr>
          <w:rFonts w:hint="eastAsia" w:ascii="宋体" w:hAnsi="宋体"/>
          <w:bCs/>
          <w:kern w:val="0"/>
          <w:sz w:val="24"/>
        </w:rPr>
        <w:t>，详见报告“五、主要生态环境保护措施——运营期生态保护措施”。在项目开工建设前应向相关部门办理临时占地手续，取得占地手续后方可开工建设，征地时限通常为两年，详见报告“五、主要生态环境保护措施——1、生态环境保护措施——（1）生态环境保护——④补偿措施” 以及“三、生态环境现状、保护目标及评价标准——生态保护目标——生态评价等级判定依据”。</w:t>
      </w:r>
    </w:p>
    <w:p>
      <w:pPr>
        <w:spacing w:line="500" w:lineRule="exact"/>
        <w:rPr>
          <w:rFonts w:ascii="宋体" w:hAnsi="宋体"/>
          <w:b/>
          <w:bCs/>
          <w:sz w:val="24"/>
        </w:rPr>
      </w:pPr>
      <w:r>
        <w:rPr>
          <w:rFonts w:hint="eastAsia" w:ascii="宋体" w:hAnsi="宋体"/>
          <w:b/>
          <w:bCs/>
          <w:sz w:val="24"/>
        </w:rPr>
        <w:t>（4）核实项目钻井期间及试油期间用水量，补充钻井液配置用水量，核实生活污水收集方式及</w:t>
      </w:r>
      <w:r>
        <w:rPr>
          <w:rFonts w:ascii="宋体" w:hAnsi="宋体"/>
          <w:b/>
          <w:bCs/>
          <w:sz w:val="24"/>
        </w:rPr>
        <w:t>处置去向；项目区距离吉木萨尔县城较远，其排水均依托县城，应从运输距离上分析其可信性，能否就近拉运处置？（如彩南作业区）</w:t>
      </w:r>
    </w:p>
    <w:p>
      <w:pPr>
        <w:spacing w:line="500" w:lineRule="exact"/>
        <w:ind w:left="-125" w:right="-56" w:firstLine="570"/>
        <w:rPr>
          <w:rFonts w:ascii="宋体" w:hAnsi="宋体"/>
          <w:sz w:val="24"/>
        </w:rPr>
      </w:pPr>
      <w:r>
        <w:rPr>
          <w:rFonts w:hint="eastAsia" w:ascii="宋体" w:hAnsi="宋体"/>
          <w:b/>
          <w:bCs/>
          <w:sz w:val="24"/>
        </w:rPr>
        <w:t>修改说明：</w:t>
      </w:r>
      <w:r>
        <w:rPr>
          <w:rFonts w:hint="eastAsia" w:ascii="宋体" w:hAnsi="宋体"/>
          <w:bCs/>
          <w:kern w:val="0"/>
          <w:sz w:val="24"/>
        </w:rPr>
        <w:t>经与建设单位核实，钻试期间使用水基钻井液9</w:t>
      </w:r>
      <w:r>
        <w:rPr>
          <w:rFonts w:ascii="宋体" w:hAnsi="宋体"/>
          <w:bCs/>
          <w:kern w:val="0"/>
          <w:sz w:val="24"/>
        </w:rPr>
        <w:t>30</w:t>
      </w:r>
      <w:r>
        <w:rPr>
          <w:rFonts w:hint="eastAsia" w:ascii="宋体" w:hAnsi="宋体"/>
          <w:bCs/>
          <w:kern w:val="0"/>
          <w:sz w:val="24"/>
        </w:rPr>
        <w:t>m</w:t>
      </w:r>
      <w:r>
        <w:rPr>
          <w:rFonts w:ascii="宋体" w:hAnsi="宋体"/>
          <w:bCs/>
          <w:kern w:val="0"/>
          <w:sz w:val="24"/>
          <w:vertAlign w:val="superscript"/>
        </w:rPr>
        <w:t>3</w:t>
      </w:r>
      <w:r>
        <w:rPr>
          <w:rFonts w:hint="eastAsia" w:ascii="宋体" w:hAnsi="宋体"/>
          <w:bCs/>
          <w:kern w:val="0"/>
          <w:sz w:val="24"/>
        </w:rPr>
        <w:t>，新鲜用水3</w:t>
      </w:r>
      <w:r>
        <w:rPr>
          <w:rFonts w:ascii="宋体" w:hAnsi="宋体"/>
          <w:bCs/>
          <w:kern w:val="0"/>
          <w:sz w:val="24"/>
        </w:rPr>
        <w:t>35</w:t>
      </w:r>
      <w:r>
        <w:rPr>
          <w:rFonts w:hint="eastAsia" w:ascii="宋体" w:hAnsi="宋体"/>
          <w:bCs/>
          <w:kern w:val="0"/>
          <w:sz w:val="24"/>
        </w:rPr>
        <w:t>m</w:t>
      </w:r>
      <w:r>
        <w:rPr>
          <w:rFonts w:ascii="宋体" w:hAnsi="宋体"/>
          <w:bCs/>
          <w:kern w:val="0"/>
          <w:sz w:val="24"/>
          <w:vertAlign w:val="superscript"/>
        </w:rPr>
        <w:t>3</w:t>
      </w:r>
      <w:r>
        <w:rPr>
          <w:rFonts w:hint="eastAsia" w:ascii="宋体" w:hAnsi="宋体"/>
          <w:bCs/>
          <w:kern w:val="0"/>
          <w:sz w:val="24"/>
        </w:rPr>
        <w:t>（洗井用水、生活用水），钻井液由钻井液公司统一配置，成品用罐车拉运至井场，不在现场配置，施工期间不因钻井液配置造成用水量增加</w:t>
      </w:r>
      <w:r>
        <w:rPr>
          <w:rFonts w:hint="eastAsia"/>
          <w:color w:val="000000" w:themeColor="text1"/>
          <w:sz w:val="24"/>
          <w14:textFill>
            <w14:solidFill>
              <w14:schemeClr w14:val="tx1"/>
            </w14:solidFill>
          </w14:textFill>
        </w:rPr>
        <w:t>。详见报告“二、建设内容——施工方案——1、钻井施工方案——（</w:t>
      </w:r>
      <w:r>
        <w:rPr>
          <w:color w:val="000000" w:themeColor="text1"/>
          <w:sz w:val="24"/>
          <w14:textFill>
            <w14:solidFill>
              <w14:schemeClr w14:val="tx1"/>
            </w14:solidFill>
          </w14:textFill>
        </w:rPr>
        <w:t>2）钻井工程</w:t>
      </w:r>
      <w:r>
        <w:rPr>
          <w:rFonts w:hint="eastAsia"/>
          <w:color w:val="000000" w:themeColor="text1"/>
          <w:sz w:val="24"/>
          <w14:textFill>
            <w14:solidFill>
              <w14:schemeClr w14:val="tx1"/>
            </w14:solidFill>
          </w14:textFill>
        </w:rPr>
        <w:t>——④钻井液体系”。经与建设单位核实，结合相邻勘探井实施情况，施工期产生的生活污水拉运至吉木萨尔县污水处理厂处理。</w:t>
      </w:r>
    </w:p>
    <w:p>
      <w:pPr>
        <w:spacing w:line="500" w:lineRule="exact"/>
        <w:rPr>
          <w:rFonts w:ascii="宋体" w:hAnsi="宋体"/>
          <w:b/>
          <w:bCs/>
          <w:sz w:val="24"/>
        </w:rPr>
      </w:pPr>
      <w:r>
        <w:rPr>
          <w:rFonts w:hint="eastAsia" w:ascii="宋体" w:hAnsi="宋体"/>
          <w:b/>
          <w:bCs/>
          <w:sz w:val="24"/>
        </w:rPr>
        <w:t>（5）核实试油过程中伴生气排放量，一般情况下试油过程均会连续排放伴生气，本次评价给出</w:t>
      </w:r>
      <w:r>
        <w:rPr>
          <w:rFonts w:ascii="宋体" w:hAnsi="宋体"/>
          <w:b/>
          <w:bCs/>
          <w:sz w:val="24"/>
        </w:rPr>
        <w:t>的伴生气为偶尔排放，需要核实，完善本项目试油过程中伴生气燃烧污染物排放情况分析；</w:t>
      </w:r>
    </w:p>
    <w:p>
      <w:pPr>
        <w:spacing w:line="500" w:lineRule="exact"/>
        <w:ind w:firstLine="482" w:firstLineChars="200"/>
        <w:rPr>
          <w:rFonts w:ascii="宋体" w:hAnsi="宋体"/>
          <w:spacing w:val="-4"/>
          <w:sz w:val="24"/>
        </w:rPr>
      </w:pPr>
      <w:r>
        <w:rPr>
          <w:rFonts w:hint="eastAsia" w:ascii="宋体" w:hAnsi="宋体"/>
          <w:b/>
          <w:bCs/>
          <w:sz w:val="24"/>
        </w:rPr>
        <w:t>修改说明：</w:t>
      </w:r>
      <w:r>
        <w:rPr>
          <w:rFonts w:hint="eastAsia" w:ascii="宋体" w:hAnsi="宋体"/>
          <w:spacing w:val="-4"/>
          <w:sz w:val="24"/>
        </w:rPr>
        <w:t>本项目为矿产资源地质勘探项目，目的是为了获取地层油气藏参数，以期新的油气藏发现。需试油结束后才能获取相关油气成分等数据，未试油的情况下伴生气产量以及伴生气的具体成分未知，伴生气主要成分为甲烷和乙烷，完全燃烧产生C</w:t>
      </w:r>
      <w:r>
        <w:rPr>
          <w:rFonts w:ascii="宋体" w:hAnsi="宋体"/>
          <w:spacing w:val="-4"/>
          <w:sz w:val="24"/>
        </w:rPr>
        <w:t>O</w:t>
      </w:r>
      <w:r>
        <w:rPr>
          <w:rFonts w:ascii="宋体" w:hAnsi="宋体"/>
          <w:spacing w:val="-4"/>
          <w:sz w:val="24"/>
          <w:vertAlign w:val="subscript"/>
        </w:rPr>
        <w:t>2</w:t>
      </w:r>
      <w:r>
        <w:rPr>
          <w:rFonts w:hint="eastAsia" w:ascii="宋体" w:hAnsi="宋体"/>
          <w:spacing w:val="-4"/>
          <w:sz w:val="24"/>
        </w:rPr>
        <w:t>和水蒸汽，以上两种物质不属于污染物，且随着钻试结束，伴生气停止产生，因此伴生气的排放属于阶段性排放不存在长期排放的情况。评价将伴生气描述为阶段性排放，是指在伴生气仅在钻试期间排放，随着钻试工程的结束而停止，为避免造成歧义，现已对描述进行修改详见报告“四、生态环境影响分析——3、大气环境影响分析”。</w:t>
      </w:r>
    </w:p>
    <w:p>
      <w:pPr>
        <w:spacing w:line="500" w:lineRule="exact"/>
        <w:rPr>
          <w:rFonts w:ascii="宋体" w:hAnsi="宋体" w:cs="宋体"/>
          <w:b/>
          <w:kern w:val="0"/>
          <w:sz w:val="24"/>
        </w:rPr>
      </w:pPr>
      <w:r>
        <w:rPr>
          <w:rFonts w:hint="eastAsia" w:ascii="宋体" w:hAnsi="宋体" w:cs="宋体"/>
          <w:b/>
          <w:kern w:val="0"/>
          <w:sz w:val="24"/>
        </w:rPr>
        <w:t>（6）结合区域生态环境现状，评价给出项目占地范围内涉及梭梭，评价应分析施工期如何避让或者移栽；完善施工结束后项目区临时占地恢复措施（占用的梭梭如何恢复？）；完善环境监测计划，其钻井区域建议补充施工结束后土壤监测内容，明确生态恢复目标。</w:t>
      </w:r>
    </w:p>
    <w:p>
      <w:pPr>
        <w:spacing w:line="500" w:lineRule="exact"/>
        <w:ind w:firstLine="482" w:firstLineChars="200"/>
        <w:rPr>
          <w:rFonts w:ascii="宋体" w:hAnsi="宋体"/>
          <w:sz w:val="24"/>
        </w:rPr>
      </w:pPr>
      <w:r>
        <w:rPr>
          <w:rFonts w:hint="eastAsia" w:ascii="宋体" w:hAnsi="宋体"/>
          <w:b/>
          <w:bCs/>
          <w:sz w:val="24"/>
        </w:rPr>
        <w:t>修改说明：</w:t>
      </w:r>
      <w:r>
        <w:rPr>
          <w:rFonts w:hint="eastAsia" w:ascii="宋体" w:hAnsi="宋体"/>
          <w:bCs/>
          <w:kern w:val="0"/>
          <w:sz w:val="24"/>
        </w:rPr>
        <w:t>在施工过程中根据现场植被实际情况进行避让</w:t>
      </w:r>
      <w:r>
        <w:rPr>
          <w:rFonts w:hint="eastAsia" w:ascii="宋体" w:hAnsi="宋体"/>
          <w:sz w:val="24"/>
        </w:rPr>
        <w:t>，在项目施工前建设单位应向相关部门办理临时用地相关手续，并缴纳植被恢复费用。针对占地范围内外的植被的保护，报告从避让、减缓、补偿以及防沙治沙四个方面提出保护要求，详见报告“五、主要生态保护措施——1、生态环境保护措施——（1）生态保护措施、（2）防沙治沙措施”。已补充钻试工程结束后验收时对土壤监测的要求，详见报告“五、主要生态保护措施——其他——施工期环境保护行动计划”。</w:t>
      </w:r>
    </w:p>
    <w:p>
      <w:pPr>
        <w:spacing w:line="500" w:lineRule="exact"/>
        <w:ind w:firstLine="482" w:firstLineChars="200"/>
        <w:rPr>
          <w:rFonts w:ascii="宋体" w:hAnsi="宋体" w:cs="宋体"/>
          <w:b/>
          <w:kern w:val="0"/>
          <w:sz w:val="24"/>
        </w:rPr>
      </w:pPr>
      <w:r>
        <w:rPr>
          <w:rFonts w:hint="eastAsia" w:ascii="宋体" w:hAnsi="宋体" w:cs="宋体"/>
          <w:b/>
          <w:kern w:val="0"/>
          <w:sz w:val="24"/>
        </w:rPr>
        <w:t>（7）核实项目投资及环保投资，环保投资建议补充占地补偿及破坏保护植被补偿投资，规范报告附图；校核报告前后不一致内容。</w:t>
      </w:r>
    </w:p>
    <w:p>
      <w:pPr>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经与建设单位核实，项目投资约为1</w:t>
      </w:r>
      <w:r>
        <w:rPr>
          <w:rFonts w:ascii="宋体" w:hAnsi="宋体"/>
          <w:bCs/>
          <w:sz w:val="24"/>
        </w:rPr>
        <w:t>400</w:t>
      </w:r>
      <w:r>
        <w:rPr>
          <w:rFonts w:hint="eastAsia" w:ascii="宋体" w:hAnsi="宋体"/>
          <w:bCs/>
          <w:sz w:val="24"/>
        </w:rPr>
        <w:t>万元，已将占地补偿费用纳入环保投资，环保投资约1</w:t>
      </w:r>
      <w:r>
        <w:rPr>
          <w:rFonts w:ascii="宋体" w:hAnsi="宋体"/>
          <w:bCs/>
          <w:sz w:val="24"/>
        </w:rPr>
        <w:t>37.4</w:t>
      </w:r>
      <w:r>
        <w:rPr>
          <w:rFonts w:hint="eastAsia" w:ascii="宋体" w:hAnsi="宋体"/>
          <w:bCs/>
          <w:sz w:val="24"/>
        </w:rPr>
        <w:t>万元，详见报告“</w:t>
      </w:r>
      <w:r>
        <w:rPr>
          <w:rFonts w:hint="eastAsia" w:ascii="宋体" w:hAnsi="宋体"/>
          <w:sz w:val="24"/>
        </w:rPr>
        <w:t>五、主要生态保护措施——环保投资</w:t>
      </w:r>
      <w:r>
        <w:rPr>
          <w:rFonts w:hint="eastAsia" w:ascii="宋体" w:hAnsi="宋体"/>
          <w:bCs/>
          <w:sz w:val="24"/>
        </w:rPr>
        <w:t>”，并补充土地利用类型图，植被类型图以及土壤类型图，详见报告附图6、附图7、附图8。</w:t>
      </w:r>
    </w:p>
    <w:p>
      <w:pPr>
        <w:spacing w:line="500" w:lineRule="exact"/>
        <w:rPr>
          <w:rFonts w:ascii="宋体" w:hAnsi="宋体" w:cs="宋体"/>
          <w:b/>
          <w:kern w:val="0"/>
          <w:sz w:val="24"/>
        </w:rPr>
      </w:pPr>
      <w:r>
        <w:rPr>
          <w:rFonts w:ascii="宋体" w:hAnsi="宋体" w:cs="宋体"/>
          <w:b/>
          <w:kern w:val="0"/>
          <w:sz w:val="24"/>
        </w:rPr>
        <w:t>4</w:t>
      </w:r>
      <w:r>
        <w:rPr>
          <w:rFonts w:hint="eastAsia" w:ascii="宋体" w:hAnsi="宋体" w:cs="宋体"/>
          <w:b/>
          <w:kern w:val="0"/>
          <w:sz w:val="24"/>
        </w:rPr>
        <w:t>、燕鹏专家意见</w:t>
      </w:r>
    </w:p>
    <w:p>
      <w:pPr>
        <w:spacing w:line="500" w:lineRule="exact"/>
        <w:rPr>
          <w:rFonts w:ascii="宋体" w:hAnsi="宋体" w:cs="宋体"/>
          <w:b/>
          <w:kern w:val="0"/>
          <w:sz w:val="24"/>
        </w:rPr>
      </w:pPr>
      <w:r>
        <w:rPr>
          <w:rFonts w:hint="eastAsia" w:ascii="宋体" w:hAnsi="宋体" w:cs="宋体"/>
          <w:b/>
          <w:kern w:val="0"/>
          <w:sz w:val="24"/>
        </w:rPr>
        <w:t>（1）</w:t>
      </w:r>
      <w:r>
        <w:rPr>
          <w:rFonts w:ascii="宋体" w:hAnsi="宋体" w:cs="宋体"/>
          <w:b/>
          <w:kern w:val="0"/>
          <w:sz w:val="24"/>
        </w:rPr>
        <w:t>核实与项目有关的相关专项规划情况，本项目环评时段已超出《新疆维吾尔自治区矿产资源总体规划（2016—2020 年）》时限，对于规划的符合性分析内容也不符合报告表编制技术指南的要求。</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目前《新疆维吾尔自治区矿产资源总体规划（</w:t>
      </w:r>
      <w:r>
        <w:rPr>
          <w:rFonts w:ascii="宋体" w:hAnsi="宋体"/>
          <w:sz w:val="24"/>
        </w:rPr>
        <w:t>2021-2025）》</w:t>
      </w:r>
      <w:r>
        <w:rPr>
          <w:rFonts w:hint="eastAsia" w:ascii="宋体" w:hAnsi="宋体"/>
          <w:sz w:val="24"/>
        </w:rPr>
        <w:t>仅发布规划文件，规划审查文件以及规划环评目前处于正在审查阶段尚未发布相关文号。目前仅根据规划文件相关要求进行修改，见报告“一、建设项目基本情况——规划及规划环境影响评价符合性分析”。</w:t>
      </w:r>
    </w:p>
    <w:p>
      <w:pPr>
        <w:spacing w:line="500" w:lineRule="exact"/>
        <w:rPr>
          <w:rFonts w:ascii="宋体" w:hAnsi="宋体" w:cs="宋体"/>
          <w:b/>
          <w:kern w:val="0"/>
          <w:sz w:val="24"/>
        </w:rPr>
      </w:pPr>
      <w:r>
        <w:rPr>
          <w:rFonts w:hint="eastAsia" w:ascii="宋体" w:hAnsi="宋体" w:cs="宋体"/>
          <w:b/>
          <w:kern w:val="0"/>
          <w:sz w:val="24"/>
        </w:rPr>
        <w:t>（2）</w:t>
      </w:r>
      <w:r>
        <w:rPr>
          <w:rFonts w:ascii="宋体" w:hAnsi="宋体" w:cs="宋体"/>
          <w:b/>
          <w:kern w:val="0"/>
          <w:sz w:val="24"/>
        </w:rPr>
        <w:t>细化相关生态环境保护法律法规政策的符合性分析内容，应结合项目实际情况对照法律法规政策中相关的具体内容进行符合性分析。补充《陆上石油天然气开采业绿色矿山建设规范》、《石油天然气开采业污染防治技术政策》符合性分析。</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已补充《陆上石油天然气开采业绿色矿山建设规范》、《石油天然气开采业污染防治技术政策》符合性分析，并对具体内容进行分析，详见报告“一、建设项目基本情况——生态环境保护法律法规的符合性分析”</w:t>
      </w:r>
      <w:r>
        <w:rPr>
          <w:rFonts w:ascii="宋体" w:hAnsi="宋体"/>
          <w:sz w:val="24"/>
        </w:rPr>
        <w:t>。</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3）完善项目背景情况介绍</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已补充项目背景介绍详见报告“二、建设内容——项目组成及规模”。</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4）完善项目组成表内容，环保工程遗漏施工期废气环保工程、固废环保工程内容不全、放喷设施与报告内容不一致。放喷池为什么要预留，报告应明确是否建设</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伴生气、钻井岩屑、危险废物至环保工程，见报告“二、建设内容——工程组成一览表”。井喷事故属于井场偶发性事故，发生概率较低，预留位置可减少项目实施对土壤造成的扰动，减少土方堆积避免扬尘的出现。井控装置意在监测井下压力，当井下压力异常并不可控时，有充足时间调用井场挖机挖设应急放喷池并做好防渗工作。井喷事故属于井场偶发性事故，发生概率较低，预留位置可减少项目实施对土壤造成的扰动，减少土方堆积避免扬尘的出现。因此预留放喷池位置，待需要时建设。</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5）完善施工工艺流程图，包括钻前准备、钻井、试油、完井等全部过程</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已补充工艺流程图，钻前工程（井场平整、铺垫、设备井场及安装），钻井、石油产污情况、完井。详见报告“二、建设内容——</w:t>
      </w:r>
      <w:r>
        <w:rPr>
          <w:rFonts w:ascii="宋体" w:hAnsi="宋体"/>
          <w:sz w:val="24"/>
        </w:rPr>
        <w:t>工艺流程和产污环节示意图</w:t>
      </w:r>
      <w:r>
        <w:rPr>
          <w:rFonts w:hint="eastAsia" w:ascii="宋体" w:hAnsi="宋体"/>
          <w:sz w:val="24"/>
        </w:rPr>
        <w:t>”。</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6）补充勘探井基本数据内容，应包括井深、地质情况、目的层、完井方式、完钻原则、井代码、井型等内容</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已补充勘探井基本数据，详见报告“二、建设内容——拟部署勘探井情况一览表”。</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7）补充植被类型、土地利用类型等生态图件</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w:t>
      </w:r>
      <w:r>
        <w:rPr>
          <w:rFonts w:hint="eastAsia" w:ascii="宋体" w:hAnsi="宋体"/>
          <w:bCs/>
          <w:sz w:val="24"/>
        </w:rPr>
        <w:t>补充土地利用类型图，植被类型图以及土壤类型图，详见报告附图6、附图7、附图8。</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8）规范报告用语，“地下水、土壤均为Ⅳ类项目”要写明依据的导则内容。</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已规范报告用语详见报告“三、生态环境现状、保护目标及评价标准——5、区域环境质量现状”，依据的导则内容见报告“三、生态环境现状、保护目标及评价标准——生态保护目标”。</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9）建议补充施工期间车辆尾气污染物排放量计算内容</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施工期柴油设备污染物排放情况详见报告“四——生态环境影响分析——3、大气环境影响分析”。</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10）补充钻井期废水源强核算及环境影响分析内容</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项目钻井期钻井液1</w:t>
      </w:r>
      <w:r>
        <w:rPr>
          <w:rFonts w:ascii="宋体" w:hAnsi="宋体"/>
          <w:sz w:val="24"/>
        </w:rPr>
        <w:t>00%</w:t>
      </w:r>
      <w:r>
        <w:rPr>
          <w:rFonts w:hint="eastAsia" w:ascii="宋体" w:hAnsi="宋体"/>
          <w:sz w:val="24"/>
        </w:rPr>
        <w:t>回收利用，不外排，产生的生活污其排水水质与居民生活污水相近似，污染物产生情况见报告“四——生态环境影响分析——</w:t>
      </w:r>
      <w:r>
        <w:rPr>
          <w:rFonts w:ascii="宋体" w:hAnsi="宋体"/>
          <w:sz w:val="24"/>
        </w:rPr>
        <w:t>4</w:t>
      </w:r>
      <w:r>
        <w:rPr>
          <w:rFonts w:hint="eastAsia" w:ascii="宋体" w:hAnsi="宋体"/>
          <w:sz w:val="24"/>
        </w:rPr>
        <w:t>、水环境影响分析”。</w:t>
      </w:r>
    </w:p>
    <w:p>
      <w:pPr>
        <w:spacing w:line="500" w:lineRule="exact"/>
        <w:rPr>
          <w:rFonts w:ascii="宋体" w:hAnsi="宋体" w:cs="宋体"/>
          <w:b/>
          <w:spacing w:val="-18"/>
          <w:kern w:val="0"/>
          <w:sz w:val="24"/>
        </w:rPr>
      </w:pPr>
      <w:r>
        <w:rPr>
          <w:rFonts w:hint="eastAsia" w:ascii="宋体" w:hAnsi="宋体" w:cs="宋体"/>
          <w:b/>
          <w:spacing w:val="-18"/>
          <w:kern w:val="0"/>
          <w:sz w:val="24"/>
        </w:rPr>
        <w:t>（</w:t>
      </w:r>
      <w:r>
        <w:rPr>
          <w:rFonts w:ascii="宋体" w:hAnsi="宋体" w:cs="宋体"/>
          <w:b/>
          <w:spacing w:val="-18"/>
          <w:kern w:val="0"/>
          <w:sz w:val="24"/>
        </w:rPr>
        <w:t>11）补充钻井期钻井泥浆源强核算及环境影响分析内容。明确钻井泥浆固废属性</w:t>
      </w:r>
      <w:r>
        <w:rPr>
          <w:rFonts w:hint="eastAsia" w:ascii="宋体" w:hAnsi="宋体" w:cs="宋体"/>
          <w:b/>
          <w:spacing w:val="-18"/>
          <w:kern w:val="0"/>
          <w:sz w:val="24"/>
        </w:rPr>
        <w:t>。</w:t>
      </w:r>
    </w:p>
    <w:p>
      <w:pPr>
        <w:spacing w:line="500" w:lineRule="exact"/>
        <w:ind w:firstLine="482" w:firstLineChars="200"/>
        <w:rPr>
          <w:rFonts w:ascii="宋体" w:hAnsi="宋体" w:cs="宋体"/>
          <w:b/>
          <w:kern w:val="0"/>
          <w:sz w:val="24"/>
        </w:rPr>
      </w:pPr>
      <w:r>
        <w:rPr>
          <w:rFonts w:hint="eastAsia" w:ascii="宋体" w:hAnsi="宋体"/>
          <w:b/>
          <w:sz w:val="24"/>
        </w:rPr>
        <w:t>修改说明：</w:t>
      </w:r>
      <w:r>
        <w:rPr>
          <w:rFonts w:hint="eastAsia" w:ascii="宋体" w:hAnsi="宋体"/>
          <w:sz w:val="24"/>
        </w:rPr>
        <w:t>钻井现场设不落地设备，钻井泥浆经不落地设备分离，固相为钻井岩屑，液相完全回用于钻井液。钻井进岩屑专用方罐，交由岩屑处置单位负责拉运并进行处理，满足《油气田钻井固体废弃物综合利用污染物控制要求》（</w:t>
      </w:r>
      <w:r>
        <w:rPr>
          <w:rFonts w:ascii="宋体" w:hAnsi="宋体"/>
          <w:sz w:val="24"/>
        </w:rPr>
        <w:t>DB65/T3997-2017）相关要求后进行综合利用。</w:t>
      </w:r>
      <w:r>
        <w:rPr>
          <w:rFonts w:hint="eastAsia" w:ascii="宋体" w:hAnsi="宋体"/>
          <w:sz w:val="24"/>
        </w:rPr>
        <w:t>钻井过程中并无钻井泥浆作为废弃物外排。</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12）细化钻井液不落地系统环保措施分析</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钻井液不落地属于井场设备，其工艺流程见报告“五、主要生态环境保护措施——</w:t>
      </w:r>
      <w:r>
        <w:rPr>
          <w:rFonts w:ascii="宋体" w:hAnsi="宋体"/>
          <w:sz w:val="24"/>
        </w:rPr>
        <w:t>5、固体废物处置措施</w:t>
      </w:r>
      <w:r>
        <w:rPr>
          <w:rFonts w:hint="eastAsia" w:ascii="宋体" w:hAnsi="宋体"/>
          <w:sz w:val="24"/>
        </w:rPr>
        <w:t>——（</w:t>
      </w:r>
      <w:r>
        <w:rPr>
          <w:rFonts w:ascii="宋体" w:hAnsi="宋体"/>
          <w:sz w:val="24"/>
        </w:rPr>
        <w:t>1）钻井岩屑处置措施</w:t>
      </w:r>
      <w:r>
        <w:rPr>
          <w:rFonts w:hint="eastAsia" w:ascii="宋体" w:hAnsi="宋体"/>
          <w:sz w:val="24"/>
        </w:rPr>
        <w:t>——图</w:t>
      </w:r>
      <w:r>
        <w:rPr>
          <w:rFonts w:ascii="宋体" w:hAnsi="宋体"/>
          <w:sz w:val="24"/>
        </w:rPr>
        <w:t>2水基钻井岩屑井场处理工艺流程</w:t>
      </w:r>
      <w:r>
        <w:rPr>
          <w:rFonts w:hint="eastAsia" w:ascii="宋体" w:hAnsi="宋体"/>
          <w:sz w:val="24"/>
        </w:rPr>
        <w:t>”。</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13）核实项目是否产生油基钻井液岩屑</w:t>
      </w:r>
      <w:r>
        <w:rPr>
          <w:rFonts w:hint="eastAsia" w:ascii="宋体" w:hAnsi="宋体" w:cs="宋体"/>
          <w:b/>
          <w:kern w:val="0"/>
          <w:sz w:val="24"/>
        </w:rPr>
        <w:t>。</w:t>
      </w:r>
    </w:p>
    <w:p>
      <w:pPr>
        <w:spacing w:line="500" w:lineRule="exact"/>
        <w:ind w:firstLine="482" w:firstLineChars="200"/>
        <w:rPr>
          <w:rFonts w:ascii="宋体" w:hAnsi="宋体" w:cs="宋体"/>
          <w:b/>
          <w:kern w:val="0"/>
          <w:sz w:val="24"/>
        </w:rPr>
      </w:pPr>
      <w:r>
        <w:rPr>
          <w:rFonts w:hint="eastAsia" w:ascii="宋体" w:hAnsi="宋体"/>
          <w:b/>
          <w:sz w:val="24"/>
        </w:rPr>
        <w:t>修改说明：</w:t>
      </w:r>
      <w:r>
        <w:rPr>
          <w:rFonts w:hint="eastAsia" w:ascii="宋体" w:hAnsi="宋体"/>
          <w:sz w:val="24"/>
        </w:rPr>
        <w:t>已与建设单位核实钻井过程中不使用油基钻井液，无油基岩屑产生。</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14）完善钻井期地下水分区防控措施，补充分区防渗示意图</w:t>
      </w:r>
      <w:r>
        <w:rPr>
          <w:rFonts w:hint="eastAsia" w:ascii="宋体" w:hAnsi="宋体" w:cs="宋体"/>
          <w:b/>
          <w:kern w:val="0"/>
          <w:sz w:val="24"/>
        </w:rPr>
        <w:t>。</w:t>
      </w:r>
    </w:p>
    <w:p>
      <w:pPr>
        <w:spacing w:line="500" w:lineRule="exact"/>
        <w:ind w:firstLine="482" w:firstLineChars="200"/>
        <w:rPr>
          <w:rFonts w:ascii="宋体" w:hAnsi="宋体" w:cs="宋体"/>
          <w:b/>
          <w:kern w:val="0"/>
          <w:sz w:val="24"/>
        </w:rPr>
      </w:pPr>
      <w:r>
        <w:rPr>
          <w:rFonts w:hint="eastAsia" w:ascii="宋体" w:hAnsi="宋体"/>
          <w:b/>
          <w:sz w:val="24"/>
        </w:rPr>
        <w:t>修改说明：</w:t>
      </w:r>
      <w:r>
        <w:rPr>
          <w:rFonts w:hint="eastAsia" w:ascii="宋体" w:hAnsi="宋体"/>
          <w:sz w:val="24"/>
        </w:rPr>
        <w:t>已补充分区 要求详见报告“四、生态环境影响分析——</w:t>
      </w:r>
      <w:r>
        <w:rPr>
          <w:rFonts w:ascii="宋体" w:hAnsi="宋体"/>
          <w:sz w:val="24"/>
        </w:rPr>
        <w:t>4、水环境影响分析</w:t>
      </w:r>
      <w:r>
        <w:rPr>
          <w:rFonts w:hint="eastAsia" w:ascii="宋体" w:hAnsi="宋体"/>
          <w:sz w:val="24"/>
        </w:rPr>
        <w:t>”以及“五、主要生态环境保护措施——</w:t>
      </w:r>
      <w:r>
        <w:rPr>
          <w:rFonts w:ascii="宋体" w:hAnsi="宋体"/>
          <w:sz w:val="24"/>
        </w:rPr>
        <w:t>2、水环境保护措施</w:t>
      </w:r>
      <w:r>
        <w:rPr>
          <w:rFonts w:hint="eastAsia" w:ascii="宋体" w:hAnsi="宋体"/>
          <w:sz w:val="24"/>
        </w:rPr>
        <w:t>——（</w:t>
      </w:r>
      <w:r>
        <w:rPr>
          <w:rFonts w:ascii="宋体" w:hAnsi="宋体"/>
          <w:sz w:val="24"/>
        </w:rPr>
        <w:t>2）地下水含水层防护措施</w:t>
      </w:r>
      <w:r>
        <w:rPr>
          <w:rFonts w:hint="eastAsia" w:ascii="宋体" w:hAnsi="宋体"/>
          <w:sz w:val="24"/>
        </w:rPr>
        <w:t>”。</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15）根据第4条意见，补充放喷池建设的环境影响分析，明确喷放池的恢复措施</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已补充应急放喷池恢复措施详见报告“五、主要生态环境保护措施——</w:t>
      </w:r>
      <w:r>
        <w:rPr>
          <w:rFonts w:ascii="宋体" w:hAnsi="宋体"/>
          <w:sz w:val="24"/>
        </w:rPr>
        <w:t>6、环境风险防范措施及应急要求</w:t>
      </w:r>
      <w:r>
        <w:rPr>
          <w:rFonts w:hint="eastAsia" w:ascii="宋体" w:hAnsi="宋体"/>
          <w:sz w:val="24"/>
        </w:rPr>
        <w:t>——⑤”。</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16）补充钻井期环境监测计划</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本项目仅有钻试期，污染物随着施工的结束停止排放，属于阶段性排放，已补充钻试工程结束后验收时对土壤监测的要求，详见报告“五、主要生态保护措施——其他——施工期环境保护行动计划”。</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17）细化施工期环境保护措施，完善施工期环保措施验收要求，明确需要执行的相关标准</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已细化施工期保护措施详见报告“五、主要生态保护措施”以及“六、生态环境保护措施监督检查清单”，补充执行标准详见“六、生态环境保护措施监督检查清单”。</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18）按编制技术指南的要求完善报告图件</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报告附图附件已按照《建设项目环境影响报告表编制技术指南（生态影响类）》（试行）完善。</w:t>
      </w:r>
    </w:p>
    <w:p>
      <w:pPr>
        <w:spacing w:line="500" w:lineRule="exact"/>
        <w:rPr>
          <w:rFonts w:ascii="宋体" w:hAnsi="宋体" w:cs="宋体"/>
          <w:b/>
          <w:kern w:val="0"/>
          <w:sz w:val="24"/>
        </w:rPr>
      </w:pPr>
      <w:r>
        <w:rPr>
          <w:rFonts w:hint="eastAsia" w:ascii="宋体" w:hAnsi="宋体" w:cs="宋体"/>
          <w:b/>
          <w:kern w:val="0"/>
          <w:sz w:val="24"/>
        </w:rPr>
        <w:t>（</w:t>
      </w:r>
      <w:r>
        <w:rPr>
          <w:rFonts w:ascii="宋体" w:hAnsi="宋体" w:cs="宋体"/>
          <w:b/>
          <w:kern w:val="0"/>
          <w:sz w:val="24"/>
        </w:rPr>
        <w:t>19）本项目在阜康市境内建设，核实报告中关于“吉木萨尔县”的评价内容</w:t>
      </w:r>
      <w:r>
        <w:rPr>
          <w:rFonts w:hint="eastAsia" w:ascii="宋体" w:hAnsi="宋体" w:cs="宋体"/>
          <w:b/>
          <w:kern w:val="0"/>
          <w:sz w:val="24"/>
        </w:rPr>
        <w:t>。</w:t>
      </w:r>
    </w:p>
    <w:p>
      <w:pPr>
        <w:spacing w:line="500" w:lineRule="exact"/>
        <w:ind w:firstLine="482" w:firstLineChars="200"/>
        <w:rPr>
          <w:rFonts w:ascii="宋体" w:hAnsi="宋体"/>
          <w:sz w:val="24"/>
        </w:rPr>
      </w:pPr>
      <w:r>
        <w:rPr>
          <w:rFonts w:hint="eastAsia" w:ascii="宋体" w:hAnsi="宋体"/>
          <w:b/>
          <w:sz w:val="24"/>
        </w:rPr>
        <w:t>修改说明：</w:t>
      </w:r>
      <w:r>
        <w:rPr>
          <w:rFonts w:hint="eastAsia" w:ascii="宋体" w:hAnsi="宋体"/>
          <w:sz w:val="24"/>
        </w:rPr>
        <w:t>已与建设单位核实，生活污水运送至吉木萨尔县污水处理厂，生活垃圾送至吉木萨尔县生活垃圾填埋场。</w:t>
      </w:r>
    </w:p>
    <w:p>
      <w:pPr>
        <w:jc w:val="center"/>
        <w:rPr>
          <w:rFonts w:ascii="宋体" w:hAnsi="宋体" w:cs="宋体"/>
          <w:bCs/>
          <w:kern w:val="0"/>
          <w:sz w:val="24"/>
        </w:rPr>
      </w:pPr>
    </w:p>
    <w:p>
      <w:pPr>
        <w:jc w:val="center"/>
        <w:rPr>
          <w:rFonts w:ascii="宋体" w:hAnsi="宋体" w:cs="宋体"/>
          <w:bCs/>
          <w:kern w:val="0"/>
          <w:sz w:val="24"/>
        </w:rPr>
      </w:pPr>
    </w:p>
    <w:p>
      <w:pPr>
        <w:jc w:val="center"/>
        <w:rPr>
          <w:rFonts w:ascii="宋体" w:hAnsi="宋体" w:cs="宋体"/>
          <w:bCs/>
          <w:kern w:val="0"/>
          <w:sz w:val="24"/>
        </w:rPr>
      </w:pPr>
    </w:p>
    <w:p>
      <w:pPr>
        <w:jc w:val="center"/>
        <w:rPr>
          <w:rFonts w:ascii="宋体" w:hAnsi="宋体" w:cs="宋体"/>
          <w:bCs/>
          <w:kern w:val="0"/>
          <w:sz w:val="24"/>
        </w:rPr>
      </w:pPr>
    </w:p>
    <w:p>
      <w:pPr>
        <w:jc w:val="center"/>
        <w:rPr>
          <w:rFonts w:ascii="宋体" w:hAnsi="宋体" w:cs="宋体"/>
          <w:bCs/>
          <w:kern w:val="0"/>
          <w:sz w:val="24"/>
        </w:rPr>
      </w:pPr>
    </w:p>
    <w:p>
      <w:pPr>
        <w:jc w:val="right"/>
        <w:rPr>
          <w:rFonts w:ascii="宋体" w:hAnsi="宋体" w:cs="宋体"/>
          <w:b/>
          <w:bCs/>
          <w:kern w:val="0"/>
          <w:sz w:val="24"/>
        </w:rPr>
      </w:pPr>
      <w:r>
        <w:rPr>
          <w:rFonts w:hint="eastAsia" w:ascii="宋体" w:hAnsi="宋体" w:cs="宋体"/>
          <w:b/>
          <w:bCs/>
          <w:kern w:val="0"/>
          <w:sz w:val="24"/>
        </w:rPr>
        <w:t>中勘冶金勘察设计研究院有限责任公司</w:t>
      </w:r>
    </w:p>
    <w:p>
      <w:pPr>
        <w:jc w:val="right"/>
        <w:rPr>
          <w:rFonts w:ascii="宋体" w:hAnsi="宋体" w:cs="宋体"/>
          <w:b/>
          <w:bCs/>
          <w:kern w:val="0"/>
          <w:sz w:val="24"/>
        </w:rPr>
      </w:pPr>
      <w:r>
        <w:rPr>
          <w:rFonts w:hint="eastAsia" w:ascii="宋体" w:hAnsi="宋体" w:cs="宋体"/>
          <w:b/>
          <w:bCs/>
          <w:kern w:val="0"/>
          <w:sz w:val="24"/>
        </w:rPr>
        <w:t>202</w:t>
      </w:r>
      <w:bookmarkEnd w:id="70"/>
      <w:r>
        <w:rPr>
          <w:rFonts w:ascii="宋体" w:hAnsi="宋体" w:cs="宋体"/>
          <w:b/>
          <w:bCs/>
          <w:kern w:val="0"/>
          <w:sz w:val="24"/>
        </w:rPr>
        <w:t>2.</w:t>
      </w:r>
      <w:bookmarkEnd w:id="66"/>
      <w:bookmarkEnd w:id="67"/>
      <w:r>
        <w:rPr>
          <w:rFonts w:ascii="宋体" w:hAnsi="宋体" w:cs="宋体"/>
          <w:b/>
          <w:bCs/>
          <w:kern w:val="0"/>
          <w:sz w:val="24"/>
        </w:rPr>
        <w:t>10.8</w:t>
      </w:r>
      <w:bookmarkEnd w:id="68"/>
    </w:p>
    <w:p>
      <w:pPr>
        <w:pStyle w:val="46"/>
        <w:spacing w:line="240" w:lineRule="auto"/>
        <w:ind w:firstLine="0" w:firstLineChars="0"/>
        <w:outlineLvl w:val="0"/>
        <w:rPr>
          <w:b/>
          <w:bCs/>
        </w:rPr>
      </w:pPr>
      <w:r>
        <w:rPr>
          <w:rFonts w:hint="eastAsia"/>
          <w:b/>
          <w:bCs/>
        </w:rPr>
        <w:t>专家复核意见</w:t>
      </w:r>
    </w:p>
    <w:p>
      <w:pPr>
        <w:pStyle w:val="46"/>
        <w:spacing w:line="240" w:lineRule="auto"/>
        <w:ind w:firstLine="0" w:firstLineChars="0"/>
        <w:rPr>
          <w:b/>
          <w:bCs/>
        </w:rPr>
      </w:pPr>
      <w:r>
        <w:rPr>
          <w:b/>
          <w:bCs/>
        </w:rPr>
        <w:drawing>
          <wp:inline distT="0" distB="0" distL="0" distR="0">
            <wp:extent cx="5273040" cy="74523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r>
        <w:rPr>
          <w:b/>
          <w:bCs/>
        </w:rPr>
        <w:drawing>
          <wp:inline distT="0" distB="0" distL="0" distR="0">
            <wp:extent cx="5273040" cy="745236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r>
        <w:rPr>
          <w:b/>
          <w:bCs/>
        </w:rPr>
        <w:drawing>
          <wp:inline distT="0" distB="0" distL="0" distR="0">
            <wp:extent cx="5273040" cy="74523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r>
        <w:rPr>
          <w:b/>
          <w:bCs/>
        </w:rPr>
        <w:drawing>
          <wp:inline distT="0" distB="0" distL="0" distR="0">
            <wp:extent cx="5273040" cy="745236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r>
        <w:rPr>
          <w:b/>
          <w:bCs/>
        </w:rPr>
        <w:drawing>
          <wp:inline distT="0" distB="0" distL="0" distR="0">
            <wp:extent cx="5273040" cy="745236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p>
    <w:p>
      <w:pPr>
        <w:pStyle w:val="46"/>
        <w:spacing w:line="240" w:lineRule="auto"/>
        <w:ind w:firstLine="0" w:firstLineChars="0"/>
        <w:rPr>
          <w:b/>
          <w:bCs/>
        </w:rPr>
      </w:pPr>
    </w:p>
    <w:p>
      <w:pPr>
        <w:pStyle w:val="46"/>
        <w:spacing w:line="240" w:lineRule="auto"/>
        <w:ind w:firstLine="0" w:firstLineChars="0"/>
        <w:rPr>
          <w:rFonts w:hint="eastAsia"/>
          <w:b/>
          <w:bCs/>
        </w:rPr>
      </w:pPr>
    </w:p>
    <w:sectPr>
      <w:footerReference r:id="rId8" w:type="default"/>
      <w:pgSz w:w="11906" w:h="16838"/>
      <w:pgMar w:top="1440" w:right="1800" w:bottom="1440" w:left="1800" w:header="851" w:footer="51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方正宋一简体">
    <w:altName w:val="宋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separate"/>
    </w:r>
    <w:r>
      <w:rPr>
        <w:rStyle w:val="24"/>
      </w:rPr>
      <w:t>54</w:t>
    </w:r>
    <w:r>
      <w:rPr>
        <w:rStyle w:val="24"/>
      </w:rP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678521"/>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940702"/>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pPr>
      <w:pStyle w:val="12"/>
    </w:pPr>
  </w:p>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trackedChanges" w:enforcement="0"/>
  <w:defaultTabStop w:val="420"/>
  <w:drawingGridHorizontalSpacing w:val="105"/>
  <w:drawingGridVerticalSpacing w:val="156"/>
  <w:displayHorizontalDrawingGridEvery w:val="2"/>
  <w:displayVertic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zNzlhOTliOWVjMmY2MTg2Mzk4ZTUzMjhkNzljNjIifQ=="/>
  </w:docVars>
  <w:rsids>
    <w:rsidRoot w:val="00A14947"/>
    <w:rsid w:val="00001CED"/>
    <w:rsid w:val="00001E67"/>
    <w:rsid w:val="00002091"/>
    <w:rsid w:val="0000246F"/>
    <w:rsid w:val="0000251E"/>
    <w:rsid w:val="000033D4"/>
    <w:rsid w:val="00003422"/>
    <w:rsid w:val="00003CD8"/>
    <w:rsid w:val="0000642B"/>
    <w:rsid w:val="000065E5"/>
    <w:rsid w:val="0001115A"/>
    <w:rsid w:val="000111E7"/>
    <w:rsid w:val="0001153D"/>
    <w:rsid w:val="0001154E"/>
    <w:rsid w:val="000130BC"/>
    <w:rsid w:val="00014965"/>
    <w:rsid w:val="0001523A"/>
    <w:rsid w:val="000153AC"/>
    <w:rsid w:val="00015952"/>
    <w:rsid w:val="000164F1"/>
    <w:rsid w:val="00016B41"/>
    <w:rsid w:val="00016ECB"/>
    <w:rsid w:val="00017A36"/>
    <w:rsid w:val="00017F43"/>
    <w:rsid w:val="000203B2"/>
    <w:rsid w:val="00023D50"/>
    <w:rsid w:val="00023D8B"/>
    <w:rsid w:val="000254C1"/>
    <w:rsid w:val="000255C1"/>
    <w:rsid w:val="00025BE6"/>
    <w:rsid w:val="000269F6"/>
    <w:rsid w:val="00026D52"/>
    <w:rsid w:val="00031939"/>
    <w:rsid w:val="00031A7D"/>
    <w:rsid w:val="00031D50"/>
    <w:rsid w:val="0003201E"/>
    <w:rsid w:val="000321F9"/>
    <w:rsid w:val="00032769"/>
    <w:rsid w:val="00032D25"/>
    <w:rsid w:val="00033725"/>
    <w:rsid w:val="00034BF1"/>
    <w:rsid w:val="00036828"/>
    <w:rsid w:val="00036A77"/>
    <w:rsid w:val="00040BA0"/>
    <w:rsid w:val="00040FA5"/>
    <w:rsid w:val="000420C7"/>
    <w:rsid w:val="00042CFC"/>
    <w:rsid w:val="00046BB1"/>
    <w:rsid w:val="00047E4D"/>
    <w:rsid w:val="00051554"/>
    <w:rsid w:val="0005219D"/>
    <w:rsid w:val="000533C4"/>
    <w:rsid w:val="00053DFE"/>
    <w:rsid w:val="00054288"/>
    <w:rsid w:val="00054749"/>
    <w:rsid w:val="00054B0F"/>
    <w:rsid w:val="0005568F"/>
    <w:rsid w:val="00055A64"/>
    <w:rsid w:val="000567BB"/>
    <w:rsid w:val="0005783C"/>
    <w:rsid w:val="00057D99"/>
    <w:rsid w:val="00057EB0"/>
    <w:rsid w:val="0006153D"/>
    <w:rsid w:val="00061B1F"/>
    <w:rsid w:val="00061BB1"/>
    <w:rsid w:val="0006360E"/>
    <w:rsid w:val="0006389D"/>
    <w:rsid w:val="00064ACE"/>
    <w:rsid w:val="00064BFD"/>
    <w:rsid w:val="000655B3"/>
    <w:rsid w:val="00065FED"/>
    <w:rsid w:val="000664DB"/>
    <w:rsid w:val="000665A2"/>
    <w:rsid w:val="000669D7"/>
    <w:rsid w:val="0007127D"/>
    <w:rsid w:val="00071363"/>
    <w:rsid w:val="00071AE5"/>
    <w:rsid w:val="00073989"/>
    <w:rsid w:val="00074783"/>
    <w:rsid w:val="00076632"/>
    <w:rsid w:val="000779AD"/>
    <w:rsid w:val="000779F4"/>
    <w:rsid w:val="0008001C"/>
    <w:rsid w:val="0008011B"/>
    <w:rsid w:val="000801E0"/>
    <w:rsid w:val="00080AC5"/>
    <w:rsid w:val="00080E2A"/>
    <w:rsid w:val="0008140F"/>
    <w:rsid w:val="00082A29"/>
    <w:rsid w:val="00082BAA"/>
    <w:rsid w:val="0008331D"/>
    <w:rsid w:val="000833EA"/>
    <w:rsid w:val="0008376B"/>
    <w:rsid w:val="00083C18"/>
    <w:rsid w:val="00084C0E"/>
    <w:rsid w:val="00085283"/>
    <w:rsid w:val="00085E2C"/>
    <w:rsid w:val="000906CC"/>
    <w:rsid w:val="000908FE"/>
    <w:rsid w:val="00091CEE"/>
    <w:rsid w:val="0009262E"/>
    <w:rsid w:val="00092899"/>
    <w:rsid w:val="000934C6"/>
    <w:rsid w:val="000956A7"/>
    <w:rsid w:val="0009646D"/>
    <w:rsid w:val="00096626"/>
    <w:rsid w:val="0009694C"/>
    <w:rsid w:val="00097858"/>
    <w:rsid w:val="000A0A9C"/>
    <w:rsid w:val="000A1121"/>
    <w:rsid w:val="000A178E"/>
    <w:rsid w:val="000A19D8"/>
    <w:rsid w:val="000A21C6"/>
    <w:rsid w:val="000A297B"/>
    <w:rsid w:val="000A2D4C"/>
    <w:rsid w:val="000A2D93"/>
    <w:rsid w:val="000A40A1"/>
    <w:rsid w:val="000A441F"/>
    <w:rsid w:val="000A4705"/>
    <w:rsid w:val="000A4741"/>
    <w:rsid w:val="000A557E"/>
    <w:rsid w:val="000A5B94"/>
    <w:rsid w:val="000A6AFF"/>
    <w:rsid w:val="000A7A50"/>
    <w:rsid w:val="000A7D80"/>
    <w:rsid w:val="000B0246"/>
    <w:rsid w:val="000B058F"/>
    <w:rsid w:val="000B0D1C"/>
    <w:rsid w:val="000B16E2"/>
    <w:rsid w:val="000B1C48"/>
    <w:rsid w:val="000B1D52"/>
    <w:rsid w:val="000B423D"/>
    <w:rsid w:val="000B4F33"/>
    <w:rsid w:val="000B54B1"/>
    <w:rsid w:val="000B557A"/>
    <w:rsid w:val="000B6331"/>
    <w:rsid w:val="000B693F"/>
    <w:rsid w:val="000B71F0"/>
    <w:rsid w:val="000C09AC"/>
    <w:rsid w:val="000C0A63"/>
    <w:rsid w:val="000C1F4B"/>
    <w:rsid w:val="000C2090"/>
    <w:rsid w:val="000C2869"/>
    <w:rsid w:val="000C437E"/>
    <w:rsid w:val="000C52FD"/>
    <w:rsid w:val="000C61D6"/>
    <w:rsid w:val="000C6AF9"/>
    <w:rsid w:val="000C6FB0"/>
    <w:rsid w:val="000C7594"/>
    <w:rsid w:val="000D01BE"/>
    <w:rsid w:val="000D01FA"/>
    <w:rsid w:val="000D0BD6"/>
    <w:rsid w:val="000D0E71"/>
    <w:rsid w:val="000D46EE"/>
    <w:rsid w:val="000D5FD2"/>
    <w:rsid w:val="000D6189"/>
    <w:rsid w:val="000D62CA"/>
    <w:rsid w:val="000E21A8"/>
    <w:rsid w:val="000E2694"/>
    <w:rsid w:val="000E2DFD"/>
    <w:rsid w:val="000E3B17"/>
    <w:rsid w:val="000E40E3"/>
    <w:rsid w:val="000E55F5"/>
    <w:rsid w:val="000E55FD"/>
    <w:rsid w:val="000E5862"/>
    <w:rsid w:val="000E5DBE"/>
    <w:rsid w:val="000E5F16"/>
    <w:rsid w:val="000F118E"/>
    <w:rsid w:val="000F1200"/>
    <w:rsid w:val="000F1A2E"/>
    <w:rsid w:val="000F21C1"/>
    <w:rsid w:val="000F4452"/>
    <w:rsid w:val="000F6DA1"/>
    <w:rsid w:val="000F701B"/>
    <w:rsid w:val="00100317"/>
    <w:rsid w:val="001004C7"/>
    <w:rsid w:val="00100DAB"/>
    <w:rsid w:val="00101164"/>
    <w:rsid w:val="00101235"/>
    <w:rsid w:val="0010336C"/>
    <w:rsid w:val="001035A3"/>
    <w:rsid w:val="00103690"/>
    <w:rsid w:val="0010403A"/>
    <w:rsid w:val="001042E3"/>
    <w:rsid w:val="0010561F"/>
    <w:rsid w:val="001056A0"/>
    <w:rsid w:val="00105992"/>
    <w:rsid w:val="001067A0"/>
    <w:rsid w:val="00110981"/>
    <w:rsid w:val="001126FD"/>
    <w:rsid w:val="00113C1D"/>
    <w:rsid w:val="00114101"/>
    <w:rsid w:val="0011521C"/>
    <w:rsid w:val="00115279"/>
    <w:rsid w:val="00115697"/>
    <w:rsid w:val="00117459"/>
    <w:rsid w:val="0011749A"/>
    <w:rsid w:val="00120FF7"/>
    <w:rsid w:val="0012175E"/>
    <w:rsid w:val="00122299"/>
    <w:rsid w:val="0012261A"/>
    <w:rsid w:val="00123121"/>
    <w:rsid w:val="00125185"/>
    <w:rsid w:val="00125423"/>
    <w:rsid w:val="00125F06"/>
    <w:rsid w:val="0012611D"/>
    <w:rsid w:val="00126550"/>
    <w:rsid w:val="00127A68"/>
    <w:rsid w:val="00131BD8"/>
    <w:rsid w:val="001324B4"/>
    <w:rsid w:val="00132BB5"/>
    <w:rsid w:val="001335C1"/>
    <w:rsid w:val="00133A2A"/>
    <w:rsid w:val="001360BF"/>
    <w:rsid w:val="00140B13"/>
    <w:rsid w:val="00140B52"/>
    <w:rsid w:val="00140E49"/>
    <w:rsid w:val="001411A8"/>
    <w:rsid w:val="001413B5"/>
    <w:rsid w:val="00141B68"/>
    <w:rsid w:val="0014618C"/>
    <w:rsid w:val="001466DA"/>
    <w:rsid w:val="00150145"/>
    <w:rsid w:val="00150866"/>
    <w:rsid w:val="0015112F"/>
    <w:rsid w:val="001521FE"/>
    <w:rsid w:val="00152FCB"/>
    <w:rsid w:val="00153E5C"/>
    <w:rsid w:val="00154DE1"/>
    <w:rsid w:val="00155386"/>
    <w:rsid w:val="00155B40"/>
    <w:rsid w:val="00157435"/>
    <w:rsid w:val="001617FA"/>
    <w:rsid w:val="00162C03"/>
    <w:rsid w:val="00162C8B"/>
    <w:rsid w:val="00163EEA"/>
    <w:rsid w:val="001647D9"/>
    <w:rsid w:val="00164899"/>
    <w:rsid w:val="0016492C"/>
    <w:rsid w:val="00165E33"/>
    <w:rsid w:val="00167A07"/>
    <w:rsid w:val="0017046A"/>
    <w:rsid w:val="001704A3"/>
    <w:rsid w:val="00172693"/>
    <w:rsid w:val="001735A9"/>
    <w:rsid w:val="001744DD"/>
    <w:rsid w:val="00174675"/>
    <w:rsid w:val="00174BD3"/>
    <w:rsid w:val="0017504D"/>
    <w:rsid w:val="00177422"/>
    <w:rsid w:val="00177D99"/>
    <w:rsid w:val="00180BD4"/>
    <w:rsid w:val="00180FFE"/>
    <w:rsid w:val="00181214"/>
    <w:rsid w:val="00182446"/>
    <w:rsid w:val="00183803"/>
    <w:rsid w:val="00183966"/>
    <w:rsid w:val="00183BE2"/>
    <w:rsid w:val="00184F10"/>
    <w:rsid w:val="00185180"/>
    <w:rsid w:val="00185546"/>
    <w:rsid w:val="00186441"/>
    <w:rsid w:val="001866AE"/>
    <w:rsid w:val="00186801"/>
    <w:rsid w:val="00186955"/>
    <w:rsid w:val="001906D6"/>
    <w:rsid w:val="00190A52"/>
    <w:rsid w:val="0019104B"/>
    <w:rsid w:val="0019146B"/>
    <w:rsid w:val="0019244E"/>
    <w:rsid w:val="00194398"/>
    <w:rsid w:val="00194E09"/>
    <w:rsid w:val="00194F9A"/>
    <w:rsid w:val="00195EB1"/>
    <w:rsid w:val="00195F19"/>
    <w:rsid w:val="00195F75"/>
    <w:rsid w:val="0019642B"/>
    <w:rsid w:val="001A0816"/>
    <w:rsid w:val="001A0FFE"/>
    <w:rsid w:val="001A2A2C"/>
    <w:rsid w:val="001A2CB3"/>
    <w:rsid w:val="001A4336"/>
    <w:rsid w:val="001A462A"/>
    <w:rsid w:val="001A5105"/>
    <w:rsid w:val="001A52A0"/>
    <w:rsid w:val="001A6C5B"/>
    <w:rsid w:val="001A7600"/>
    <w:rsid w:val="001A7D2A"/>
    <w:rsid w:val="001A7F98"/>
    <w:rsid w:val="001B02A4"/>
    <w:rsid w:val="001B111A"/>
    <w:rsid w:val="001B1317"/>
    <w:rsid w:val="001B1D3C"/>
    <w:rsid w:val="001B206B"/>
    <w:rsid w:val="001B2337"/>
    <w:rsid w:val="001B30F8"/>
    <w:rsid w:val="001B553E"/>
    <w:rsid w:val="001B574C"/>
    <w:rsid w:val="001B636D"/>
    <w:rsid w:val="001B7898"/>
    <w:rsid w:val="001C0AF9"/>
    <w:rsid w:val="001C155A"/>
    <w:rsid w:val="001C2227"/>
    <w:rsid w:val="001C22EE"/>
    <w:rsid w:val="001C232A"/>
    <w:rsid w:val="001C3246"/>
    <w:rsid w:val="001C33A6"/>
    <w:rsid w:val="001C4204"/>
    <w:rsid w:val="001C48C0"/>
    <w:rsid w:val="001C4BE9"/>
    <w:rsid w:val="001C5DE7"/>
    <w:rsid w:val="001C6132"/>
    <w:rsid w:val="001C6B2E"/>
    <w:rsid w:val="001D003F"/>
    <w:rsid w:val="001D0B06"/>
    <w:rsid w:val="001D2383"/>
    <w:rsid w:val="001D3400"/>
    <w:rsid w:val="001D383D"/>
    <w:rsid w:val="001D407A"/>
    <w:rsid w:val="001D6726"/>
    <w:rsid w:val="001D7094"/>
    <w:rsid w:val="001D7697"/>
    <w:rsid w:val="001E17D3"/>
    <w:rsid w:val="001E25AD"/>
    <w:rsid w:val="001E37F4"/>
    <w:rsid w:val="001E52EE"/>
    <w:rsid w:val="001E6D40"/>
    <w:rsid w:val="001E6F31"/>
    <w:rsid w:val="001E71A7"/>
    <w:rsid w:val="001F085F"/>
    <w:rsid w:val="001F0B97"/>
    <w:rsid w:val="001F16AF"/>
    <w:rsid w:val="001F21D9"/>
    <w:rsid w:val="001F3347"/>
    <w:rsid w:val="001F3448"/>
    <w:rsid w:val="001F4440"/>
    <w:rsid w:val="001F57CA"/>
    <w:rsid w:val="001F621C"/>
    <w:rsid w:val="001F69E4"/>
    <w:rsid w:val="001F71EA"/>
    <w:rsid w:val="001F74AD"/>
    <w:rsid w:val="001F7C24"/>
    <w:rsid w:val="002015C9"/>
    <w:rsid w:val="00201CAF"/>
    <w:rsid w:val="0020224C"/>
    <w:rsid w:val="00202828"/>
    <w:rsid w:val="002032C2"/>
    <w:rsid w:val="00203CC5"/>
    <w:rsid w:val="0020516A"/>
    <w:rsid w:val="00205909"/>
    <w:rsid w:val="0020599C"/>
    <w:rsid w:val="00205FFC"/>
    <w:rsid w:val="00206A65"/>
    <w:rsid w:val="00206D61"/>
    <w:rsid w:val="00210ACC"/>
    <w:rsid w:val="002120D9"/>
    <w:rsid w:val="00212D05"/>
    <w:rsid w:val="00212D31"/>
    <w:rsid w:val="002130C7"/>
    <w:rsid w:val="0021316A"/>
    <w:rsid w:val="00214AB1"/>
    <w:rsid w:val="0021597D"/>
    <w:rsid w:val="002174D5"/>
    <w:rsid w:val="002209AE"/>
    <w:rsid w:val="002218A8"/>
    <w:rsid w:val="00221C85"/>
    <w:rsid w:val="0022306D"/>
    <w:rsid w:val="002235AE"/>
    <w:rsid w:val="00225032"/>
    <w:rsid w:val="00226574"/>
    <w:rsid w:val="0022685F"/>
    <w:rsid w:val="0022744B"/>
    <w:rsid w:val="002278EC"/>
    <w:rsid w:val="0023192C"/>
    <w:rsid w:val="00232420"/>
    <w:rsid w:val="00232B76"/>
    <w:rsid w:val="002333D1"/>
    <w:rsid w:val="00233EE0"/>
    <w:rsid w:val="00234C87"/>
    <w:rsid w:val="002352C8"/>
    <w:rsid w:val="002357C7"/>
    <w:rsid w:val="002367C4"/>
    <w:rsid w:val="00236EE2"/>
    <w:rsid w:val="00237058"/>
    <w:rsid w:val="002401D4"/>
    <w:rsid w:val="00240523"/>
    <w:rsid w:val="00242B8F"/>
    <w:rsid w:val="00243637"/>
    <w:rsid w:val="00244154"/>
    <w:rsid w:val="0024428D"/>
    <w:rsid w:val="002445E5"/>
    <w:rsid w:val="00244998"/>
    <w:rsid w:val="00246395"/>
    <w:rsid w:val="002505A3"/>
    <w:rsid w:val="00250E25"/>
    <w:rsid w:val="00252150"/>
    <w:rsid w:val="002538B0"/>
    <w:rsid w:val="002543F4"/>
    <w:rsid w:val="00254F1C"/>
    <w:rsid w:val="00254F8F"/>
    <w:rsid w:val="0025679E"/>
    <w:rsid w:val="002568C8"/>
    <w:rsid w:val="00256C20"/>
    <w:rsid w:val="00257109"/>
    <w:rsid w:val="002572DE"/>
    <w:rsid w:val="0025748B"/>
    <w:rsid w:val="002577CE"/>
    <w:rsid w:val="00260BF7"/>
    <w:rsid w:val="00260C68"/>
    <w:rsid w:val="0026177B"/>
    <w:rsid w:val="00262922"/>
    <w:rsid w:val="002648B0"/>
    <w:rsid w:val="00264E5A"/>
    <w:rsid w:val="00264F5B"/>
    <w:rsid w:val="00265CD1"/>
    <w:rsid w:val="00265E22"/>
    <w:rsid w:val="00265FA4"/>
    <w:rsid w:val="002667DC"/>
    <w:rsid w:val="00267442"/>
    <w:rsid w:val="0027157D"/>
    <w:rsid w:val="00272075"/>
    <w:rsid w:val="002728F5"/>
    <w:rsid w:val="0027349A"/>
    <w:rsid w:val="00275182"/>
    <w:rsid w:val="00275271"/>
    <w:rsid w:val="0027535E"/>
    <w:rsid w:val="002755A9"/>
    <w:rsid w:val="00275AA6"/>
    <w:rsid w:val="00275B91"/>
    <w:rsid w:val="0028036C"/>
    <w:rsid w:val="002803E1"/>
    <w:rsid w:val="002807D5"/>
    <w:rsid w:val="00281078"/>
    <w:rsid w:val="00281FB5"/>
    <w:rsid w:val="00282CCD"/>
    <w:rsid w:val="00283A82"/>
    <w:rsid w:val="0028452C"/>
    <w:rsid w:val="00285D13"/>
    <w:rsid w:val="0028712D"/>
    <w:rsid w:val="00287ABB"/>
    <w:rsid w:val="0029283E"/>
    <w:rsid w:val="00293DB4"/>
    <w:rsid w:val="00293F5D"/>
    <w:rsid w:val="002948ED"/>
    <w:rsid w:val="0029616E"/>
    <w:rsid w:val="002972F6"/>
    <w:rsid w:val="00297371"/>
    <w:rsid w:val="002978A9"/>
    <w:rsid w:val="002A168C"/>
    <w:rsid w:val="002A2C48"/>
    <w:rsid w:val="002A3BCC"/>
    <w:rsid w:val="002A3EED"/>
    <w:rsid w:val="002A4108"/>
    <w:rsid w:val="002A4A39"/>
    <w:rsid w:val="002A4A51"/>
    <w:rsid w:val="002A565C"/>
    <w:rsid w:val="002A5693"/>
    <w:rsid w:val="002A5A17"/>
    <w:rsid w:val="002A6425"/>
    <w:rsid w:val="002A687F"/>
    <w:rsid w:val="002A7374"/>
    <w:rsid w:val="002B1FE8"/>
    <w:rsid w:val="002B22ED"/>
    <w:rsid w:val="002B3FB8"/>
    <w:rsid w:val="002B4079"/>
    <w:rsid w:val="002B4579"/>
    <w:rsid w:val="002B49E2"/>
    <w:rsid w:val="002B5734"/>
    <w:rsid w:val="002B74A5"/>
    <w:rsid w:val="002B7B00"/>
    <w:rsid w:val="002B7C44"/>
    <w:rsid w:val="002C122E"/>
    <w:rsid w:val="002C1388"/>
    <w:rsid w:val="002C18A0"/>
    <w:rsid w:val="002C30A2"/>
    <w:rsid w:val="002C3543"/>
    <w:rsid w:val="002C3C6A"/>
    <w:rsid w:val="002C4579"/>
    <w:rsid w:val="002C471F"/>
    <w:rsid w:val="002C4E3A"/>
    <w:rsid w:val="002C5040"/>
    <w:rsid w:val="002C5105"/>
    <w:rsid w:val="002D0A64"/>
    <w:rsid w:val="002D21AC"/>
    <w:rsid w:val="002D3463"/>
    <w:rsid w:val="002D3B6F"/>
    <w:rsid w:val="002D41F8"/>
    <w:rsid w:val="002D42DB"/>
    <w:rsid w:val="002D610C"/>
    <w:rsid w:val="002E0304"/>
    <w:rsid w:val="002E0C8D"/>
    <w:rsid w:val="002E13F4"/>
    <w:rsid w:val="002E1F3A"/>
    <w:rsid w:val="002E23CD"/>
    <w:rsid w:val="002E285E"/>
    <w:rsid w:val="002E298A"/>
    <w:rsid w:val="002E2E4C"/>
    <w:rsid w:val="002E43BA"/>
    <w:rsid w:val="002E4FBD"/>
    <w:rsid w:val="002E5A60"/>
    <w:rsid w:val="002F02A4"/>
    <w:rsid w:val="002F0B96"/>
    <w:rsid w:val="002F25F2"/>
    <w:rsid w:val="002F272B"/>
    <w:rsid w:val="002F4474"/>
    <w:rsid w:val="002F6E53"/>
    <w:rsid w:val="002F711E"/>
    <w:rsid w:val="002F73F1"/>
    <w:rsid w:val="002F7C6D"/>
    <w:rsid w:val="002F7E69"/>
    <w:rsid w:val="003002A2"/>
    <w:rsid w:val="00300DFE"/>
    <w:rsid w:val="003013BE"/>
    <w:rsid w:val="003027E4"/>
    <w:rsid w:val="0030332C"/>
    <w:rsid w:val="00303586"/>
    <w:rsid w:val="00303DA6"/>
    <w:rsid w:val="00305DB2"/>
    <w:rsid w:val="00307A0A"/>
    <w:rsid w:val="00310460"/>
    <w:rsid w:val="0031060A"/>
    <w:rsid w:val="00310EE3"/>
    <w:rsid w:val="00310F99"/>
    <w:rsid w:val="00311629"/>
    <w:rsid w:val="00311ADB"/>
    <w:rsid w:val="00311B42"/>
    <w:rsid w:val="00312296"/>
    <w:rsid w:val="00312997"/>
    <w:rsid w:val="00312B9B"/>
    <w:rsid w:val="0031340E"/>
    <w:rsid w:val="003149AD"/>
    <w:rsid w:val="00314FFA"/>
    <w:rsid w:val="00316464"/>
    <w:rsid w:val="00317696"/>
    <w:rsid w:val="00317980"/>
    <w:rsid w:val="0032016E"/>
    <w:rsid w:val="0032073A"/>
    <w:rsid w:val="00321637"/>
    <w:rsid w:val="00321D8E"/>
    <w:rsid w:val="0032290B"/>
    <w:rsid w:val="003261FB"/>
    <w:rsid w:val="0032711F"/>
    <w:rsid w:val="0032794C"/>
    <w:rsid w:val="00327F35"/>
    <w:rsid w:val="0033089B"/>
    <w:rsid w:val="00331C35"/>
    <w:rsid w:val="00332DC0"/>
    <w:rsid w:val="00334996"/>
    <w:rsid w:val="00335921"/>
    <w:rsid w:val="00336969"/>
    <w:rsid w:val="00336C52"/>
    <w:rsid w:val="00336CD9"/>
    <w:rsid w:val="00337C3D"/>
    <w:rsid w:val="0034005B"/>
    <w:rsid w:val="00340907"/>
    <w:rsid w:val="0034100B"/>
    <w:rsid w:val="00341B3E"/>
    <w:rsid w:val="00341B42"/>
    <w:rsid w:val="00341ECF"/>
    <w:rsid w:val="003437DD"/>
    <w:rsid w:val="00343CCB"/>
    <w:rsid w:val="00345154"/>
    <w:rsid w:val="0034560E"/>
    <w:rsid w:val="00347014"/>
    <w:rsid w:val="003472F5"/>
    <w:rsid w:val="00350523"/>
    <w:rsid w:val="00350644"/>
    <w:rsid w:val="0035241A"/>
    <w:rsid w:val="00352975"/>
    <w:rsid w:val="0035652C"/>
    <w:rsid w:val="00356868"/>
    <w:rsid w:val="00357338"/>
    <w:rsid w:val="0036003E"/>
    <w:rsid w:val="00360779"/>
    <w:rsid w:val="00363456"/>
    <w:rsid w:val="0036485B"/>
    <w:rsid w:val="00367511"/>
    <w:rsid w:val="00367611"/>
    <w:rsid w:val="00370C22"/>
    <w:rsid w:val="00372698"/>
    <w:rsid w:val="00372B6E"/>
    <w:rsid w:val="00373B0D"/>
    <w:rsid w:val="00373C2E"/>
    <w:rsid w:val="00374225"/>
    <w:rsid w:val="00375234"/>
    <w:rsid w:val="0037613C"/>
    <w:rsid w:val="00376988"/>
    <w:rsid w:val="003769F4"/>
    <w:rsid w:val="00376AC5"/>
    <w:rsid w:val="0037788B"/>
    <w:rsid w:val="00380FCF"/>
    <w:rsid w:val="00381A72"/>
    <w:rsid w:val="00381C3D"/>
    <w:rsid w:val="00383E33"/>
    <w:rsid w:val="0038498D"/>
    <w:rsid w:val="0038593B"/>
    <w:rsid w:val="003864DB"/>
    <w:rsid w:val="003866FF"/>
    <w:rsid w:val="0038679C"/>
    <w:rsid w:val="00391E84"/>
    <w:rsid w:val="00392AE3"/>
    <w:rsid w:val="00392F34"/>
    <w:rsid w:val="00393982"/>
    <w:rsid w:val="00397C72"/>
    <w:rsid w:val="00397E8D"/>
    <w:rsid w:val="003A009E"/>
    <w:rsid w:val="003A0F2A"/>
    <w:rsid w:val="003A1044"/>
    <w:rsid w:val="003A1948"/>
    <w:rsid w:val="003A243D"/>
    <w:rsid w:val="003A3CD5"/>
    <w:rsid w:val="003A4AAC"/>
    <w:rsid w:val="003A4AD8"/>
    <w:rsid w:val="003A5378"/>
    <w:rsid w:val="003A5408"/>
    <w:rsid w:val="003A68E0"/>
    <w:rsid w:val="003B152A"/>
    <w:rsid w:val="003B458F"/>
    <w:rsid w:val="003B4CCA"/>
    <w:rsid w:val="003B545B"/>
    <w:rsid w:val="003B7341"/>
    <w:rsid w:val="003C0159"/>
    <w:rsid w:val="003C03CB"/>
    <w:rsid w:val="003C1649"/>
    <w:rsid w:val="003C2128"/>
    <w:rsid w:val="003C332E"/>
    <w:rsid w:val="003C4C92"/>
    <w:rsid w:val="003C66B7"/>
    <w:rsid w:val="003D3544"/>
    <w:rsid w:val="003D3AF8"/>
    <w:rsid w:val="003D3EE9"/>
    <w:rsid w:val="003D424B"/>
    <w:rsid w:val="003D45F4"/>
    <w:rsid w:val="003D56A6"/>
    <w:rsid w:val="003D5C4B"/>
    <w:rsid w:val="003D6035"/>
    <w:rsid w:val="003D7493"/>
    <w:rsid w:val="003D79FF"/>
    <w:rsid w:val="003E13A0"/>
    <w:rsid w:val="003E2113"/>
    <w:rsid w:val="003E2724"/>
    <w:rsid w:val="003E419C"/>
    <w:rsid w:val="003E4703"/>
    <w:rsid w:val="003E4B41"/>
    <w:rsid w:val="003E4B9E"/>
    <w:rsid w:val="003E5A1D"/>
    <w:rsid w:val="003E691B"/>
    <w:rsid w:val="003E7681"/>
    <w:rsid w:val="003F0221"/>
    <w:rsid w:val="003F0809"/>
    <w:rsid w:val="003F2AE6"/>
    <w:rsid w:val="003F4042"/>
    <w:rsid w:val="003F4348"/>
    <w:rsid w:val="003F611C"/>
    <w:rsid w:val="003F755C"/>
    <w:rsid w:val="003F7D58"/>
    <w:rsid w:val="00401817"/>
    <w:rsid w:val="0040668A"/>
    <w:rsid w:val="00406F01"/>
    <w:rsid w:val="00407744"/>
    <w:rsid w:val="00410FC4"/>
    <w:rsid w:val="00411B36"/>
    <w:rsid w:val="004121D7"/>
    <w:rsid w:val="004121FD"/>
    <w:rsid w:val="00412486"/>
    <w:rsid w:val="00416D50"/>
    <w:rsid w:val="00417157"/>
    <w:rsid w:val="00417772"/>
    <w:rsid w:val="004203AD"/>
    <w:rsid w:val="00420DC4"/>
    <w:rsid w:val="00420E6A"/>
    <w:rsid w:val="004222A1"/>
    <w:rsid w:val="0042352F"/>
    <w:rsid w:val="0042391B"/>
    <w:rsid w:val="00425281"/>
    <w:rsid w:val="00427152"/>
    <w:rsid w:val="00427614"/>
    <w:rsid w:val="0043130E"/>
    <w:rsid w:val="004327B7"/>
    <w:rsid w:val="00433858"/>
    <w:rsid w:val="0043391D"/>
    <w:rsid w:val="00433C6C"/>
    <w:rsid w:val="00433CA9"/>
    <w:rsid w:val="0043521D"/>
    <w:rsid w:val="0043787E"/>
    <w:rsid w:val="00440500"/>
    <w:rsid w:val="004414C5"/>
    <w:rsid w:val="00441E17"/>
    <w:rsid w:val="00442024"/>
    <w:rsid w:val="0044254C"/>
    <w:rsid w:val="00443D22"/>
    <w:rsid w:val="00443F6A"/>
    <w:rsid w:val="00443FF3"/>
    <w:rsid w:val="00444295"/>
    <w:rsid w:val="00445EB5"/>
    <w:rsid w:val="00447014"/>
    <w:rsid w:val="00447274"/>
    <w:rsid w:val="00450A17"/>
    <w:rsid w:val="00451A26"/>
    <w:rsid w:val="00451F33"/>
    <w:rsid w:val="00453DFF"/>
    <w:rsid w:val="0045428A"/>
    <w:rsid w:val="00454C39"/>
    <w:rsid w:val="00454EDD"/>
    <w:rsid w:val="00456276"/>
    <w:rsid w:val="00457A72"/>
    <w:rsid w:val="00460A0B"/>
    <w:rsid w:val="00460AE2"/>
    <w:rsid w:val="00466321"/>
    <w:rsid w:val="0046660B"/>
    <w:rsid w:val="004667D8"/>
    <w:rsid w:val="00466C18"/>
    <w:rsid w:val="004672AF"/>
    <w:rsid w:val="004709BA"/>
    <w:rsid w:val="00471BA0"/>
    <w:rsid w:val="004724EB"/>
    <w:rsid w:val="004727B0"/>
    <w:rsid w:val="004729CD"/>
    <w:rsid w:val="00472E8B"/>
    <w:rsid w:val="004735DC"/>
    <w:rsid w:val="00475BEB"/>
    <w:rsid w:val="004763AD"/>
    <w:rsid w:val="00476C1F"/>
    <w:rsid w:val="00477184"/>
    <w:rsid w:val="00477537"/>
    <w:rsid w:val="00477D9E"/>
    <w:rsid w:val="00480247"/>
    <w:rsid w:val="0048081D"/>
    <w:rsid w:val="0048117E"/>
    <w:rsid w:val="00481C7C"/>
    <w:rsid w:val="0048253C"/>
    <w:rsid w:val="00482CB9"/>
    <w:rsid w:val="00482EBA"/>
    <w:rsid w:val="00483A12"/>
    <w:rsid w:val="004840E1"/>
    <w:rsid w:val="0048418E"/>
    <w:rsid w:val="00484DF6"/>
    <w:rsid w:val="004855D4"/>
    <w:rsid w:val="004855F6"/>
    <w:rsid w:val="004859A1"/>
    <w:rsid w:val="004867EE"/>
    <w:rsid w:val="00486BA3"/>
    <w:rsid w:val="00486F0C"/>
    <w:rsid w:val="00490F98"/>
    <w:rsid w:val="00490F99"/>
    <w:rsid w:val="0049222E"/>
    <w:rsid w:val="004925EE"/>
    <w:rsid w:val="00492B3F"/>
    <w:rsid w:val="00493160"/>
    <w:rsid w:val="00494670"/>
    <w:rsid w:val="004948C7"/>
    <w:rsid w:val="00494DAF"/>
    <w:rsid w:val="0049520A"/>
    <w:rsid w:val="00495416"/>
    <w:rsid w:val="0049581F"/>
    <w:rsid w:val="004975ED"/>
    <w:rsid w:val="004A0C2A"/>
    <w:rsid w:val="004A0EB4"/>
    <w:rsid w:val="004A1846"/>
    <w:rsid w:val="004A25ED"/>
    <w:rsid w:val="004A26A5"/>
    <w:rsid w:val="004A3234"/>
    <w:rsid w:val="004A3823"/>
    <w:rsid w:val="004A389D"/>
    <w:rsid w:val="004A3AC4"/>
    <w:rsid w:val="004A4937"/>
    <w:rsid w:val="004A4C26"/>
    <w:rsid w:val="004A59BB"/>
    <w:rsid w:val="004B1EBA"/>
    <w:rsid w:val="004B2C04"/>
    <w:rsid w:val="004B37CF"/>
    <w:rsid w:val="004B43A3"/>
    <w:rsid w:val="004B4C49"/>
    <w:rsid w:val="004B58A5"/>
    <w:rsid w:val="004B5C1A"/>
    <w:rsid w:val="004B63D9"/>
    <w:rsid w:val="004C0882"/>
    <w:rsid w:val="004C1448"/>
    <w:rsid w:val="004C2322"/>
    <w:rsid w:val="004C4C01"/>
    <w:rsid w:val="004C55BE"/>
    <w:rsid w:val="004C589E"/>
    <w:rsid w:val="004C69EB"/>
    <w:rsid w:val="004C6E7D"/>
    <w:rsid w:val="004D16A1"/>
    <w:rsid w:val="004D2349"/>
    <w:rsid w:val="004D2D6F"/>
    <w:rsid w:val="004D3E71"/>
    <w:rsid w:val="004D41E5"/>
    <w:rsid w:val="004D421C"/>
    <w:rsid w:val="004D4FF0"/>
    <w:rsid w:val="004D65B6"/>
    <w:rsid w:val="004D697D"/>
    <w:rsid w:val="004D6D32"/>
    <w:rsid w:val="004D73A9"/>
    <w:rsid w:val="004E05B5"/>
    <w:rsid w:val="004E1F5B"/>
    <w:rsid w:val="004E457E"/>
    <w:rsid w:val="004E5B30"/>
    <w:rsid w:val="004E5F5E"/>
    <w:rsid w:val="004E6DC7"/>
    <w:rsid w:val="004E76C7"/>
    <w:rsid w:val="004E7BAA"/>
    <w:rsid w:val="004F0779"/>
    <w:rsid w:val="004F1230"/>
    <w:rsid w:val="004F173F"/>
    <w:rsid w:val="004F177C"/>
    <w:rsid w:val="004F2723"/>
    <w:rsid w:val="004F2DCE"/>
    <w:rsid w:val="004F5892"/>
    <w:rsid w:val="00500597"/>
    <w:rsid w:val="005009EC"/>
    <w:rsid w:val="0050176A"/>
    <w:rsid w:val="00501C76"/>
    <w:rsid w:val="00503876"/>
    <w:rsid w:val="005039CB"/>
    <w:rsid w:val="00505422"/>
    <w:rsid w:val="0050558F"/>
    <w:rsid w:val="005057E0"/>
    <w:rsid w:val="00506286"/>
    <w:rsid w:val="00506545"/>
    <w:rsid w:val="005068B2"/>
    <w:rsid w:val="0050703B"/>
    <w:rsid w:val="0050718D"/>
    <w:rsid w:val="0050733D"/>
    <w:rsid w:val="0051007F"/>
    <w:rsid w:val="00510813"/>
    <w:rsid w:val="005109B2"/>
    <w:rsid w:val="00510E76"/>
    <w:rsid w:val="00511BE2"/>
    <w:rsid w:val="00511DE0"/>
    <w:rsid w:val="00512D08"/>
    <w:rsid w:val="00512DAA"/>
    <w:rsid w:val="00512F02"/>
    <w:rsid w:val="0051337A"/>
    <w:rsid w:val="005138E7"/>
    <w:rsid w:val="005151B9"/>
    <w:rsid w:val="0051534D"/>
    <w:rsid w:val="005157CF"/>
    <w:rsid w:val="00516D45"/>
    <w:rsid w:val="00517A3B"/>
    <w:rsid w:val="00517F02"/>
    <w:rsid w:val="00524547"/>
    <w:rsid w:val="005258A2"/>
    <w:rsid w:val="005260BE"/>
    <w:rsid w:val="00526A50"/>
    <w:rsid w:val="00526E94"/>
    <w:rsid w:val="0053054D"/>
    <w:rsid w:val="00530F21"/>
    <w:rsid w:val="00530F7C"/>
    <w:rsid w:val="00531B7D"/>
    <w:rsid w:val="00532007"/>
    <w:rsid w:val="00533348"/>
    <w:rsid w:val="00534567"/>
    <w:rsid w:val="00534940"/>
    <w:rsid w:val="00534F43"/>
    <w:rsid w:val="005351C8"/>
    <w:rsid w:val="005355F3"/>
    <w:rsid w:val="00535A84"/>
    <w:rsid w:val="00536889"/>
    <w:rsid w:val="00536DC1"/>
    <w:rsid w:val="00542E07"/>
    <w:rsid w:val="0054306C"/>
    <w:rsid w:val="00544337"/>
    <w:rsid w:val="0054435B"/>
    <w:rsid w:val="005446F2"/>
    <w:rsid w:val="00544905"/>
    <w:rsid w:val="00546534"/>
    <w:rsid w:val="005474F2"/>
    <w:rsid w:val="00550E82"/>
    <w:rsid w:val="00553443"/>
    <w:rsid w:val="005537CF"/>
    <w:rsid w:val="00554A7B"/>
    <w:rsid w:val="00555448"/>
    <w:rsid w:val="0055572C"/>
    <w:rsid w:val="00556634"/>
    <w:rsid w:val="00557E4B"/>
    <w:rsid w:val="0056064F"/>
    <w:rsid w:val="00561B84"/>
    <w:rsid w:val="005669C8"/>
    <w:rsid w:val="00567735"/>
    <w:rsid w:val="00567793"/>
    <w:rsid w:val="0057005D"/>
    <w:rsid w:val="005707DD"/>
    <w:rsid w:val="00571AA9"/>
    <w:rsid w:val="00571D98"/>
    <w:rsid w:val="005720AE"/>
    <w:rsid w:val="005727E9"/>
    <w:rsid w:val="00572CC4"/>
    <w:rsid w:val="00572E89"/>
    <w:rsid w:val="0057453B"/>
    <w:rsid w:val="005756DC"/>
    <w:rsid w:val="00576E85"/>
    <w:rsid w:val="00577D7E"/>
    <w:rsid w:val="00577E81"/>
    <w:rsid w:val="0058030D"/>
    <w:rsid w:val="00582045"/>
    <w:rsid w:val="00582D98"/>
    <w:rsid w:val="0058479B"/>
    <w:rsid w:val="00585FB6"/>
    <w:rsid w:val="00587560"/>
    <w:rsid w:val="005904D4"/>
    <w:rsid w:val="00590AE3"/>
    <w:rsid w:val="00590E81"/>
    <w:rsid w:val="005917AC"/>
    <w:rsid w:val="005918F1"/>
    <w:rsid w:val="0059206F"/>
    <w:rsid w:val="00592890"/>
    <w:rsid w:val="0059496D"/>
    <w:rsid w:val="005A03D2"/>
    <w:rsid w:val="005A0637"/>
    <w:rsid w:val="005A06B7"/>
    <w:rsid w:val="005A1431"/>
    <w:rsid w:val="005A1759"/>
    <w:rsid w:val="005A3045"/>
    <w:rsid w:val="005A34B0"/>
    <w:rsid w:val="005A5B00"/>
    <w:rsid w:val="005A674F"/>
    <w:rsid w:val="005B0B21"/>
    <w:rsid w:val="005B1D42"/>
    <w:rsid w:val="005B2856"/>
    <w:rsid w:val="005B2F6F"/>
    <w:rsid w:val="005B3AFA"/>
    <w:rsid w:val="005B40F6"/>
    <w:rsid w:val="005B789C"/>
    <w:rsid w:val="005B7D13"/>
    <w:rsid w:val="005C09B6"/>
    <w:rsid w:val="005C0F07"/>
    <w:rsid w:val="005C16F9"/>
    <w:rsid w:val="005C277F"/>
    <w:rsid w:val="005C32D6"/>
    <w:rsid w:val="005C38A6"/>
    <w:rsid w:val="005C55FB"/>
    <w:rsid w:val="005C5908"/>
    <w:rsid w:val="005C74DE"/>
    <w:rsid w:val="005C7BBC"/>
    <w:rsid w:val="005C7C26"/>
    <w:rsid w:val="005D0369"/>
    <w:rsid w:val="005D0CC4"/>
    <w:rsid w:val="005D1FD7"/>
    <w:rsid w:val="005D2011"/>
    <w:rsid w:val="005D252B"/>
    <w:rsid w:val="005D2B4A"/>
    <w:rsid w:val="005D2E95"/>
    <w:rsid w:val="005D53FE"/>
    <w:rsid w:val="005D5BB4"/>
    <w:rsid w:val="005D6658"/>
    <w:rsid w:val="005D7A0F"/>
    <w:rsid w:val="005E0438"/>
    <w:rsid w:val="005E05C1"/>
    <w:rsid w:val="005E1791"/>
    <w:rsid w:val="005E1B21"/>
    <w:rsid w:val="005E1D12"/>
    <w:rsid w:val="005E21C7"/>
    <w:rsid w:val="005E2A18"/>
    <w:rsid w:val="005E2BB2"/>
    <w:rsid w:val="005E2CE6"/>
    <w:rsid w:val="005E3150"/>
    <w:rsid w:val="005E3B51"/>
    <w:rsid w:val="005E402D"/>
    <w:rsid w:val="005E4EA9"/>
    <w:rsid w:val="005E5188"/>
    <w:rsid w:val="005E6324"/>
    <w:rsid w:val="005E75C6"/>
    <w:rsid w:val="005F111C"/>
    <w:rsid w:val="005F1654"/>
    <w:rsid w:val="005F1DF9"/>
    <w:rsid w:val="005F228B"/>
    <w:rsid w:val="005F267F"/>
    <w:rsid w:val="005F29CD"/>
    <w:rsid w:val="005F31BF"/>
    <w:rsid w:val="005F40AF"/>
    <w:rsid w:val="005F4667"/>
    <w:rsid w:val="005F4C17"/>
    <w:rsid w:val="005F4DFB"/>
    <w:rsid w:val="005F6CC0"/>
    <w:rsid w:val="005F7838"/>
    <w:rsid w:val="005F79AA"/>
    <w:rsid w:val="006000D9"/>
    <w:rsid w:val="00601473"/>
    <w:rsid w:val="00602034"/>
    <w:rsid w:val="00603E5B"/>
    <w:rsid w:val="006046F9"/>
    <w:rsid w:val="00604BC8"/>
    <w:rsid w:val="00604FCA"/>
    <w:rsid w:val="0060518C"/>
    <w:rsid w:val="0060528A"/>
    <w:rsid w:val="00606A92"/>
    <w:rsid w:val="00606BDF"/>
    <w:rsid w:val="00607031"/>
    <w:rsid w:val="006075D2"/>
    <w:rsid w:val="00612D66"/>
    <w:rsid w:val="00612FB3"/>
    <w:rsid w:val="00613610"/>
    <w:rsid w:val="00614441"/>
    <w:rsid w:val="00614621"/>
    <w:rsid w:val="0061482A"/>
    <w:rsid w:val="00614E6C"/>
    <w:rsid w:val="00615701"/>
    <w:rsid w:val="00615B4C"/>
    <w:rsid w:val="00615B5D"/>
    <w:rsid w:val="00620351"/>
    <w:rsid w:val="006212ED"/>
    <w:rsid w:val="006212F8"/>
    <w:rsid w:val="006213E9"/>
    <w:rsid w:val="0062146F"/>
    <w:rsid w:val="00621CF5"/>
    <w:rsid w:val="00621FCA"/>
    <w:rsid w:val="00624BE1"/>
    <w:rsid w:val="00625369"/>
    <w:rsid w:val="00625E66"/>
    <w:rsid w:val="00627EEB"/>
    <w:rsid w:val="00632872"/>
    <w:rsid w:val="00632C3B"/>
    <w:rsid w:val="006343AF"/>
    <w:rsid w:val="006351D0"/>
    <w:rsid w:val="0063634A"/>
    <w:rsid w:val="006371C1"/>
    <w:rsid w:val="006401A2"/>
    <w:rsid w:val="0064036C"/>
    <w:rsid w:val="006415F4"/>
    <w:rsid w:val="00641D5B"/>
    <w:rsid w:val="0064250D"/>
    <w:rsid w:val="006431AE"/>
    <w:rsid w:val="00643E04"/>
    <w:rsid w:val="00644D9B"/>
    <w:rsid w:val="00644E69"/>
    <w:rsid w:val="0064595D"/>
    <w:rsid w:val="00647233"/>
    <w:rsid w:val="00650301"/>
    <w:rsid w:val="00650305"/>
    <w:rsid w:val="00651CEC"/>
    <w:rsid w:val="00653113"/>
    <w:rsid w:val="006535EB"/>
    <w:rsid w:val="00653619"/>
    <w:rsid w:val="00653D30"/>
    <w:rsid w:val="006545A0"/>
    <w:rsid w:val="00654962"/>
    <w:rsid w:val="00654B00"/>
    <w:rsid w:val="00655DD1"/>
    <w:rsid w:val="006622EA"/>
    <w:rsid w:val="006623F3"/>
    <w:rsid w:val="00662A53"/>
    <w:rsid w:val="00663016"/>
    <w:rsid w:val="00663852"/>
    <w:rsid w:val="00664DE4"/>
    <w:rsid w:val="00664FAE"/>
    <w:rsid w:val="00665C1C"/>
    <w:rsid w:val="006678A2"/>
    <w:rsid w:val="00667A6E"/>
    <w:rsid w:val="00667DA6"/>
    <w:rsid w:val="00670704"/>
    <w:rsid w:val="00671DAD"/>
    <w:rsid w:val="00672A4A"/>
    <w:rsid w:val="00673A2F"/>
    <w:rsid w:val="00674605"/>
    <w:rsid w:val="006748B8"/>
    <w:rsid w:val="00676282"/>
    <w:rsid w:val="006773BB"/>
    <w:rsid w:val="006819EF"/>
    <w:rsid w:val="00681AAE"/>
    <w:rsid w:val="00682759"/>
    <w:rsid w:val="006827F3"/>
    <w:rsid w:val="0068535B"/>
    <w:rsid w:val="0068736E"/>
    <w:rsid w:val="0069136F"/>
    <w:rsid w:val="00691BAE"/>
    <w:rsid w:val="0069290A"/>
    <w:rsid w:val="00694A78"/>
    <w:rsid w:val="00697032"/>
    <w:rsid w:val="006975AC"/>
    <w:rsid w:val="00697AB9"/>
    <w:rsid w:val="006A0939"/>
    <w:rsid w:val="006A0CD0"/>
    <w:rsid w:val="006A15FB"/>
    <w:rsid w:val="006A2BE9"/>
    <w:rsid w:val="006A2CD3"/>
    <w:rsid w:val="006A37F8"/>
    <w:rsid w:val="006A476C"/>
    <w:rsid w:val="006A72BF"/>
    <w:rsid w:val="006A746E"/>
    <w:rsid w:val="006B08EF"/>
    <w:rsid w:val="006B13BE"/>
    <w:rsid w:val="006B2911"/>
    <w:rsid w:val="006B332A"/>
    <w:rsid w:val="006B33BD"/>
    <w:rsid w:val="006B4B4F"/>
    <w:rsid w:val="006B60AD"/>
    <w:rsid w:val="006B6275"/>
    <w:rsid w:val="006B69D4"/>
    <w:rsid w:val="006B6B37"/>
    <w:rsid w:val="006B707A"/>
    <w:rsid w:val="006C0625"/>
    <w:rsid w:val="006C2198"/>
    <w:rsid w:val="006C2AB0"/>
    <w:rsid w:val="006C323F"/>
    <w:rsid w:val="006C3C4B"/>
    <w:rsid w:val="006C3EC8"/>
    <w:rsid w:val="006C3F75"/>
    <w:rsid w:val="006C5A6A"/>
    <w:rsid w:val="006C6AD9"/>
    <w:rsid w:val="006C7118"/>
    <w:rsid w:val="006C7D4C"/>
    <w:rsid w:val="006D05D5"/>
    <w:rsid w:val="006D0ADD"/>
    <w:rsid w:val="006D16E7"/>
    <w:rsid w:val="006D170E"/>
    <w:rsid w:val="006D2CED"/>
    <w:rsid w:val="006D3482"/>
    <w:rsid w:val="006D3D40"/>
    <w:rsid w:val="006D6795"/>
    <w:rsid w:val="006E06AF"/>
    <w:rsid w:val="006E220D"/>
    <w:rsid w:val="006E2B96"/>
    <w:rsid w:val="006E385C"/>
    <w:rsid w:val="006E4E0C"/>
    <w:rsid w:val="006E60AD"/>
    <w:rsid w:val="006F01E5"/>
    <w:rsid w:val="006F0B8B"/>
    <w:rsid w:val="006F12E0"/>
    <w:rsid w:val="006F1789"/>
    <w:rsid w:val="006F186A"/>
    <w:rsid w:val="006F1E66"/>
    <w:rsid w:val="006F28D6"/>
    <w:rsid w:val="006F2F32"/>
    <w:rsid w:val="006F56EB"/>
    <w:rsid w:val="006F5998"/>
    <w:rsid w:val="006F6BE9"/>
    <w:rsid w:val="006F6D9B"/>
    <w:rsid w:val="006F6F81"/>
    <w:rsid w:val="0070017F"/>
    <w:rsid w:val="007007BE"/>
    <w:rsid w:val="0070222F"/>
    <w:rsid w:val="00702245"/>
    <w:rsid w:val="00703719"/>
    <w:rsid w:val="00705669"/>
    <w:rsid w:val="00706C5D"/>
    <w:rsid w:val="0071050F"/>
    <w:rsid w:val="0071090A"/>
    <w:rsid w:val="007118E6"/>
    <w:rsid w:val="00712237"/>
    <w:rsid w:val="00713FC2"/>
    <w:rsid w:val="00714F64"/>
    <w:rsid w:val="00715409"/>
    <w:rsid w:val="0071571C"/>
    <w:rsid w:val="00716829"/>
    <w:rsid w:val="007169A1"/>
    <w:rsid w:val="00717F11"/>
    <w:rsid w:val="00720E30"/>
    <w:rsid w:val="00721663"/>
    <w:rsid w:val="00721BEF"/>
    <w:rsid w:val="00722141"/>
    <w:rsid w:val="007225C9"/>
    <w:rsid w:val="00722629"/>
    <w:rsid w:val="00722929"/>
    <w:rsid w:val="00722D8F"/>
    <w:rsid w:val="00723590"/>
    <w:rsid w:val="00723FF3"/>
    <w:rsid w:val="00724769"/>
    <w:rsid w:val="0072516D"/>
    <w:rsid w:val="00726ED8"/>
    <w:rsid w:val="0072753B"/>
    <w:rsid w:val="00727C3F"/>
    <w:rsid w:val="0073004E"/>
    <w:rsid w:val="007320EC"/>
    <w:rsid w:val="00732BED"/>
    <w:rsid w:val="00733A43"/>
    <w:rsid w:val="00733C3F"/>
    <w:rsid w:val="007349AD"/>
    <w:rsid w:val="007350CF"/>
    <w:rsid w:val="007358BA"/>
    <w:rsid w:val="00735CD7"/>
    <w:rsid w:val="00737420"/>
    <w:rsid w:val="00740337"/>
    <w:rsid w:val="00740A15"/>
    <w:rsid w:val="007414E9"/>
    <w:rsid w:val="00741AEB"/>
    <w:rsid w:val="00741F04"/>
    <w:rsid w:val="0074324C"/>
    <w:rsid w:val="0074495D"/>
    <w:rsid w:val="007468CD"/>
    <w:rsid w:val="00747A1F"/>
    <w:rsid w:val="00747BCC"/>
    <w:rsid w:val="0075056D"/>
    <w:rsid w:val="00750AE8"/>
    <w:rsid w:val="00750B2F"/>
    <w:rsid w:val="007522DC"/>
    <w:rsid w:val="00754034"/>
    <w:rsid w:val="00754BF1"/>
    <w:rsid w:val="00754E3C"/>
    <w:rsid w:val="00755535"/>
    <w:rsid w:val="00755A30"/>
    <w:rsid w:val="00755E1C"/>
    <w:rsid w:val="00756556"/>
    <w:rsid w:val="00756FE7"/>
    <w:rsid w:val="007611FD"/>
    <w:rsid w:val="0076132B"/>
    <w:rsid w:val="007623AE"/>
    <w:rsid w:val="007626F7"/>
    <w:rsid w:val="007643BF"/>
    <w:rsid w:val="00764ED2"/>
    <w:rsid w:val="00765291"/>
    <w:rsid w:val="00765958"/>
    <w:rsid w:val="00766329"/>
    <w:rsid w:val="00766755"/>
    <w:rsid w:val="00767D49"/>
    <w:rsid w:val="007704AC"/>
    <w:rsid w:val="00770B19"/>
    <w:rsid w:val="00772626"/>
    <w:rsid w:val="0077322C"/>
    <w:rsid w:val="00774BAD"/>
    <w:rsid w:val="00774FA0"/>
    <w:rsid w:val="0077528D"/>
    <w:rsid w:val="00776620"/>
    <w:rsid w:val="00776A4D"/>
    <w:rsid w:val="00777B6D"/>
    <w:rsid w:val="00780B24"/>
    <w:rsid w:val="0078109F"/>
    <w:rsid w:val="007821C5"/>
    <w:rsid w:val="0078407B"/>
    <w:rsid w:val="00784747"/>
    <w:rsid w:val="00784855"/>
    <w:rsid w:val="00784F39"/>
    <w:rsid w:val="0078545C"/>
    <w:rsid w:val="007859FB"/>
    <w:rsid w:val="007866D2"/>
    <w:rsid w:val="007867E5"/>
    <w:rsid w:val="007903FD"/>
    <w:rsid w:val="007906C4"/>
    <w:rsid w:val="00790BFC"/>
    <w:rsid w:val="00791AEC"/>
    <w:rsid w:val="007929C2"/>
    <w:rsid w:val="00792AEF"/>
    <w:rsid w:val="007940EA"/>
    <w:rsid w:val="007967E8"/>
    <w:rsid w:val="00796832"/>
    <w:rsid w:val="007975E1"/>
    <w:rsid w:val="00797BF0"/>
    <w:rsid w:val="00797E5B"/>
    <w:rsid w:val="007A1A9B"/>
    <w:rsid w:val="007A2324"/>
    <w:rsid w:val="007A2AFC"/>
    <w:rsid w:val="007A3D86"/>
    <w:rsid w:val="007A4432"/>
    <w:rsid w:val="007A4E67"/>
    <w:rsid w:val="007A4E84"/>
    <w:rsid w:val="007A6146"/>
    <w:rsid w:val="007A63F2"/>
    <w:rsid w:val="007A646F"/>
    <w:rsid w:val="007A7083"/>
    <w:rsid w:val="007A7E30"/>
    <w:rsid w:val="007B0644"/>
    <w:rsid w:val="007B0695"/>
    <w:rsid w:val="007B414B"/>
    <w:rsid w:val="007B5300"/>
    <w:rsid w:val="007B68DE"/>
    <w:rsid w:val="007B6A91"/>
    <w:rsid w:val="007B6C37"/>
    <w:rsid w:val="007B78A6"/>
    <w:rsid w:val="007C165C"/>
    <w:rsid w:val="007C1857"/>
    <w:rsid w:val="007C3D06"/>
    <w:rsid w:val="007C514F"/>
    <w:rsid w:val="007C54A1"/>
    <w:rsid w:val="007C57BC"/>
    <w:rsid w:val="007C6BC1"/>
    <w:rsid w:val="007C6F72"/>
    <w:rsid w:val="007D001D"/>
    <w:rsid w:val="007D0F95"/>
    <w:rsid w:val="007D14DF"/>
    <w:rsid w:val="007D2E22"/>
    <w:rsid w:val="007D3BD1"/>
    <w:rsid w:val="007D4A81"/>
    <w:rsid w:val="007D6CCC"/>
    <w:rsid w:val="007D7892"/>
    <w:rsid w:val="007D7ECB"/>
    <w:rsid w:val="007E25A1"/>
    <w:rsid w:val="007E2FB2"/>
    <w:rsid w:val="007E4BD2"/>
    <w:rsid w:val="007E5C63"/>
    <w:rsid w:val="007E7145"/>
    <w:rsid w:val="007F184D"/>
    <w:rsid w:val="007F2F94"/>
    <w:rsid w:val="007F35BD"/>
    <w:rsid w:val="007F3916"/>
    <w:rsid w:val="007F4A83"/>
    <w:rsid w:val="007F6109"/>
    <w:rsid w:val="007F662D"/>
    <w:rsid w:val="007F6D16"/>
    <w:rsid w:val="007F75DA"/>
    <w:rsid w:val="007F7648"/>
    <w:rsid w:val="007F7AD2"/>
    <w:rsid w:val="00800491"/>
    <w:rsid w:val="00801179"/>
    <w:rsid w:val="00801202"/>
    <w:rsid w:val="00801B0F"/>
    <w:rsid w:val="00801F50"/>
    <w:rsid w:val="008020EE"/>
    <w:rsid w:val="00802479"/>
    <w:rsid w:val="00803720"/>
    <w:rsid w:val="00805372"/>
    <w:rsid w:val="00805B7B"/>
    <w:rsid w:val="008075D5"/>
    <w:rsid w:val="0080779D"/>
    <w:rsid w:val="008078B2"/>
    <w:rsid w:val="00807A92"/>
    <w:rsid w:val="00807EF9"/>
    <w:rsid w:val="008113D2"/>
    <w:rsid w:val="008114C3"/>
    <w:rsid w:val="00811ADA"/>
    <w:rsid w:val="008122C3"/>
    <w:rsid w:val="0081293E"/>
    <w:rsid w:val="00812B1A"/>
    <w:rsid w:val="00813F73"/>
    <w:rsid w:val="00814FFB"/>
    <w:rsid w:val="00815C3E"/>
    <w:rsid w:val="00816243"/>
    <w:rsid w:val="008162F4"/>
    <w:rsid w:val="0082050F"/>
    <w:rsid w:val="00820568"/>
    <w:rsid w:val="008210F0"/>
    <w:rsid w:val="008214E7"/>
    <w:rsid w:val="00822173"/>
    <w:rsid w:val="008261C2"/>
    <w:rsid w:val="0082657C"/>
    <w:rsid w:val="008268A2"/>
    <w:rsid w:val="00826D10"/>
    <w:rsid w:val="00827807"/>
    <w:rsid w:val="00827C82"/>
    <w:rsid w:val="00827E7C"/>
    <w:rsid w:val="00830428"/>
    <w:rsid w:val="00831A80"/>
    <w:rsid w:val="008324E1"/>
    <w:rsid w:val="008332C8"/>
    <w:rsid w:val="00833743"/>
    <w:rsid w:val="00833A12"/>
    <w:rsid w:val="00833D65"/>
    <w:rsid w:val="008340A4"/>
    <w:rsid w:val="00834C6C"/>
    <w:rsid w:val="00834F5E"/>
    <w:rsid w:val="00835117"/>
    <w:rsid w:val="00836165"/>
    <w:rsid w:val="00836799"/>
    <w:rsid w:val="00836D47"/>
    <w:rsid w:val="00837028"/>
    <w:rsid w:val="00837131"/>
    <w:rsid w:val="00840221"/>
    <w:rsid w:val="00840E17"/>
    <w:rsid w:val="00840EDF"/>
    <w:rsid w:val="00842A6A"/>
    <w:rsid w:val="0084388A"/>
    <w:rsid w:val="008440A0"/>
    <w:rsid w:val="00845003"/>
    <w:rsid w:val="00845600"/>
    <w:rsid w:val="00845997"/>
    <w:rsid w:val="00845F57"/>
    <w:rsid w:val="00846559"/>
    <w:rsid w:val="008467B9"/>
    <w:rsid w:val="00846861"/>
    <w:rsid w:val="00847401"/>
    <w:rsid w:val="008504B4"/>
    <w:rsid w:val="008521E0"/>
    <w:rsid w:val="008525B0"/>
    <w:rsid w:val="00855871"/>
    <w:rsid w:val="00856804"/>
    <w:rsid w:val="00856CA2"/>
    <w:rsid w:val="00857531"/>
    <w:rsid w:val="008577A2"/>
    <w:rsid w:val="00861E97"/>
    <w:rsid w:val="00862C4E"/>
    <w:rsid w:val="00862CEE"/>
    <w:rsid w:val="008634E6"/>
    <w:rsid w:val="00865B77"/>
    <w:rsid w:val="00867472"/>
    <w:rsid w:val="008677E2"/>
    <w:rsid w:val="00867CBC"/>
    <w:rsid w:val="00871F5C"/>
    <w:rsid w:val="00874051"/>
    <w:rsid w:val="00874F5D"/>
    <w:rsid w:val="008755DC"/>
    <w:rsid w:val="00876C30"/>
    <w:rsid w:val="00877017"/>
    <w:rsid w:val="008773C0"/>
    <w:rsid w:val="00877F07"/>
    <w:rsid w:val="00877F8B"/>
    <w:rsid w:val="00880000"/>
    <w:rsid w:val="00880364"/>
    <w:rsid w:val="00880A9E"/>
    <w:rsid w:val="00880BF0"/>
    <w:rsid w:val="0088267B"/>
    <w:rsid w:val="008832C3"/>
    <w:rsid w:val="00884186"/>
    <w:rsid w:val="00885AC1"/>
    <w:rsid w:val="00886373"/>
    <w:rsid w:val="00886969"/>
    <w:rsid w:val="00886B42"/>
    <w:rsid w:val="00886C4C"/>
    <w:rsid w:val="0088711C"/>
    <w:rsid w:val="00887C73"/>
    <w:rsid w:val="00891664"/>
    <w:rsid w:val="00892ECF"/>
    <w:rsid w:val="00892F06"/>
    <w:rsid w:val="0089319F"/>
    <w:rsid w:val="00893797"/>
    <w:rsid w:val="00894285"/>
    <w:rsid w:val="008943ED"/>
    <w:rsid w:val="00895484"/>
    <w:rsid w:val="008973D6"/>
    <w:rsid w:val="00897759"/>
    <w:rsid w:val="008A0348"/>
    <w:rsid w:val="008A059E"/>
    <w:rsid w:val="008A1B4E"/>
    <w:rsid w:val="008A20BF"/>
    <w:rsid w:val="008A29CD"/>
    <w:rsid w:val="008A325E"/>
    <w:rsid w:val="008A3CFE"/>
    <w:rsid w:val="008A40AE"/>
    <w:rsid w:val="008A4E19"/>
    <w:rsid w:val="008A50AB"/>
    <w:rsid w:val="008A6359"/>
    <w:rsid w:val="008A67C5"/>
    <w:rsid w:val="008A7AB1"/>
    <w:rsid w:val="008B037F"/>
    <w:rsid w:val="008B073B"/>
    <w:rsid w:val="008B16BC"/>
    <w:rsid w:val="008B19B7"/>
    <w:rsid w:val="008B22E1"/>
    <w:rsid w:val="008B3C78"/>
    <w:rsid w:val="008B4AE9"/>
    <w:rsid w:val="008B59D2"/>
    <w:rsid w:val="008B6BDD"/>
    <w:rsid w:val="008C0075"/>
    <w:rsid w:val="008C0FA8"/>
    <w:rsid w:val="008C228B"/>
    <w:rsid w:val="008C30AD"/>
    <w:rsid w:val="008C6191"/>
    <w:rsid w:val="008C7B6F"/>
    <w:rsid w:val="008D02DA"/>
    <w:rsid w:val="008D068E"/>
    <w:rsid w:val="008D0F33"/>
    <w:rsid w:val="008D0F7A"/>
    <w:rsid w:val="008D14DE"/>
    <w:rsid w:val="008D1D37"/>
    <w:rsid w:val="008D212C"/>
    <w:rsid w:val="008D26B3"/>
    <w:rsid w:val="008D3AE4"/>
    <w:rsid w:val="008D4914"/>
    <w:rsid w:val="008D5564"/>
    <w:rsid w:val="008D63BE"/>
    <w:rsid w:val="008D7198"/>
    <w:rsid w:val="008D734B"/>
    <w:rsid w:val="008E06BE"/>
    <w:rsid w:val="008E0CFF"/>
    <w:rsid w:val="008E228F"/>
    <w:rsid w:val="008E45BA"/>
    <w:rsid w:val="008E5780"/>
    <w:rsid w:val="008E5D6B"/>
    <w:rsid w:val="008E689B"/>
    <w:rsid w:val="008E76F0"/>
    <w:rsid w:val="008F00C5"/>
    <w:rsid w:val="008F15FE"/>
    <w:rsid w:val="008F2160"/>
    <w:rsid w:val="008F22FF"/>
    <w:rsid w:val="008F2A94"/>
    <w:rsid w:val="008F413C"/>
    <w:rsid w:val="008F4809"/>
    <w:rsid w:val="008F4CD6"/>
    <w:rsid w:val="008F5187"/>
    <w:rsid w:val="008F52DE"/>
    <w:rsid w:val="008F5AD2"/>
    <w:rsid w:val="008F6A65"/>
    <w:rsid w:val="008F709C"/>
    <w:rsid w:val="00900D82"/>
    <w:rsid w:val="00900EAD"/>
    <w:rsid w:val="00901447"/>
    <w:rsid w:val="00901FED"/>
    <w:rsid w:val="0090312B"/>
    <w:rsid w:val="0090427A"/>
    <w:rsid w:val="00904961"/>
    <w:rsid w:val="00905C83"/>
    <w:rsid w:val="0090609B"/>
    <w:rsid w:val="00910D34"/>
    <w:rsid w:val="00911C56"/>
    <w:rsid w:val="00912610"/>
    <w:rsid w:val="00912A18"/>
    <w:rsid w:val="009142D5"/>
    <w:rsid w:val="00914EFB"/>
    <w:rsid w:val="00915424"/>
    <w:rsid w:val="00915FAB"/>
    <w:rsid w:val="0091736D"/>
    <w:rsid w:val="0091742F"/>
    <w:rsid w:val="00920CFD"/>
    <w:rsid w:val="00920F50"/>
    <w:rsid w:val="009216DA"/>
    <w:rsid w:val="00921709"/>
    <w:rsid w:val="009217EF"/>
    <w:rsid w:val="0092227E"/>
    <w:rsid w:val="0092477B"/>
    <w:rsid w:val="00924AAD"/>
    <w:rsid w:val="009258F0"/>
    <w:rsid w:val="009272CE"/>
    <w:rsid w:val="00931001"/>
    <w:rsid w:val="00931863"/>
    <w:rsid w:val="009321D6"/>
    <w:rsid w:val="00933524"/>
    <w:rsid w:val="009345DC"/>
    <w:rsid w:val="0093475A"/>
    <w:rsid w:val="00936522"/>
    <w:rsid w:val="00937575"/>
    <w:rsid w:val="00937938"/>
    <w:rsid w:val="00937C2C"/>
    <w:rsid w:val="00940949"/>
    <w:rsid w:val="009410D8"/>
    <w:rsid w:val="0094278D"/>
    <w:rsid w:val="00942FCA"/>
    <w:rsid w:val="009437A1"/>
    <w:rsid w:val="00943D90"/>
    <w:rsid w:val="009444B3"/>
    <w:rsid w:val="00946BD7"/>
    <w:rsid w:val="00950F42"/>
    <w:rsid w:val="009511E6"/>
    <w:rsid w:val="0095308A"/>
    <w:rsid w:val="00953415"/>
    <w:rsid w:val="0095458C"/>
    <w:rsid w:val="0095509C"/>
    <w:rsid w:val="00955AEE"/>
    <w:rsid w:val="00956F14"/>
    <w:rsid w:val="00960C11"/>
    <w:rsid w:val="00961B45"/>
    <w:rsid w:val="009620FD"/>
    <w:rsid w:val="0096247A"/>
    <w:rsid w:val="00962771"/>
    <w:rsid w:val="0096380A"/>
    <w:rsid w:val="00964907"/>
    <w:rsid w:val="00965E98"/>
    <w:rsid w:val="00965F4B"/>
    <w:rsid w:val="0096674E"/>
    <w:rsid w:val="00966935"/>
    <w:rsid w:val="00966C1C"/>
    <w:rsid w:val="00967ED4"/>
    <w:rsid w:val="0097019C"/>
    <w:rsid w:val="009707DA"/>
    <w:rsid w:val="00970F8A"/>
    <w:rsid w:val="0097150E"/>
    <w:rsid w:val="00971601"/>
    <w:rsid w:val="00971FB5"/>
    <w:rsid w:val="00972651"/>
    <w:rsid w:val="00972732"/>
    <w:rsid w:val="00972D2A"/>
    <w:rsid w:val="00973E86"/>
    <w:rsid w:val="00975CC5"/>
    <w:rsid w:val="00975E7B"/>
    <w:rsid w:val="00976328"/>
    <w:rsid w:val="00976B4E"/>
    <w:rsid w:val="0098294E"/>
    <w:rsid w:val="0098352F"/>
    <w:rsid w:val="0098359F"/>
    <w:rsid w:val="00983F7D"/>
    <w:rsid w:val="00984458"/>
    <w:rsid w:val="0098522F"/>
    <w:rsid w:val="00985283"/>
    <w:rsid w:val="00985F6B"/>
    <w:rsid w:val="00987322"/>
    <w:rsid w:val="009877E4"/>
    <w:rsid w:val="00987CC6"/>
    <w:rsid w:val="009902AF"/>
    <w:rsid w:val="00991D2D"/>
    <w:rsid w:val="00993859"/>
    <w:rsid w:val="00993BFF"/>
    <w:rsid w:val="00994F7D"/>
    <w:rsid w:val="00995B4E"/>
    <w:rsid w:val="00996516"/>
    <w:rsid w:val="009A0F3B"/>
    <w:rsid w:val="009A1E92"/>
    <w:rsid w:val="009A3328"/>
    <w:rsid w:val="009A33C6"/>
    <w:rsid w:val="009A557D"/>
    <w:rsid w:val="009A5973"/>
    <w:rsid w:val="009A6C4F"/>
    <w:rsid w:val="009A72C7"/>
    <w:rsid w:val="009B00F1"/>
    <w:rsid w:val="009B0268"/>
    <w:rsid w:val="009B060E"/>
    <w:rsid w:val="009B0897"/>
    <w:rsid w:val="009B0B42"/>
    <w:rsid w:val="009B284D"/>
    <w:rsid w:val="009B6DE2"/>
    <w:rsid w:val="009B7B3C"/>
    <w:rsid w:val="009B7C8C"/>
    <w:rsid w:val="009C06F2"/>
    <w:rsid w:val="009C0DA4"/>
    <w:rsid w:val="009C1021"/>
    <w:rsid w:val="009C2826"/>
    <w:rsid w:val="009C414B"/>
    <w:rsid w:val="009C45F8"/>
    <w:rsid w:val="009C5754"/>
    <w:rsid w:val="009C5EAA"/>
    <w:rsid w:val="009C7268"/>
    <w:rsid w:val="009D044B"/>
    <w:rsid w:val="009D0852"/>
    <w:rsid w:val="009D0E03"/>
    <w:rsid w:val="009D0F58"/>
    <w:rsid w:val="009D1D11"/>
    <w:rsid w:val="009D1FBF"/>
    <w:rsid w:val="009D22C4"/>
    <w:rsid w:val="009D3FBD"/>
    <w:rsid w:val="009D5466"/>
    <w:rsid w:val="009D5A7C"/>
    <w:rsid w:val="009E1794"/>
    <w:rsid w:val="009E23FF"/>
    <w:rsid w:val="009E320C"/>
    <w:rsid w:val="009E399C"/>
    <w:rsid w:val="009E3C2D"/>
    <w:rsid w:val="009E3F0C"/>
    <w:rsid w:val="009E43C1"/>
    <w:rsid w:val="009E56EC"/>
    <w:rsid w:val="009E5A84"/>
    <w:rsid w:val="009E61F3"/>
    <w:rsid w:val="009E7E95"/>
    <w:rsid w:val="009E7FC2"/>
    <w:rsid w:val="009F0031"/>
    <w:rsid w:val="009F10FE"/>
    <w:rsid w:val="009F116F"/>
    <w:rsid w:val="009F14C5"/>
    <w:rsid w:val="009F1CA8"/>
    <w:rsid w:val="009F2AC4"/>
    <w:rsid w:val="009F329E"/>
    <w:rsid w:val="009F36FD"/>
    <w:rsid w:val="009F59E0"/>
    <w:rsid w:val="009F670D"/>
    <w:rsid w:val="009F68E5"/>
    <w:rsid w:val="009F6EB1"/>
    <w:rsid w:val="009F7ED3"/>
    <w:rsid w:val="00A0030F"/>
    <w:rsid w:val="00A00E2E"/>
    <w:rsid w:val="00A02FB1"/>
    <w:rsid w:val="00A03607"/>
    <w:rsid w:val="00A03833"/>
    <w:rsid w:val="00A0387F"/>
    <w:rsid w:val="00A047FF"/>
    <w:rsid w:val="00A04FEF"/>
    <w:rsid w:val="00A04FFE"/>
    <w:rsid w:val="00A063FA"/>
    <w:rsid w:val="00A0691C"/>
    <w:rsid w:val="00A07475"/>
    <w:rsid w:val="00A07871"/>
    <w:rsid w:val="00A07CAD"/>
    <w:rsid w:val="00A1026E"/>
    <w:rsid w:val="00A1050B"/>
    <w:rsid w:val="00A11502"/>
    <w:rsid w:val="00A122CD"/>
    <w:rsid w:val="00A12863"/>
    <w:rsid w:val="00A12A32"/>
    <w:rsid w:val="00A13A9D"/>
    <w:rsid w:val="00A14248"/>
    <w:rsid w:val="00A14947"/>
    <w:rsid w:val="00A16D35"/>
    <w:rsid w:val="00A16DAB"/>
    <w:rsid w:val="00A2025E"/>
    <w:rsid w:val="00A208E5"/>
    <w:rsid w:val="00A20A47"/>
    <w:rsid w:val="00A20FE3"/>
    <w:rsid w:val="00A22866"/>
    <w:rsid w:val="00A23DC5"/>
    <w:rsid w:val="00A24280"/>
    <w:rsid w:val="00A26D7C"/>
    <w:rsid w:val="00A27961"/>
    <w:rsid w:val="00A30666"/>
    <w:rsid w:val="00A3073A"/>
    <w:rsid w:val="00A31B0A"/>
    <w:rsid w:val="00A328B0"/>
    <w:rsid w:val="00A34028"/>
    <w:rsid w:val="00A35568"/>
    <w:rsid w:val="00A3597D"/>
    <w:rsid w:val="00A362A2"/>
    <w:rsid w:val="00A37056"/>
    <w:rsid w:val="00A37259"/>
    <w:rsid w:val="00A4082F"/>
    <w:rsid w:val="00A41E98"/>
    <w:rsid w:val="00A4358F"/>
    <w:rsid w:val="00A43808"/>
    <w:rsid w:val="00A43C7B"/>
    <w:rsid w:val="00A447AF"/>
    <w:rsid w:val="00A453A4"/>
    <w:rsid w:val="00A45B46"/>
    <w:rsid w:val="00A45D6A"/>
    <w:rsid w:val="00A46F67"/>
    <w:rsid w:val="00A474F6"/>
    <w:rsid w:val="00A47E7B"/>
    <w:rsid w:val="00A51523"/>
    <w:rsid w:val="00A51D4F"/>
    <w:rsid w:val="00A52E3B"/>
    <w:rsid w:val="00A536A7"/>
    <w:rsid w:val="00A53AB3"/>
    <w:rsid w:val="00A540A1"/>
    <w:rsid w:val="00A54153"/>
    <w:rsid w:val="00A546CA"/>
    <w:rsid w:val="00A5486B"/>
    <w:rsid w:val="00A54AA1"/>
    <w:rsid w:val="00A55167"/>
    <w:rsid w:val="00A55A63"/>
    <w:rsid w:val="00A568FF"/>
    <w:rsid w:val="00A56F01"/>
    <w:rsid w:val="00A61496"/>
    <w:rsid w:val="00A61833"/>
    <w:rsid w:val="00A61E63"/>
    <w:rsid w:val="00A61E7E"/>
    <w:rsid w:val="00A624C6"/>
    <w:rsid w:val="00A63CEC"/>
    <w:rsid w:val="00A63FB0"/>
    <w:rsid w:val="00A6407D"/>
    <w:rsid w:val="00A65C22"/>
    <w:rsid w:val="00A66740"/>
    <w:rsid w:val="00A6775B"/>
    <w:rsid w:val="00A7031E"/>
    <w:rsid w:val="00A71B3B"/>
    <w:rsid w:val="00A72550"/>
    <w:rsid w:val="00A728B1"/>
    <w:rsid w:val="00A72FD4"/>
    <w:rsid w:val="00A73ED8"/>
    <w:rsid w:val="00A756EA"/>
    <w:rsid w:val="00A7582A"/>
    <w:rsid w:val="00A75906"/>
    <w:rsid w:val="00A763DE"/>
    <w:rsid w:val="00A76F23"/>
    <w:rsid w:val="00A8008C"/>
    <w:rsid w:val="00A803D6"/>
    <w:rsid w:val="00A80556"/>
    <w:rsid w:val="00A81282"/>
    <w:rsid w:val="00A82761"/>
    <w:rsid w:val="00A82ABF"/>
    <w:rsid w:val="00A85B1F"/>
    <w:rsid w:val="00A86EE6"/>
    <w:rsid w:val="00A86EEB"/>
    <w:rsid w:val="00A8713F"/>
    <w:rsid w:val="00A90AE7"/>
    <w:rsid w:val="00A91167"/>
    <w:rsid w:val="00A9171C"/>
    <w:rsid w:val="00A92FFD"/>
    <w:rsid w:val="00A93F54"/>
    <w:rsid w:val="00A94A31"/>
    <w:rsid w:val="00A94D32"/>
    <w:rsid w:val="00A94EFC"/>
    <w:rsid w:val="00A95975"/>
    <w:rsid w:val="00A965D4"/>
    <w:rsid w:val="00A96750"/>
    <w:rsid w:val="00A9708D"/>
    <w:rsid w:val="00AA1695"/>
    <w:rsid w:val="00AA219F"/>
    <w:rsid w:val="00AA2C17"/>
    <w:rsid w:val="00AA4172"/>
    <w:rsid w:val="00AA42AE"/>
    <w:rsid w:val="00AA49DB"/>
    <w:rsid w:val="00AB093B"/>
    <w:rsid w:val="00AB1153"/>
    <w:rsid w:val="00AB133A"/>
    <w:rsid w:val="00AB1914"/>
    <w:rsid w:val="00AB2189"/>
    <w:rsid w:val="00AB35CE"/>
    <w:rsid w:val="00AB5330"/>
    <w:rsid w:val="00AB5342"/>
    <w:rsid w:val="00AB5582"/>
    <w:rsid w:val="00AB62A6"/>
    <w:rsid w:val="00AB6CF4"/>
    <w:rsid w:val="00AB7747"/>
    <w:rsid w:val="00AC2532"/>
    <w:rsid w:val="00AC291A"/>
    <w:rsid w:val="00AC395A"/>
    <w:rsid w:val="00AC3FE9"/>
    <w:rsid w:val="00AC487A"/>
    <w:rsid w:val="00AC4DAB"/>
    <w:rsid w:val="00AC6FF7"/>
    <w:rsid w:val="00AD00BB"/>
    <w:rsid w:val="00AD0823"/>
    <w:rsid w:val="00AD0F12"/>
    <w:rsid w:val="00AD1507"/>
    <w:rsid w:val="00AD22C0"/>
    <w:rsid w:val="00AD28B6"/>
    <w:rsid w:val="00AD304B"/>
    <w:rsid w:val="00AD36C3"/>
    <w:rsid w:val="00AD52F7"/>
    <w:rsid w:val="00AD5A70"/>
    <w:rsid w:val="00AD623F"/>
    <w:rsid w:val="00AD738B"/>
    <w:rsid w:val="00AD7431"/>
    <w:rsid w:val="00AD7FAD"/>
    <w:rsid w:val="00AE18A2"/>
    <w:rsid w:val="00AE1BF4"/>
    <w:rsid w:val="00AE1FCF"/>
    <w:rsid w:val="00AE3929"/>
    <w:rsid w:val="00AE4F31"/>
    <w:rsid w:val="00AE5D97"/>
    <w:rsid w:val="00AE6794"/>
    <w:rsid w:val="00AF1078"/>
    <w:rsid w:val="00AF2C93"/>
    <w:rsid w:val="00AF3F0B"/>
    <w:rsid w:val="00AF3F8D"/>
    <w:rsid w:val="00AF5369"/>
    <w:rsid w:val="00B01110"/>
    <w:rsid w:val="00B014CC"/>
    <w:rsid w:val="00B017FD"/>
    <w:rsid w:val="00B02262"/>
    <w:rsid w:val="00B02D88"/>
    <w:rsid w:val="00B03CEC"/>
    <w:rsid w:val="00B03EDA"/>
    <w:rsid w:val="00B03FD1"/>
    <w:rsid w:val="00B04534"/>
    <w:rsid w:val="00B04F98"/>
    <w:rsid w:val="00B05203"/>
    <w:rsid w:val="00B11111"/>
    <w:rsid w:val="00B11712"/>
    <w:rsid w:val="00B1209F"/>
    <w:rsid w:val="00B129A0"/>
    <w:rsid w:val="00B12AD0"/>
    <w:rsid w:val="00B1336C"/>
    <w:rsid w:val="00B13473"/>
    <w:rsid w:val="00B141E5"/>
    <w:rsid w:val="00B152D4"/>
    <w:rsid w:val="00B16920"/>
    <w:rsid w:val="00B200EB"/>
    <w:rsid w:val="00B22925"/>
    <w:rsid w:val="00B242C7"/>
    <w:rsid w:val="00B2441B"/>
    <w:rsid w:val="00B24F30"/>
    <w:rsid w:val="00B253AC"/>
    <w:rsid w:val="00B26F20"/>
    <w:rsid w:val="00B2791C"/>
    <w:rsid w:val="00B27B13"/>
    <w:rsid w:val="00B3061D"/>
    <w:rsid w:val="00B31052"/>
    <w:rsid w:val="00B3152D"/>
    <w:rsid w:val="00B31627"/>
    <w:rsid w:val="00B31ABF"/>
    <w:rsid w:val="00B32527"/>
    <w:rsid w:val="00B325B3"/>
    <w:rsid w:val="00B3274C"/>
    <w:rsid w:val="00B32A9C"/>
    <w:rsid w:val="00B335AE"/>
    <w:rsid w:val="00B33CDA"/>
    <w:rsid w:val="00B357AC"/>
    <w:rsid w:val="00B359F9"/>
    <w:rsid w:val="00B35E7C"/>
    <w:rsid w:val="00B3600D"/>
    <w:rsid w:val="00B36F6E"/>
    <w:rsid w:val="00B374A0"/>
    <w:rsid w:val="00B37C48"/>
    <w:rsid w:val="00B37CE1"/>
    <w:rsid w:val="00B40ACF"/>
    <w:rsid w:val="00B41341"/>
    <w:rsid w:val="00B4149B"/>
    <w:rsid w:val="00B4389F"/>
    <w:rsid w:val="00B45425"/>
    <w:rsid w:val="00B45B7A"/>
    <w:rsid w:val="00B4682D"/>
    <w:rsid w:val="00B46BAA"/>
    <w:rsid w:val="00B46CC0"/>
    <w:rsid w:val="00B47BD5"/>
    <w:rsid w:val="00B47C2F"/>
    <w:rsid w:val="00B47EF8"/>
    <w:rsid w:val="00B50B5F"/>
    <w:rsid w:val="00B51A0D"/>
    <w:rsid w:val="00B51CC0"/>
    <w:rsid w:val="00B51D33"/>
    <w:rsid w:val="00B52087"/>
    <w:rsid w:val="00B5274E"/>
    <w:rsid w:val="00B52D35"/>
    <w:rsid w:val="00B54128"/>
    <w:rsid w:val="00B54177"/>
    <w:rsid w:val="00B5481E"/>
    <w:rsid w:val="00B5502C"/>
    <w:rsid w:val="00B55826"/>
    <w:rsid w:val="00B5698C"/>
    <w:rsid w:val="00B60426"/>
    <w:rsid w:val="00B60FDC"/>
    <w:rsid w:val="00B61C86"/>
    <w:rsid w:val="00B61ED3"/>
    <w:rsid w:val="00B622DD"/>
    <w:rsid w:val="00B63172"/>
    <w:rsid w:val="00B63522"/>
    <w:rsid w:val="00B638FA"/>
    <w:rsid w:val="00B640F9"/>
    <w:rsid w:val="00B712F4"/>
    <w:rsid w:val="00B7176B"/>
    <w:rsid w:val="00B71D8B"/>
    <w:rsid w:val="00B72848"/>
    <w:rsid w:val="00B72AEC"/>
    <w:rsid w:val="00B73A72"/>
    <w:rsid w:val="00B73E68"/>
    <w:rsid w:val="00B7433B"/>
    <w:rsid w:val="00B76F1D"/>
    <w:rsid w:val="00B82A0A"/>
    <w:rsid w:val="00B85A7B"/>
    <w:rsid w:val="00B86596"/>
    <w:rsid w:val="00B86E62"/>
    <w:rsid w:val="00B908F4"/>
    <w:rsid w:val="00B92511"/>
    <w:rsid w:val="00B92A19"/>
    <w:rsid w:val="00B938C8"/>
    <w:rsid w:val="00B9544C"/>
    <w:rsid w:val="00B95689"/>
    <w:rsid w:val="00B96E8D"/>
    <w:rsid w:val="00B96F44"/>
    <w:rsid w:val="00B97291"/>
    <w:rsid w:val="00B97C51"/>
    <w:rsid w:val="00BA09C6"/>
    <w:rsid w:val="00BA139C"/>
    <w:rsid w:val="00BA2440"/>
    <w:rsid w:val="00BA29E9"/>
    <w:rsid w:val="00BA2F68"/>
    <w:rsid w:val="00BA3E1F"/>
    <w:rsid w:val="00BA5C9C"/>
    <w:rsid w:val="00BB3266"/>
    <w:rsid w:val="00BB328E"/>
    <w:rsid w:val="00BB3618"/>
    <w:rsid w:val="00BB39E6"/>
    <w:rsid w:val="00BB5FC7"/>
    <w:rsid w:val="00BB65EC"/>
    <w:rsid w:val="00BC0C9E"/>
    <w:rsid w:val="00BC0D94"/>
    <w:rsid w:val="00BC137C"/>
    <w:rsid w:val="00BC1A5C"/>
    <w:rsid w:val="00BC2065"/>
    <w:rsid w:val="00BC2924"/>
    <w:rsid w:val="00BC32DC"/>
    <w:rsid w:val="00BC3F1B"/>
    <w:rsid w:val="00BC4DB2"/>
    <w:rsid w:val="00BC657F"/>
    <w:rsid w:val="00BC74AB"/>
    <w:rsid w:val="00BC74D8"/>
    <w:rsid w:val="00BD1B51"/>
    <w:rsid w:val="00BD36F9"/>
    <w:rsid w:val="00BD47F6"/>
    <w:rsid w:val="00BD484A"/>
    <w:rsid w:val="00BD484D"/>
    <w:rsid w:val="00BD4D94"/>
    <w:rsid w:val="00BD54E4"/>
    <w:rsid w:val="00BD788E"/>
    <w:rsid w:val="00BE13D4"/>
    <w:rsid w:val="00BE312D"/>
    <w:rsid w:val="00BE3FCA"/>
    <w:rsid w:val="00BE4FC2"/>
    <w:rsid w:val="00BE56AB"/>
    <w:rsid w:val="00BE5B6A"/>
    <w:rsid w:val="00BE6A15"/>
    <w:rsid w:val="00BE7723"/>
    <w:rsid w:val="00BF2E4C"/>
    <w:rsid w:val="00BF45DA"/>
    <w:rsid w:val="00BF508F"/>
    <w:rsid w:val="00BF533D"/>
    <w:rsid w:val="00BF6873"/>
    <w:rsid w:val="00BF6ECA"/>
    <w:rsid w:val="00BF73F4"/>
    <w:rsid w:val="00BF783F"/>
    <w:rsid w:val="00BF787C"/>
    <w:rsid w:val="00BF7CB1"/>
    <w:rsid w:val="00C008A6"/>
    <w:rsid w:val="00C0521A"/>
    <w:rsid w:val="00C05719"/>
    <w:rsid w:val="00C05D49"/>
    <w:rsid w:val="00C075BB"/>
    <w:rsid w:val="00C07891"/>
    <w:rsid w:val="00C07FD1"/>
    <w:rsid w:val="00C10578"/>
    <w:rsid w:val="00C11681"/>
    <w:rsid w:val="00C11CD5"/>
    <w:rsid w:val="00C11DFD"/>
    <w:rsid w:val="00C12E10"/>
    <w:rsid w:val="00C14838"/>
    <w:rsid w:val="00C14E57"/>
    <w:rsid w:val="00C152DC"/>
    <w:rsid w:val="00C160D1"/>
    <w:rsid w:val="00C16472"/>
    <w:rsid w:val="00C16611"/>
    <w:rsid w:val="00C16A24"/>
    <w:rsid w:val="00C170A3"/>
    <w:rsid w:val="00C178E2"/>
    <w:rsid w:val="00C17CE8"/>
    <w:rsid w:val="00C17D62"/>
    <w:rsid w:val="00C210DB"/>
    <w:rsid w:val="00C217C6"/>
    <w:rsid w:val="00C21A40"/>
    <w:rsid w:val="00C21FDC"/>
    <w:rsid w:val="00C223A5"/>
    <w:rsid w:val="00C223EA"/>
    <w:rsid w:val="00C2294E"/>
    <w:rsid w:val="00C24EE7"/>
    <w:rsid w:val="00C2596A"/>
    <w:rsid w:val="00C25A64"/>
    <w:rsid w:val="00C271BE"/>
    <w:rsid w:val="00C27425"/>
    <w:rsid w:val="00C312CF"/>
    <w:rsid w:val="00C328FE"/>
    <w:rsid w:val="00C32B72"/>
    <w:rsid w:val="00C33370"/>
    <w:rsid w:val="00C33A05"/>
    <w:rsid w:val="00C34ABF"/>
    <w:rsid w:val="00C34E3D"/>
    <w:rsid w:val="00C366E6"/>
    <w:rsid w:val="00C374B7"/>
    <w:rsid w:val="00C40011"/>
    <w:rsid w:val="00C4027F"/>
    <w:rsid w:val="00C40A9E"/>
    <w:rsid w:val="00C42392"/>
    <w:rsid w:val="00C42500"/>
    <w:rsid w:val="00C44061"/>
    <w:rsid w:val="00C4409D"/>
    <w:rsid w:val="00C4464F"/>
    <w:rsid w:val="00C448D0"/>
    <w:rsid w:val="00C455BE"/>
    <w:rsid w:val="00C45D6F"/>
    <w:rsid w:val="00C47746"/>
    <w:rsid w:val="00C47D9F"/>
    <w:rsid w:val="00C518BA"/>
    <w:rsid w:val="00C51E5F"/>
    <w:rsid w:val="00C528A6"/>
    <w:rsid w:val="00C5332B"/>
    <w:rsid w:val="00C537D2"/>
    <w:rsid w:val="00C53859"/>
    <w:rsid w:val="00C577C4"/>
    <w:rsid w:val="00C60D19"/>
    <w:rsid w:val="00C61317"/>
    <w:rsid w:val="00C61E4B"/>
    <w:rsid w:val="00C62E3A"/>
    <w:rsid w:val="00C62F42"/>
    <w:rsid w:val="00C63221"/>
    <w:rsid w:val="00C640E2"/>
    <w:rsid w:val="00C64503"/>
    <w:rsid w:val="00C64944"/>
    <w:rsid w:val="00C64A1F"/>
    <w:rsid w:val="00C64BFF"/>
    <w:rsid w:val="00C6593A"/>
    <w:rsid w:val="00C663AB"/>
    <w:rsid w:val="00C673CC"/>
    <w:rsid w:val="00C7095D"/>
    <w:rsid w:val="00C70C07"/>
    <w:rsid w:val="00C7156F"/>
    <w:rsid w:val="00C720F8"/>
    <w:rsid w:val="00C72409"/>
    <w:rsid w:val="00C7255B"/>
    <w:rsid w:val="00C730E0"/>
    <w:rsid w:val="00C731E2"/>
    <w:rsid w:val="00C74210"/>
    <w:rsid w:val="00C74C78"/>
    <w:rsid w:val="00C75606"/>
    <w:rsid w:val="00C763C9"/>
    <w:rsid w:val="00C766A3"/>
    <w:rsid w:val="00C80057"/>
    <w:rsid w:val="00C80113"/>
    <w:rsid w:val="00C81F75"/>
    <w:rsid w:val="00C8234D"/>
    <w:rsid w:val="00C82C79"/>
    <w:rsid w:val="00C832ED"/>
    <w:rsid w:val="00C84753"/>
    <w:rsid w:val="00C84DA2"/>
    <w:rsid w:val="00C8687F"/>
    <w:rsid w:val="00C902DD"/>
    <w:rsid w:val="00C90B1B"/>
    <w:rsid w:val="00C90BB4"/>
    <w:rsid w:val="00C91321"/>
    <w:rsid w:val="00C91611"/>
    <w:rsid w:val="00C91B72"/>
    <w:rsid w:val="00C92630"/>
    <w:rsid w:val="00C92A4F"/>
    <w:rsid w:val="00C933F0"/>
    <w:rsid w:val="00C93AC1"/>
    <w:rsid w:val="00C94212"/>
    <w:rsid w:val="00C9514A"/>
    <w:rsid w:val="00C95304"/>
    <w:rsid w:val="00C956AF"/>
    <w:rsid w:val="00C95988"/>
    <w:rsid w:val="00C9717C"/>
    <w:rsid w:val="00CA0032"/>
    <w:rsid w:val="00CA2D32"/>
    <w:rsid w:val="00CA3585"/>
    <w:rsid w:val="00CA3D5A"/>
    <w:rsid w:val="00CA3E75"/>
    <w:rsid w:val="00CA4C7C"/>
    <w:rsid w:val="00CA50B8"/>
    <w:rsid w:val="00CA585A"/>
    <w:rsid w:val="00CA5B6B"/>
    <w:rsid w:val="00CA6632"/>
    <w:rsid w:val="00CA6C92"/>
    <w:rsid w:val="00CB0183"/>
    <w:rsid w:val="00CB13ED"/>
    <w:rsid w:val="00CB1EA3"/>
    <w:rsid w:val="00CB2917"/>
    <w:rsid w:val="00CB5297"/>
    <w:rsid w:val="00CB552C"/>
    <w:rsid w:val="00CB6A9E"/>
    <w:rsid w:val="00CB79EE"/>
    <w:rsid w:val="00CB7A4A"/>
    <w:rsid w:val="00CC07A8"/>
    <w:rsid w:val="00CC137D"/>
    <w:rsid w:val="00CC2376"/>
    <w:rsid w:val="00CC38D6"/>
    <w:rsid w:val="00CC3D87"/>
    <w:rsid w:val="00CC42B4"/>
    <w:rsid w:val="00CC5197"/>
    <w:rsid w:val="00CC6181"/>
    <w:rsid w:val="00CC748E"/>
    <w:rsid w:val="00CD0E38"/>
    <w:rsid w:val="00CD0F80"/>
    <w:rsid w:val="00CD0F93"/>
    <w:rsid w:val="00CD1073"/>
    <w:rsid w:val="00CD1FE8"/>
    <w:rsid w:val="00CD225D"/>
    <w:rsid w:val="00CD2BCD"/>
    <w:rsid w:val="00CD2D6D"/>
    <w:rsid w:val="00CD2F4D"/>
    <w:rsid w:val="00CD2FA0"/>
    <w:rsid w:val="00CD36AA"/>
    <w:rsid w:val="00CD3791"/>
    <w:rsid w:val="00CD3A22"/>
    <w:rsid w:val="00CD4D65"/>
    <w:rsid w:val="00CD515A"/>
    <w:rsid w:val="00CD5401"/>
    <w:rsid w:val="00CD5DC6"/>
    <w:rsid w:val="00CD65B0"/>
    <w:rsid w:val="00CD7ABB"/>
    <w:rsid w:val="00CE0243"/>
    <w:rsid w:val="00CE02CD"/>
    <w:rsid w:val="00CE0DC7"/>
    <w:rsid w:val="00CE10E9"/>
    <w:rsid w:val="00CE1C94"/>
    <w:rsid w:val="00CE1D8E"/>
    <w:rsid w:val="00CE2011"/>
    <w:rsid w:val="00CE21A2"/>
    <w:rsid w:val="00CE2F75"/>
    <w:rsid w:val="00CE3FA8"/>
    <w:rsid w:val="00CE55DE"/>
    <w:rsid w:val="00CE5647"/>
    <w:rsid w:val="00CE5812"/>
    <w:rsid w:val="00CF13C2"/>
    <w:rsid w:val="00CF18F3"/>
    <w:rsid w:val="00CF41B6"/>
    <w:rsid w:val="00CF4553"/>
    <w:rsid w:val="00CF49CE"/>
    <w:rsid w:val="00CF49D0"/>
    <w:rsid w:val="00CF5754"/>
    <w:rsid w:val="00D0072E"/>
    <w:rsid w:val="00D00DB4"/>
    <w:rsid w:val="00D012BE"/>
    <w:rsid w:val="00D01FBF"/>
    <w:rsid w:val="00D02AC5"/>
    <w:rsid w:val="00D035B2"/>
    <w:rsid w:val="00D03BE4"/>
    <w:rsid w:val="00D040FF"/>
    <w:rsid w:val="00D04B9E"/>
    <w:rsid w:val="00D06C86"/>
    <w:rsid w:val="00D1069B"/>
    <w:rsid w:val="00D11139"/>
    <w:rsid w:val="00D113E9"/>
    <w:rsid w:val="00D1466E"/>
    <w:rsid w:val="00D156A9"/>
    <w:rsid w:val="00D15720"/>
    <w:rsid w:val="00D15727"/>
    <w:rsid w:val="00D15FA2"/>
    <w:rsid w:val="00D16332"/>
    <w:rsid w:val="00D16EAC"/>
    <w:rsid w:val="00D1762C"/>
    <w:rsid w:val="00D17E24"/>
    <w:rsid w:val="00D20DC7"/>
    <w:rsid w:val="00D21347"/>
    <w:rsid w:val="00D21B43"/>
    <w:rsid w:val="00D22968"/>
    <w:rsid w:val="00D22C20"/>
    <w:rsid w:val="00D22CBA"/>
    <w:rsid w:val="00D23EB3"/>
    <w:rsid w:val="00D247A8"/>
    <w:rsid w:val="00D24972"/>
    <w:rsid w:val="00D24E7F"/>
    <w:rsid w:val="00D2515E"/>
    <w:rsid w:val="00D26D2D"/>
    <w:rsid w:val="00D270E8"/>
    <w:rsid w:val="00D271BC"/>
    <w:rsid w:val="00D27315"/>
    <w:rsid w:val="00D27395"/>
    <w:rsid w:val="00D27881"/>
    <w:rsid w:val="00D308ED"/>
    <w:rsid w:val="00D32363"/>
    <w:rsid w:val="00D326F2"/>
    <w:rsid w:val="00D32E66"/>
    <w:rsid w:val="00D33399"/>
    <w:rsid w:val="00D34216"/>
    <w:rsid w:val="00D34947"/>
    <w:rsid w:val="00D35C14"/>
    <w:rsid w:val="00D371E6"/>
    <w:rsid w:val="00D40A37"/>
    <w:rsid w:val="00D41F5A"/>
    <w:rsid w:val="00D43084"/>
    <w:rsid w:val="00D443E1"/>
    <w:rsid w:val="00D45E03"/>
    <w:rsid w:val="00D45FA2"/>
    <w:rsid w:val="00D46F9B"/>
    <w:rsid w:val="00D50C79"/>
    <w:rsid w:val="00D51A2D"/>
    <w:rsid w:val="00D52210"/>
    <w:rsid w:val="00D533F1"/>
    <w:rsid w:val="00D541F9"/>
    <w:rsid w:val="00D55526"/>
    <w:rsid w:val="00D56178"/>
    <w:rsid w:val="00D56CF0"/>
    <w:rsid w:val="00D56F5C"/>
    <w:rsid w:val="00D60F71"/>
    <w:rsid w:val="00D611C8"/>
    <w:rsid w:val="00D63358"/>
    <w:rsid w:val="00D6378B"/>
    <w:rsid w:val="00D63BC6"/>
    <w:rsid w:val="00D63D34"/>
    <w:rsid w:val="00D6408E"/>
    <w:rsid w:val="00D65F05"/>
    <w:rsid w:val="00D65F99"/>
    <w:rsid w:val="00D65FFB"/>
    <w:rsid w:val="00D668FB"/>
    <w:rsid w:val="00D704B1"/>
    <w:rsid w:val="00D70B63"/>
    <w:rsid w:val="00D725BB"/>
    <w:rsid w:val="00D72B92"/>
    <w:rsid w:val="00D72ED4"/>
    <w:rsid w:val="00D72F75"/>
    <w:rsid w:val="00D73F61"/>
    <w:rsid w:val="00D754C0"/>
    <w:rsid w:val="00D75C26"/>
    <w:rsid w:val="00D776A2"/>
    <w:rsid w:val="00D801C4"/>
    <w:rsid w:val="00D82355"/>
    <w:rsid w:val="00D833F0"/>
    <w:rsid w:val="00D83E99"/>
    <w:rsid w:val="00D87451"/>
    <w:rsid w:val="00D87C0F"/>
    <w:rsid w:val="00D905C1"/>
    <w:rsid w:val="00D90836"/>
    <w:rsid w:val="00D9101D"/>
    <w:rsid w:val="00D91A2F"/>
    <w:rsid w:val="00D930BC"/>
    <w:rsid w:val="00D94D40"/>
    <w:rsid w:val="00D95896"/>
    <w:rsid w:val="00D95CC6"/>
    <w:rsid w:val="00D9622B"/>
    <w:rsid w:val="00D96D08"/>
    <w:rsid w:val="00D97D58"/>
    <w:rsid w:val="00DA0397"/>
    <w:rsid w:val="00DA03C2"/>
    <w:rsid w:val="00DA2B63"/>
    <w:rsid w:val="00DA2DA3"/>
    <w:rsid w:val="00DA4077"/>
    <w:rsid w:val="00DA47DE"/>
    <w:rsid w:val="00DA4A2B"/>
    <w:rsid w:val="00DA6615"/>
    <w:rsid w:val="00DA7243"/>
    <w:rsid w:val="00DA76AE"/>
    <w:rsid w:val="00DB181E"/>
    <w:rsid w:val="00DB1C7A"/>
    <w:rsid w:val="00DB2983"/>
    <w:rsid w:val="00DB2CA7"/>
    <w:rsid w:val="00DB343D"/>
    <w:rsid w:val="00DB5579"/>
    <w:rsid w:val="00DB5CFE"/>
    <w:rsid w:val="00DB6D57"/>
    <w:rsid w:val="00DB6E4B"/>
    <w:rsid w:val="00DB72F8"/>
    <w:rsid w:val="00DB770D"/>
    <w:rsid w:val="00DB7852"/>
    <w:rsid w:val="00DB7EB0"/>
    <w:rsid w:val="00DC1DB1"/>
    <w:rsid w:val="00DC2A19"/>
    <w:rsid w:val="00DC2CC1"/>
    <w:rsid w:val="00DC2CD3"/>
    <w:rsid w:val="00DC2F03"/>
    <w:rsid w:val="00DC3D7A"/>
    <w:rsid w:val="00DC4EC6"/>
    <w:rsid w:val="00DC530E"/>
    <w:rsid w:val="00DC72A6"/>
    <w:rsid w:val="00DC787A"/>
    <w:rsid w:val="00DD12A5"/>
    <w:rsid w:val="00DD1710"/>
    <w:rsid w:val="00DD2113"/>
    <w:rsid w:val="00DD265E"/>
    <w:rsid w:val="00DD31F5"/>
    <w:rsid w:val="00DD43AF"/>
    <w:rsid w:val="00DD53D0"/>
    <w:rsid w:val="00DD708C"/>
    <w:rsid w:val="00DD71FA"/>
    <w:rsid w:val="00DE0093"/>
    <w:rsid w:val="00DE175F"/>
    <w:rsid w:val="00DE1D89"/>
    <w:rsid w:val="00DE2BE0"/>
    <w:rsid w:val="00DE3152"/>
    <w:rsid w:val="00DE32AD"/>
    <w:rsid w:val="00DE475B"/>
    <w:rsid w:val="00DE5D9C"/>
    <w:rsid w:val="00DE7FC9"/>
    <w:rsid w:val="00DF07CC"/>
    <w:rsid w:val="00DF1930"/>
    <w:rsid w:val="00DF23FC"/>
    <w:rsid w:val="00DF2BEB"/>
    <w:rsid w:val="00DF46A1"/>
    <w:rsid w:val="00DF514A"/>
    <w:rsid w:val="00DF5848"/>
    <w:rsid w:val="00DF5E79"/>
    <w:rsid w:val="00DF64F8"/>
    <w:rsid w:val="00DF7B09"/>
    <w:rsid w:val="00E0042D"/>
    <w:rsid w:val="00E022A7"/>
    <w:rsid w:val="00E0358D"/>
    <w:rsid w:val="00E0375C"/>
    <w:rsid w:val="00E038B9"/>
    <w:rsid w:val="00E04AFA"/>
    <w:rsid w:val="00E0533C"/>
    <w:rsid w:val="00E05C94"/>
    <w:rsid w:val="00E06327"/>
    <w:rsid w:val="00E07051"/>
    <w:rsid w:val="00E07B86"/>
    <w:rsid w:val="00E103CB"/>
    <w:rsid w:val="00E132C2"/>
    <w:rsid w:val="00E139E0"/>
    <w:rsid w:val="00E143EF"/>
    <w:rsid w:val="00E14626"/>
    <w:rsid w:val="00E1482E"/>
    <w:rsid w:val="00E16089"/>
    <w:rsid w:val="00E16DC2"/>
    <w:rsid w:val="00E177C5"/>
    <w:rsid w:val="00E2064B"/>
    <w:rsid w:val="00E20F35"/>
    <w:rsid w:val="00E24E86"/>
    <w:rsid w:val="00E25239"/>
    <w:rsid w:val="00E25C65"/>
    <w:rsid w:val="00E265B1"/>
    <w:rsid w:val="00E275B0"/>
    <w:rsid w:val="00E27BDF"/>
    <w:rsid w:val="00E30FEB"/>
    <w:rsid w:val="00E312DF"/>
    <w:rsid w:val="00E369BA"/>
    <w:rsid w:val="00E40685"/>
    <w:rsid w:val="00E41266"/>
    <w:rsid w:val="00E41297"/>
    <w:rsid w:val="00E412D0"/>
    <w:rsid w:val="00E42DE1"/>
    <w:rsid w:val="00E42EDB"/>
    <w:rsid w:val="00E43FC5"/>
    <w:rsid w:val="00E44343"/>
    <w:rsid w:val="00E46340"/>
    <w:rsid w:val="00E475EC"/>
    <w:rsid w:val="00E47B46"/>
    <w:rsid w:val="00E47CDB"/>
    <w:rsid w:val="00E502DA"/>
    <w:rsid w:val="00E51D99"/>
    <w:rsid w:val="00E539FD"/>
    <w:rsid w:val="00E55B28"/>
    <w:rsid w:val="00E5626F"/>
    <w:rsid w:val="00E566BC"/>
    <w:rsid w:val="00E566EF"/>
    <w:rsid w:val="00E567B6"/>
    <w:rsid w:val="00E56D5C"/>
    <w:rsid w:val="00E57AA1"/>
    <w:rsid w:val="00E60982"/>
    <w:rsid w:val="00E60C8D"/>
    <w:rsid w:val="00E6162F"/>
    <w:rsid w:val="00E630CD"/>
    <w:rsid w:val="00E6311B"/>
    <w:rsid w:val="00E65D97"/>
    <w:rsid w:val="00E660F7"/>
    <w:rsid w:val="00E66538"/>
    <w:rsid w:val="00E67A61"/>
    <w:rsid w:val="00E67C4B"/>
    <w:rsid w:val="00E67EFD"/>
    <w:rsid w:val="00E702DC"/>
    <w:rsid w:val="00E70810"/>
    <w:rsid w:val="00E70F6A"/>
    <w:rsid w:val="00E7124E"/>
    <w:rsid w:val="00E71712"/>
    <w:rsid w:val="00E71FFB"/>
    <w:rsid w:val="00E727D2"/>
    <w:rsid w:val="00E73962"/>
    <w:rsid w:val="00E7422C"/>
    <w:rsid w:val="00E742EF"/>
    <w:rsid w:val="00E76592"/>
    <w:rsid w:val="00E76CC1"/>
    <w:rsid w:val="00E76CD5"/>
    <w:rsid w:val="00E76D1D"/>
    <w:rsid w:val="00E76F20"/>
    <w:rsid w:val="00E77320"/>
    <w:rsid w:val="00E77B72"/>
    <w:rsid w:val="00E806F8"/>
    <w:rsid w:val="00E8230A"/>
    <w:rsid w:val="00E831FA"/>
    <w:rsid w:val="00E83FAC"/>
    <w:rsid w:val="00E843FA"/>
    <w:rsid w:val="00E85603"/>
    <w:rsid w:val="00E85702"/>
    <w:rsid w:val="00E85C23"/>
    <w:rsid w:val="00E8668D"/>
    <w:rsid w:val="00E869A2"/>
    <w:rsid w:val="00E869CD"/>
    <w:rsid w:val="00E86B95"/>
    <w:rsid w:val="00E87752"/>
    <w:rsid w:val="00E8793B"/>
    <w:rsid w:val="00E87FEC"/>
    <w:rsid w:val="00E90A60"/>
    <w:rsid w:val="00E90F81"/>
    <w:rsid w:val="00E91853"/>
    <w:rsid w:val="00E91A6D"/>
    <w:rsid w:val="00E9242D"/>
    <w:rsid w:val="00E92601"/>
    <w:rsid w:val="00E92637"/>
    <w:rsid w:val="00E92A1F"/>
    <w:rsid w:val="00E92F25"/>
    <w:rsid w:val="00E93CB7"/>
    <w:rsid w:val="00E94E46"/>
    <w:rsid w:val="00E96B9F"/>
    <w:rsid w:val="00E96C8E"/>
    <w:rsid w:val="00E96FF5"/>
    <w:rsid w:val="00E97809"/>
    <w:rsid w:val="00EA01C2"/>
    <w:rsid w:val="00EA1402"/>
    <w:rsid w:val="00EA19B7"/>
    <w:rsid w:val="00EA1C14"/>
    <w:rsid w:val="00EA2A13"/>
    <w:rsid w:val="00EA2EE3"/>
    <w:rsid w:val="00EA44A9"/>
    <w:rsid w:val="00EA68BF"/>
    <w:rsid w:val="00EB041C"/>
    <w:rsid w:val="00EB06BD"/>
    <w:rsid w:val="00EB11A1"/>
    <w:rsid w:val="00EB1880"/>
    <w:rsid w:val="00EB2AF8"/>
    <w:rsid w:val="00EB50AC"/>
    <w:rsid w:val="00EB54ED"/>
    <w:rsid w:val="00EB6A15"/>
    <w:rsid w:val="00EB7A54"/>
    <w:rsid w:val="00EC0BEF"/>
    <w:rsid w:val="00EC0DB8"/>
    <w:rsid w:val="00EC18EA"/>
    <w:rsid w:val="00EC2B1C"/>
    <w:rsid w:val="00EC3679"/>
    <w:rsid w:val="00EC4EF9"/>
    <w:rsid w:val="00EC4F83"/>
    <w:rsid w:val="00EC5153"/>
    <w:rsid w:val="00EC5430"/>
    <w:rsid w:val="00EC5874"/>
    <w:rsid w:val="00EC6D02"/>
    <w:rsid w:val="00EC7A46"/>
    <w:rsid w:val="00ED052E"/>
    <w:rsid w:val="00ED192D"/>
    <w:rsid w:val="00ED1CB3"/>
    <w:rsid w:val="00ED30B4"/>
    <w:rsid w:val="00ED31F5"/>
    <w:rsid w:val="00ED4BA0"/>
    <w:rsid w:val="00ED50D0"/>
    <w:rsid w:val="00ED63CA"/>
    <w:rsid w:val="00ED6B64"/>
    <w:rsid w:val="00ED7AB2"/>
    <w:rsid w:val="00ED7AFA"/>
    <w:rsid w:val="00EE0AC7"/>
    <w:rsid w:val="00EE2213"/>
    <w:rsid w:val="00EE23C5"/>
    <w:rsid w:val="00EE475F"/>
    <w:rsid w:val="00EE5237"/>
    <w:rsid w:val="00EE797D"/>
    <w:rsid w:val="00EF1AF3"/>
    <w:rsid w:val="00EF2759"/>
    <w:rsid w:val="00EF41A1"/>
    <w:rsid w:val="00EF45EB"/>
    <w:rsid w:val="00EF4CD2"/>
    <w:rsid w:val="00EF4E12"/>
    <w:rsid w:val="00EF5099"/>
    <w:rsid w:val="00EF5E33"/>
    <w:rsid w:val="00EF6807"/>
    <w:rsid w:val="00EF79A0"/>
    <w:rsid w:val="00F00075"/>
    <w:rsid w:val="00F003DE"/>
    <w:rsid w:val="00F0063E"/>
    <w:rsid w:val="00F00D40"/>
    <w:rsid w:val="00F02AD3"/>
    <w:rsid w:val="00F02F70"/>
    <w:rsid w:val="00F03D82"/>
    <w:rsid w:val="00F0414D"/>
    <w:rsid w:val="00F04675"/>
    <w:rsid w:val="00F0545F"/>
    <w:rsid w:val="00F06051"/>
    <w:rsid w:val="00F065A3"/>
    <w:rsid w:val="00F07822"/>
    <w:rsid w:val="00F07BCE"/>
    <w:rsid w:val="00F10426"/>
    <w:rsid w:val="00F10D53"/>
    <w:rsid w:val="00F118D3"/>
    <w:rsid w:val="00F12599"/>
    <w:rsid w:val="00F12930"/>
    <w:rsid w:val="00F13EA5"/>
    <w:rsid w:val="00F13FB6"/>
    <w:rsid w:val="00F15C95"/>
    <w:rsid w:val="00F208AB"/>
    <w:rsid w:val="00F211B5"/>
    <w:rsid w:val="00F21FA1"/>
    <w:rsid w:val="00F22333"/>
    <w:rsid w:val="00F225FD"/>
    <w:rsid w:val="00F2285F"/>
    <w:rsid w:val="00F22985"/>
    <w:rsid w:val="00F22B90"/>
    <w:rsid w:val="00F235C2"/>
    <w:rsid w:val="00F23650"/>
    <w:rsid w:val="00F238C2"/>
    <w:rsid w:val="00F23A8E"/>
    <w:rsid w:val="00F24121"/>
    <w:rsid w:val="00F241AB"/>
    <w:rsid w:val="00F2640A"/>
    <w:rsid w:val="00F3117E"/>
    <w:rsid w:val="00F31382"/>
    <w:rsid w:val="00F3185B"/>
    <w:rsid w:val="00F32615"/>
    <w:rsid w:val="00F342CE"/>
    <w:rsid w:val="00F35829"/>
    <w:rsid w:val="00F35B57"/>
    <w:rsid w:val="00F36069"/>
    <w:rsid w:val="00F40502"/>
    <w:rsid w:val="00F406D8"/>
    <w:rsid w:val="00F40A0F"/>
    <w:rsid w:val="00F40AC3"/>
    <w:rsid w:val="00F40D20"/>
    <w:rsid w:val="00F4149F"/>
    <w:rsid w:val="00F4151A"/>
    <w:rsid w:val="00F425F4"/>
    <w:rsid w:val="00F42868"/>
    <w:rsid w:val="00F42ADE"/>
    <w:rsid w:val="00F43BCF"/>
    <w:rsid w:val="00F44A3D"/>
    <w:rsid w:val="00F46112"/>
    <w:rsid w:val="00F465A7"/>
    <w:rsid w:val="00F4762F"/>
    <w:rsid w:val="00F47738"/>
    <w:rsid w:val="00F47DB9"/>
    <w:rsid w:val="00F50B7C"/>
    <w:rsid w:val="00F51639"/>
    <w:rsid w:val="00F51CA3"/>
    <w:rsid w:val="00F5202D"/>
    <w:rsid w:val="00F52CF6"/>
    <w:rsid w:val="00F54496"/>
    <w:rsid w:val="00F54EAD"/>
    <w:rsid w:val="00F55D1F"/>
    <w:rsid w:val="00F55D67"/>
    <w:rsid w:val="00F55E52"/>
    <w:rsid w:val="00F56A56"/>
    <w:rsid w:val="00F57929"/>
    <w:rsid w:val="00F6084B"/>
    <w:rsid w:val="00F61097"/>
    <w:rsid w:val="00F62422"/>
    <w:rsid w:val="00F62C1A"/>
    <w:rsid w:val="00F64441"/>
    <w:rsid w:val="00F64D53"/>
    <w:rsid w:val="00F65F88"/>
    <w:rsid w:val="00F67A85"/>
    <w:rsid w:val="00F70D1A"/>
    <w:rsid w:val="00F7136F"/>
    <w:rsid w:val="00F73935"/>
    <w:rsid w:val="00F74345"/>
    <w:rsid w:val="00F74441"/>
    <w:rsid w:val="00F7456B"/>
    <w:rsid w:val="00F75070"/>
    <w:rsid w:val="00F7668D"/>
    <w:rsid w:val="00F77410"/>
    <w:rsid w:val="00F77F30"/>
    <w:rsid w:val="00F82589"/>
    <w:rsid w:val="00F82B19"/>
    <w:rsid w:val="00F8387F"/>
    <w:rsid w:val="00F83E05"/>
    <w:rsid w:val="00F86F34"/>
    <w:rsid w:val="00F87AD1"/>
    <w:rsid w:val="00F90153"/>
    <w:rsid w:val="00F90AA7"/>
    <w:rsid w:val="00F90BAB"/>
    <w:rsid w:val="00F9212D"/>
    <w:rsid w:val="00F9388D"/>
    <w:rsid w:val="00FA19FE"/>
    <w:rsid w:val="00FA301A"/>
    <w:rsid w:val="00FA3762"/>
    <w:rsid w:val="00FA406A"/>
    <w:rsid w:val="00FA4376"/>
    <w:rsid w:val="00FA4BE6"/>
    <w:rsid w:val="00FA5137"/>
    <w:rsid w:val="00FA5CB6"/>
    <w:rsid w:val="00FA6AE6"/>
    <w:rsid w:val="00FA767F"/>
    <w:rsid w:val="00FA7FE9"/>
    <w:rsid w:val="00FB0481"/>
    <w:rsid w:val="00FB0E38"/>
    <w:rsid w:val="00FB266A"/>
    <w:rsid w:val="00FB2FFF"/>
    <w:rsid w:val="00FB4557"/>
    <w:rsid w:val="00FB5907"/>
    <w:rsid w:val="00FB63F7"/>
    <w:rsid w:val="00FB6F58"/>
    <w:rsid w:val="00FC0DD3"/>
    <w:rsid w:val="00FC1E62"/>
    <w:rsid w:val="00FC2FAB"/>
    <w:rsid w:val="00FC3097"/>
    <w:rsid w:val="00FC4927"/>
    <w:rsid w:val="00FC4C8F"/>
    <w:rsid w:val="00FC53F6"/>
    <w:rsid w:val="00FC5726"/>
    <w:rsid w:val="00FC66AC"/>
    <w:rsid w:val="00FC7C76"/>
    <w:rsid w:val="00FD017D"/>
    <w:rsid w:val="00FD0C94"/>
    <w:rsid w:val="00FD18F4"/>
    <w:rsid w:val="00FD4C70"/>
    <w:rsid w:val="00FD74B4"/>
    <w:rsid w:val="00FD7EE1"/>
    <w:rsid w:val="00FE04DD"/>
    <w:rsid w:val="00FE2304"/>
    <w:rsid w:val="00FE2654"/>
    <w:rsid w:val="00FE2DF5"/>
    <w:rsid w:val="00FE373C"/>
    <w:rsid w:val="00FE3DB2"/>
    <w:rsid w:val="00FE426A"/>
    <w:rsid w:val="00FE477E"/>
    <w:rsid w:val="00FE47EC"/>
    <w:rsid w:val="00FE4E20"/>
    <w:rsid w:val="00FE6E53"/>
    <w:rsid w:val="00FF0274"/>
    <w:rsid w:val="00FF0385"/>
    <w:rsid w:val="00FF0652"/>
    <w:rsid w:val="00FF0E85"/>
    <w:rsid w:val="00FF186B"/>
    <w:rsid w:val="00FF1A58"/>
    <w:rsid w:val="00FF2C4C"/>
    <w:rsid w:val="00FF2CEA"/>
    <w:rsid w:val="00FF2F23"/>
    <w:rsid w:val="00FF3353"/>
    <w:rsid w:val="00FF39A8"/>
    <w:rsid w:val="00FF524B"/>
    <w:rsid w:val="00FF56A0"/>
    <w:rsid w:val="00FF571C"/>
    <w:rsid w:val="00FF66CF"/>
    <w:rsid w:val="00FF6BC3"/>
    <w:rsid w:val="00FF6C22"/>
    <w:rsid w:val="00FF6FCE"/>
    <w:rsid w:val="00FF7518"/>
    <w:rsid w:val="00FF7701"/>
    <w:rsid w:val="00FF7FD8"/>
    <w:rsid w:val="05742AC8"/>
    <w:rsid w:val="06352F05"/>
    <w:rsid w:val="063E7D85"/>
    <w:rsid w:val="06997FA3"/>
    <w:rsid w:val="070875E0"/>
    <w:rsid w:val="07293586"/>
    <w:rsid w:val="07295285"/>
    <w:rsid w:val="07770C56"/>
    <w:rsid w:val="092217DD"/>
    <w:rsid w:val="093A7294"/>
    <w:rsid w:val="0BD27BF6"/>
    <w:rsid w:val="0C21344F"/>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DF002FE"/>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AE840AE"/>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46461BF"/>
    <w:rsid w:val="36074A7F"/>
    <w:rsid w:val="36923549"/>
    <w:rsid w:val="36B75FBF"/>
    <w:rsid w:val="36FB4891"/>
    <w:rsid w:val="38F12CD3"/>
    <w:rsid w:val="38F94775"/>
    <w:rsid w:val="392971ED"/>
    <w:rsid w:val="39B546EA"/>
    <w:rsid w:val="3B3763D1"/>
    <w:rsid w:val="3BEF693C"/>
    <w:rsid w:val="3CDA245A"/>
    <w:rsid w:val="3CEE0A37"/>
    <w:rsid w:val="3F660E74"/>
    <w:rsid w:val="407A6407"/>
    <w:rsid w:val="423A3BCC"/>
    <w:rsid w:val="433A6FE6"/>
    <w:rsid w:val="4350713C"/>
    <w:rsid w:val="436653E0"/>
    <w:rsid w:val="44CD14E0"/>
    <w:rsid w:val="451724F0"/>
    <w:rsid w:val="458946E9"/>
    <w:rsid w:val="46D955A7"/>
    <w:rsid w:val="47133957"/>
    <w:rsid w:val="4779329E"/>
    <w:rsid w:val="47A07E0C"/>
    <w:rsid w:val="47F60747"/>
    <w:rsid w:val="4870272E"/>
    <w:rsid w:val="49DC7715"/>
    <w:rsid w:val="4A023139"/>
    <w:rsid w:val="4A7B576F"/>
    <w:rsid w:val="4B2772B4"/>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BEF136E"/>
    <w:rsid w:val="5DF87A0F"/>
    <w:rsid w:val="5F1A2B43"/>
    <w:rsid w:val="5FB837BB"/>
    <w:rsid w:val="5FC04FEE"/>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3F5A8A"/>
    <w:rsid w:val="7B686D42"/>
    <w:rsid w:val="7B841746"/>
    <w:rsid w:val="7D0239FF"/>
    <w:rsid w:val="7D5E40CD"/>
    <w:rsid w:val="7D693BED"/>
    <w:rsid w:val="7DE2583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line="360" w:lineRule="auto"/>
      <w:ind w:left="431" w:hanging="431"/>
      <w:jc w:val="center"/>
      <w:outlineLvl w:val="0"/>
    </w:pPr>
    <w:rPr>
      <w:rFonts w:eastAsia="黑体"/>
      <w:bCs/>
      <w:color w:val="000000"/>
      <w:kern w:val="44"/>
      <w:sz w:val="30"/>
      <w:szCs w:val="30"/>
    </w:rPr>
  </w:style>
  <w:style w:type="paragraph" w:styleId="3">
    <w:name w:val="heading 2"/>
    <w:basedOn w:val="1"/>
    <w:next w:val="1"/>
    <w:link w:val="26"/>
    <w:qFormat/>
    <w:locked/>
    <w:uiPriority w:val="0"/>
    <w:pPr>
      <w:keepNext/>
      <w:keepLines/>
      <w:spacing w:before="260" w:after="260" w:line="416" w:lineRule="auto"/>
      <w:outlineLvl w:val="1"/>
    </w:pPr>
    <w:rPr>
      <w:rFonts w:ascii="Cambria" w:hAnsi="Cambria"/>
      <w:b/>
      <w:bCs/>
      <w:sz w:val="32"/>
      <w:szCs w:val="32"/>
    </w:rPr>
  </w:style>
  <w:style w:type="paragraph" w:styleId="4">
    <w:name w:val="heading 4"/>
    <w:basedOn w:val="1"/>
    <w:next w:val="1"/>
    <w:link w:val="8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link w:val="27"/>
    <w:qFormat/>
    <w:locked/>
    <w:uiPriority w:val="0"/>
    <w:pPr>
      <w:spacing w:line="500" w:lineRule="exact"/>
      <w:jc w:val="center"/>
    </w:pPr>
    <w:rPr>
      <w:rFonts w:ascii="黑体" w:hAnsi="黑体" w:eastAsia="黑体"/>
      <w:szCs w:val="20"/>
    </w:rPr>
  </w:style>
  <w:style w:type="paragraph" w:styleId="7">
    <w:name w:val="annotation text"/>
    <w:basedOn w:val="1"/>
    <w:link w:val="28"/>
    <w:semiHidden/>
    <w:qFormat/>
    <w:uiPriority w:val="0"/>
    <w:pPr>
      <w:jc w:val="left"/>
    </w:pPr>
    <w:rPr>
      <w:kern w:val="0"/>
      <w:sz w:val="20"/>
    </w:rPr>
  </w:style>
  <w:style w:type="paragraph" w:styleId="8">
    <w:name w:val="Body Text"/>
    <w:basedOn w:val="1"/>
    <w:link w:val="29"/>
    <w:qFormat/>
    <w:uiPriority w:val="0"/>
    <w:pPr>
      <w:widowControl/>
      <w:snapToGrid w:val="0"/>
      <w:spacing w:before="60" w:after="160" w:line="259" w:lineRule="auto"/>
      <w:ind w:right="113"/>
    </w:pPr>
    <w:rPr>
      <w:kern w:val="0"/>
      <w:sz w:val="18"/>
      <w:szCs w:val="18"/>
    </w:rPr>
  </w:style>
  <w:style w:type="paragraph" w:styleId="9">
    <w:name w:val="Body Text Indent"/>
    <w:basedOn w:val="1"/>
    <w:link w:val="30"/>
    <w:semiHidden/>
    <w:qFormat/>
    <w:uiPriority w:val="0"/>
    <w:pPr>
      <w:spacing w:after="120"/>
      <w:ind w:left="420" w:leftChars="200"/>
    </w:pPr>
  </w:style>
  <w:style w:type="paragraph" w:styleId="10">
    <w:name w:val="Date"/>
    <w:basedOn w:val="1"/>
    <w:next w:val="1"/>
    <w:link w:val="31"/>
    <w:qFormat/>
    <w:uiPriority w:val="0"/>
    <w:pPr>
      <w:ind w:left="100" w:leftChars="2500"/>
    </w:pPr>
    <w:rPr>
      <w:kern w:val="0"/>
      <w:sz w:val="20"/>
    </w:rPr>
  </w:style>
  <w:style w:type="paragraph" w:styleId="11">
    <w:name w:val="Balloon Text"/>
    <w:basedOn w:val="1"/>
    <w:link w:val="32"/>
    <w:semiHidden/>
    <w:qFormat/>
    <w:uiPriority w:val="0"/>
    <w:rPr>
      <w:sz w:val="18"/>
      <w:szCs w:val="18"/>
    </w:rPr>
  </w:style>
  <w:style w:type="paragraph" w:styleId="12">
    <w:name w:val="footer"/>
    <w:basedOn w:val="1"/>
    <w:link w:val="33"/>
    <w:qFormat/>
    <w:uiPriority w:val="99"/>
    <w:pPr>
      <w:tabs>
        <w:tab w:val="center" w:pos="4153"/>
        <w:tab w:val="right" w:pos="8306"/>
      </w:tabs>
      <w:snapToGrid w:val="0"/>
      <w:jc w:val="left"/>
    </w:pPr>
    <w:rPr>
      <w:sz w:val="18"/>
      <w:szCs w:val="18"/>
    </w:rPr>
  </w:style>
  <w:style w:type="paragraph" w:styleId="13">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35"/>
    <w:qFormat/>
    <w:uiPriority w:val="99"/>
    <w:pPr>
      <w:widowControl/>
      <w:spacing w:before="100" w:beforeAutospacing="1" w:after="100" w:afterAutospacing="1"/>
      <w:jc w:val="left"/>
    </w:pPr>
    <w:rPr>
      <w:rFonts w:ascii="宋体" w:hAnsi="宋体"/>
      <w:kern w:val="0"/>
      <w:sz w:val="24"/>
    </w:rPr>
  </w:style>
  <w:style w:type="paragraph" w:styleId="15">
    <w:name w:val="Title"/>
    <w:basedOn w:val="1"/>
    <w:next w:val="1"/>
    <w:link w:val="69"/>
    <w:qFormat/>
    <w:locked/>
    <w:uiPriority w:val="0"/>
    <w:pPr>
      <w:spacing w:line="360" w:lineRule="auto"/>
      <w:jc w:val="center"/>
      <w:outlineLvl w:val="0"/>
    </w:pPr>
    <w:rPr>
      <w:rFonts w:eastAsia="黑体" w:asciiTheme="majorHAnsi" w:hAnsiTheme="majorHAnsi" w:cstheme="majorBidi"/>
      <w:bCs/>
      <w:sz w:val="30"/>
      <w:szCs w:val="32"/>
    </w:rPr>
  </w:style>
  <w:style w:type="paragraph" w:styleId="16">
    <w:name w:val="annotation subject"/>
    <w:basedOn w:val="7"/>
    <w:next w:val="7"/>
    <w:link w:val="36"/>
    <w:semiHidden/>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Theme"/>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Classic 1"/>
    <w:basedOn w:val="17"/>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1">
    <w:name w:val="Table Grid 1"/>
    <w:basedOn w:val="1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22">
    <w:name w:val="Table Grid 2"/>
    <w:basedOn w:val="17"/>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24">
    <w:name w:val="page number"/>
    <w:qFormat/>
    <w:uiPriority w:val="0"/>
  </w:style>
  <w:style w:type="character" w:styleId="25">
    <w:name w:val="annotation reference"/>
    <w:semiHidden/>
    <w:qFormat/>
    <w:uiPriority w:val="0"/>
    <w:rPr>
      <w:sz w:val="21"/>
    </w:rPr>
  </w:style>
  <w:style w:type="character" w:customStyle="1" w:styleId="26">
    <w:name w:val="标题 2 字符"/>
    <w:link w:val="3"/>
    <w:semiHidden/>
    <w:qFormat/>
    <w:uiPriority w:val="0"/>
    <w:rPr>
      <w:rFonts w:ascii="Cambria" w:hAnsi="Cambria" w:eastAsia="宋体" w:cs="Times New Roman"/>
      <w:b/>
      <w:bCs/>
      <w:kern w:val="2"/>
      <w:sz w:val="32"/>
      <w:szCs w:val="32"/>
    </w:rPr>
  </w:style>
  <w:style w:type="character" w:customStyle="1" w:styleId="27">
    <w:name w:val="题注 字符"/>
    <w:link w:val="6"/>
    <w:qFormat/>
    <w:uiPriority w:val="0"/>
    <w:rPr>
      <w:rFonts w:ascii="黑体" w:hAnsi="黑体" w:eastAsia="黑体"/>
      <w:kern w:val="2"/>
      <w:sz w:val="21"/>
    </w:rPr>
  </w:style>
  <w:style w:type="character" w:customStyle="1" w:styleId="28">
    <w:name w:val="批注文字 字符"/>
    <w:link w:val="7"/>
    <w:qFormat/>
    <w:locked/>
    <w:uiPriority w:val="0"/>
    <w:rPr>
      <w:rFonts w:ascii="Times New Roman" w:hAnsi="Times New Roman" w:eastAsia="宋体"/>
      <w:sz w:val="24"/>
    </w:rPr>
  </w:style>
  <w:style w:type="character" w:customStyle="1" w:styleId="29">
    <w:name w:val="正文文本 字符"/>
    <w:link w:val="8"/>
    <w:qFormat/>
    <w:locked/>
    <w:uiPriority w:val="1"/>
    <w:rPr>
      <w:sz w:val="18"/>
    </w:rPr>
  </w:style>
  <w:style w:type="character" w:customStyle="1" w:styleId="30">
    <w:name w:val="正文文本缩进 字符"/>
    <w:link w:val="9"/>
    <w:semiHidden/>
    <w:qFormat/>
    <w:locked/>
    <w:uiPriority w:val="0"/>
    <w:rPr>
      <w:rFonts w:ascii="Times New Roman" w:hAnsi="Times New Roman" w:eastAsia="宋体" w:cs="Times New Roman"/>
      <w:sz w:val="24"/>
      <w:szCs w:val="24"/>
    </w:rPr>
  </w:style>
  <w:style w:type="character" w:customStyle="1" w:styleId="31">
    <w:name w:val="日期 字符1"/>
    <w:link w:val="10"/>
    <w:qFormat/>
    <w:locked/>
    <w:uiPriority w:val="0"/>
    <w:rPr>
      <w:rFonts w:ascii="Times New Roman" w:hAnsi="Times New Roman" w:eastAsia="宋体"/>
      <w:sz w:val="24"/>
    </w:rPr>
  </w:style>
  <w:style w:type="character" w:customStyle="1" w:styleId="32">
    <w:name w:val="批注框文本 字符"/>
    <w:link w:val="11"/>
    <w:semiHidden/>
    <w:qFormat/>
    <w:locked/>
    <w:uiPriority w:val="0"/>
    <w:rPr>
      <w:rFonts w:ascii="Times New Roman" w:hAnsi="Times New Roman" w:eastAsia="宋体" w:cs="Times New Roman"/>
      <w:sz w:val="18"/>
      <w:szCs w:val="18"/>
    </w:rPr>
  </w:style>
  <w:style w:type="character" w:customStyle="1" w:styleId="33">
    <w:name w:val="页脚 字符1"/>
    <w:link w:val="12"/>
    <w:qFormat/>
    <w:locked/>
    <w:uiPriority w:val="99"/>
    <w:rPr>
      <w:rFonts w:cs="Times New Roman"/>
      <w:sz w:val="18"/>
      <w:szCs w:val="18"/>
    </w:rPr>
  </w:style>
  <w:style w:type="character" w:customStyle="1" w:styleId="34">
    <w:name w:val="页眉 字符"/>
    <w:link w:val="13"/>
    <w:qFormat/>
    <w:locked/>
    <w:uiPriority w:val="99"/>
    <w:rPr>
      <w:rFonts w:cs="Times New Roman"/>
      <w:sz w:val="18"/>
      <w:szCs w:val="18"/>
    </w:rPr>
  </w:style>
  <w:style w:type="character" w:customStyle="1" w:styleId="35">
    <w:name w:val="普通(网站) 字符"/>
    <w:link w:val="14"/>
    <w:qFormat/>
    <w:locked/>
    <w:uiPriority w:val="99"/>
    <w:rPr>
      <w:rFonts w:ascii="宋体" w:hAnsi="宋体" w:eastAsia="宋体"/>
      <w:sz w:val="24"/>
    </w:rPr>
  </w:style>
  <w:style w:type="character" w:customStyle="1" w:styleId="36">
    <w:name w:val="批注主题 字符"/>
    <w:link w:val="16"/>
    <w:semiHidden/>
    <w:qFormat/>
    <w:locked/>
    <w:uiPriority w:val="0"/>
    <w:rPr>
      <w:rFonts w:ascii="Times New Roman" w:hAnsi="Times New Roman" w:eastAsia="宋体" w:cs="Times New Roman"/>
      <w:b/>
      <w:bCs/>
      <w:kern w:val="2"/>
      <w:sz w:val="24"/>
      <w:szCs w:val="24"/>
    </w:rPr>
  </w:style>
  <w:style w:type="character" w:customStyle="1" w:styleId="37">
    <w:name w:val="日期 字符"/>
    <w:semiHidden/>
    <w:qFormat/>
    <w:uiPriority w:val="0"/>
    <w:rPr>
      <w:rFonts w:ascii="Times New Roman" w:hAnsi="Times New Roman" w:eastAsia="宋体" w:cs="Times New Roman"/>
      <w:sz w:val="24"/>
      <w:szCs w:val="24"/>
    </w:rPr>
  </w:style>
  <w:style w:type="character" w:customStyle="1" w:styleId="38">
    <w:name w:val="正文文本 字符1"/>
    <w:semiHidden/>
    <w:qFormat/>
    <w:uiPriority w:val="0"/>
    <w:rPr>
      <w:rFonts w:ascii="Times New Roman" w:hAnsi="Times New Roman" w:eastAsia="宋体" w:cs="Times New Roman"/>
      <w:sz w:val="24"/>
      <w:szCs w:val="24"/>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 w:val="20"/>
      <w:szCs w:val="21"/>
    </w:rPr>
  </w:style>
  <w:style w:type="character" w:customStyle="1" w:styleId="42">
    <w:name w:val="批注文字 字符1"/>
    <w:semiHidden/>
    <w:qFormat/>
    <w:uiPriority w:val="0"/>
    <w:rPr>
      <w:rFonts w:ascii="Times New Roman" w:hAnsi="Times New Roman" w:eastAsia="宋体" w:cs="Times New Roman"/>
      <w:sz w:val="24"/>
      <w:szCs w:val="24"/>
    </w:rPr>
  </w:style>
  <w:style w:type="character" w:customStyle="1" w:styleId="43">
    <w:name w:val="普通(网站) Char"/>
    <w:qFormat/>
    <w:locked/>
    <w:uiPriority w:val="0"/>
    <w:rPr>
      <w:rFonts w:ascii="宋体" w:hAnsi="宋体" w:eastAsia="宋体"/>
      <w:sz w:val="24"/>
    </w:rPr>
  </w:style>
  <w:style w:type="paragraph" w:customStyle="1" w:styleId="44">
    <w:name w:val="MEL表字-书"/>
    <w:basedOn w:val="1"/>
    <w:link w:val="45"/>
    <w:qFormat/>
    <w:uiPriority w:val="0"/>
    <w:pPr>
      <w:spacing w:line="300" w:lineRule="exact"/>
      <w:jc w:val="center"/>
    </w:pPr>
    <w:rPr>
      <w:rFonts w:ascii="宋体" w:hAnsi="宋体"/>
      <w:kern w:val="0"/>
      <w:szCs w:val="21"/>
    </w:rPr>
  </w:style>
  <w:style w:type="character" w:customStyle="1" w:styleId="45">
    <w:name w:val="MEL表字-书 字符"/>
    <w:link w:val="44"/>
    <w:qFormat/>
    <w:uiPriority w:val="0"/>
    <w:rPr>
      <w:rFonts w:ascii="宋体" w:hAnsi="宋体"/>
      <w:sz w:val="21"/>
      <w:szCs w:val="21"/>
    </w:rPr>
  </w:style>
  <w:style w:type="paragraph" w:customStyle="1" w:styleId="46">
    <w:name w:val="MEL正文*"/>
    <w:basedOn w:val="1"/>
    <w:link w:val="47"/>
    <w:qFormat/>
    <w:uiPriority w:val="0"/>
    <w:pPr>
      <w:spacing w:line="500" w:lineRule="exact"/>
      <w:ind w:firstLine="200" w:firstLineChars="200"/>
    </w:pPr>
    <w:rPr>
      <w:rFonts w:ascii="宋体" w:hAnsi="宋体"/>
      <w:kern w:val="0"/>
      <w:sz w:val="24"/>
    </w:rPr>
  </w:style>
  <w:style w:type="character" w:customStyle="1" w:styleId="47">
    <w:name w:val="MEL正文* 字符"/>
    <w:link w:val="46"/>
    <w:qFormat/>
    <w:uiPriority w:val="0"/>
    <w:rPr>
      <w:rFonts w:ascii="宋体" w:hAnsi="宋体"/>
      <w:sz w:val="24"/>
      <w:szCs w:val="24"/>
    </w:rPr>
  </w:style>
  <w:style w:type="character" w:customStyle="1" w:styleId="48">
    <w:name w:val="表字-书 Char"/>
    <w:link w:val="49"/>
    <w:qFormat/>
    <w:uiPriority w:val="0"/>
    <w:rPr>
      <w:rFonts w:ascii="宋体" w:hAnsi="宋体" w:cs="Arial"/>
      <w:kern w:val="2"/>
      <w:sz w:val="21"/>
      <w:szCs w:val="21"/>
    </w:rPr>
  </w:style>
  <w:style w:type="paragraph" w:customStyle="1" w:styleId="49">
    <w:name w:val="表字-书"/>
    <w:basedOn w:val="1"/>
    <w:link w:val="48"/>
    <w:qFormat/>
    <w:uiPriority w:val="0"/>
    <w:pPr>
      <w:widowControl/>
      <w:spacing w:line="240" w:lineRule="exact"/>
      <w:jc w:val="center"/>
    </w:pPr>
    <w:rPr>
      <w:rFonts w:ascii="宋体" w:hAnsi="宋体" w:cs="Arial"/>
      <w:szCs w:val="21"/>
    </w:rPr>
  </w:style>
  <w:style w:type="character" w:customStyle="1" w:styleId="50">
    <w:name w:val="题注 字符1"/>
    <w:qFormat/>
    <w:uiPriority w:val="0"/>
    <w:rPr>
      <w:rFonts w:ascii="宋体" w:hAnsi="宋体" w:eastAsia="黑体" w:cs="宋体"/>
      <w:sz w:val="21"/>
      <w:szCs w:val="24"/>
    </w:rPr>
  </w:style>
  <w:style w:type="character" w:customStyle="1" w:styleId="51">
    <w:name w:val="页脚 字符"/>
    <w:qFormat/>
    <w:uiPriority w:val="99"/>
  </w:style>
  <w:style w:type="character" w:customStyle="1" w:styleId="52">
    <w:name w:val="YJ正文* 字符"/>
    <w:link w:val="53"/>
    <w:qFormat/>
    <w:locked/>
    <w:uiPriority w:val="0"/>
    <w:rPr>
      <w:rFonts w:ascii="宋体" w:hAnsi="宋体" w:cs="宋体"/>
      <w:sz w:val="24"/>
      <w:szCs w:val="24"/>
    </w:rPr>
  </w:style>
  <w:style w:type="paragraph" w:customStyle="1" w:styleId="53">
    <w:name w:val="YJ正文*"/>
    <w:basedOn w:val="1"/>
    <w:link w:val="52"/>
    <w:qFormat/>
    <w:uiPriority w:val="0"/>
    <w:pPr>
      <w:widowControl/>
      <w:spacing w:line="500" w:lineRule="exact"/>
      <w:ind w:firstLine="200" w:firstLineChars="200"/>
    </w:pPr>
    <w:rPr>
      <w:rFonts w:ascii="宋体" w:hAnsi="宋体" w:cs="宋体"/>
      <w:kern w:val="0"/>
      <w:sz w:val="24"/>
    </w:rPr>
  </w:style>
  <w:style w:type="paragraph" w:customStyle="1" w:styleId="54">
    <w:name w:val="正文 CDD"/>
    <w:basedOn w:val="1"/>
    <w:qFormat/>
    <w:uiPriority w:val="0"/>
    <w:pPr>
      <w:ind w:firstLine="480"/>
    </w:pPr>
    <w:rPr>
      <w:rFonts w:ascii="等线" w:hAnsi="宋体"/>
      <w:sz w:val="24"/>
    </w:rPr>
  </w:style>
  <w:style w:type="paragraph" w:customStyle="1" w:styleId="55">
    <w:name w:val="标题3 CDD"/>
    <w:basedOn w:val="1"/>
    <w:qFormat/>
    <w:uiPriority w:val="0"/>
    <w:pPr>
      <w:adjustRightInd w:val="0"/>
      <w:snapToGrid w:val="0"/>
      <w:spacing w:line="500" w:lineRule="exact"/>
      <w:ind w:firstLine="482"/>
    </w:pPr>
    <w:rPr>
      <w:rFonts w:hAnsi="宋体"/>
      <w:b/>
      <w:sz w:val="24"/>
    </w:rPr>
  </w:style>
  <w:style w:type="character" w:customStyle="1" w:styleId="56">
    <w:name w:val="正文(首行缩进) Char Char"/>
    <w:link w:val="57"/>
    <w:qFormat/>
    <w:locked/>
    <w:uiPriority w:val="99"/>
    <w:rPr>
      <w:rFonts w:hAnsi="宋体"/>
      <w:spacing w:val="-2"/>
      <w:sz w:val="24"/>
      <w:szCs w:val="24"/>
    </w:rPr>
  </w:style>
  <w:style w:type="paragraph" w:customStyle="1" w:styleId="57">
    <w:name w:val="正文(首行缩进)"/>
    <w:basedOn w:val="1"/>
    <w:link w:val="56"/>
    <w:qFormat/>
    <w:uiPriority w:val="99"/>
    <w:pPr>
      <w:widowControl/>
      <w:tabs>
        <w:tab w:val="left" w:pos="4584"/>
      </w:tabs>
      <w:adjustRightInd w:val="0"/>
      <w:snapToGrid w:val="0"/>
      <w:ind w:firstLine="531" w:firstLineChars="225"/>
      <w:jc w:val="left"/>
    </w:pPr>
    <w:rPr>
      <w:rFonts w:hAnsi="宋体"/>
      <w:spacing w:val="-2"/>
      <w:kern w:val="0"/>
      <w:sz w:val="24"/>
    </w:rPr>
  </w:style>
  <w:style w:type="character" w:customStyle="1" w:styleId="58">
    <w:name w:val="表内样式 字符"/>
    <w:link w:val="59"/>
    <w:qFormat/>
    <w:uiPriority w:val="0"/>
    <w:rPr>
      <w:rFonts w:ascii="宋体" w:hAnsi="宋体" w:eastAsia="仿宋_GB2312"/>
      <w:kern w:val="2"/>
      <w:sz w:val="21"/>
      <w:szCs w:val="21"/>
    </w:rPr>
  </w:style>
  <w:style w:type="paragraph" w:customStyle="1" w:styleId="59">
    <w:name w:val="表内样式"/>
    <w:basedOn w:val="41"/>
    <w:link w:val="58"/>
    <w:qFormat/>
    <w:uiPriority w:val="0"/>
    <w:pPr>
      <w:widowControl/>
      <w:overflowPunct w:val="0"/>
      <w:spacing w:beforeLines="0" w:afterLines="0" w:line="300" w:lineRule="atLeast"/>
      <w:jc w:val="left"/>
    </w:pPr>
    <w:rPr>
      <w:rFonts w:hAnsi="宋体" w:eastAsia="仿宋_GB2312"/>
      <w:kern w:val="2"/>
      <w:sz w:val="21"/>
    </w:rPr>
  </w:style>
  <w:style w:type="character" w:customStyle="1" w:styleId="60">
    <w:name w:val="表内文字 字符"/>
    <w:link w:val="61"/>
    <w:qFormat/>
    <w:locked/>
    <w:uiPriority w:val="0"/>
    <w:rPr>
      <w:rFonts w:ascii="宋体" w:hAnsi="宋体"/>
      <w:sz w:val="21"/>
      <w:szCs w:val="22"/>
    </w:rPr>
  </w:style>
  <w:style w:type="paragraph" w:customStyle="1" w:styleId="61">
    <w:name w:val="表内文字"/>
    <w:basedOn w:val="62"/>
    <w:link w:val="60"/>
    <w:qFormat/>
    <w:uiPriority w:val="0"/>
    <w:pPr>
      <w:widowControl/>
      <w:spacing w:line="300" w:lineRule="exact"/>
    </w:pPr>
    <w:rPr>
      <w:rFonts w:ascii="宋体" w:hAnsi="宋体"/>
      <w:szCs w:val="22"/>
    </w:rPr>
  </w:style>
  <w:style w:type="paragraph" w:customStyle="1" w:styleId="62">
    <w:name w:val="表文字"/>
    <w:basedOn w:val="1"/>
    <w:qFormat/>
    <w:uiPriority w:val="0"/>
    <w:pPr>
      <w:overflowPunct w:val="0"/>
      <w:autoSpaceDE w:val="0"/>
      <w:autoSpaceDN w:val="0"/>
      <w:adjustRightInd w:val="0"/>
      <w:spacing w:line="240" w:lineRule="atLeast"/>
      <w:jc w:val="center"/>
      <w:textAlignment w:val="baseline"/>
    </w:pPr>
    <w:rPr>
      <w:kern w:val="0"/>
    </w:rPr>
  </w:style>
  <w:style w:type="table" w:customStyle="1" w:styleId="63">
    <w:name w:val="样式1"/>
    <w:basedOn w:val="17"/>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64">
    <w:name w:val="刘群正文文本 Char"/>
    <w:link w:val="65"/>
    <w:qFormat/>
    <w:locked/>
    <w:uiPriority w:val="99"/>
    <w:rPr>
      <w:rFonts w:eastAsia="楷体_GB2312"/>
      <w:sz w:val="24"/>
    </w:rPr>
  </w:style>
  <w:style w:type="paragraph" w:customStyle="1" w:styleId="65">
    <w:name w:val="刘群正文文本"/>
    <w:basedOn w:val="5"/>
    <w:link w:val="64"/>
    <w:qFormat/>
    <w:uiPriority w:val="99"/>
    <w:pPr>
      <w:widowControl/>
      <w:tabs>
        <w:tab w:val="left" w:pos="8176"/>
      </w:tabs>
      <w:ind w:firstLine="480" w:firstLineChars="0"/>
      <w:jc w:val="left"/>
    </w:pPr>
    <w:rPr>
      <w:rFonts w:eastAsia="楷体_GB2312"/>
      <w:kern w:val="0"/>
      <w:sz w:val="24"/>
      <w:szCs w:val="20"/>
    </w:rPr>
  </w:style>
  <w:style w:type="paragraph" w:customStyle="1" w:styleId="66">
    <w:name w:val="例"/>
    <w:basedOn w:val="1"/>
    <w:qFormat/>
    <w:uiPriority w:val="0"/>
    <w:pPr>
      <w:widowControl/>
      <w:tabs>
        <w:tab w:val="left" w:pos="420"/>
      </w:tabs>
      <w:spacing w:line="360" w:lineRule="auto"/>
      <w:ind w:firstLine="483" w:firstLineChars="200"/>
      <w:outlineLvl w:val="2"/>
    </w:pPr>
    <w:rPr>
      <w:rFonts w:ascii="Arial" w:hAnsi="Arial" w:eastAsia="方正仿宋简体" w:cs="Arial"/>
      <w:bCs/>
      <w:kern w:val="0"/>
      <w:sz w:val="24"/>
      <w:szCs w:val="32"/>
    </w:rPr>
  </w:style>
  <w:style w:type="character" w:customStyle="1" w:styleId="67">
    <w:name w:val="题注 字符2"/>
    <w:qFormat/>
    <w:uiPriority w:val="0"/>
    <w:rPr>
      <w:rFonts w:ascii="宋体" w:hAnsi="宋体"/>
      <w:b/>
    </w:rPr>
  </w:style>
  <w:style w:type="paragraph" w:customStyle="1" w:styleId="68">
    <w:name w:val="YJ题注"/>
    <w:basedOn w:val="6"/>
    <w:link w:val="70"/>
    <w:qFormat/>
    <w:uiPriority w:val="0"/>
    <w:pPr>
      <w:spacing w:line="520" w:lineRule="exact"/>
    </w:pPr>
    <w:rPr>
      <w:rFonts w:ascii="宋体" w:hAnsi="宋体"/>
      <w:szCs w:val="24"/>
    </w:rPr>
  </w:style>
  <w:style w:type="character" w:customStyle="1" w:styleId="69">
    <w:name w:val="标题 字符"/>
    <w:basedOn w:val="23"/>
    <w:link w:val="15"/>
    <w:qFormat/>
    <w:uiPriority w:val="0"/>
    <w:rPr>
      <w:rFonts w:eastAsia="黑体" w:asciiTheme="majorHAnsi" w:hAnsiTheme="majorHAnsi" w:cstheme="majorBidi"/>
      <w:bCs/>
      <w:kern w:val="2"/>
      <w:sz w:val="30"/>
      <w:szCs w:val="32"/>
    </w:rPr>
  </w:style>
  <w:style w:type="character" w:customStyle="1" w:styleId="70">
    <w:name w:val="YJ题注 Char"/>
    <w:link w:val="68"/>
    <w:qFormat/>
    <w:uiPriority w:val="0"/>
    <w:rPr>
      <w:rFonts w:ascii="宋体" w:hAnsi="宋体" w:eastAsia="黑体"/>
      <w:kern w:val="2"/>
      <w:sz w:val="21"/>
      <w:szCs w:val="24"/>
    </w:rPr>
  </w:style>
  <w:style w:type="character" w:customStyle="1" w:styleId="71">
    <w:name w:val="YJ表中字体 Char"/>
    <w:link w:val="72"/>
    <w:qFormat/>
    <w:uiPriority w:val="0"/>
  </w:style>
  <w:style w:type="paragraph" w:customStyle="1" w:styleId="72">
    <w:name w:val="YJ表中字体"/>
    <w:basedOn w:val="5"/>
    <w:link w:val="71"/>
    <w:qFormat/>
    <w:uiPriority w:val="0"/>
    <w:pPr>
      <w:spacing w:line="240" w:lineRule="exact"/>
      <w:ind w:firstLine="0" w:firstLineChars="0"/>
      <w:jc w:val="center"/>
    </w:pPr>
    <w:rPr>
      <w:kern w:val="0"/>
      <w:sz w:val="20"/>
      <w:szCs w:val="20"/>
    </w:rPr>
  </w:style>
  <w:style w:type="paragraph" w:customStyle="1" w:styleId="7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74">
    <w:name w:val="表中字体 Char"/>
    <w:link w:val="75"/>
    <w:qFormat/>
    <w:uiPriority w:val="0"/>
    <w:rPr>
      <w:sz w:val="21"/>
    </w:rPr>
  </w:style>
  <w:style w:type="paragraph" w:customStyle="1" w:styleId="75">
    <w:name w:val="表中字体"/>
    <w:basedOn w:val="5"/>
    <w:link w:val="74"/>
    <w:qFormat/>
    <w:uiPriority w:val="0"/>
    <w:pPr>
      <w:tabs>
        <w:tab w:val="left" w:pos="8176"/>
      </w:tabs>
      <w:spacing w:line="240" w:lineRule="exact"/>
      <w:ind w:firstLine="0" w:firstLineChars="0"/>
      <w:jc w:val="center"/>
    </w:pPr>
    <w:rPr>
      <w:kern w:val="0"/>
      <w:szCs w:val="20"/>
    </w:rPr>
  </w:style>
  <w:style w:type="character" w:customStyle="1" w:styleId="76">
    <w:name w:val="cf01"/>
    <w:basedOn w:val="23"/>
    <w:qFormat/>
    <w:uiPriority w:val="0"/>
    <w:rPr>
      <w:rFonts w:hint="eastAsia" w:ascii="Microsoft YaHei UI" w:hAnsi="Microsoft YaHei UI" w:eastAsia="Microsoft YaHei UI"/>
      <w:sz w:val="18"/>
      <w:szCs w:val="18"/>
    </w:r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78">
    <w:name w:val="表格内文"/>
    <w:basedOn w:val="1"/>
    <w:qFormat/>
    <w:uiPriority w:val="0"/>
    <w:pPr>
      <w:spacing w:line="300" w:lineRule="exact"/>
    </w:pPr>
    <w:rPr>
      <w:rFonts w:ascii="等线" w:hAnsi="宋体"/>
      <w:lang w:val="zh-CN"/>
    </w:rPr>
  </w:style>
  <w:style w:type="paragraph" w:customStyle="1" w:styleId="79">
    <w:name w:val="yh表头"/>
    <w:basedOn w:val="68"/>
    <w:qFormat/>
    <w:uiPriority w:val="0"/>
    <w:pPr>
      <w:adjustRightInd w:val="0"/>
      <w:snapToGrid w:val="0"/>
      <w:spacing w:line="500" w:lineRule="exact"/>
    </w:pPr>
    <w:rPr>
      <w:rFonts w:ascii="黑体" w:hAnsi="黑体"/>
      <w:bCs/>
      <w:color w:val="000000"/>
    </w:rPr>
  </w:style>
  <w:style w:type="paragraph" w:customStyle="1" w:styleId="8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81">
    <w:name w:val="Revision"/>
    <w:hidden/>
    <w:semiHidden/>
    <w:qFormat/>
    <w:uiPriority w:val="99"/>
    <w:rPr>
      <w:rFonts w:ascii="Times New Roman" w:hAnsi="Times New Roman" w:eastAsia="宋体" w:cs="Times New Roman"/>
      <w:kern w:val="2"/>
      <w:sz w:val="21"/>
      <w:szCs w:val="24"/>
      <w:lang w:val="en-US" w:eastAsia="zh-CN" w:bidi="ar-SA"/>
    </w:rPr>
  </w:style>
  <w:style w:type="paragraph" w:styleId="82">
    <w:name w:val="List Paragraph"/>
    <w:basedOn w:val="1"/>
    <w:qFormat/>
    <w:uiPriority w:val="99"/>
    <w:pPr>
      <w:ind w:firstLine="420" w:firstLineChars="200"/>
    </w:pPr>
  </w:style>
  <w:style w:type="character" w:customStyle="1" w:styleId="83">
    <w:name w:val="4刘群正文* Char"/>
    <w:link w:val="84"/>
    <w:qFormat/>
    <w:uiPriority w:val="0"/>
    <w:rPr>
      <w:sz w:val="24"/>
      <w:szCs w:val="24"/>
      <w:lang w:val="zh-CN"/>
    </w:rPr>
  </w:style>
  <w:style w:type="paragraph" w:customStyle="1" w:styleId="84">
    <w:name w:val="4刘群正文 *"/>
    <w:basedOn w:val="1"/>
    <w:link w:val="83"/>
    <w:qFormat/>
    <w:uiPriority w:val="0"/>
    <w:pPr>
      <w:spacing w:line="520" w:lineRule="exact"/>
      <w:ind w:firstLine="480" w:firstLineChars="200"/>
    </w:pPr>
    <w:rPr>
      <w:kern w:val="0"/>
      <w:sz w:val="24"/>
      <w:lang w:val="zh-CN"/>
    </w:rPr>
  </w:style>
  <w:style w:type="character" w:customStyle="1" w:styleId="85">
    <w:name w:val="标题 4 字符"/>
    <w:basedOn w:val="23"/>
    <w:link w:val="4"/>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emf"/><Relationship Id="rId10" Type="http://schemas.openxmlformats.org/officeDocument/2006/relationships/package" Target="embeddings/Microsoft_Visio___1.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F8AA3B-897B-4744-ADCA-18A091737EE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32835</Words>
  <Characters>34422</Characters>
  <Lines>257</Lines>
  <Paragraphs>72</Paragraphs>
  <TotalTime>763</TotalTime>
  <ScaleCrop>false</ScaleCrop>
  <LinksUpToDate>false</LinksUpToDate>
  <CharactersWithSpaces>34755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2022-09-29T06:13:00Z</dcterms:created>
  <dc:creator>lhj</dc:creator>
  <cp:lastModifiedBy>U</cp:lastModifiedBy>
  <cp:lastPrinted>2021-05-26T11:31:00Z</cp:lastPrinted>
  <dcterms:modified xsi:type="dcterms:W3CDTF">2022-10-14T03:40:39Z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A7C42BBE8B454A2885A26CA346DAA373</vt:lpwstr>
  </property>
</Properties>
</file>