
<file path=[Content_Types].xml><?xml version="1.0" encoding="utf-8"?>
<Types xmlns="http://schemas.openxmlformats.org/package/2006/content-types">
  <Default Extension="xml" ContentType="application/xml"/>
  <Default Extension="jpeg" ContentType="image/jpe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Ansi="宋体"/>
          <w:color w:val="000000"/>
          <w:sz w:val="28"/>
        </w:rPr>
      </w:pPr>
      <w:bookmarkStart w:id="0" w:name="_Hlk57883707"/>
      <w:r>
        <w:rPr>
          <w:rFonts w:ascii="仿宋_GB2312" w:hAnsi="仿宋_GB2312" w:eastAsia="仿宋_GB2312" w:cs="仿宋_GB2312"/>
          <w:color w:val="000000"/>
          <w:sz w:val="36"/>
          <w:szCs w:val="36"/>
        </w:rPr>
        <w:drawing>
          <wp:anchor distT="0" distB="0" distL="114300" distR="114300" simplePos="0" relativeHeight="251663360" behindDoc="0" locked="0" layoutInCell="1" allowOverlap="1">
            <wp:simplePos x="0" y="0"/>
            <wp:positionH relativeFrom="column">
              <wp:posOffset>-854075</wp:posOffset>
            </wp:positionH>
            <wp:positionV relativeFrom="paragraph">
              <wp:posOffset>-1080135</wp:posOffset>
            </wp:positionV>
            <wp:extent cx="7368540" cy="10671175"/>
            <wp:effectExtent l="0" t="0" r="4445" b="0"/>
            <wp:wrapNone/>
            <wp:docPr id="4" name="图片 4" descr="F:\工作文件\2022年项目\环评\探井\大龙口-浅1、大龙口-浅2、大龙口-浅3等3口探井\上报\扫描件\扫描全能王 2022-08-09 16.3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工作文件\2022年项目\环评\探井\大龙口-浅1、大龙口-浅2、大龙口-浅3等3口探井\上报\扫描件\扫描全能王 2022-08-09 16.38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7368363" cy="10671025"/>
                    </a:xfrm>
                    <a:prstGeom prst="rect">
                      <a:avLst/>
                    </a:prstGeom>
                    <a:noFill/>
                    <a:ln>
                      <a:noFill/>
                    </a:ln>
                  </pic:spPr>
                </pic:pic>
              </a:graphicData>
            </a:graphic>
          </wp:anchor>
        </w:drawing>
      </w:r>
      <w:r>
        <w:rPr>
          <w:rFonts w:hAnsi="宋体"/>
          <w:color w:val="000000"/>
          <w:sz w:val="28"/>
        </w:rPr>
        <w:drawing>
          <wp:anchor distT="0" distB="0" distL="114300" distR="114300" simplePos="0" relativeHeight="251659264" behindDoc="1" locked="0" layoutInCell="1" allowOverlap="1">
            <wp:simplePos x="0" y="0"/>
            <wp:positionH relativeFrom="margin">
              <wp:align>right</wp:align>
            </wp:positionH>
            <wp:positionV relativeFrom="paragraph">
              <wp:posOffset>10795</wp:posOffset>
            </wp:positionV>
            <wp:extent cx="767715" cy="767715"/>
            <wp:effectExtent l="0" t="0" r="0" b="0"/>
            <wp:wrapNone/>
            <wp:docPr id="42" name="图片 95" descr="D:\我的文档\企业微信文件夹\WXWork Files\Image\2019-01\森诺公众号二维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95" descr="D:\我的文档\企业微信文件夹\WXWork Files\Image\2019-01\森诺公众号二维码.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767715" cy="767715"/>
                    </a:xfrm>
                    <a:prstGeom prst="rect">
                      <a:avLst/>
                    </a:prstGeom>
                    <a:noFill/>
                    <a:ln>
                      <a:noFill/>
                    </a:ln>
                  </pic:spPr>
                </pic:pic>
              </a:graphicData>
            </a:graphic>
          </wp:anchor>
        </w:drawing>
      </w:r>
      <w:r>
        <w:rPr>
          <w:rFonts w:hint="eastAsia" w:hAnsi="宋体"/>
          <w:color w:val="000000"/>
          <w:sz w:val="28"/>
        </w:rPr>
        <w:t>项目编</w:t>
      </w:r>
      <w:r>
        <w:rPr>
          <w:rFonts w:hint="eastAsia" w:ascii="宋体" w:hAnsi="宋体"/>
          <w:color w:val="000000"/>
          <w:sz w:val="28"/>
        </w:rPr>
        <w:t>号：</w:t>
      </w:r>
      <w:r>
        <w:rPr>
          <w:rFonts w:ascii="宋体" w:hAnsi="宋体"/>
          <w:color w:val="000000"/>
          <w:sz w:val="28"/>
        </w:rPr>
        <w:t>HYP202207013</w:t>
      </w:r>
    </w:p>
    <w:p>
      <w:pPr>
        <w:rPr>
          <w:rFonts w:ascii="仿宋_GB2312" w:hAnsi="仿宋_GB2312" w:eastAsia="仿宋_GB2312" w:cs="仿宋_GB2312"/>
          <w:color w:val="000000"/>
          <w:sz w:val="36"/>
          <w:szCs w:val="36"/>
        </w:rPr>
      </w:pPr>
    </w:p>
    <w:p>
      <w:pPr>
        <w:rPr>
          <w:rFonts w:ascii="仿宋_GB2312" w:hAnsi="仿宋_GB2312" w:eastAsia="仿宋_GB2312" w:cs="仿宋_GB2312"/>
          <w:color w:val="000000"/>
          <w:sz w:val="36"/>
          <w:szCs w:val="36"/>
        </w:rPr>
      </w:pPr>
    </w:p>
    <w:p>
      <w:pPr>
        <w:rPr>
          <w:rFonts w:ascii="仿宋_GB2312" w:hAnsi="仿宋_GB2312" w:eastAsia="仿宋_GB2312" w:cs="仿宋_GB2312"/>
          <w:color w:val="000000"/>
          <w:sz w:val="36"/>
          <w:szCs w:val="36"/>
        </w:rPr>
      </w:pPr>
    </w:p>
    <w:bookmarkEnd w:id="0"/>
    <w:p>
      <w:pPr>
        <w:jc w:val="center"/>
        <w:rPr>
          <w:rFonts w:ascii="方正小标宋_GBK" w:eastAsia="方正小标宋_GBK"/>
          <w:bCs/>
          <w:color w:val="000000"/>
          <w:sz w:val="72"/>
          <w:szCs w:val="72"/>
        </w:rPr>
      </w:pPr>
      <w:r>
        <w:rPr>
          <w:rFonts w:hint="eastAsia" w:ascii="方正小标宋_GBK" w:eastAsia="方正小标宋_GBK"/>
          <w:bCs/>
          <w:color w:val="000000"/>
          <w:sz w:val="72"/>
          <w:szCs w:val="72"/>
        </w:rPr>
        <w:t>建设项目环境影响报告表</w:t>
      </w:r>
    </w:p>
    <w:p>
      <w:pPr>
        <w:adjustRightInd w:val="0"/>
        <w:snapToGrid w:val="0"/>
        <w:spacing w:before="192" w:beforeLines="80"/>
        <w:jc w:val="center"/>
        <w:rPr>
          <w:rFonts w:ascii="楷体_GB2312" w:eastAsia="楷体_GB2312"/>
          <w:bCs/>
          <w:color w:val="000000"/>
          <w:sz w:val="48"/>
          <w:szCs w:val="48"/>
        </w:rPr>
      </w:pPr>
      <w:r>
        <w:rPr>
          <w:rFonts w:hint="eastAsia" w:ascii="楷体_GB2312" w:eastAsia="楷体_GB2312"/>
          <w:bCs/>
          <w:color w:val="000000"/>
          <w:sz w:val="48"/>
          <w:szCs w:val="48"/>
        </w:rPr>
        <w:t>（生态影响类）</w:t>
      </w:r>
    </w:p>
    <w:p>
      <w:pPr>
        <w:pStyle w:val="3"/>
        <w:ind w:firstLine="480"/>
        <w:rPr>
          <w:color w:val="000000"/>
        </w:rPr>
      </w:pPr>
      <w:bookmarkStart w:id="1" w:name="_Hlk57883728"/>
    </w:p>
    <w:p>
      <w:pPr>
        <w:adjustRightInd w:val="0"/>
        <w:snapToGrid w:val="0"/>
        <w:spacing w:before="192" w:beforeLines="80"/>
        <w:jc w:val="center"/>
        <w:rPr>
          <w:rFonts w:ascii="楷体_GB2312"/>
          <w:color w:val="000000"/>
          <w:sz w:val="48"/>
        </w:rPr>
      </w:pPr>
      <w:r>
        <w:rPr>
          <w:rFonts w:hint="eastAsia" w:ascii="楷体_GB2312" w:eastAsia="楷体_GB2312"/>
          <w:bCs/>
          <w:color w:val="000000"/>
          <w:sz w:val="48"/>
          <w:szCs w:val="48"/>
        </w:rPr>
        <w:t>（送审版）</w:t>
      </w:r>
    </w:p>
    <w:p>
      <w:pPr>
        <w:ind w:firstLine="1040"/>
        <w:rPr>
          <w:rFonts w:eastAsia="仿宋"/>
          <w:color w:val="000000"/>
          <w:sz w:val="44"/>
          <w:szCs w:val="44"/>
        </w:rPr>
      </w:pPr>
    </w:p>
    <w:p>
      <w:pPr>
        <w:ind w:firstLine="1040"/>
        <w:rPr>
          <w:rFonts w:eastAsia="仿宋"/>
          <w:color w:val="000000"/>
          <w:sz w:val="44"/>
          <w:szCs w:val="44"/>
        </w:rPr>
      </w:pPr>
    </w:p>
    <w:p>
      <w:pPr>
        <w:ind w:firstLine="1040"/>
        <w:rPr>
          <w:rFonts w:eastAsia="仿宋"/>
          <w:color w:val="000000"/>
          <w:sz w:val="44"/>
          <w:szCs w:val="44"/>
        </w:rPr>
      </w:pPr>
    </w:p>
    <w:bookmarkEnd w:id="1"/>
    <w:tbl>
      <w:tblPr>
        <w:tblStyle w:val="29"/>
        <w:tblW w:w="6663" w:type="dxa"/>
        <w:tblInd w:w="1242" w:type="dxa"/>
        <w:tblLayout w:type="fixed"/>
        <w:tblCellMar>
          <w:top w:w="0" w:type="dxa"/>
          <w:left w:w="108" w:type="dxa"/>
          <w:bottom w:w="0" w:type="dxa"/>
          <w:right w:w="108" w:type="dxa"/>
        </w:tblCellMar>
      </w:tblPr>
      <w:tblGrid>
        <w:gridCol w:w="1884"/>
        <w:gridCol w:w="384"/>
        <w:gridCol w:w="4395"/>
      </w:tblGrid>
      <w:tr>
        <w:tblPrEx>
          <w:tblLayout w:type="fixed"/>
          <w:tblCellMar>
            <w:top w:w="0" w:type="dxa"/>
            <w:left w:w="108" w:type="dxa"/>
            <w:bottom w:w="0" w:type="dxa"/>
            <w:right w:w="108" w:type="dxa"/>
          </w:tblCellMar>
        </w:tblPrEx>
        <w:tc>
          <w:tcPr>
            <w:tcW w:w="1884" w:type="dxa"/>
          </w:tcPr>
          <w:p>
            <w:pPr>
              <w:adjustRightInd w:val="0"/>
              <w:snapToGrid w:val="0"/>
              <w:spacing w:line="288" w:lineRule="auto"/>
              <w:rPr>
                <w:rFonts w:ascii="仿宋_GB2312" w:eastAsia="仿宋_GB2312"/>
                <w:color w:val="000000"/>
                <w:sz w:val="36"/>
                <w:szCs w:val="36"/>
              </w:rPr>
            </w:pPr>
            <w:r>
              <w:rPr>
                <w:rFonts w:hint="eastAsia" w:ascii="仿宋_GB2312" w:eastAsia="仿宋_GB2312"/>
                <w:color w:val="000000"/>
                <w:sz w:val="36"/>
                <w:szCs w:val="36"/>
              </w:rPr>
              <w:t>项目名称</w:t>
            </w:r>
          </w:p>
        </w:tc>
        <w:tc>
          <w:tcPr>
            <w:tcW w:w="384" w:type="dxa"/>
          </w:tcPr>
          <w:p>
            <w:pPr>
              <w:adjustRightInd w:val="0"/>
              <w:snapToGrid w:val="0"/>
              <w:spacing w:line="288" w:lineRule="auto"/>
              <w:rPr>
                <w:rFonts w:ascii="仿宋_GB2312" w:eastAsia="仿宋_GB2312"/>
                <w:color w:val="000000"/>
                <w:sz w:val="36"/>
                <w:szCs w:val="36"/>
              </w:rPr>
            </w:pPr>
            <w:r>
              <w:rPr>
                <w:rFonts w:hint="eastAsia" w:ascii="仿宋_GB2312" w:eastAsia="仿宋_GB2312"/>
                <w:color w:val="000000"/>
                <w:sz w:val="36"/>
                <w:szCs w:val="36"/>
              </w:rPr>
              <w:t>：</w:t>
            </w:r>
          </w:p>
        </w:tc>
        <w:tc>
          <w:tcPr>
            <w:tcW w:w="4395" w:type="dxa"/>
          </w:tcPr>
          <w:p>
            <w:pPr>
              <w:adjustRightInd w:val="0"/>
              <w:snapToGrid w:val="0"/>
              <w:spacing w:line="288" w:lineRule="auto"/>
              <w:jc w:val="left"/>
              <w:rPr>
                <w:rFonts w:ascii="仿宋_GB2312" w:eastAsia="仿宋_GB2312"/>
                <w:color w:val="000000"/>
                <w:sz w:val="36"/>
                <w:szCs w:val="36"/>
              </w:rPr>
            </w:pPr>
            <w:r>
              <w:rPr>
                <w:rFonts w:hint="eastAsia" w:ascii="宋体" w:hAnsi="宋体"/>
                <w:color w:val="000000"/>
                <w:sz w:val="30"/>
                <w:u w:val="single"/>
              </w:rPr>
              <w:t xml:space="preserve">大龙口-浅1、大龙口-浅2、大龙口-浅3等3口探井 </w:t>
            </w:r>
            <w:r>
              <w:rPr>
                <w:rFonts w:ascii="宋体" w:hAnsi="宋体"/>
                <w:color w:val="000000"/>
                <w:sz w:val="30"/>
                <w:u w:val="single"/>
              </w:rPr>
              <w:t xml:space="preserve">                 </w:t>
            </w:r>
          </w:p>
        </w:tc>
      </w:tr>
      <w:tr>
        <w:tblPrEx>
          <w:tblLayout w:type="fixed"/>
          <w:tblCellMar>
            <w:top w:w="0" w:type="dxa"/>
            <w:left w:w="108" w:type="dxa"/>
            <w:bottom w:w="0" w:type="dxa"/>
            <w:right w:w="108" w:type="dxa"/>
          </w:tblCellMar>
        </w:tblPrEx>
        <w:tc>
          <w:tcPr>
            <w:tcW w:w="1884" w:type="dxa"/>
          </w:tcPr>
          <w:p>
            <w:pPr>
              <w:adjustRightInd w:val="0"/>
              <w:snapToGrid w:val="0"/>
              <w:spacing w:line="288" w:lineRule="auto"/>
              <w:rPr>
                <w:rFonts w:ascii="仿宋_GB2312" w:eastAsia="仿宋_GB2312"/>
                <w:color w:val="000000"/>
                <w:sz w:val="36"/>
                <w:szCs w:val="36"/>
              </w:rPr>
            </w:pPr>
            <w:r>
              <w:rPr>
                <w:rFonts w:hint="eastAsia" w:ascii="仿宋_GB2312" w:eastAsia="仿宋_GB2312"/>
                <w:color w:val="000000"/>
                <w:sz w:val="36"/>
                <w:szCs w:val="36"/>
              </w:rPr>
              <w:t>建设单位（盖章）</w:t>
            </w:r>
          </w:p>
        </w:tc>
        <w:tc>
          <w:tcPr>
            <w:tcW w:w="384" w:type="dxa"/>
          </w:tcPr>
          <w:p>
            <w:pPr>
              <w:adjustRightInd w:val="0"/>
              <w:snapToGrid w:val="0"/>
              <w:spacing w:line="288" w:lineRule="auto"/>
              <w:jc w:val="center"/>
              <w:rPr>
                <w:rFonts w:ascii="仿宋_GB2312" w:eastAsia="仿宋_GB2312"/>
                <w:color w:val="000000"/>
                <w:sz w:val="36"/>
                <w:szCs w:val="36"/>
              </w:rPr>
            </w:pPr>
            <w:r>
              <w:rPr>
                <w:rFonts w:hint="eastAsia" w:ascii="仿宋_GB2312" w:eastAsia="仿宋_GB2312"/>
                <w:color w:val="000000"/>
                <w:sz w:val="36"/>
                <w:szCs w:val="36"/>
              </w:rPr>
              <w:t>：</w:t>
            </w:r>
          </w:p>
        </w:tc>
        <w:tc>
          <w:tcPr>
            <w:tcW w:w="4395" w:type="dxa"/>
          </w:tcPr>
          <w:p>
            <w:pPr>
              <w:adjustRightInd w:val="0"/>
              <w:snapToGrid w:val="0"/>
              <w:spacing w:line="288" w:lineRule="auto"/>
              <w:jc w:val="left"/>
              <w:rPr>
                <w:rFonts w:ascii="仿宋_GB2312" w:eastAsia="仿宋_GB2312"/>
                <w:color w:val="000000"/>
                <w:sz w:val="36"/>
                <w:szCs w:val="36"/>
              </w:rPr>
            </w:pPr>
            <w:r>
              <w:rPr>
                <w:rFonts w:hint="eastAsia" w:ascii="宋体" w:hAnsi="宋体"/>
                <w:color w:val="000000"/>
                <w:sz w:val="30"/>
                <w:u w:val="single"/>
              </w:rPr>
              <w:t xml:space="preserve">中石化新疆新春石油开发有限责任公司 </w:t>
            </w:r>
            <w:r>
              <w:rPr>
                <w:rFonts w:ascii="宋体" w:hAnsi="宋体"/>
                <w:color w:val="000000"/>
                <w:sz w:val="30"/>
                <w:u w:val="single"/>
              </w:rPr>
              <w:t xml:space="preserve">                       </w:t>
            </w:r>
          </w:p>
        </w:tc>
      </w:tr>
      <w:tr>
        <w:tblPrEx>
          <w:tblLayout w:type="fixed"/>
          <w:tblCellMar>
            <w:top w:w="0" w:type="dxa"/>
            <w:left w:w="108" w:type="dxa"/>
            <w:bottom w:w="0" w:type="dxa"/>
            <w:right w:w="108" w:type="dxa"/>
          </w:tblCellMar>
        </w:tblPrEx>
        <w:tc>
          <w:tcPr>
            <w:tcW w:w="1884" w:type="dxa"/>
          </w:tcPr>
          <w:p>
            <w:pPr>
              <w:adjustRightInd w:val="0"/>
              <w:snapToGrid w:val="0"/>
              <w:spacing w:line="288" w:lineRule="auto"/>
              <w:rPr>
                <w:rFonts w:ascii="仿宋_GB2312" w:eastAsia="仿宋_GB2312"/>
                <w:color w:val="000000"/>
                <w:sz w:val="36"/>
                <w:szCs w:val="36"/>
              </w:rPr>
            </w:pPr>
            <w:r>
              <w:rPr>
                <w:rFonts w:hint="eastAsia" w:ascii="仿宋_GB2312" w:eastAsia="仿宋_GB2312"/>
                <w:color w:val="000000"/>
                <w:sz w:val="36"/>
                <w:szCs w:val="36"/>
              </w:rPr>
              <w:t>编制日期</w:t>
            </w:r>
          </w:p>
        </w:tc>
        <w:tc>
          <w:tcPr>
            <w:tcW w:w="384" w:type="dxa"/>
          </w:tcPr>
          <w:p>
            <w:pPr>
              <w:adjustRightInd w:val="0"/>
              <w:snapToGrid w:val="0"/>
              <w:spacing w:line="288" w:lineRule="auto"/>
              <w:rPr>
                <w:rFonts w:ascii="仿宋_GB2312" w:eastAsia="仿宋_GB2312"/>
                <w:color w:val="000000"/>
                <w:sz w:val="36"/>
                <w:szCs w:val="36"/>
              </w:rPr>
            </w:pPr>
            <w:r>
              <w:rPr>
                <w:rFonts w:hint="eastAsia" w:ascii="仿宋_GB2312" w:eastAsia="仿宋_GB2312"/>
                <w:color w:val="000000"/>
                <w:sz w:val="36"/>
                <w:szCs w:val="36"/>
              </w:rPr>
              <w:t>：</w:t>
            </w:r>
          </w:p>
        </w:tc>
        <w:tc>
          <w:tcPr>
            <w:tcW w:w="4395" w:type="dxa"/>
          </w:tcPr>
          <w:p>
            <w:pPr>
              <w:adjustRightInd w:val="0"/>
              <w:snapToGrid w:val="0"/>
              <w:spacing w:line="288" w:lineRule="auto"/>
              <w:jc w:val="left"/>
              <w:rPr>
                <w:rFonts w:ascii="仿宋_GB2312" w:eastAsia="仿宋_GB2312"/>
                <w:color w:val="000000"/>
                <w:sz w:val="36"/>
                <w:szCs w:val="36"/>
              </w:rPr>
            </w:pPr>
            <w:r>
              <w:rPr>
                <w:rFonts w:hint="eastAsia" w:ascii="宋体" w:hAnsi="宋体"/>
                <w:color w:val="000000"/>
                <w:sz w:val="30"/>
                <w:u w:val="single"/>
              </w:rPr>
              <w:t>2022年</w:t>
            </w:r>
            <w:r>
              <w:rPr>
                <w:rFonts w:ascii="宋体" w:hAnsi="宋体"/>
                <w:color w:val="000000"/>
                <w:sz w:val="30"/>
                <w:u w:val="single"/>
              </w:rPr>
              <w:t>8</w:t>
            </w:r>
            <w:r>
              <w:rPr>
                <w:rFonts w:hint="eastAsia" w:ascii="宋体" w:hAnsi="宋体"/>
                <w:color w:val="000000"/>
                <w:sz w:val="30"/>
                <w:u w:val="single"/>
              </w:rPr>
              <w:t xml:space="preserve">月 </w:t>
            </w:r>
            <w:r>
              <w:rPr>
                <w:rFonts w:ascii="宋体" w:hAnsi="宋体"/>
                <w:color w:val="000000"/>
                <w:sz w:val="30"/>
                <w:u w:val="single"/>
              </w:rPr>
              <w:t xml:space="preserve">                  </w:t>
            </w:r>
          </w:p>
        </w:tc>
      </w:tr>
    </w:tbl>
    <w:p>
      <w:pPr>
        <w:adjustRightInd w:val="0"/>
        <w:snapToGrid w:val="0"/>
        <w:spacing w:line="288" w:lineRule="auto"/>
        <w:ind w:firstLine="1040"/>
        <w:rPr>
          <w:rFonts w:ascii="仿宋_GB2312" w:eastAsia="仿宋_GB2312"/>
          <w:color w:val="000000"/>
          <w:sz w:val="36"/>
          <w:szCs w:val="36"/>
          <w:u w:val="single"/>
        </w:rPr>
      </w:pPr>
    </w:p>
    <w:p>
      <w:pPr>
        <w:adjustRightInd w:val="0"/>
        <w:snapToGrid w:val="0"/>
        <w:spacing w:line="288" w:lineRule="auto"/>
        <w:ind w:firstLine="1040"/>
        <w:rPr>
          <w:rFonts w:ascii="仿宋_GB2312" w:eastAsia="仿宋_GB2312"/>
          <w:color w:val="000000"/>
          <w:sz w:val="36"/>
          <w:szCs w:val="36"/>
        </w:rPr>
      </w:pPr>
    </w:p>
    <w:p>
      <w:pPr>
        <w:adjustRightInd w:val="0"/>
        <w:snapToGrid w:val="0"/>
        <w:spacing w:line="288" w:lineRule="auto"/>
        <w:ind w:firstLine="1040"/>
        <w:rPr>
          <w:rFonts w:ascii="仿宋_GB2312" w:eastAsia="仿宋_GB2312"/>
          <w:color w:val="000000"/>
          <w:sz w:val="36"/>
          <w:szCs w:val="36"/>
        </w:rPr>
      </w:pPr>
    </w:p>
    <w:p>
      <w:pPr>
        <w:adjustRightInd w:val="0"/>
        <w:snapToGrid w:val="0"/>
        <w:spacing w:line="288" w:lineRule="auto"/>
        <w:ind w:firstLine="1040"/>
        <w:rPr>
          <w:rFonts w:ascii="仿宋_GB2312" w:eastAsia="仿宋_GB2312"/>
          <w:color w:val="000000"/>
          <w:sz w:val="36"/>
          <w:szCs w:val="36"/>
        </w:rPr>
      </w:pPr>
    </w:p>
    <w:p>
      <w:pPr>
        <w:adjustRightInd w:val="0"/>
        <w:snapToGrid w:val="0"/>
        <w:spacing w:line="288" w:lineRule="auto"/>
        <w:ind w:firstLine="1040"/>
        <w:rPr>
          <w:rFonts w:ascii="仿宋_GB2312" w:eastAsia="仿宋_GB2312"/>
          <w:color w:val="000000"/>
          <w:sz w:val="36"/>
          <w:szCs w:val="36"/>
        </w:rPr>
      </w:pPr>
    </w:p>
    <w:p>
      <w:pPr>
        <w:adjustRightInd w:val="0"/>
        <w:snapToGrid w:val="0"/>
        <w:spacing w:line="288" w:lineRule="auto"/>
        <w:jc w:val="center"/>
        <w:rPr>
          <w:rFonts w:ascii="楷体_GB2312" w:eastAsia="楷体_GB2312"/>
          <w:color w:val="000000"/>
          <w:sz w:val="36"/>
          <w:szCs w:val="36"/>
        </w:rPr>
      </w:pPr>
      <w:r>
        <w:rPr>
          <w:rFonts w:hint="eastAsia" w:ascii="楷体_GB2312" w:eastAsia="楷体_GB2312"/>
          <w:color w:val="000000"/>
          <w:sz w:val="36"/>
          <w:szCs w:val="36"/>
        </w:rPr>
        <w:t>中华人民共和国生态环境部制</w:t>
      </w:r>
    </w:p>
    <w:p>
      <w:pPr>
        <w:adjustRightInd w:val="0"/>
        <w:snapToGrid w:val="0"/>
        <w:spacing w:line="288" w:lineRule="auto"/>
        <w:ind w:firstLine="1040"/>
        <w:rPr>
          <w:rFonts w:ascii="仿宋_GB2312" w:eastAsia="仿宋_GB2312"/>
          <w:color w:val="000000"/>
          <w:sz w:val="36"/>
          <w:szCs w:val="36"/>
        </w:rPr>
        <w:sectPr>
          <w:footerReference r:id="rId3" w:type="default"/>
          <w:footerReference r:id="rId4" w:type="even"/>
          <w:pgSz w:w="11906" w:h="16838"/>
          <w:pgMar w:top="1701" w:right="1531" w:bottom="1701" w:left="1531" w:header="851" w:footer="1077" w:gutter="0"/>
          <w:pgNumType w:start="21"/>
          <w:cols w:space="720" w:num="1"/>
          <w:docGrid w:linePitch="312" w:charSpace="0"/>
        </w:sectPr>
      </w:pPr>
    </w:p>
    <w:p>
      <w:pPr>
        <w:adjustRightInd w:val="0"/>
        <w:snapToGrid w:val="0"/>
        <w:spacing w:line="288" w:lineRule="auto"/>
        <w:ind w:firstLine="1040"/>
        <w:rPr>
          <w:rFonts w:ascii="仿宋_GB2312" w:eastAsia="仿宋_GB2312"/>
          <w:color w:val="000000"/>
          <w:sz w:val="36"/>
          <w:szCs w:val="36"/>
        </w:rPr>
        <w:sectPr>
          <w:pgSz w:w="11906" w:h="16838"/>
          <w:pgMar w:top="1701" w:right="1531" w:bottom="1701" w:left="1531" w:header="851" w:footer="1077" w:gutter="0"/>
          <w:pgNumType w:start="21"/>
          <w:cols w:space="720" w:num="1"/>
          <w:docGrid w:linePitch="312" w:charSpace="0"/>
        </w:sectPr>
      </w:pPr>
      <w:r>
        <w:rPr>
          <w:rFonts w:ascii="仿宋_GB2312" w:eastAsia="仿宋_GB2312"/>
          <w:color w:val="000000"/>
          <w:sz w:val="36"/>
          <w:szCs w:val="36"/>
        </w:rPr>
        <w:drawing>
          <wp:anchor distT="0" distB="0" distL="114300" distR="114300" simplePos="0" relativeHeight="251664384" behindDoc="0" locked="0" layoutInCell="1" allowOverlap="1">
            <wp:simplePos x="0" y="0"/>
            <wp:positionH relativeFrom="page">
              <wp:align>right</wp:align>
            </wp:positionH>
            <wp:positionV relativeFrom="paragraph">
              <wp:posOffset>-1080135</wp:posOffset>
            </wp:positionV>
            <wp:extent cx="7559675" cy="10651490"/>
            <wp:effectExtent l="0" t="0" r="3175" b="0"/>
            <wp:wrapNone/>
            <wp:docPr id="7" name="图片 7" descr="F:\工作文件\2022年项目\环评\探井\大龙口-浅1、大龙口-浅2、大龙口-浅3等3口探井\上报\扫描件\扫描全能王 2022-08-09 16.38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工作文件\2022年项目\环评\探井\大龙口-浅1、大龙口-浅2、大龙口-浅3等3口探井\上报\扫描件\扫描全能王 2022-08-09 16.38_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7559749" cy="10651299"/>
                    </a:xfrm>
                    <a:prstGeom prst="rect">
                      <a:avLst/>
                    </a:prstGeom>
                    <a:noFill/>
                    <a:ln>
                      <a:noFill/>
                    </a:ln>
                  </pic:spPr>
                </pic:pic>
              </a:graphicData>
            </a:graphic>
          </wp:anchor>
        </w:drawing>
      </w:r>
    </w:p>
    <w:p>
      <w:pPr>
        <w:adjustRightInd w:val="0"/>
        <w:snapToGrid w:val="0"/>
        <w:spacing w:line="288" w:lineRule="auto"/>
        <w:ind w:firstLine="1040"/>
        <w:rPr>
          <w:rFonts w:ascii="仿宋_GB2312" w:eastAsia="仿宋_GB2312"/>
          <w:color w:val="000000"/>
          <w:sz w:val="36"/>
          <w:szCs w:val="36"/>
        </w:rPr>
        <w:sectPr>
          <w:pgSz w:w="11906" w:h="16838"/>
          <w:pgMar w:top="1701" w:right="1531" w:bottom="1701" w:left="1531" w:header="851" w:footer="1077" w:gutter="0"/>
          <w:pgNumType w:start="21"/>
          <w:cols w:space="720" w:num="1"/>
          <w:docGrid w:linePitch="312" w:charSpace="0"/>
        </w:sectPr>
      </w:pPr>
    </w:p>
    <w:p>
      <w:pPr>
        <w:pStyle w:val="113"/>
        <w:jc w:val="center"/>
        <w:rPr>
          <w:color w:val="auto"/>
        </w:rPr>
      </w:pPr>
      <w:r>
        <w:rPr>
          <w:color w:val="auto"/>
          <w:lang w:val="zh-CN"/>
        </w:rPr>
        <w:t>目</w:t>
      </w:r>
      <w:r>
        <w:rPr>
          <w:rFonts w:hint="eastAsia"/>
          <w:color w:val="auto"/>
          <w:lang w:val="zh-CN"/>
        </w:rPr>
        <w:t xml:space="preserve"> </w:t>
      </w:r>
      <w:r>
        <w:rPr>
          <w:color w:val="auto"/>
          <w:lang w:val="zh-CN"/>
        </w:rPr>
        <w:t xml:space="preserve"> 录</w:t>
      </w:r>
    </w:p>
    <w:p>
      <w:pPr>
        <w:pStyle w:val="23"/>
        <w:tabs>
          <w:tab w:val="right" w:leader="dot" w:pos="8834"/>
        </w:tabs>
        <w:rPr>
          <w:rFonts w:asciiTheme="minorHAnsi" w:hAnsiTheme="minorHAnsi" w:eastAsiaTheme="minorEastAsia" w:cstheme="minorBidi"/>
          <w:b w:val="0"/>
          <w:bCs w:val="0"/>
          <w:sz w:val="21"/>
          <w:szCs w:val="22"/>
        </w:rPr>
      </w:pPr>
      <w:r>
        <w:rPr>
          <w:rStyle w:val="36"/>
          <w:rFonts w:hint="eastAsia" w:hAnsi="黑体" w:eastAsia="黑体"/>
          <w:snapToGrid w:val="0"/>
          <w:color w:val="auto"/>
          <w:u w:val="none"/>
        </w:rPr>
        <w:t>一、建设项目基本情况</w:t>
      </w:r>
      <w:r>
        <w:tab/>
      </w:r>
      <w:r>
        <w:t>1</w:t>
      </w:r>
    </w:p>
    <w:p>
      <w:pPr>
        <w:pStyle w:val="23"/>
        <w:tabs>
          <w:tab w:val="right" w:leader="dot" w:pos="8834"/>
        </w:tabs>
        <w:rPr>
          <w:rFonts w:asciiTheme="minorHAnsi" w:hAnsiTheme="minorHAnsi" w:eastAsiaTheme="minorEastAsia" w:cstheme="minorBidi"/>
          <w:b w:val="0"/>
          <w:bCs w:val="0"/>
          <w:sz w:val="21"/>
          <w:szCs w:val="22"/>
        </w:rPr>
      </w:pPr>
      <w:r>
        <w:rPr>
          <w:rStyle w:val="36"/>
          <w:rFonts w:hint="eastAsia" w:hAnsi="黑体" w:eastAsia="黑体"/>
          <w:snapToGrid w:val="0"/>
          <w:color w:val="auto"/>
          <w:u w:val="none"/>
        </w:rPr>
        <w:t>二、建设内容</w:t>
      </w:r>
      <w:r>
        <w:tab/>
      </w:r>
      <w:r>
        <w:t>12</w:t>
      </w:r>
    </w:p>
    <w:p>
      <w:pPr>
        <w:pStyle w:val="23"/>
        <w:tabs>
          <w:tab w:val="right" w:leader="dot" w:pos="8834"/>
        </w:tabs>
        <w:rPr>
          <w:rFonts w:asciiTheme="minorHAnsi" w:hAnsiTheme="minorHAnsi" w:eastAsiaTheme="minorEastAsia" w:cstheme="minorBidi"/>
          <w:b w:val="0"/>
          <w:bCs w:val="0"/>
          <w:sz w:val="21"/>
          <w:szCs w:val="22"/>
        </w:rPr>
      </w:pPr>
      <w:r>
        <w:rPr>
          <w:rStyle w:val="36"/>
          <w:rFonts w:hint="eastAsia" w:hAnsi="黑体" w:eastAsia="黑体"/>
          <w:snapToGrid w:val="0"/>
          <w:color w:val="auto"/>
          <w:u w:val="none"/>
        </w:rPr>
        <w:t>三、生态环境现状、保护目标及评价标准</w:t>
      </w:r>
      <w:r>
        <w:tab/>
      </w:r>
      <w:r>
        <w:t>20</w:t>
      </w:r>
    </w:p>
    <w:p>
      <w:pPr>
        <w:pStyle w:val="23"/>
        <w:tabs>
          <w:tab w:val="right" w:leader="dot" w:pos="8834"/>
        </w:tabs>
        <w:rPr>
          <w:rFonts w:asciiTheme="minorHAnsi" w:hAnsiTheme="minorHAnsi" w:eastAsiaTheme="minorEastAsia" w:cstheme="minorBidi"/>
          <w:b w:val="0"/>
          <w:bCs w:val="0"/>
          <w:sz w:val="21"/>
          <w:szCs w:val="22"/>
        </w:rPr>
      </w:pPr>
      <w:r>
        <w:rPr>
          <w:rStyle w:val="36"/>
          <w:rFonts w:hint="eastAsia" w:hAnsi="黑体" w:eastAsia="黑体"/>
          <w:snapToGrid w:val="0"/>
          <w:color w:val="auto"/>
          <w:u w:val="none"/>
        </w:rPr>
        <w:t>四、生态环境影响分析</w:t>
      </w:r>
      <w:r>
        <w:tab/>
      </w:r>
      <w:r>
        <w:t>28</w:t>
      </w:r>
    </w:p>
    <w:p>
      <w:pPr>
        <w:pStyle w:val="23"/>
        <w:tabs>
          <w:tab w:val="right" w:leader="dot" w:pos="8834"/>
        </w:tabs>
        <w:rPr>
          <w:rFonts w:asciiTheme="minorHAnsi" w:hAnsiTheme="minorHAnsi" w:eastAsiaTheme="minorEastAsia" w:cstheme="minorBidi"/>
          <w:b w:val="0"/>
          <w:bCs w:val="0"/>
          <w:sz w:val="21"/>
          <w:szCs w:val="22"/>
        </w:rPr>
      </w:pPr>
      <w:r>
        <w:rPr>
          <w:rStyle w:val="36"/>
          <w:rFonts w:hint="eastAsia" w:hAnsi="黑体" w:eastAsia="黑体"/>
          <w:snapToGrid w:val="0"/>
          <w:color w:val="auto"/>
          <w:u w:val="none"/>
        </w:rPr>
        <w:t>五、主要生态环境保护措施</w:t>
      </w:r>
      <w:r>
        <w:tab/>
      </w:r>
      <w:r>
        <w:t>40</w:t>
      </w:r>
    </w:p>
    <w:p>
      <w:pPr>
        <w:pStyle w:val="23"/>
        <w:tabs>
          <w:tab w:val="right" w:leader="dot" w:pos="8834"/>
        </w:tabs>
        <w:rPr>
          <w:rFonts w:asciiTheme="minorHAnsi" w:hAnsiTheme="minorHAnsi" w:eastAsiaTheme="minorEastAsia" w:cstheme="minorBidi"/>
          <w:b w:val="0"/>
          <w:bCs w:val="0"/>
          <w:sz w:val="21"/>
          <w:szCs w:val="22"/>
        </w:rPr>
      </w:pPr>
      <w:r>
        <w:rPr>
          <w:rStyle w:val="36"/>
          <w:rFonts w:hint="eastAsia" w:hAnsi="黑体" w:eastAsia="黑体"/>
          <w:snapToGrid w:val="0"/>
          <w:color w:val="auto"/>
          <w:u w:val="none"/>
        </w:rPr>
        <w:t>六、生态环境保护措施监督检查清单</w:t>
      </w:r>
      <w:r>
        <w:tab/>
      </w:r>
      <w:r>
        <w:t>53</w:t>
      </w:r>
    </w:p>
    <w:p>
      <w:pPr>
        <w:pStyle w:val="23"/>
        <w:tabs>
          <w:tab w:val="right" w:leader="dot" w:pos="8834"/>
        </w:tabs>
        <w:rPr>
          <w:rFonts w:asciiTheme="minorHAnsi" w:hAnsiTheme="minorHAnsi" w:eastAsiaTheme="minorEastAsia" w:cstheme="minorBidi"/>
          <w:b w:val="0"/>
          <w:bCs w:val="0"/>
          <w:sz w:val="21"/>
          <w:szCs w:val="22"/>
        </w:rPr>
      </w:pPr>
      <w:r>
        <w:rPr>
          <w:rStyle w:val="36"/>
          <w:rFonts w:hint="eastAsia" w:hAnsi="黑体" w:eastAsia="黑体"/>
          <w:snapToGrid w:val="0"/>
          <w:color w:val="auto"/>
          <w:u w:val="none"/>
        </w:rPr>
        <w:t>七、结论</w:t>
      </w:r>
      <w:r>
        <w:tab/>
      </w:r>
      <w:r>
        <w:t>56</w:t>
      </w:r>
    </w:p>
    <w:p>
      <w:pPr>
        <w:pStyle w:val="24"/>
        <w:tabs>
          <w:tab w:val="right" w:leader="dot" w:pos="8834"/>
        </w:tabs>
        <w:rPr>
          <w:rFonts w:asciiTheme="minorHAnsi" w:hAnsiTheme="minorHAnsi" w:eastAsiaTheme="minorEastAsia" w:cstheme="minorBidi"/>
          <w:iCs w:val="0"/>
          <w:sz w:val="21"/>
          <w:szCs w:val="22"/>
        </w:rPr>
      </w:pPr>
      <w:r>
        <w:rPr>
          <w:rStyle w:val="36"/>
          <w:rFonts w:hint="eastAsia" w:ascii="宋体" w:cs="宋体"/>
          <w:color w:val="auto"/>
          <w:u w:val="none"/>
        </w:rPr>
        <w:t>附件1</w:t>
      </w:r>
      <w:r>
        <w:rPr>
          <w:rStyle w:val="36"/>
          <w:rFonts w:hint="eastAsia" w:hAnsi="黑体"/>
          <w:color w:val="auto"/>
          <w:u w:val="none"/>
        </w:rPr>
        <w:t xml:space="preserve"> 环境影响评价委托书</w:t>
      </w:r>
      <w:r>
        <w:tab/>
      </w:r>
      <w:r>
        <w:t>57</w:t>
      </w:r>
    </w:p>
    <w:p>
      <w:pPr>
        <w:pStyle w:val="24"/>
        <w:tabs>
          <w:tab w:val="right" w:leader="dot" w:pos="8834"/>
        </w:tabs>
        <w:rPr>
          <w:rFonts w:asciiTheme="minorHAnsi" w:hAnsiTheme="minorHAnsi" w:eastAsiaTheme="minorEastAsia" w:cstheme="minorBidi"/>
          <w:iCs w:val="0"/>
          <w:sz w:val="21"/>
          <w:szCs w:val="22"/>
        </w:rPr>
      </w:pPr>
      <w:r>
        <w:rPr>
          <w:rStyle w:val="36"/>
          <w:rFonts w:hint="eastAsia"/>
          <w:snapToGrid w:val="0"/>
          <w:color w:val="auto"/>
          <w:u w:val="none"/>
        </w:rPr>
        <w:t>附件2</w:t>
      </w:r>
      <w:r>
        <w:rPr>
          <w:rStyle w:val="36"/>
          <w:rFonts w:hint="eastAsia"/>
          <w:color w:val="auto"/>
          <w:u w:val="none"/>
        </w:rPr>
        <w:t xml:space="preserve"> 环境质量现状监测报告</w:t>
      </w:r>
      <w:r>
        <w:tab/>
      </w:r>
      <w:r>
        <w:t>58</w:t>
      </w:r>
    </w:p>
    <w:p>
      <w:pPr>
        <w:pStyle w:val="24"/>
        <w:tabs>
          <w:tab w:val="right" w:leader="dot" w:pos="8834"/>
        </w:tabs>
        <w:rPr>
          <w:rFonts w:asciiTheme="minorHAnsi" w:hAnsiTheme="minorHAnsi" w:eastAsiaTheme="minorEastAsia" w:cstheme="minorBidi"/>
          <w:iCs w:val="0"/>
          <w:sz w:val="21"/>
          <w:szCs w:val="22"/>
        </w:rPr>
      </w:pPr>
      <w:r>
        <w:rPr>
          <w:rStyle w:val="36"/>
          <w:rFonts w:hint="eastAsia"/>
          <w:color w:val="auto"/>
          <w:u w:val="none"/>
        </w:rPr>
        <w:t>附件3 春风一号联合站环保手续</w:t>
      </w:r>
      <w:r>
        <w:tab/>
      </w:r>
      <w:r>
        <w:t>64</w:t>
      </w:r>
    </w:p>
    <w:p>
      <w:pPr>
        <w:pStyle w:val="24"/>
        <w:tabs>
          <w:tab w:val="right" w:leader="dot" w:pos="8834"/>
        </w:tabs>
        <w:rPr>
          <w:rFonts w:asciiTheme="minorHAnsi" w:hAnsiTheme="minorHAnsi" w:eastAsiaTheme="minorEastAsia" w:cstheme="minorBidi"/>
          <w:iCs w:val="0"/>
          <w:sz w:val="21"/>
          <w:szCs w:val="22"/>
        </w:rPr>
      </w:pPr>
      <w:r>
        <w:rPr>
          <w:rStyle w:val="36"/>
          <w:rFonts w:hint="eastAsia"/>
          <w:color w:val="auto"/>
          <w:u w:val="none"/>
        </w:rPr>
        <w:t>附件4 与《关于</w:t>
      </w:r>
      <w:r>
        <w:rPr>
          <w:rStyle w:val="36"/>
          <w:color w:val="auto"/>
          <w:u w:val="none"/>
        </w:rPr>
        <w:t>&lt;</w:t>
      </w:r>
      <w:r>
        <w:rPr>
          <w:rStyle w:val="36"/>
          <w:rFonts w:hint="eastAsia"/>
          <w:color w:val="auto"/>
          <w:u w:val="none"/>
        </w:rPr>
        <w:t>昌吉回族自治</w:t>
      </w:r>
      <w:r>
        <w:rPr>
          <w:rStyle w:val="36"/>
          <w:rFonts w:hint="eastAsia" w:hAnsi="黑体"/>
          <w:color w:val="auto"/>
          <w:u w:val="none"/>
        </w:rPr>
        <w:t>州</w:t>
      </w:r>
      <w:r>
        <w:rPr>
          <w:rStyle w:val="36"/>
          <w:rFonts w:hAnsi="黑体"/>
          <w:color w:val="auto"/>
          <w:u w:val="none"/>
        </w:rPr>
        <w:t>“</w:t>
      </w:r>
      <w:r>
        <w:rPr>
          <w:rStyle w:val="36"/>
          <w:rFonts w:hint="eastAsia" w:hAnsi="黑体"/>
          <w:color w:val="auto"/>
          <w:u w:val="none"/>
        </w:rPr>
        <w:t>三线一单</w:t>
      </w:r>
      <w:r>
        <w:rPr>
          <w:rStyle w:val="36"/>
          <w:rFonts w:hAnsi="黑体"/>
          <w:color w:val="auto"/>
          <w:u w:val="none"/>
        </w:rPr>
        <w:t>”</w:t>
      </w:r>
      <w:r>
        <w:rPr>
          <w:rStyle w:val="36"/>
          <w:rFonts w:hint="eastAsia" w:hAnsi="黑体"/>
          <w:color w:val="auto"/>
          <w:u w:val="none"/>
        </w:rPr>
        <w:t>生</w:t>
      </w:r>
      <w:r>
        <w:rPr>
          <w:rStyle w:val="36"/>
          <w:rFonts w:hint="eastAsia"/>
          <w:color w:val="auto"/>
          <w:u w:val="none"/>
        </w:rPr>
        <w:t>态环境分区管控方案及生态环境准入清单</w:t>
      </w:r>
      <w:r>
        <w:rPr>
          <w:rStyle w:val="36"/>
          <w:color w:val="auto"/>
          <w:u w:val="none"/>
        </w:rPr>
        <w:t>&gt;</w:t>
      </w:r>
      <w:r>
        <w:rPr>
          <w:rStyle w:val="36"/>
          <w:rFonts w:hint="eastAsia"/>
          <w:color w:val="auto"/>
          <w:u w:val="none"/>
        </w:rPr>
        <w:t>的公告》（昌州政办发〔</w:t>
      </w:r>
      <w:r>
        <w:rPr>
          <w:rStyle w:val="36"/>
          <w:color w:val="auto"/>
          <w:u w:val="none"/>
        </w:rPr>
        <w:t>2021</w:t>
      </w:r>
      <w:r>
        <w:rPr>
          <w:rStyle w:val="36"/>
          <w:rFonts w:hint="eastAsia"/>
          <w:color w:val="auto"/>
          <w:u w:val="none"/>
        </w:rPr>
        <w:t>〕</w:t>
      </w:r>
      <w:r>
        <w:rPr>
          <w:rStyle w:val="36"/>
          <w:color w:val="auto"/>
          <w:u w:val="none"/>
        </w:rPr>
        <w:t>41</w:t>
      </w:r>
      <w:r>
        <w:rPr>
          <w:rStyle w:val="36"/>
          <w:rFonts w:hint="eastAsia"/>
          <w:color w:val="auto"/>
          <w:u w:val="none"/>
        </w:rPr>
        <w:t>号）中生态环境准入清单符合性分析</w:t>
      </w:r>
      <w:r>
        <w:tab/>
      </w:r>
      <w:r>
        <w:t>71</w:t>
      </w:r>
    </w:p>
    <w:p>
      <w:pPr>
        <w:pStyle w:val="24"/>
        <w:tabs>
          <w:tab w:val="right" w:leader="dot" w:pos="8834"/>
        </w:tabs>
        <w:rPr>
          <w:rFonts w:asciiTheme="minorHAnsi" w:hAnsiTheme="minorHAnsi" w:eastAsiaTheme="minorEastAsia" w:cstheme="minorBidi"/>
          <w:iCs w:val="0"/>
          <w:sz w:val="21"/>
          <w:szCs w:val="22"/>
        </w:rPr>
      </w:pPr>
      <w:r>
        <w:rPr>
          <w:rStyle w:val="36"/>
          <w:rFonts w:hint="eastAsia"/>
          <w:snapToGrid w:val="0"/>
          <w:color w:val="auto"/>
          <w:u w:val="none"/>
        </w:rPr>
        <w:t>附图1 地理位置图</w:t>
      </w:r>
      <w:r>
        <w:tab/>
      </w:r>
      <w:r>
        <w:t>84</w:t>
      </w:r>
    </w:p>
    <w:p>
      <w:pPr>
        <w:pStyle w:val="24"/>
        <w:tabs>
          <w:tab w:val="right" w:leader="dot" w:pos="8834"/>
        </w:tabs>
        <w:rPr>
          <w:rFonts w:asciiTheme="minorHAnsi" w:hAnsiTheme="minorHAnsi" w:eastAsiaTheme="minorEastAsia" w:cstheme="minorBidi"/>
          <w:iCs w:val="0"/>
          <w:sz w:val="21"/>
          <w:szCs w:val="22"/>
        </w:rPr>
      </w:pPr>
      <w:r>
        <w:rPr>
          <w:rStyle w:val="36"/>
          <w:rFonts w:hint="eastAsia"/>
          <w:snapToGrid w:val="0"/>
          <w:color w:val="auto"/>
          <w:u w:val="none"/>
        </w:rPr>
        <w:t>附图2 施工总布置图</w:t>
      </w:r>
      <w:r>
        <w:tab/>
      </w:r>
      <w:r>
        <w:t>85</w:t>
      </w:r>
    </w:p>
    <w:p>
      <w:pPr>
        <w:pStyle w:val="24"/>
        <w:tabs>
          <w:tab w:val="right" w:leader="dot" w:pos="8834"/>
        </w:tabs>
        <w:rPr>
          <w:rFonts w:asciiTheme="minorHAnsi" w:hAnsiTheme="minorHAnsi" w:eastAsiaTheme="minorEastAsia" w:cstheme="minorBidi"/>
          <w:iCs w:val="0"/>
          <w:sz w:val="21"/>
          <w:szCs w:val="22"/>
        </w:rPr>
      </w:pPr>
      <w:r>
        <w:rPr>
          <w:rStyle w:val="36"/>
          <w:rFonts w:hint="eastAsia"/>
          <w:snapToGrid w:val="0"/>
          <w:color w:val="auto"/>
          <w:u w:val="none"/>
        </w:rPr>
        <w:t>附图3 现场照片</w:t>
      </w:r>
      <w:r>
        <w:tab/>
      </w:r>
      <w:r>
        <w:t>86</w:t>
      </w:r>
    </w:p>
    <w:p>
      <w:pPr>
        <w:pStyle w:val="24"/>
        <w:tabs>
          <w:tab w:val="right" w:leader="dot" w:pos="8834"/>
        </w:tabs>
        <w:rPr>
          <w:rFonts w:asciiTheme="minorHAnsi" w:hAnsiTheme="minorHAnsi" w:eastAsiaTheme="minorEastAsia" w:cstheme="minorBidi"/>
          <w:iCs w:val="0"/>
          <w:sz w:val="21"/>
          <w:szCs w:val="22"/>
        </w:rPr>
      </w:pPr>
      <w:r>
        <w:rPr>
          <w:rStyle w:val="36"/>
          <w:rFonts w:hint="eastAsia"/>
          <w:snapToGrid w:val="0"/>
          <w:color w:val="auto"/>
          <w:u w:val="none"/>
        </w:rPr>
        <w:t>附图4 植被类型分布图</w:t>
      </w:r>
      <w:r>
        <w:tab/>
      </w:r>
      <w:r>
        <w:t>87</w:t>
      </w:r>
    </w:p>
    <w:p>
      <w:pPr>
        <w:pStyle w:val="24"/>
        <w:tabs>
          <w:tab w:val="right" w:leader="dot" w:pos="8834"/>
        </w:tabs>
        <w:rPr>
          <w:rFonts w:asciiTheme="minorHAnsi" w:hAnsiTheme="minorHAnsi" w:eastAsiaTheme="minorEastAsia" w:cstheme="minorBidi"/>
          <w:iCs w:val="0"/>
          <w:sz w:val="21"/>
          <w:szCs w:val="22"/>
        </w:rPr>
      </w:pPr>
      <w:r>
        <w:rPr>
          <w:rStyle w:val="36"/>
          <w:rFonts w:hint="eastAsia"/>
          <w:snapToGrid w:val="0"/>
          <w:color w:val="auto"/>
          <w:u w:val="none"/>
        </w:rPr>
        <w:t>附图5 土壤类型分布图</w:t>
      </w:r>
      <w:r>
        <w:tab/>
      </w:r>
      <w:r>
        <w:t>88</w:t>
      </w:r>
    </w:p>
    <w:p>
      <w:pPr>
        <w:pStyle w:val="24"/>
        <w:tabs>
          <w:tab w:val="right" w:leader="dot" w:pos="8834"/>
        </w:tabs>
        <w:rPr>
          <w:rFonts w:asciiTheme="minorHAnsi" w:hAnsiTheme="minorHAnsi" w:eastAsiaTheme="minorEastAsia" w:cstheme="minorBidi"/>
          <w:iCs w:val="0"/>
          <w:sz w:val="21"/>
          <w:szCs w:val="22"/>
        </w:rPr>
      </w:pPr>
      <w:r>
        <w:rPr>
          <w:rStyle w:val="36"/>
          <w:rFonts w:hint="eastAsia"/>
          <w:snapToGrid w:val="0"/>
          <w:color w:val="auto"/>
          <w:u w:val="none"/>
        </w:rPr>
        <w:t>附图6</w:t>
      </w:r>
      <w:r>
        <w:rPr>
          <w:rStyle w:val="36"/>
          <w:rFonts w:hint="eastAsia"/>
          <w:color w:val="auto"/>
          <w:u w:val="none"/>
        </w:rPr>
        <w:t xml:space="preserve"> 工程总平面布置示意图</w:t>
      </w:r>
      <w:r>
        <w:tab/>
      </w:r>
      <w:r>
        <w:t>89</w:t>
      </w:r>
    </w:p>
    <w:p>
      <w:pPr>
        <w:pStyle w:val="24"/>
        <w:tabs>
          <w:tab w:val="right" w:leader="dot" w:pos="8834"/>
        </w:tabs>
        <w:rPr>
          <w:rFonts w:asciiTheme="minorHAnsi" w:hAnsiTheme="minorHAnsi" w:eastAsiaTheme="minorEastAsia" w:cstheme="minorBidi"/>
          <w:iCs w:val="0"/>
          <w:sz w:val="21"/>
          <w:szCs w:val="22"/>
        </w:rPr>
      </w:pPr>
      <w:r>
        <w:rPr>
          <w:rStyle w:val="36"/>
          <w:rFonts w:hint="eastAsia"/>
          <w:snapToGrid w:val="0"/>
          <w:color w:val="auto"/>
          <w:u w:val="none"/>
        </w:rPr>
        <w:t>附图7</w:t>
      </w:r>
      <w:r>
        <w:rPr>
          <w:rStyle w:val="36"/>
          <w:rFonts w:hint="eastAsia"/>
          <w:color w:val="auto"/>
          <w:u w:val="none"/>
        </w:rPr>
        <w:t xml:space="preserve"> 生态环境保护措施平面布置示意图</w:t>
      </w:r>
      <w:r>
        <w:tab/>
      </w:r>
      <w:r>
        <w:t>93</w:t>
      </w:r>
    </w:p>
    <w:p>
      <w:pPr>
        <w:pStyle w:val="24"/>
        <w:tabs>
          <w:tab w:val="right" w:leader="dot" w:pos="8834"/>
        </w:tabs>
        <w:rPr>
          <w:rFonts w:asciiTheme="minorHAnsi" w:hAnsiTheme="minorHAnsi" w:eastAsiaTheme="minorEastAsia" w:cstheme="minorBidi"/>
          <w:iCs w:val="0"/>
          <w:sz w:val="21"/>
          <w:szCs w:val="22"/>
        </w:rPr>
      </w:pPr>
      <w:r>
        <w:rPr>
          <w:rStyle w:val="36"/>
          <w:rFonts w:hint="eastAsia"/>
          <w:snapToGrid w:val="0"/>
          <w:color w:val="auto"/>
          <w:u w:val="none"/>
        </w:rPr>
        <w:t>附图8</w:t>
      </w:r>
      <w:r>
        <w:rPr>
          <w:rStyle w:val="36"/>
          <w:rFonts w:hint="eastAsia"/>
          <w:color w:val="auto"/>
          <w:u w:val="none"/>
        </w:rPr>
        <w:t xml:space="preserve"> 本项目在昌吉回族自治州“三线一单”环境管控单元位置图</w:t>
      </w:r>
      <w:r>
        <w:tab/>
      </w:r>
      <w:r>
        <w:t>96</w:t>
      </w:r>
    </w:p>
    <w:p>
      <w:pPr>
        <w:rPr>
          <w:color w:val="000000"/>
        </w:rPr>
      </w:pPr>
    </w:p>
    <w:p>
      <w:pPr>
        <w:adjustRightInd w:val="0"/>
        <w:snapToGrid w:val="0"/>
        <w:spacing w:line="288" w:lineRule="auto"/>
        <w:ind w:firstLine="1040"/>
        <w:rPr>
          <w:rFonts w:ascii="仿宋_GB2312" w:eastAsia="仿宋_GB2312"/>
          <w:color w:val="000000"/>
          <w:sz w:val="36"/>
          <w:szCs w:val="36"/>
        </w:rPr>
        <w:sectPr>
          <w:pgSz w:w="11906" w:h="16838"/>
          <w:pgMar w:top="1701" w:right="1531" w:bottom="1701" w:left="1531" w:header="851" w:footer="1077" w:gutter="0"/>
          <w:pgNumType w:start="21"/>
          <w:cols w:space="720" w:num="1"/>
          <w:docGrid w:linePitch="312" w:charSpace="0"/>
        </w:sectPr>
      </w:pPr>
    </w:p>
    <w:p>
      <w:pPr>
        <w:adjustRightInd w:val="0"/>
        <w:snapToGrid w:val="0"/>
        <w:spacing w:line="288" w:lineRule="auto"/>
        <w:ind w:firstLine="1040"/>
        <w:rPr>
          <w:rFonts w:ascii="仿宋_GB2312" w:eastAsia="仿宋_GB2312"/>
          <w:color w:val="000000"/>
          <w:sz w:val="36"/>
          <w:szCs w:val="36"/>
        </w:rPr>
        <w:sectPr>
          <w:pgSz w:w="11906" w:h="16838"/>
          <w:pgMar w:top="1701" w:right="1531" w:bottom="1701" w:left="1531" w:header="851" w:footer="1077" w:gutter="0"/>
          <w:pgNumType w:start="21"/>
          <w:cols w:space="720" w:num="1"/>
          <w:docGrid w:linePitch="312" w:charSpace="0"/>
        </w:sectPr>
      </w:pPr>
    </w:p>
    <w:p>
      <w:pPr>
        <w:pStyle w:val="26"/>
        <w:adjustRightInd w:val="0"/>
        <w:snapToGrid w:val="0"/>
        <w:spacing w:before="0" w:beforeAutospacing="0" w:after="0" w:afterAutospacing="0"/>
        <w:jc w:val="center"/>
        <w:outlineLvl w:val="0"/>
        <w:rPr>
          <w:rFonts w:ascii="黑体" w:hAnsi="黑体" w:eastAsia="黑体"/>
          <w:snapToGrid w:val="0"/>
          <w:color w:val="000000"/>
          <w:sz w:val="30"/>
          <w:szCs w:val="30"/>
        </w:rPr>
      </w:pPr>
      <w:bookmarkStart w:id="2" w:name="_Toc110934644"/>
      <w:r>
        <w:rPr>
          <w:rFonts w:hint="eastAsia" w:ascii="黑体" w:hAnsi="黑体" w:eastAsia="黑体"/>
          <w:snapToGrid w:val="0"/>
          <w:color w:val="000000"/>
          <w:sz w:val="30"/>
          <w:szCs w:val="30"/>
        </w:rPr>
        <w:t>一、建设项目基本情况</w:t>
      </w:r>
      <w:bookmarkEnd w:id="2"/>
    </w:p>
    <w:tbl>
      <w:tblPr>
        <w:tblStyle w:val="29"/>
        <w:tblW w:w="9055"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6"/>
        <w:gridCol w:w="426"/>
        <w:gridCol w:w="1559"/>
        <w:gridCol w:w="2284"/>
        <w:gridCol w:w="2218"/>
        <w:gridCol w:w="10"/>
        <w:gridCol w:w="2363"/>
        <w:gridCol w:w="17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gridBefore w:val="1"/>
          <w:wBefore w:w="16" w:type="dxa"/>
          <w:trHeight w:val="794" w:hRule="atLeast"/>
        </w:trPr>
        <w:tc>
          <w:tcPr>
            <w:tcW w:w="1985" w:type="dxa"/>
            <w:gridSpan w:val="2"/>
            <w:tcMar>
              <w:top w:w="16" w:type="dxa"/>
              <w:left w:w="16" w:type="dxa"/>
              <w:right w:w="16" w:type="dxa"/>
            </w:tcMar>
            <w:vAlign w:val="center"/>
          </w:tcPr>
          <w:p>
            <w:pPr>
              <w:adjustRightInd w:val="0"/>
              <w:snapToGrid w:val="0"/>
              <w:jc w:val="center"/>
              <w:rPr>
                <w:rFonts w:ascii="宋体" w:hAnsi="宋体" w:cs="宋体"/>
                <w:color w:val="000000"/>
                <w:szCs w:val="21"/>
              </w:rPr>
            </w:pPr>
            <w:r>
              <w:rPr>
                <w:rFonts w:hint="eastAsia" w:ascii="宋体" w:hAnsi="宋体" w:cs="宋体"/>
                <w:color w:val="000000"/>
                <w:szCs w:val="21"/>
              </w:rPr>
              <w:t>建设项目名称</w:t>
            </w:r>
          </w:p>
        </w:tc>
        <w:tc>
          <w:tcPr>
            <w:tcW w:w="7054" w:type="dxa"/>
            <w:gridSpan w:val="5"/>
            <w:vAlign w:val="center"/>
          </w:tcPr>
          <w:p>
            <w:pPr>
              <w:adjustRightInd w:val="0"/>
              <w:snapToGrid w:val="0"/>
              <w:jc w:val="center"/>
              <w:rPr>
                <w:rFonts w:ascii="宋体" w:hAnsi="宋体" w:cs="宋体"/>
                <w:color w:val="000000"/>
                <w:szCs w:val="21"/>
              </w:rPr>
            </w:pPr>
            <w:r>
              <w:rPr>
                <w:rFonts w:hint="eastAsia" w:ascii="宋体" w:hAnsi="宋体" w:cs="宋体"/>
                <w:color w:val="000000"/>
                <w:szCs w:val="21"/>
              </w:rPr>
              <w:t>大龙口-浅1、大龙口-浅2、大龙口-浅3等3口探井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gridBefore w:val="1"/>
          <w:wBefore w:w="16" w:type="dxa"/>
          <w:trHeight w:val="512" w:hRule="atLeast"/>
        </w:trPr>
        <w:tc>
          <w:tcPr>
            <w:tcW w:w="1985" w:type="dxa"/>
            <w:gridSpan w:val="2"/>
            <w:tcMar>
              <w:top w:w="16" w:type="dxa"/>
              <w:left w:w="16" w:type="dxa"/>
              <w:right w:w="16" w:type="dxa"/>
            </w:tcMar>
            <w:vAlign w:val="center"/>
          </w:tcPr>
          <w:p>
            <w:pPr>
              <w:adjustRightInd w:val="0"/>
              <w:snapToGrid w:val="0"/>
              <w:jc w:val="center"/>
              <w:rPr>
                <w:rFonts w:ascii="宋体" w:hAnsi="宋体" w:cs="宋体"/>
                <w:color w:val="000000"/>
                <w:szCs w:val="21"/>
              </w:rPr>
            </w:pPr>
            <w:r>
              <w:rPr>
                <w:rFonts w:hint="eastAsia" w:ascii="宋体" w:hAnsi="宋体" w:cs="宋体"/>
                <w:color w:val="000000"/>
                <w:szCs w:val="21"/>
              </w:rPr>
              <w:t>项目代码</w:t>
            </w:r>
          </w:p>
        </w:tc>
        <w:tc>
          <w:tcPr>
            <w:tcW w:w="7054" w:type="dxa"/>
            <w:gridSpan w:val="5"/>
            <w:vAlign w:val="center"/>
          </w:tcPr>
          <w:p>
            <w:pPr>
              <w:adjustRightInd w:val="0"/>
              <w:snapToGrid w:val="0"/>
              <w:jc w:val="center"/>
              <w:rPr>
                <w:rFonts w:ascii="宋体" w:hAnsi="宋体" w:cs="宋体"/>
                <w:color w:val="000000"/>
                <w:szCs w:val="21"/>
              </w:rPr>
            </w:pPr>
            <w:r>
              <w:rPr>
                <w:rFonts w:hint="eastAsia" w:ascii="宋体" w:hAnsi="宋体" w:cs="宋体"/>
                <w:color w:val="000000"/>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gridBefore w:val="1"/>
          <w:wBefore w:w="16" w:type="dxa"/>
          <w:trHeight w:val="600" w:hRule="atLeast"/>
        </w:trPr>
        <w:tc>
          <w:tcPr>
            <w:tcW w:w="1985" w:type="dxa"/>
            <w:gridSpan w:val="2"/>
            <w:tcMar>
              <w:top w:w="16" w:type="dxa"/>
              <w:left w:w="16" w:type="dxa"/>
              <w:right w:w="16" w:type="dxa"/>
            </w:tcMar>
            <w:vAlign w:val="center"/>
          </w:tcPr>
          <w:p>
            <w:pPr>
              <w:adjustRightInd w:val="0"/>
              <w:snapToGrid w:val="0"/>
              <w:jc w:val="center"/>
              <w:rPr>
                <w:rFonts w:ascii="宋体" w:hAnsi="宋体" w:cs="宋体"/>
                <w:color w:val="000000"/>
                <w:szCs w:val="21"/>
              </w:rPr>
            </w:pPr>
            <w:r>
              <w:rPr>
                <w:rFonts w:hint="eastAsia" w:ascii="宋体" w:hAnsi="宋体" w:cs="宋体"/>
                <w:color w:val="000000"/>
                <w:szCs w:val="21"/>
              </w:rPr>
              <w:t>建设单位联系人</w:t>
            </w:r>
          </w:p>
        </w:tc>
        <w:tc>
          <w:tcPr>
            <w:tcW w:w="2284" w:type="dxa"/>
            <w:vAlign w:val="center"/>
          </w:tcPr>
          <w:p>
            <w:pPr>
              <w:adjustRightInd w:val="0"/>
              <w:snapToGrid w:val="0"/>
              <w:jc w:val="center"/>
              <w:rPr>
                <w:rFonts w:ascii="宋体" w:hAnsi="宋体" w:cs="宋体"/>
                <w:color w:val="000000"/>
                <w:szCs w:val="21"/>
              </w:rPr>
            </w:pPr>
            <w:r>
              <w:rPr>
                <w:rFonts w:hint="eastAsia" w:ascii="宋体" w:hAnsi="宋体" w:cs="宋体"/>
                <w:color w:val="000000"/>
                <w:szCs w:val="21"/>
              </w:rPr>
              <w:t>金云鹏</w:t>
            </w:r>
          </w:p>
        </w:tc>
        <w:tc>
          <w:tcPr>
            <w:tcW w:w="2228" w:type="dxa"/>
            <w:gridSpan w:val="2"/>
            <w:vAlign w:val="center"/>
          </w:tcPr>
          <w:p>
            <w:pPr>
              <w:adjustRightInd w:val="0"/>
              <w:snapToGrid w:val="0"/>
              <w:jc w:val="center"/>
              <w:rPr>
                <w:rFonts w:ascii="宋体" w:hAnsi="宋体" w:cs="宋体"/>
                <w:color w:val="000000"/>
                <w:szCs w:val="21"/>
              </w:rPr>
            </w:pPr>
            <w:r>
              <w:rPr>
                <w:rFonts w:hint="eastAsia" w:ascii="宋体" w:hAnsi="宋体" w:cs="宋体"/>
                <w:color w:val="000000"/>
                <w:szCs w:val="21"/>
              </w:rPr>
              <w:t>联系方式</w:t>
            </w:r>
          </w:p>
        </w:tc>
        <w:tc>
          <w:tcPr>
            <w:tcW w:w="2542" w:type="dxa"/>
            <w:gridSpan w:val="2"/>
            <w:vAlign w:val="center"/>
          </w:tcPr>
          <w:p>
            <w:pPr>
              <w:adjustRightInd w:val="0"/>
              <w:snapToGrid w:val="0"/>
              <w:jc w:val="center"/>
              <w:rPr>
                <w:rFonts w:ascii="宋体" w:hAnsi="宋体" w:cs="宋体"/>
                <w:color w:val="000000"/>
                <w:szCs w:val="21"/>
              </w:rPr>
            </w:pPr>
            <w:r>
              <w:rPr>
                <w:rFonts w:hint="eastAsia" w:ascii="宋体" w:hAnsi="宋体" w:cs="宋体"/>
                <w:color w:val="000000"/>
                <w:szCs w:val="21"/>
              </w:rPr>
              <w:t>1</w:t>
            </w:r>
            <w:r>
              <w:rPr>
                <w:rFonts w:ascii="宋体" w:hAnsi="宋体" w:cs="宋体"/>
                <w:color w:val="000000"/>
                <w:szCs w:val="21"/>
              </w:rPr>
              <w:t>30</w:t>
            </w:r>
            <w:r>
              <w:rPr>
                <w:rFonts w:hint="eastAsia" w:ascii="宋体" w:hAnsi="宋体" w:cs="宋体"/>
                <w:color w:val="000000"/>
                <w:szCs w:val="21"/>
                <w:lang w:val="en-US" w:eastAsia="zh-CN"/>
              </w:rPr>
              <w:t>****</w:t>
            </w:r>
            <w:bookmarkStart w:id="60" w:name="_GoBack"/>
            <w:bookmarkEnd w:id="60"/>
            <w:r>
              <w:rPr>
                <w:rFonts w:ascii="宋体" w:hAnsi="宋体" w:cs="宋体"/>
                <w:color w:val="000000"/>
                <w:szCs w:val="21"/>
              </w:rPr>
              <w:t>4143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gridBefore w:val="1"/>
          <w:wBefore w:w="16" w:type="dxa"/>
          <w:trHeight w:val="794" w:hRule="atLeast"/>
        </w:trPr>
        <w:tc>
          <w:tcPr>
            <w:tcW w:w="1985" w:type="dxa"/>
            <w:gridSpan w:val="2"/>
            <w:tcMar>
              <w:top w:w="16" w:type="dxa"/>
              <w:left w:w="16" w:type="dxa"/>
              <w:right w:w="16" w:type="dxa"/>
            </w:tcMar>
            <w:vAlign w:val="center"/>
          </w:tcPr>
          <w:p>
            <w:pPr>
              <w:adjustRightInd w:val="0"/>
              <w:snapToGrid w:val="0"/>
              <w:jc w:val="center"/>
              <w:rPr>
                <w:rFonts w:ascii="宋体" w:hAnsi="宋体" w:cs="宋体"/>
                <w:color w:val="000000"/>
                <w:szCs w:val="21"/>
              </w:rPr>
            </w:pPr>
            <w:r>
              <w:rPr>
                <w:rFonts w:hint="eastAsia" w:ascii="宋体" w:hAnsi="宋体" w:cs="宋体"/>
                <w:color w:val="000000"/>
                <w:szCs w:val="21"/>
              </w:rPr>
              <w:t>建设地点</w:t>
            </w:r>
          </w:p>
        </w:tc>
        <w:tc>
          <w:tcPr>
            <w:tcW w:w="7054" w:type="dxa"/>
            <w:gridSpan w:val="5"/>
            <w:vAlign w:val="center"/>
          </w:tcPr>
          <w:p>
            <w:pPr>
              <w:adjustRightInd w:val="0"/>
              <w:snapToGrid w:val="0"/>
              <w:jc w:val="center"/>
              <w:rPr>
                <w:rFonts w:ascii="宋体" w:hAnsi="宋体" w:cs="宋体"/>
                <w:color w:val="000000"/>
                <w:szCs w:val="21"/>
              </w:rPr>
            </w:pPr>
            <w:r>
              <w:rPr>
                <w:rFonts w:hint="eastAsia" w:ascii="宋体" w:hAnsi="宋体" w:cs="宋体"/>
                <w:color w:val="000000"/>
                <w:szCs w:val="21"/>
              </w:rPr>
              <w:t>大龙口-浅1：</w:t>
            </w:r>
            <w:r>
              <w:rPr>
                <w:rFonts w:hint="eastAsia" w:ascii="宋体" w:hAnsi="宋体"/>
                <w:color w:val="000000"/>
              </w:rPr>
              <w:t>新疆维吾尔自治区昌吉回族自治州</w:t>
            </w:r>
            <w:r>
              <w:rPr>
                <w:rFonts w:hint="eastAsia" w:ascii="宋体" w:hAnsi="宋体" w:cs="宋体"/>
                <w:color w:val="000000"/>
                <w:szCs w:val="21"/>
              </w:rPr>
              <w:t>阜康市</w:t>
            </w:r>
            <w:r>
              <w:rPr>
                <w:color w:val="000000"/>
              </w:rPr>
              <w:t>上户沟哈萨克族乡</w:t>
            </w:r>
            <w:r>
              <w:rPr>
                <w:rFonts w:hint="eastAsia" w:ascii="宋体" w:hAnsi="宋体" w:cs="宋体"/>
                <w:color w:val="000000"/>
                <w:szCs w:val="21"/>
              </w:rPr>
              <w:t>郑家村东北侧</w:t>
            </w:r>
            <w:r>
              <w:rPr>
                <w:rFonts w:ascii="宋体" w:hAnsi="宋体" w:cs="宋体"/>
                <w:color w:val="000000"/>
                <w:szCs w:val="21"/>
              </w:rPr>
              <w:t>1375m；</w:t>
            </w:r>
            <w:r>
              <w:rPr>
                <w:rFonts w:hint="eastAsia" w:ascii="宋体" w:hAnsi="宋体" w:cs="宋体"/>
                <w:color w:val="000000"/>
                <w:szCs w:val="21"/>
              </w:rPr>
              <w:t>大龙口-浅</w:t>
            </w:r>
            <w:r>
              <w:rPr>
                <w:rFonts w:ascii="宋体" w:hAnsi="宋体" w:cs="宋体"/>
                <w:color w:val="000000"/>
                <w:szCs w:val="21"/>
              </w:rPr>
              <w:t>2</w:t>
            </w:r>
            <w:r>
              <w:rPr>
                <w:rFonts w:hint="eastAsia" w:ascii="宋体" w:hAnsi="宋体" w:cs="宋体"/>
                <w:color w:val="000000"/>
                <w:szCs w:val="21"/>
              </w:rPr>
              <w:t>：</w:t>
            </w:r>
            <w:r>
              <w:rPr>
                <w:rFonts w:hint="eastAsia" w:ascii="宋体" w:hAnsi="宋体"/>
                <w:color w:val="000000"/>
              </w:rPr>
              <w:t>新疆维吾尔自治区昌吉回族自治州</w:t>
            </w:r>
            <w:r>
              <w:rPr>
                <w:rFonts w:hint="eastAsia" w:ascii="宋体" w:hAnsi="宋体" w:cs="宋体"/>
                <w:color w:val="000000"/>
                <w:szCs w:val="21"/>
              </w:rPr>
              <w:t>吉木萨尔县</w:t>
            </w:r>
            <w:r>
              <w:rPr>
                <w:color w:val="000000"/>
              </w:rPr>
              <w:t>老台乡</w:t>
            </w:r>
            <w:r>
              <w:rPr>
                <w:rFonts w:hint="eastAsia" w:ascii="宋体" w:hAnsi="宋体" w:cs="宋体"/>
                <w:color w:val="000000"/>
                <w:szCs w:val="21"/>
              </w:rPr>
              <w:t>乏马</w:t>
            </w:r>
            <w:r>
              <w:rPr>
                <w:rFonts w:ascii="宋体" w:hAnsi="宋体" w:cs="宋体"/>
                <w:color w:val="000000"/>
                <w:szCs w:val="21"/>
              </w:rPr>
              <w:t>塘村西北</w:t>
            </w:r>
            <w:r>
              <w:rPr>
                <w:rFonts w:hint="eastAsia" w:ascii="宋体" w:hAnsi="宋体" w:cs="宋体"/>
                <w:color w:val="000000"/>
                <w:szCs w:val="21"/>
              </w:rPr>
              <w:t>侧</w:t>
            </w:r>
            <w:r>
              <w:rPr>
                <w:rFonts w:ascii="宋体" w:hAnsi="宋体" w:cs="宋体"/>
                <w:color w:val="000000"/>
                <w:szCs w:val="21"/>
              </w:rPr>
              <w:t>372m；</w:t>
            </w:r>
            <w:r>
              <w:rPr>
                <w:rFonts w:hint="eastAsia" w:ascii="宋体" w:hAnsi="宋体" w:cs="宋体"/>
                <w:color w:val="000000"/>
                <w:szCs w:val="21"/>
              </w:rPr>
              <w:t>大龙口-浅</w:t>
            </w:r>
            <w:r>
              <w:rPr>
                <w:rFonts w:ascii="宋体" w:hAnsi="宋体" w:cs="宋体"/>
                <w:color w:val="000000"/>
                <w:szCs w:val="21"/>
              </w:rPr>
              <w:t>3</w:t>
            </w:r>
            <w:r>
              <w:rPr>
                <w:rFonts w:hint="eastAsia" w:ascii="宋体" w:hAnsi="宋体" w:cs="宋体"/>
                <w:color w:val="000000"/>
                <w:szCs w:val="21"/>
              </w:rPr>
              <w:t>：</w:t>
            </w:r>
            <w:r>
              <w:rPr>
                <w:rFonts w:hint="eastAsia" w:ascii="宋体" w:hAnsi="宋体"/>
                <w:color w:val="000000"/>
              </w:rPr>
              <w:t>新疆维吾尔自治区昌吉回族自治州</w:t>
            </w:r>
            <w:r>
              <w:rPr>
                <w:rFonts w:hint="eastAsia" w:ascii="宋体" w:hAnsi="宋体" w:cs="宋体"/>
                <w:color w:val="000000"/>
                <w:szCs w:val="21"/>
              </w:rPr>
              <w:t>吉木萨尔县</w:t>
            </w:r>
            <w:r>
              <w:rPr>
                <w:color w:val="000000"/>
              </w:rPr>
              <w:t>老台乡</w:t>
            </w:r>
            <w:r>
              <w:rPr>
                <w:rFonts w:hint="eastAsia" w:ascii="宋体" w:hAnsi="宋体" w:cs="宋体"/>
                <w:color w:val="000000"/>
                <w:szCs w:val="21"/>
              </w:rPr>
              <w:t>西台子村西北侧</w:t>
            </w:r>
            <w:r>
              <w:rPr>
                <w:rFonts w:ascii="宋体" w:hAnsi="宋体" w:cs="宋体"/>
                <w:color w:val="000000"/>
                <w:szCs w:val="21"/>
              </w:rPr>
              <w:t>240m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gridBefore w:val="1"/>
          <w:wBefore w:w="16" w:type="dxa"/>
          <w:trHeight w:val="794" w:hRule="atLeast"/>
        </w:trPr>
        <w:tc>
          <w:tcPr>
            <w:tcW w:w="1985" w:type="dxa"/>
            <w:gridSpan w:val="2"/>
            <w:tcMar>
              <w:top w:w="16" w:type="dxa"/>
              <w:left w:w="16" w:type="dxa"/>
              <w:right w:w="16" w:type="dxa"/>
            </w:tcMar>
            <w:vAlign w:val="center"/>
          </w:tcPr>
          <w:p>
            <w:pPr>
              <w:adjustRightInd w:val="0"/>
              <w:snapToGrid w:val="0"/>
              <w:jc w:val="center"/>
              <w:rPr>
                <w:rFonts w:ascii="宋体" w:hAnsi="宋体" w:cs="宋体"/>
                <w:color w:val="000000"/>
                <w:szCs w:val="21"/>
              </w:rPr>
            </w:pPr>
            <w:r>
              <w:rPr>
                <w:rFonts w:hint="eastAsia" w:ascii="宋体" w:hAnsi="宋体" w:cs="宋体"/>
                <w:color w:val="000000"/>
                <w:szCs w:val="21"/>
              </w:rPr>
              <w:t>地理坐标</w:t>
            </w:r>
          </w:p>
        </w:tc>
        <w:tc>
          <w:tcPr>
            <w:tcW w:w="7054" w:type="dxa"/>
            <w:gridSpan w:val="5"/>
            <w:vAlign w:val="center"/>
          </w:tcPr>
          <w:p>
            <w:pPr>
              <w:adjustRightInd w:val="0"/>
              <w:snapToGrid w:val="0"/>
              <w:jc w:val="center"/>
              <w:rPr>
                <w:rFonts w:ascii="宋体" w:hAnsi="宋体" w:cs="宋体"/>
                <w:color w:val="000000"/>
                <w:szCs w:val="21"/>
              </w:rPr>
            </w:pPr>
            <w:r>
              <w:rPr>
                <w:rFonts w:hint="eastAsia" w:ascii="宋体" w:hAnsi="宋体" w:cs="宋体"/>
                <w:color w:val="000000"/>
                <w:szCs w:val="21"/>
              </w:rPr>
              <w:t>E</w:t>
            </w:r>
            <w:r>
              <w:rPr>
                <w:rFonts w:ascii="宋体" w:hAnsi="宋体" w:cs="宋体"/>
                <w:color w:val="000000"/>
                <w:szCs w:val="21"/>
              </w:rPr>
              <w:t xml:space="preserve"> 88°38'50.940"</w:t>
            </w:r>
            <w:r>
              <w:rPr>
                <w:rFonts w:hint="eastAsia" w:ascii="宋体" w:hAnsi="宋体" w:cs="宋体"/>
                <w:color w:val="000000"/>
                <w:szCs w:val="21"/>
              </w:rPr>
              <w:t>，N</w:t>
            </w:r>
            <w:r>
              <w:rPr>
                <w:rFonts w:ascii="宋体" w:hAnsi="宋体" w:cs="宋体"/>
                <w:color w:val="000000"/>
                <w:szCs w:val="21"/>
              </w:rPr>
              <w:t xml:space="preserve"> 43°59'11.460"；</w:t>
            </w:r>
          </w:p>
          <w:p>
            <w:pPr>
              <w:adjustRightInd w:val="0"/>
              <w:snapToGrid w:val="0"/>
              <w:jc w:val="center"/>
              <w:rPr>
                <w:rFonts w:ascii="宋体" w:hAnsi="宋体" w:cs="宋体"/>
                <w:color w:val="000000"/>
                <w:szCs w:val="21"/>
              </w:rPr>
            </w:pPr>
            <w:r>
              <w:rPr>
                <w:rFonts w:hint="eastAsia" w:ascii="宋体" w:hAnsi="宋体" w:cs="宋体"/>
                <w:color w:val="000000"/>
                <w:szCs w:val="21"/>
              </w:rPr>
              <w:t>E</w:t>
            </w:r>
            <w:r>
              <w:rPr>
                <w:rFonts w:ascii="宋体" w:hAnsi="宋体" w:cs="宋体"/>
                <w:color w:val="000000"/>
                <w:szCs w:val="21"/>
              </w:rPr>
              <w:t xml:space="preserve"> 88°45'32.910"，N 43°59'27.440"；</w:t>
            </w:r>
          </w:p>
          <w:p>
            <w:pPr>
              <w:adjustRightInd w:val="0"/>
              <w:snapToGrid w:val="0"/>
              <w:jc w:val="center"/>
              <w:rPr>
                <w:rFonts w:ascii="宋体" w:hAnsi="宋体" w:cs="宋体"/>
                <w:color w:val="000000"/>
                <w:szCs w:val="21"/>
              </w:rPr>
            </w:pPr>
            <w:r>
              <w:rPr>
                <w:rFonts w:hint="eastAsia" w:ascii="宋体" w:hAnsi="宋体" w:cs="宋体"/>
                <w:color w:val="000000"/>
                <w:szCs w:val="21"/>
              </w:rPr>
              <w:t>E</w:t>
            </w:r>
            <w:r>
              <w:rPr>
                <w:rFonts w:ascii="宋体" w:hAnsi="宋体" w:cs="宋体"/>
                <w:color w:val="000000"/>
                <w:szCs w:val="21"/>
              </w:rPr>
              <w:t xml:space="preserve"> 88°43'06.540"，N 43°57'52.810"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gridBefore w:val="1"/>
          <w:wBefore w:w="16" w:type="dxa"/>
          <w:trHeight w:val="794" w:hRule="atLeast"/>
        </w:trPr>
        <w:tc>
          <w:tcPr>
            <w:tcW w:w="1985" w:type="dxa"/>
            <w:gridSpan w:val="2"/>
            <w:tcMar>
              <w:top w:w="16" w:type="dxa"/>
              <w:left w:w="16" w:type="dxa"/>
              <w:right w:w="16" w:type="dxa"/>
            </w:tcMar>
            <w:vAlign w:val="center"/>
          </w:tcPr>
          <w:p>
            <w:pPr>
              <w:adjustRightInd w:val="0"/>
              <w:snapToGrid w:val="0"/>
              <w:jc w:val="center"/>
              <w:rPr>
                <w:rFonts w:ascii="宋体" w:hAnsi="宋体" w:cs="宋体"/>
                <w:color w:val="000000"/>
                <w:szCs w:val="21"/>
              </w:rPr>
            </w:pPr>
            <w:r>
              <w:rPr>
                <w:rFonts w:hint="eastAsia" w:ascii="宋体" w:hAnsi="宋体" w:cs="宋体"/>
                <w:color w:val="000000"/>
                <w:szCs w:val="21"/>
              </w:rPr>
              <w:t>建设项目</w:t>
            </w:r>
          </w:p>
          <w:p>
            <w:pPr>
              <w:adjustRightInd w:val="0"/>
              <w:snapToGrid w:val="0"/>
              <w:jc w:val="center"/>
              <w:rPr>
                <w:rFonts w:ascii="宋体" w:hAnsi="宋体" w:cs="宋体"/>
                <w:color w:val="000000"/>
                <w:szCs w:val="21"/>
              </w:rPr>
            </w:pPr>
            <w:r>
              <w:rPr>
                <w:rFonts w:hint="eastAsia" w:ascii="宋体" w:hAnsi="宋体" w:cs="宋体"/>
                <w:color w:val="000000"/>
                <w:szCs w:val="21"/>
              </w:rPr>
              <w:t>行业类别</w:t>
            </w:r>
          </w:p>
        </w:tc>
        <w:tc>
          <w:tcPr>
            <w:tcW w:w="2284" w:type="dxa"/>
            <w:vAlign w:val="center"/>
          </w:tcPr>
          <w:p>
            <w:pPr>
              <w:adjustRightInd w:val="0"/>
              <w:snapToGrid w:val="0"/>
              <w:jc w:val="center"/>
              <w:rPr>
                <w:rFonts w:ascii="宋体" w:hAnsi="宋体" w:cs="宋体"/>
                <w:color w:val="000000"/>
                <w:szCs w:val="21"/>
              </w:rPr>
            </w:pPr>
            <w:r>
              <w:rPr>
                <w:rFonts w:ascii="宋体" w:hAnsi="宋体" w:cs="宋体"/>
                <w:color w:val="000000"/>
                <w:szCs w:val="21"/>
              </w:rPr>
              <w:t>四十六、专业技术服务业</w:t>
            </w:r>
          </w:p>
          <w:p>
            <w:pPr>
              <w:adjustRightInd w:val="0"/>
              <w:snapToGrid w:val="0"/>
              <w:jc w:val="center"/>
              <w:rPr>
                <w:rFonts w:ascii="宋体" w:hAnsi="宋体" w:cs="宋体"/>
                <w:color w:val="000000"/>
                <w:szCs w:val="21"/>
              </w:rPr>
            </w:pPr>
            <w:r>
              <w:rPr>
                <w:rFonts w:hint="eastAsia" w:ascii="宋体" w:hAnsi="宋体" w:cs="宋体"/>
                <w:color w:val="000000"/>
                <w:szCs w:val="21"/>
              </w:rPr>
              <w:t>9</w:t>
            </w:r>
            <w:r>
              <w:rPr>
                <w:rFonts w:ascii="宋体" w:hAnsi="宋体" w:cs="宋体"/>
                <w:color w:val="000000"/>
                <w:szCs w:val="21"/>
              </w:rPr>
              <w:t>9陆地矿产资源地质勘查（含油气资源勘探）；二氧化碳地质封存</w:t>
            </w:r>
          </w:p>
        </w:tc>
        <w:tc>
          <w:tcPr>
            <w:tcW w:w="2218" w:type="dxa"/>
            <w:vAlign w:val="center"/>
          </w:tcPr>
          <w:p>
            <w:pPr>
              <w:adjustRightInd w:val="0"/>
              <w:snapToGrid w:val="0"/>
              <w:jc w:val="center"/>
              <w:rPr>
                <w:rFonts w:ascii="宋体" w:hAnsi="宋体" w:cs="宋体"/>
                <w:color w:val="000000"/>
                <w:szCs w:val="21"/>
              </w:rPr>
            </w:pPr>
            <w:r>
              <w:rPr>
                <w:rFonts w:hint="eastAsia" w:ascii="宋体" w:hAnsi="宋体" w:cs="宋体"/>
                <w:color w:val="000000"/>
                <w:szCs w:val="21"/>
              </w:rPr>
              <w:t>用地（用海）面积（</w:t>
            </w:r>
            <w:r>
              <w:rPr>
                <w:rFonts w:ascii="宋体" w:hAnsi="宋体" w:cs="宋体"/>
                <w:color w:val="000000"/>
                <w:szCs w:val="21"/>
              </w:rPr>
              <w:t>m</w:t>
            </w:r>
            <w:r>
              <w:rPr>
                <w:rFonts w:ascii="宋体" w:hAnsi="宋体" w:cs="宋体"/>
                <w:color w:val="000000"/>
                <w:szCs w:val="21"/>
                <w:vertAlign w:val="superscript"/>
              </w:rPr>
              <w:t>2</w:t>
            </w:r>
            <w:r>
              <w:rPr>
                <w:rFonts w:hint="eastAsia" w:ascii="宋体" w:hAnsi="宋体" w:cs="宋体"/>
                <w:color w:val="000000"/>
                <w:szCs w:val="21"/>
              </w:rPr>
              <w:t>）</w:t>
            </w:r>
            <w:r>
              <w:rPr>
                <w:rFonts w:ascii="宋体" w:hAnsi="宋体" w:cs="宋体"/>
                <w:color w:val="000000"/>
                <w:szCs w:val="21"/>
              </w:rPr>
              <w:t>/</w:t>
            </w:r>
            <w:r>
              <w:rPr>
                <w:rFonts w:hint="eastAsia" w:ascii="宋体" w:hAnsi="宋体" w:cs="宋体"/>
                <w:color w:val="000000"/>
                <w:szCs w:val="21"/>
              </w:rPr>
              <w:t>长度（</w:t>
            </w:r>
            <w:r>
              <w:rPr>
                <w:rFonts w:ascii="宋体" w:hAnsi="宋体" w:cs="宋体"/>
                <w:color w:val="000000"/>
                <w:szCs w:val="21"/>
              </w:rPr>
              <w:t>km</w:t>
            </w:r>
            <w:r>
              <w:rPr>
                <w:rFonts w:hint="eastAsia" w:ascii="宋体" w:hAnsi="宋体" w:cs="宋体"/>
                <w:color w:val="000000"/>
                <w:szCs w:val="21"/>
              </w:rPr>
              <w:t>）</w:t>
            </w:r>
          </w:p>
        </w:tc>
        <w:tc>
          <w:tcPr>
            <w:tcW w:w="2552" w:type="dxa"/>
            <w:gridSpan w:val="3"/>
            <w:vAlign w:val="center"/>
          </w:tcPr>
          <w:p>
            <w:pPr>
              <w:adjustRightInd w:val="0"/>
              <w:snapToGrid w:val="0"/>
              <w:jc w:val="center"/>
              <w:rPr>
                <w:rFonts w:ascii="宋体" w:hAnsi="宋体" w:cs="宋体"/>
                <w:color w:val="000000"/>
                <w:szCs w:val="21"/>
              </w:rPr>
            </w:pPr>
            <w:r>
              <w:rPr>
                <w:rFonts w:hint="eastAsia" w:ascii="宋体" w:hAnsi="宋体" w:cs="宋体"/>
                <w:color w:val="000000"/>
                <w:szCs w:val="21"/>
              </w:rPr>
              <w:t>永久用地：0</w:t>
            </w:r>
          </w:p>
          <w:p>
            <w:pPr>
              <w:adjustRightInd w:val="0"/>
              <w:snapToGrid w:val="0"/>
              <w:jc w:val="center"/>
              <w:rPr>
                <w:rFonts w:ascii="宋体" w:hAnsi="宋体" w:cs="宋体"/>
                <w:color w:val="000000"/>
                <w:szCs w:val="21"/>
              </w:rPr>
            </w:pPr>
            <w:r>
              <w:rPr>
                <w:rFonts w:hint="eastAsia" w:ascii="宋体" w:hAnsi="宋体" w:cs="宋体"/>
                <w:color w:val="000000"/>
                <w:szCs w:val="21"/>
              </w:rPr>
              <w:t>临时用地：</w:t>
            </w:r>
            <w:r>
              <w:rPr>
                <w:rFonts w:hint="eastAsia"/>
              </w:rPr>
              <w:t>11092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gridBefore w:val="1"/>
          <w:wBefore w:w="16" w:type="dxa"/>
          <w:trHeight w:val="794" w:hRule="atLeast"/>
        </w:trPr>
        <w:tc>
          <w:tcPr>
            <w:tcW w:w="1985" w:type="dxa"/>
            <w:gridSpan w:val="2"/>
            <w:tcMar>
              <w:top w:w="16" w:type="dxa"/>
              <w:left w:w="16" w:type="dxa"/>
              <w:right w:w="16" w:type="dxa"/>
            </w:tcMar>
            <w:vAlign w:val="center"/>
          </w:tcPr>
          <w:p>
            <w:pPr>
              <w:adjustRightInd w:val="0"/>
              <w:snapToGrid w:val="0"/>
              <w:jc w:val="center"/>
              <w:rPr>
                <w:rFonts w:ascii="宋体" w:hAnsi="宋体" w:cs="宋体"/>
                <w:color w:val="000000"/>
                <w:szCs w:val="21"/>
              </w:rPr>
            </w:pPr>
            <w:r>
              <w:rPr>
                <w:rFonts w:hint="eastAsia" w:ascii="宋体" w:hAnsi="宋体" w:cs="宋体"/>
                <w:color w:val="000000"/>
                <w:szCs w:val="21"/>
              </w:rPr>
              <w:t>建设性质</w:t>
            </w:r>
          </w:p>
        </w:tc>
        <w:tc>
          <w:tcPr>
            <w:tcW w:w="2284" w:type="dxa"/>
            <w:vAlign w:val="center"/>
          </w:tcPr>
          <w:p>
            <w:pPr>
              <w:adjustRightInd w:val="0"/>
              <w:snapToGrid w:val="0"/>
              <w:jc w:val="left"/>
              <w:rPr>
                <w:rFonts w:ascii="宋体" w:hAnsi="宋体" w:cs="宋体"/>
                <w:color w:val="000000"/>
                <w:szCs w:val="21"/>
              </w:rPr>
            </w:pPr>
            <w:r>
              <w:rPr>
                <w:rFonts w:hint="eastAsia" w:ascii="宋体" w:hAnsi="宋体" w:cs="宋体"/>
                <w:color w:val="000000"/>
                <w:szCs w:val="21"/>
              </w:rPr>
              <w:t>√新建（迁建）</w:t>
            </w:r>
          </w:p>
          <w:p>
            <w:pPr>
              <w:adjustRightInd w:val="0"/>
              <w:snapToGrid w:val="0"/>
              <w:jc w:val="left"/>
              <w:rPr>
                <w:rFonts w:ascii="宋体" w:hAnsi="宋体" w:cs="宋体"/>
                <w:color w:val="000000"/>
                <w:szCs w:val="21"/>
              </w:rPr>
            </w:pPr>
            <w:r>
              <w:rPr>
                <w:rFonts w:hint="eastAsia" w:ascii="宋体" w:hAnsi="宋体" w:cs="宋体"/>
                <w:color w:val="000000"/>
                <w:szCs w:val="21"/>
              </w:rPr>
              <w:t>□改建</w:t>
            </w:r>
          </w:p>
          <w:p>
            <w:pPr>
              <w:adjustRightInd w:val="0"/>
              <w:snapToGrid w:val="0"/>
              <w:jc w:val="left"/>
              <w:rPr>
                <w:rFonts w:ascii="宋体" w:hAnsi="宋体" w:cs="宋体"/>
                <w:color w:val="000000"/>
                <w:szCs w:val="21"/>
              </w:rPr>
            </w:pPr>
            <w:r>
              <w:rPr>
                <w:rFonts w:hint="eastAsia" w:ascii="宋体" w:hAnsi="宋体" w:cs="宋体"/>
                <w:color w:val="000000"/>
                <w:szCs w:val="21"/>
              </w:rPr>
              <w:t>□扩建</w:t>
            </w:r>
          </w:p>
          <w:p>
            <w:pPr>
              <w:adjustRightInd w:val="0"/>
              <w:snapToGrid w:val="0"/>
              <w:jc w:val="left"/>
              <w:rPr>
                <w:rFonts w:ascii="宋体" w:hAnsi="宋体" w:cs="宋体"/>
                <w:color w:val="000000"/>
                <w:szCs w:val="21"/>
              </w:rPr>
            </w:pPr>
            <w:r>
              <w:rPr>
                <w:rFonts w:hint="eastAsia" w:ascii="宋体" w:hAnsi="宋体" w:cs="宋体"/>
                <w:color w:val="000000"/>
                <w:szCs w:val="21"/>
              </w:rPr>
              <w:t>□技术改造</w:t>
            </w:r>
          </w:p>
        </w:tc>
        <w:tc>
          <w:tcPr>
            <w:tcW w:w="2218" w:type="dxa"/>
            <w:vAlign w:val="center"/>
          </w:tcPr>
          <w:p>
            <w:pPr>
              <w:adjustRightInd w:val="0"/>
              <w:snapToGrid w:val="0"/>
              <w:jc w:val="center"/>
              <w:rPr>
                <w:rFonts w:ascii="宋体" w:hAnsi="宋体" w:cs="宋体"/>
                <w:color w:val="000000"/>
                <w:szCs w:val="21"/>
              </w:rPr>
            </w:pPr>
            <w:r>
              <w:rPr>
                <w:rFonts w:hint="eastAsia" w:ascii="宋体" w:hAnsi="宋体" w:cs="宋体"/>
                <w:color w:val="000000"/>
                <w:szCs w:val="21"/>
              </w:rPr>
              <w:t>建设项目</w:t>
            </w:r>
          </w:p>
          <w:p>
            <w:pPr>
              <w:adjustRightInd w:val="0"/>
              <w:snapToGrid w:val="0"/>
              <w:jc w:val="center"/>
              <w:rPr>
                <w:rFonts w:ascii="宋体" w:hAnsi="宋体" w:cs="宋体"/>
                <w:color w:val="000000"/>
                <w:szCs w:val="21"/>
              </w:rPr>
            </w:pPr>
            <w:r>
              <w:rPr>
                <w:rFonts w:hint="eastAsia" w:ascii="宋体" w:hAnsi="宋体" w:cs="宋体"/>
                <w:color w:val="000000"/>
                <w:szCs w:val="21"/>
              </w:rPr>
              <w:t>申报情形</w:t>
            </w:r>
          </w:p>
        </w:tc>
        <w:tc>
          <w:tcPr>
            <w:tcW w:w="2552" w:type="dxa"/>
            <w:gridSpan w:val="3"/>
            <w:vAlign w:val="center"/>
          </w:tcPr>
          <w:p>
            <w:pPr>
              <w:adjustRightInd w:val="0"/>
              <w:snapToGrid w:val="0"/>
              <w:jc w:val="left"/>
              <w:rPr>
                <w:rFonts w:ascii="宋体" w:hAnsi="宋体" w:cs="宋体"/>
                <w:color w:val="000000"/>
                <w:szCs w:val="21"/>
              </w:rPr>
            </w:pPr>
            <w:r>
              <w:rPr>
                <w:rFonts w:hint="eastAsia" w:ascii="宋体" w:hAnsi="宋体" w:cs="宋体"/>
                <w:color w:val="000000"/>
                <w:szCs w:val="21"/>
              </w:rPr>
              <w:t>√首次申报项目</w:t>
            </w:r>
          </w:p>
          <w:p>
            <w:pPr>
              <w:adjustRightInd w:val="0"/>
              <w:snapToGrid w:val="0"/>
              <w:jc w:val="left"/>
              <w:rPr>
                <w:rFonts w:ascii="宋体" w:hAnsi="宋体" w:cs="宋体"/>
                <w:color w:val="000000"/>
                <w:szCs w:val="21"/>
              </w:rPr>
            </w:pPr>
            <w:r>
              <w:rPr>
                <w:rFonts w:hint="eastAsia" w:ascii="宋体" w:hAnsi="宋体" w:cs="宋体"/>
                <w:color w:val="000000"/>
                <w:szCs w:val="21"/>
              </w:rPr>
              <w:t>□不予批准后再次申报项目</w:t>
            </w:r>
          </w:p>
          <w:p>
            <w:pPr>
              <w:adjustRightInd w:val="0"/>
              <w:snapToGrid w:val="0"/>
              <w:jc w:val="left"/>
              <w:rPr>
                <w:rFonts w:ascii="宋体" w:hAnsi="宋体" w:cs="宋体"/>
                <w:color w:val="000000"/>
                <w:szCs w:val="21"/>
              </w:rPr>
            </w:pPr>
            <w:r>
              <w:rPr>
                <w:rFonts w:hint="eastAsia" w:ascii="宋体" w:hAnsi="宋体" w:cs="宋体"/>
                <w:color w:val="000000"/>
                <w:szCs w:val="21"/>
              </w:rPr>
              <w:t>□超五年重新审核项目</w:t>
            </w:r>
          </w:p>
          <w:p>
            <w:pPr>
              <w:adjustRightInd w:val="0"/>
              <w:snapToGrid w:val="0"/>
              <w:rPr>
                <w:rFonts w:ascii="宋体" w:hAnsi="宋体" w:cs="宋体"/>
                <w:color w:val="000000"/>
                <w:szCs w:val="21"/>
              </w:rPr>
            </w:pPr>
            <w:r>
              <w:rPr>
                <w:rFonts w:hint="eastAsia" w:ascii="宋体" w:hAnsi="宋体" w:cs="宋体"/>
                <w:color w:val="000000"/>
                <w:szCs w:val="21"/>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gridBefore w:val="1"/>
          <w:wBefore w:w="16" w:type="dxa"/>
          <w:trHeight w:val="794" w:hRule="atLeast"/>
        </w:trPr>
        <w:tc>
          <w:tcPr>
            <w:tcW w:w="1985" w:type="dxa"/>
            <w:gridSpan w:val="2"/>
            <w:tcMar>
              <w:top w:w="16" w:type="dxa"/>
              <w:left w:w="16" w:type="dxa"/>
              <w:right w:w="16" w:type="dxa"/>
            </w:tcMar>
            <w:vAlign w:val="center"/>
          </w:tcPr>
          <w:p>
            <w:pPr>
              <w:adjustRightInd w:val="0"/>
              <w:snapToGrid w:val="0"/>
              <w:jc w:val="center"/>
              <w:rPr>
                <w:rFonts w:ascii="宋体" w:hAnsi="宋体" w:cs="宋体"/>
                <w:color w:val="000000"/>
                <w:szCs w:val="21"/>
              </w:rPr>
            </w:pPr>
            <w:r>
              <w:rPr>
                <w:rFonts w:hint="eastAsia" w:ascii="宋体" w:hAnsi="宋体" w:cs="宋体"/>
                <w:color w:val="000000"/>
                <w:szCs w:val="21"/>
              </w:rPr>
              <w:t>项目审批（核准</w:t>
            </w:r>
            <w:r>
              <w:rPr>
                <w:rFonts w:ascii="宋体" w:hAnsi="宋体" w:cs="宋体"/>
                <w:color w:val="000000"/>
                <w:szCs w:val="21"/>
              </w:rPr>
              <w:t>/</w:t>
            </w:r>
          </w:p>
          <w:p>
            <w:pPr>
              <w:adjustRightInd w:val="0"/>
              <w:snapToGrid w:val="0"/>
              <w:jc w:val="center"/>
              <w:rPr>
                <w:rFonts w:ascii="宋体" w:hAnsi="宋体" w:cs="宋体"/>
                <w:color w:val="000000"/>
                <w:szCs w:val="21"/>
              </w:rPr>
            </w:pPr>
            <w:r>
              <w:rPr>
                <w:rFonts w:hint="eastAsia" w:ascii="宋体" w:hAnsi="宋体" w:cs="宋体"/>
                <w:color w:val="000000"/>
                <w:szCs w:val="21"/>
              </w:rPr>
              <w:t>备案）部门（选填）</w:t>
            </w:r>
          </w:p>
        </w:tc>
        <w:tc>
          <w:tcPr>
            <w:tcW w:w="2284" w:type="dxa"/>
            <w:vAlign w:val="center"/>
          </w:tcPr>
          <w:p>
            <w:pPr>
              <w:adjustRightInd w:val="0"/>
              <w:snapToGrid w:val="0"/>
              <w:jc w:val="center"/>
              <w:rPr>
                <w:rFonts w:ascii="宋体" w:hAnsi="宋体" w:cs="宋体"/>
                <w:color w:val="000000"/>
                <w:szCs w:val="21"/>
              </w:rPr>
            </w:pPr>
            <w:r>
              <w:rPr>
                <w:rFonts w:hint="eastAsia" w:ascii="宋体" w:hAnsi="宋体" w:cs="宋体"/>
                <w:color w:val="000000"/>
                <w:szCs w:val="21"/>
              </w:rPr>
              <w:t>无</w:t>
            </w:r>
          </w:p>
        </w:tc>
        <w:tc>
          <w:tcPr>
            <w:tcW w:w="2218" w:type="dxa"/>
            <w:vAlign w:val="center"/>
          </w:tcPr>
          <w:p>
            <w:pPr>
              <w:adjustRightInd w:val="0"/>
              <w:snapToGrid w:val="0"/>
              <w:jc w:val="center"/>
              <w:rPr>
                <w:rFonts w:ascii="宋体" w:hAnsi="宋体" w:cs="宋体"/>
                <w:color w:val="000000"/>
                <w:szCs w:val="21"/>
              </w:rPr>
            </w:pPr>
            <w:r>
              <w:rPr>
                <w:rFonts w:hint="eastAsia" w:ascii="宋体" w:hAnsi="宋体" w:cs="宋体"/>
                <w:color w:val="000000"/>
                <w:szCs w:val="21"/>
              </w:rPr>
              <w:t>项目审批（核准</w:t>
            </w:r>
            <w:r>
              <w:rPr>
                <w:rFonts w:ascii="宋体" w:hAnsi="宋体" w:cs="宋体"/>
                <w:color w:val="000000"/>
                <w:szCs w:val="21"/>
              </w:rPr>
              <w:t>/</w:t>
            </w:r>
          </w:p>
          <w:p>
            <w:pPr>
              <w:adjustRightInd w:val="0"/>
              <w:snapToGrid w:val="0"/>
              <w:jc w:val="center"/>
              <w:rPr>
                <w:rFonts w:ascii="宋体" w:hAnsi="宋体" w:cs="宋体"/>
                <w:color w:val="000000"/>
                <w:szCs w:val="21"/>
              </w:rPr>
            </w:pPr>
            <w:r>
              <w:rPr>
                <w:rFonts w:hint="eastAsia" w:ascii="宋体" w:hAnsi="宋体" w:cs="宋体"/>
                <w:color w:val="000000"/>
                <w:szCs w:val="21"/>
              </w:rPr>
              <w:t>备案）文号（选填）</w:t>
            </w:r>
          </w:p>
        </w:tc>
        <w:tc>
          <w:tcPr>
            <w:tcW w:w="2552" w:type="dxa"/>
            <w:gridSpan w:val="3"/>
            <w:vAlign w:val="center"/>
          </w:tcPr>
          <w:p>
            <w:pPr>
              <w:adjustRightInd w:val="0"/>
              <w:snapToGrid w:val="0"/>
              <w:jc w:val="center"/>
              <w:rPr>
                <w:rFonts w:ascii="宋体" w:hAnsi="宋体" w:cs="宋体"/>
                <w:color w:val="000000"/>
                <w:szCs w:val="21"/>
              </w:rPr>
            </w:pPr>
            <w:r>
              <w:rPr>
                <w:rFonts w:hint="eastAsia" w:ascii="宋体" w:hAnsi="宋体" w:cs="宋体"/>
                <w:color w:val="000000"/>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gridBefore w:val="1"/>
          <w:wBefore w:w="16" w:type="dxa"/>
          <w:trHeight w:val="794" w:hRule="atLeast"/>
        </w:trPr>
        <w:tc>
          <w:tcPr>
            <w:tcW w:w="1985" w:type="dxa"/>
            <w:gridSpan w:val="2"/>
            <w:tcMar>
              <w:top w:w="16" w:type="dxa"/>
              <w:left w:w="16" w:type="dxa"/>
              <w:right w:w="16" w:type="dxa"/>
            </w:tcMar>
            <w:vAlign w:val="center"/>
          </w:tcPr>
          <w:p>
            <w:pPr>
              <w:adjustRightInd w:val="0"/>
              <w:snapToGrid w:val="0"/>
              <w:jc w:val="center"/>
              <w:rPr>
                <w:rFonts w:ascii="宋体" w:hAnsi="宋体" w:cs="宋体"/>
                <w:color w:val="000000"/>
                <w:szCs w:val="21"/>
              </w:rPr>
            </w:pPr>
            <w:r>
              <w:rPr>
                <w:rFonts w:hint="eastAsia" w:ascii="宋体" w:hAnsi="宋体" w:cs="宋体"/>
                <w:color w:val="000000"/>
                <w:szCs w:val="21"/>
              </w:rPr>
              <w:t>总投资（万元）</w:t>
            </w:r>
          </w:p>
        </w:tc>
        <w:tc>
          <w:tcPr>
            <w:tcW w:w="2284" w:type="dxa"/>
            <w:vAlign w:val="center"/>
          </w:tcPr>
          <w:p>
            <w:pPr>
              <w:adjustRightInd w:val="0"/>
              <w:snapToGrid w:val="0"/>
              <w:jc w:val="center"/>
              <w:rPr>
                <w:rFonts w:ascii="宋体" w:hAnsi="宋体" w:cs="宋体"/>
                <w:color w:val="000000"/>
                <w:szCs w:val="21"/>
              </w:rPr>
            </w:pPr>
            <w:r>
              <w:rPr>
                <w:rFonts w:hint="eastAsia" w:ascii="宋体" w:hAnsi="宋体"/>
                <w:color w:val="000000"/>
              </w:rPr>
              <w:t>337.5</w:t>
            </w:r>
          </w:p>
        </w:tc>
        <w:tc>
          <w:tcPr>
            <w:tcW w:w="2218" w:type="dxa"/>
            <w:tcMar>
              <w:top w:w="16" w:type="dxa"/>
              <w:left w:w="16" w:type="dxa"/>
              <w:right w:w="16" w:type="dxa"/>
            </w:tcMar>
            <w:vAlign w:val="center"/>
          </w:tcPr>
          <w:p>
            <w:pPr>
              <w:adjustRightInd w:val="0"/>
              <w:snapToGrid w:val="0"/>
              <w:jc w:val="center"/>
              <w:rPr>
                <w:rFonts w:ascii="宋体" w:hAnsi="宋体" w:cs="宋体"/>
                <w:color w:val="000000"/>
                <w:szCs w:val="21"/>
              </w:rPr>
            </w:pPr>
            <w:r>
              <w:rPr>
                <w:rFonts w:hint="eastAsia" w:ascii="宋体" w:hAnsi="宋体" w:cs="宋体"/>
                <w:color w:val="000000"/>
                <w:szCs w:val="21"/>
              </w:rPr>
              <w:t>环保投资（万元）</w:t>
            </w:r>
          </w:p>
        </w:tc>
        <w:tc>
          <w:tcPr>
            <w:tcW w:w="2552" w:type="dxa"/>
            <w:gridSpan w:val="3"/>
            <w:vAlign w:val="center"/>
          </w:tcPr>
          <w:p>
            <w:pPr>
              <w:adjustRightInd w:val="0"/>
              <w:snapToGrid w:val="0"/>
              <w:jc w:val="center"/>
              <w:rPr>
                <w:rFonts w:ascii="宋体" w:hAnsi="宋体" w:cs="宋体"/>
                <w:color w:val="000000"/>
                <w:szCs w:val="21"/>
              </w:rPr>
            </w:pPr>
            <w:r>
              <w:rPr>
                <w:rFonts w:hint="eastAsia" w:ascii="宋体" w:hAnsi="宋体"/>
                <w:color w:val="000000"/>
              </w:rPr>
              <w:t>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gridBefore w:val="1"/>
          <w:wBefore w:w="16" w:type="dxa"/>
          <w:trHeight w:val="794" w:hRule="atLeast"/>
        </w:trPr>
        <w:tc>
          <w:tcPr>
            <w:tcW w:w="1985" w:type="dxa"/>
            <w:gridSpan w:val="2"/>
            <w:tcMar>
              <w:top w:w="16" w:type="dxa"/>
              <w:left w:w="16" w:type="dxa"/>
              <w:right w:w="16" w:type="dxa"/>
            </w:tcMar>
            <w:vAlign w:val="center"/>
          </w:tcPr>
          <w:p>
            <w:pPr>
              <w:adjustRightInd w:val="0"/>
              <w:snapToGrid w:val="0"/>
              <w:jc w:val="center"/>
              <w:rPr>
                <w:rFonts w:ascii="宋体" w:hAnsi="宋体" w:cs="宋体"/>
                <w:color w:val="000000"/>
                <w:szCs w:val="21"/>
              </w:rPr>
            </w:pPr>
            <w:r>
              <w:rPr>
                <w:rFonts w:hint="eastAsia" w:ascii="宋体" w:hAnsi="宋体" w:cs="宋体"/>
                <w:color w:val="000000"/>
                <w:szCs w:val="21"/>
              </w:rPr>
              <w:t>环保投资占比（</w:t>
            </w:r>
            <w:r>
              <w:rPr>
                <w:rFonts w:ascii="宋体" w:hAnsi="宋体" w:cs="宋体"/>
                <w:color w:val="000000"/>
                <w:szCs w:val="21"/>
              </w:rPr>
              <w:t>%</w:t>
            </w:r>
            <w:r>
              <w:rPr>
                <w:rFonts w:hint="eastAsia" w:ascii="宋体" w:hAnsi="宋体" w:cs="宋体"/>
                <w:color w:val="000000"/>
                <w:szCs w:val="21"/>
              </w:rPr>
              <w:t>）</w:t>
            </w:r>
          </w:p>
        </w:tc>
        <w:tc>
          <w:tcPr>
            <w:tcW w:w="2284" w:type="dxa"/>
            <w:vAlign w:val="center"/>
          </w:tcPr>
          <w:p>
            <w:pPr>
              <w:adjustRightInd w:val="0"/>
              <w:snapToGrid w:val="0"/>
              <w:jc w:val="center"/>
              <w:rPr>
                <w:rFonts w:ascii="宋体" w:hAnsi="宋体" w:cs="宋体"/>
                <w:color w:val="000000"/>
                <w:szCs w:val="21"/>
              </w:rPr>
            </w:pPr>
            <w:r>
              <w:rPr>
                <w:rFonts w:hint="eastAsia" w:ascii="宋体" w:hAnsi="宋体"/>
                <w:color w:val="000000"/>
              </w:rPr>
              <w:t>8.89</w:t>
            </w:r>
          </w:p>
        </w:tc>
        <w:tc>
          <w:tcPr>
            <w:tcW w:w="2218" w:type="dxa"/>
            <w:tcMar>
              <w:top w:w="16" w:type="dxa"/>
              <w:left w:w="16" w:type="dxa"/>
              <w:right w:w="16" w:type="dxa"/>
            </w:tcMar>
            <w:vAlign w:val="center"/>
          </w:tcPr>
          <w:p>
            <w:pPr>
              <w:adjustRightInd w:val="0"/>
              <w:snapToGrid w:val="0"/>
              <w:jc w:val="center"/>
              <w:rPr>
                <w:rFonts w:ascii="宋体" w:hAnsi="宋体" w:cs="宋体"/>
                <w:color w:val="000000"/>
                <w:szCs w:val="21"/>
              </w:rPr>
            </w:pPr>
            <w:r>
              <w:rPr>
                <w:rFonts w:hint="eastAsia" w:ascii="宋体" w:hAnsi="宋体" w:cs="宋体"/>
                <w:color w:val="000000"/>
                <w:szCs w:val="21"/>
              </w:rPr>
              <w:t>施工工期</w:t>
            </w:r>
          </w:p>
        </w:tc>
        <w:tc>
          <w:tcPr>
            <w:tcW w:w="2552" w:type="dxa"/>
            <w:gridSpan w:val="3"/>
            <w:vAlign w:val="center"/>
          </w:tcPr>
          <w:p>
            <w:pPr>
              <w:adjustRightInd w:val="0"/>
              <w:snapToGrid w:val="0"/>
              <w:jc w:val="center"/>
              <w:rPr>
                <w:rFonts w:ascii="宋体" w:hAnsi="宋体" w:cs="宋体"/>
                <w:color w:val="000000"/>
                <w:szCs w:val="21"/>
              </w:rPr>
            </w:pPr>
            <w:r>
              <w:rPr>
                <w:rFonts w:hint="eastAsia" w:ascii="宋体" w:hAnsi="宋体"/>
                <w:color w:val="000000"/>
              </w:rPr>
              <w:t>50</w:t>
            </w:r>
            <w:r>
              <w:rPr>
                <w:rFonts w:hint="eastAsia" w:ascii="宋体" w:hAnsi="宋体" w:cs="宋体"/>
                <w:color w:val="000000"/>
                <w:szCs w:val="21"/>
              </w:rPr>
              <w:t>d</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gridBefore w:val="1"/>
          <w:wBefore w:w="16" w:type="dxa"/>
          <w:trHeight w:val="794" w:hRule="atLeast"/>
        </w:trPr>
        <w:tc>
          <w:tcPr>
            <w:tcW w:w="1985" w:type="dxa"/>
            <w:gridSpan w:val="2"/>
            <w:tcMar>
              <w:top w:w="16" w:type="dxa"/>
              <w:left w:w="16" w:type="dxa"/>
              <w:right w:w="16" w:type="dxa"/>
            </w:tcMar>
            <w:vAlign w:val="center"/>
          </w:tcPr>
          <w:p>
            <w:pPr>
              <w:adjustRightInd w:val="0"/>
              <w:snapToGrid w:val="0"/>
              <w:jc w:val="center"/>
              <w:rPr>
                <w:rFonts w:ascii="宋体" w:hAnsi="宋体" w:cs="宋体"/>
                <w:color w:val="000000"/>
                <w:szCs w:val="21"/>
              </w:rPr>
            </w:pPr>
            <w:r>
              <w:rPr>
                <w:rFonts w:hint="eastAsia" w:ascii="宋体" w:hAnsi="宋体" w:cs="宋体"/>
                <w:color w:val="000000"/>
                <w:szCs w:val="21"/>
              </w:rPr>
              <w:t>是否开工建设</w:t>
            </w:r>
          </w:p>
        </w:tc>
        <w:tc>
          <w:tcPr>
            <w:tcW w:w="7054" w:type="dxa"/>
            <w:gridSpan w:val="5"/>
            <w:vAlign w:val="center"/>
          </w:tcPr>
          <w:p>
            <w:pPr>
              <w:adjustRightInd w:val="0"/>
              <w:snapToGrid w:val="0"/>
              <w:ind w:firstLine="105"/>
              <w:jc w:val="left"/>
              <w:rPr>
                <w:rFonts w:ascii="宋体" w:hAnsi="宋体" w:cs="宋体"/>
                <w:color w:val="000000"/>
                <w:szCs w:val="21"/>
              </w:rPr>
            </w:pPr>
            <w:r>
              <w:rPr>
                <w:rFonts w:hint="eastAsia" w:ascii="宋体" w:hAnsi="宋体" w:cs="宋体"/>
                <w:color w:val="000000"/>
                <w:szCs w:val="21"/>
              </w:rPr>
              <w:t>√否</w:t>
            </w:r>
          </w:p>
          <w:p>
            <w:pPr>
              <w:adjustRightInd w:val="0"/>
              <w:snapToGrid w:val="0"/>
              <w:ind w:firstLine="92"/>
              <w:jc w:val="left"/>
              <w:rPr>
                <w:rFonts w:ascii="宋体" w:hAnsi="宋体" w:cs="宋体"/>
                <w:color w:val="000000"/>
                <w:szCs w:val="21"/>
              </w:rPr>
            </w:pPr>
            <w:r>
              <w:rPr>
                <w:rFonts w:hint="eastAsia" w:ascii="宋体" w:hAnsi="宋体" w:cs="宋体"/>
                <w:color w:val="000000"/>
                <w:szCs w:val="21"/>
              </w:rPr>
              <w:t>□是：</w:t>
            </w:r>
            <w:r>
              <w:rPr>
                <w:rFonts w:ascii="宋体" w:hAnsi="宋体" w:cs="宋体"/>
                <w:color w:val="000000"/>
                <w:szCs w:val="21"/>
                <w:u w:val="single"/>
              </w:rPr>
              <w:t xml:space="preserve"> </w:t>
            </w:r>
            <w:r>
              <w:rPr>
                <w:rFonts w:hint="eastAsia" w:ascii="宋体" w:hAnsi="宋体" w:cs="宋体"/>
                <w:color w:val="000000"/>
                <w:szCs w:val="21"/>
                <w:u w:val="single"/>
              </w:rPr>
              <w:t xml:space="preserve">                     </w:t>
            </w:r>
            <w:r>
              <w:rPr>
                <w:rFonts w:ascii="宋体" w:hAnsi="宋体" w:cs="宋体"/>
                <w:color w:val="000000"/>
                <w:szCs w:val="21"/>
                <w:u w:val="single"/>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gridBefore w:val="1"/>
          <w:wBefore w:w="16" w:type="dxa"/>
          <w:trHeight w:val="794" w:hRule="atLeast"/>
        </w:trPr>
        <w:tc>
          <w:tcPr>
            <w:tcW w:w="1985" w:type="dxa"/>
            <w:gridSpan w:val="2"/>
            <w:tcMar>
              <w:top w:w="16" w:type="dxa"/>
              <w:left w:w="16" w:type="dxa"/>
              <w:right w:w="16" w:type="dxa"/>
            </w:tcMar>
            <w:vAlign w:val="center"/>
          </w:tcPr>
          <w:p>
            <w:pPr>
              <w:autoSpaceDE w:val="0"/>
              <w:autoSpaceDN w:val="0"/>
              <w:adjustRightInd w:val="0"/>
              <w:snapToGrid w:val="0"/>
              <w:jc w:val="center"/>
              <w:rPr>
                <w:rFonts w:ascii="宋体" w:hAnsi="宋体" w:cs="宋体"/>
                <w:color w:val="000000"/>
                <w:kern w:val="0"/>
                <w:szCs w:val="21"/>
              </w:rPr>
            </w:pPr>
            <w:r>
              <w:rPr>
                <w:rFonts w:hint="eastAsia" w:ascii="宋体" w:hAnsi="宋体" w:cs="宋体"/>
                <w:color w:val="000000"/>
                <w:kern w:val="0"/>
                <w:szCs w:val="21"/>
              </w:rPr>
              <w:t>专项评价设置情况</w:t>
            </w:r>
          </w:p>
        </w:tc>
        <w:tc>
          <w:tcPr>
            <w:tcW w:w="7054" w:type="dxa"/>
            <w:gridSpan w:val="5"/>
            <w:tcMar>
              <w:top w:w="16" w:type="dxa"/>
              <w:left w:w="16" w:type="dxa"/>
              <w:right w:w="16" w:type="dxa"/>
            </w:tcMar>
            <w:vAlign w:val="center"/>
          </w:tcPr>
          <w:p>
            <w:pPr>
              <w:autoSpaceDE w:val="0"/>
              <w:autoSpaceDN w:val="0"/>
              <w:adjustRightInd w:val="0"/>
              <w:snapToGrid w:val="0"/>
              <w:jc w:val="center"/>
              <w:rPr>
                <w:color w:val="000000"/>
              </w:rPr>
            </w:pPr>
            <w:r>
              <w:rPr>
                <w:color w:val="000000"/>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gridBefore w:val="1"/>
          <w:wBefore w:w="16" w:type="dxa"/>
          <w:trHeight w:val="794" w:hRule="atLeast"/>
        </w:trPr>
        <w:tc>
          <w:tcPr>
            <w:tcW w:w="1985" w:type="dxa"/>
            <w:gridSpan w:val="2"/>
            <w:tcMar>
              <w:top w:w="16" w:type="dxa"/>
              <w:left w:w="16" w:type="dxa"/>
              <w:right w:w="16" w:type="dxa"/>
            </w:tcMar>
            <w:vAlign w:val="center"/>
          </w:tcPr>
          <w:p>
            <w:pPr>
              <w:autoSpaceDE w:val="0"/>
              <w:autoSpaceDN w:val="0"/>
              <w:adjustRightInd w:val="0"/>
              <w:snapToGrid w:val="0"/>
              <w:jc w:val="center"/>
              <w:rPr>
                <w:rFonts w:ascii="宋体" w:hAnsi="宋体" w:cs="宋体"/>
                <w:color w:val="000000"/>
                <w:kern w:val="0"/>
                <w:szCs w:val="21"/>
              </w:rPr>
            </w:pPr>
            <w:r>
              <w:rPr>
                <w:rFonts w:hint="eastAsia" w:ascii="宋体" w:hAnsi="宋体" w:cs="宋体"/>
                <w:color w:val="000000"/>
                <w:szCs w:val="21"/>
              </w:rPr>
              <w:t>规划情况</w:t>
            </w:r>
          </w:p>
        </w:tc>
        <w:tc>
          <w:tcPr>
            <w:tcW w:w="7054" w:type="dxa"/>
            <w:gridSpan w:val="5"/>
            <w:tcMar>
              <w:top w:w="16" w:type="dxa"/>
              <w:left w:w="16" w:type="dxa"/>
              <w:right w:w="16" w:type="dxa"/>
            </w:tcMar>
            <w:vAlign w:val="center"/>
          </w:tcPr>
          <w:p>
            <w:pPr>
              <w:autoSpaceDE w:val="0"/>
              <w:autoSpaceDN w:val="0"/>
              <w:adjustRightInd w:val="0"/>
              <w:snapToGrid w:val="0"/>
              <w:jc w:val="center"/>
              <w:rPr>
                <w:rFonts w:ascii="宋体" w:hAnsi="宋体" w:cs="宋体"/>
                <w:color w:val="000000"/>
                <w:kern w:val="0"/>
                <w:szCs w:val="21"/>
              </w:rPr>
            </w:pPr>
            <w:r>
              <w:rPr>
                <w:color w:val="000000"/>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gridBefore w:val="1"/>
          <w:wBefore w:w="16" w:type="dxa"/>
          <w:trHeight w:val="794" w:hRule="atLeast"/>
        </w:trPr>
        <w:tc>
          <w:tcPr>
            <w:tcW w:w="1985" w:type="dxa"/>
            <w:gridSpan w:val="2"/>
            <w:tcMar>
              <w:top w:w="16" w:type="dxa"/>
              <w:left w:w="16" w:type="dxa"/>
              <w:right w:w="16" w:type="dxa"/>
            </w:tcMar>
            <w:vAlign w:val="center"/>
          </w:tcPr>
          <w:p>
            <w:pPr>
              <w:autoSpaceDE w:val="0"/>
              <w:autoSpaceDN w:val="0"/>
              <w:adjustRightInd w:val="0"/>
              <w:snapToGrid w:val="0"/>
              <w:jc w:val="center"/>
              <w:rPr>
                <w:rFonts w:ascii="宋体" w:hAnsi="宋体" w:cs="宋体"/>
                <w:color w:val="000000"/>
                <w:szCs w:val="21"/>
              </w:rPr>
            </w:pPr>
            <w:r>
              <w:rPr>
                <w:rFonts w:hint="eastAsia" w:ascii="宋体" w:hAnsi="宋体" w:cs="宋体"/>
                <w:color w:val="000000"/>
                <w:szCs w:val="21"/>
              </w:rPr>
              <w:t>规划环境影响</w:t>
            </w:r>
          </w:p>
          <w:p>
            <w:pPr>
              <w:autoSpaceDE w:val="0"/>
              <w:autoSpaceDN w:val="0"/>
              <w:adjustRightInd w:val="0"/>
              <w:snapToGrid w:val="0"/>
              <w:jc w:val="center"/>
              <w:rPr>
                <w:rFonts w:ascii="宋体" w:hAnsi="宋体" w:cs="宋体"/>
                <w:color w:val="000000"/>
                <w:kern w:val="0"/>
                <w:szCs w:val="21"/>
              </w:rPr>
            </w:pPr>
            <w:r>
              <w:rPr>
                <w:rFonts w:hint="eastAsia" w:ascii="宋体" w:hAnsi="宋体" w:cs="宋体"/>
                <w:color w:val="000000"/>
                <w:szCs w:val="21"/>
              </w:rPr>
              <w:t>评价情况</w:t>
            </w:r>
          </w:p>
        </w:tc>
        <w:tc>
          <w:tcPr>
            <w:tcW w:w="7054" w:type="dxa"/>
            <w:gridSpan w:val="5"/>
            <w:tcMar>
              <w:top w:w="16" w:type="dxa"/>
              <w:left w:w="16" w:type="dxa"/>
              <w:right w:w="16" w:type="dxa"/>
            </w:tcMar>
            <w:vAlign w:val="center"/>
          </w:tcPr>
          <w:p>
            <w:pPr>
              <w:adjustRightInd w:val="0"/>
              <w:snapToGrid w:val="0"/>
              <w:jc w:val="center"/>
              <w:rPr>
                <w:rFonts w:ascii="宋体" w:hAnsi="宋体" w:cs="宋体"/>
                <w:color w:val="000000"/>
                <w:kern w:val="0"/>
                <w:szCs w:val="21"/>
              </w:rPr>
            </w:pPr>
            <w:r>
              <w:rPr>
                <w:color w:val="000000"/>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gridBefore w:val="1"/>
          <w:wBefore w:w="16" w:type="dxa"/>
          <w:trHeight w:val="794" w:hRule="atLeast"/>
        </w:trPr>
        <w:tc>
          <w:tcPr>
            <w:tcW w:w="1985" w:type="dxa"/>
            <w:gridSpan w:val="2"/>
            <w:tcMar>
              <w:top w:w="16" w:type="dxa"/>
              <w:left w:w="16" w:type="dxa"/>
              <w:right w:w="16" w:type="dxa"/>
            </w:tcMar>
            <w:vAlign w:val="center"/>
          </w:tcPr>
          <w:p>
            <w:pPr>
              <w:autoSpaceDE w:val="0"/>
              <w:autoSpaceDN w:val="0"/>
              <w:adjustRightInd w:val="0"/>
              <w:snapToGrid w:val="0"/>
              <w:jc w:val="center"/>
              <w:rPr>
                <w:rFonts w:ascii="宋体" w:hAnsi="宋体" w:cs="宋体"/>
                <w:color w:val="000000"/>
                <w:kern w:val="0"/>
                <w:szCs w:val="21"/>
              </w:rPr>
            </w:pPr>
            <w:r>
              <w:rPr>
                <w:rFonts w:hint="eastAsia" w:ascii="宋体" w:hAnsi="宋体" w:cs="宋体"/>
                <w:color w:val="000000"/>
                <w:kern w:val="0"/>
                <w:szCs w:val="21"/>
              </w:rPr>
              <w:t>规划及</w:t>
            </w:r>
            <w:r>
              <w:rPr>
                <w:rFonts w:hint="eastAsia" w:ascii="宋体" w:hAnsi="宋体" w:cs="宋体"/>
                <w:color w:val="000000"/>
                <w:szCs w:val="21"/>
              </w:rPr>
              <w:t>规划环境影响评价</w:t>
            </w:r>
            <w:r>
              <w:rPr>
                <w:rFonts w:hint="eastAsia" w:ascii="宋体" w:hAnsi="宋体" w:cs="宋体"/>
                <w:color w:val="000000"/>
                <w:kern w:val="0"/>
                <w:szCs w:val="21"/>
              </w:rPr>
              <w:t>符合性分析</w:t>
            </w:r>
          </w:p>
        </w:tc>
        <w:tc>
          <w:tcPr>
            <w:tcW w:w="7054" w:type="dxa"/>
            <w:gridSpan w:val="5"/>
            <w:tcMar>
              <w:top w:w="16" w:type="dxa"/>
              <w:left w:w="16" w:type="dxa"/>
              <w:right w:w="16" w:type="dxa"/>
            </w:tcMar>
            <w:vAlign w:val="center"/>
          </w:tcPr>
          <w:p>
            <w:pPr>
              <w:autoSpaceDE w:val="0"/>
              <w:autoSpaceDN w:val="0"/>
              <w:adjustRightInd w:val="0"/>
              <w:snapToGrid w:val="0"/>
              <w:jc w:val="center"/>
              <w:rPr>
                <w:rFonts w:ascii="宋体" w:hAnsi="宋体" w:cs="宋体"/>
                <w:color w:val="000000"/>
                <w:kern w:val="0"/>
                <w:szCs w:val="21"/>
              </w:rPr>
            </w:pPr>
            <w:r>
              <w:rPr>
                <w:color w:val="000000"/>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gridAfter w:val="1"/>
          <w:wAfter w:w="179" w:type="dxa"/>
          <w:trHeight w:val="13299" w:hRule="atLeast"/>
        </w:trPr>
        <w:tc>
          <w:tcPr>
            <w:tcW w:w="442" w:type="dxa"/>
            <w:gridSpan w:val="2"/>
            <w:tcMar>
              <w:top w:w="16" w:type="dxa"/>
              <w:left w:w="16" w:type="dxa"/>
              <w:right w:w="16" w:type="dxa"/>
            </w:tcMar>
            <w:vAlign w:val="center"/>
          </w:tcPr>
          <w:p>
            <w:pPr>
              <w:autoSpaceDE w:val="0"/>
              <w:autoSpaceDN w:val="0"/>
              <w:adjustRightInd w:val="0"/>
              <w:snapToGrid w:val="0"/>
              <w:jc w:val="center"/>
              <w:rPr>
                <w:rFonts w:ascii="宋体" w:hAnsi="宋体" w:cs="宋体"/>
                <w:color w:val="000000"/>
                <w:kern w:val="0"/>
                <w:szCs w:val="21"/>
              </w:rPr>
            </w:pPr>
            <w:bookmarkStart w:id="3" w:name="_Hlk56690880"/>
            <w:r>
              <w:rPr>
                <w:rFonts w:hint="eastAsia" w:ascii="宋体" w:hAnsi="宋体" w:cs="宋体"/>
                <w:color w:val="000000"/>
                <w:kern w:val="0"/>
                <w:szCs w:val="21"/>
              </w:rPr>
              <w:t>其他符合性分析</w:t>
            </w:r>
            <w:bookmarkEnd w:id="3"/>
          </w:p>
        </w:tc>
        <w:tc>
          <w:tcPr>
            <w:tcW w:w="8434" w:type="dxa"/>
            <w:gridSpan w:val="5"/>
            <w:tcMar>
              <w:top w:w="16" w:type="dxa"/>
              <w:left w:w="16" w:type="dxa"/>
              <w:right w:w="16" w:type="dxa"/>
            </w:tcMar>
            <w:vAlign w:val="center"/>
          </w:tcPr>
          <w:p>
            <w:pPr>
              <w:pStyle w:val="110"/>
              <w:rPr>
                <w:color w:val="000000"/>
              </w:rPr>
            </w:pPr>
            <w:r>
              <w:rPr>
                <w:rFonts w:hint="eastAsia"/>
                <w:color w:val="000000"/>
              </w:rPr>
              <w:t>1、产业政策分析</w:t>
            </w:r>
          </w:p>
          <w:p>
            <w:pPr>
              <w:pStyle w:val="110"/>
              <w:rPr>
                <w:color w:val="000000"/>
              </w:rPr>
            </w:pPr>
            <w:r>
              <w:rPr>
                <w:rFonts w:hint="eastAsia"/>
                <w:color w:val="000000"/>
              </w:rPr>
              <w:t>根据《产业结构调整指导目录（2019年本）》（2020年1月1日）有关条款的决定，本项目为“常规石油、天然气勘探与开采”项目，为鼓励类项目，符合国家产业政策。</w:t>
            </w:r>
          </w:p>
          <w:p>
            <w:pPr>
              <w:pStyle w:val="110"/>
              <w:rPr>
                <w:color w:val="000000"/>
              </w:rPr>
            </w:pPr>
            <w:r>
              <w:rPr>
                <w:color w:val="000000"/>
              </w:rPr>
              <w:t>2</w:t>
            </w:r>
            <w:r>
              <w:rPr>
                <w:rFonts w:hint="eastAsia"/>
                <w:color w:val="000000"/>
              </w:rPr>
              <w:t>、与《新疆维吾尔自治区煤炭石油天然气开发环境保护条例》（2018年9月21日）的相符性分析</w:t>
            </w:r>
          </w:p>
          <w:p>
            <w:pPr>
              <w:pStyle w:val="110"/>
              <w:rPr>
                <w:color w:val="000000"/>
              </w:rPr>
            </w:pPr>
            <w:r>
              <w:rPr>
                <w:rFonts w:hint="eastAsia"/>
                <w:color w:val="000000"/>
              </w:rPr>
              <w:t xml:space="preserve">本项目与《新疆维吾尔自治区煤炭石油天然气开发环境保护条例》（2018年9月21日）中要求的相符性分析详见表 </w:t>
            </w:r>
            <w:r>
              <w:rPr>
                <w:color w:val="000000"/>
              </w:rPr>
              <w:t>1</w:t>
            </w:r>
            <w:r>
              <w:rPr>
                <w:rFonts w:hint="eastAsia"/>
                <w:color w:val="000000"/>
              </w:rPr>
              <w:t>。</w:t>
            </w:r>
          </w:p>
          <w:p>
            <w:pPr>
              <w:pStyle w:val="12"/>
              <w:spacing w:before="120"/>
              <w:rPr>
                <w:color w:val="000000"/>
                <w:sz w:val="22"/>
              </w:rPr>
            </w:pPr>
            <w:bookmarkStart w:id="4" w:name="_Ref38542290"/>
            <w:r>
              <w:rPr>
                <w:rFonts w:hint="eastAsia"/>
                <w:color w:val="000000"/>
              </w:rPr>
              <w:t xml:space="preserve">表 </w:t>
            </w:r>
            <w:r>
              <w:rPr>
                <w:color w:val="000000"/>
              </w:rPr>
              <w:t>1</w:t>
            </w:r>
            <w:bookmarkEnd w:id="4"/>
            <w:r>
              <w:rPr>
                <w:color w:val="000000"/>
              </w:rPr>
              <w:t xml:space="preserve">  </w:t>
            </w:r>
            <w:r>
              <w:rPr>
                <w:rFonts w:hint="eastAsia"/>
                <w:snapToGrid w:val="0"/>
                <w:color w:val="000000"/>
              </w:rPr>
              <w:t>与</w:t>
            </w:r>
            <w:r>
              <w:rPr>
                <w:rFonts w:hint="eastAsia"/>
                <w:color w:val="000000"/>
              </w:rPr>
              <w:t>《新疆维吾尔自治区煤炭石油天然气开发环境保护条例》（2018年9月21日）</w:t>
            </w:r>
            <w:r>
              <w:rPr>
                <w:rFonts w:hint="eastAsia"/>
                <w:snapToGrid w:val="0"/>
                <w:color w:val="000000"/>
              </w:rPr>
              <w:t>的相符性分析</w:t>
            </w:r>
          </w:p>
          <w:tbl>
            <w:tblPr>
              <w:tblStyle w:val="29"/>
              <w:tblW w:w="839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4332"/>
              <w:gridCol w:w="2845"/>
              <w:gridCol w:w="7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jc w:val="center"/>
              </w:trPr>
              <w:tc>
                <w:tcPr>
                  <w:tcW w:w="426" w:type="dxa"/>
                  <w:vAlign w:val="center"/>
                </w:tcPr>
                <w:p>
                  <w:pPr>
                    <w:pStyle w:val="70"/>
                    <w:rPr>
                      <w:color w:val="000000"/>
                    </w:rPr>
                  </w:pPr>
                  <w:r>
                    <w:rPr>
                      <w:rFonts w:hint="eastAsia"/>
                      <w:color w:val="000000"/>
                    </w:rPr>
                    <w:t>序号</w:t>
                  </w:r>
                </w:p>
              </w:tc>
              <w:tc>
                <w:tcPr>
                  <w:tcW w:w="4332" w:type="dxa"/>
                  <w:vAlign w:val="center"/>
                </w:tcPr>
                <w:p>
                  <w:pPr>
                    <w:pStyle w:val="70"/>
                    <w:rPr>
                      <w:color w:val="000000"/>
                    </w:rPr>
                  </w:pPr>
                  <w:r>
                    <w:rPr>
                      <w:rFonts w:hint="eastAsia"/>
                      <w:color w:val="000000"/>
                    </w:rPr>
                    <w:t>《新疆维吾尔自治区煤炭石油天然气开发环境保护条例》（2018年9月21日）中相关规定</w:t>
                  </w:r>
                </w:p>
              </w:tc>
              <w:tc>
                <w:tcPr>
                  <w:tcW w:w="2845" w:type="dxa"/>
                  <w:vAlign w:val="center"/>
                </w:tcPr>
                <w:p>
                  <w:pPr>
                    <w:pStyle w:val="70"/>
                    <w:rPr>
                      <w:color w:val="000000"/>
                    </w:rPr>
                  </w:pPr>
                  <w:r>
                    <w:rPr>
                      <w:rFonts w:hint="eastAsia"/>
                      <w:color w:val="000000"/>
                    </w:rPr>
                    <w:t>本项目实施过程中采取的措施</w:t>
                  </w:r>
                </w:p>
              </w:tc>
              <w:tc>
                <w:tcPr>
                  <w:tcW w:w="789" w:type="dxa"/>
                  <w:vAlign w:val="center"/>
                </w:tcPr>
                <w:p>
                  <w:pPr>
                    <w:pStyle w:val="70"/>
                    <w:rPr>
                      <w:color w:val="000000"/>
                    </w:rPr>
                  </w:pPr>
                  <w:r>
                    <w:rPr>
                      <w:rFonts w:hint="eastAsia"/>
                      <w:color w:val="000000"/>
                    </w:rPr>
                    <w:t>相符性分析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jc w:val="center"/>
              </w:trPr>
              <w:tc>
                <w:tcPr>
                  <w:tcW w:w="426" w:type="dxa"/>
                  <w:vAlign w:val="center"/>
                </w:tcPr>
                <w:p>
                  <w:pPr>
                    <w:pStyle w:val="70"/>
                    <w:rPr>
                      <w:color w:val="000000"/>
                    </w:rPr>
                  </w:pPr>
                  <w:r>
                    <w:rPr>
                      <w:rFonts w:hint="eastAsia"/>
                      <w:color w:val="000000"/>
                    </w:rPr>
                    <w:t>1</w:t>
                  </w:r>
                </w:p>
              </w:tc>
              <w:tc>
                <w:tcPr>
                  <w:tcW w:w="4332" w:type="dxa"/>
                  <w:vAlign w:val="center"/>
                </w:tcPr>
                <w:p>
                  <w:pPr>
                    <w:pStyle w:val="70"/>
                    <w:rPr>
                      <w:color w:val="000000"/>
                    </w:rPr>
                  </w:pPr>
                  <w:r>
                    <w:rPr>
                      <w:rFonts w:hint="eastAsia"/>
                      <w:color w:val="000000"/>
                    </w:rPr>
                    <w:t>禁止在水源涵养区、地下水源、饮用水源、自然保护区、风景名胜区、森林公园、重要湿地及人群密集区等生态敏感区域内进行煤炭、石油、天然气开发。</w:t>
                  </w:r>
                </w:p>
              </w:tc>
              <w:tc>
                <w:tcPr>
                  <w:tcW w:w="2845" w:type="dxa"/>
                  <w:vAlign w:val="center"/>
                </w:tcPr>
                <w:p>
                  <w:pPr>
                    <w:pStyle w:val="70"/>
                    <w:rPr>
                      <w:color w:val="000000"/>
                    </w:rPr>
                  </w:pPr>
                  <w:r>
                    <w:rPr>
                      <w:rFonts w:hint="eastAsia"/>
                      <w:color w:val="000000"/>
                    </w:rPr>
                    <w:t>本项目位于</w:t>
                  </w:r>
                  <w:r>
                    <w:rPr>
                      <w:rFonts w:hint="eastAsia"/>
                    </w:rPr>
                    <w:t>新疆维吾尔自治区昌吉回族自治州阜康市、吉木萨尔县</w:t>
                  </w:r>
                  <w:r>
                    <w:rPr>
                      <w:rFonts w:hint="eastAsia"/>
                      <w:color w:val="000000"/>
                    </w:rPr>
                    <w:t>。不涉及煤炭、石油、天然气开发。</w:t>
                  </w:r>
                </w:p>
              </w:tc>
              <w:tc>
                <w:tcPr>
                  <w:tcW w:w="789" w:type="dxa"/>
                  <w:vAlign w:val="center"/>
                </w:tcPr>
                <w:p>
                  <w:pPr>
                    <w:pStyle w:val="70"/>
                    <w:rPr>
                      <w:color w:val="000000"/>
                    </w:rPr>
                  </w:pPr>
                  <w:r>
                    <w:rPr>
                      <w:rFonts w:hint="eastAsia"/>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jc w:val="center"/>
              </w:trPr>
              <w:tc>
                <w:tcPr>
                  <w:tcW w:w="426" w:type="dxa"/>
                  <w:vAlign w:val="center"/>
                </w:tcPr>
                <w:p>
                  <w:pPr>
                    <w:pStyle w:val="70"/>
                    <w:rPr>
                      <w:color w:val="000000"/>
                    </w:rPr>
                  </w:pPr>
                  <w:r>
                    <w:rPr>
                      <w:rFonts w:hint="eastAsia"/>
                      <w:color w:val="000000"/>
                    </w:rPr>
                    <w:t>2</w:t>
                  </w:r>
                </w:p>
              </w:tc>
              <w:tc>
                <w:tcPr>
                  <w:tcW w:w="4332" w:type="dxa"/>
                  <w:vAlign w:val="center"/>
                </w:tcPr>
                <w:p>
                  <w:pPr>
                    <w:pStyle w:val="70"/>
                    <w:rPr>
                      <w:color w:val="000000"/>
                    </w:rPr>
                  </w:pPr>
                  <w:r>
                    <w:rPr>
                      <w:rFonts w:hint="eastAsia"/>
                      <w:color w:val="000000"/>
                    </w:rPr>
                    <w:t>煤炭、石油、天然气开发项目实行环境监理，其大气、水体、固体废物等污染防治设施与主体工程同时设计、同时施工、同时投产使用。</w:t>
                  </w:r>
                </w:p>
              </w:tc>
              <w:tc>
                <w:tcPr>
                  <w:tcW w:w="2845" w:type="dxa"/>
                  <w:vAlign w:val="center"/>
                </w:tcPr>
                <w:p>
                  <w:pPr>
                    <w:pStyle w:val="70"/>
                    <w:rPr>
                      <w:color w:val="000000"/>
                    </w:rPr>
                  </w:pPr>
                  <w:r>
                    <w:rPr>
                      <w:rFonts w:hint="eastAsia"/>
                      <w:color w:val="000000"/>
                    </w:rPr>
                    <w:t>本项目为探井，不涉及试油、石油天然气开采，不涉及运营期。</w:t>
                  </w:r>
                </w:p>
              </w:tc>
              <w:tc>
                <w:tcPr>
                  <w:tcW w:w="789" w:type="dxa"/>
                  <w:vAlign w:val="center"/>
                </w:tcPr>
                <w:p>
                  <w:pPr>
                    <w:pStyle w:val="70"/>
                    <w:rPr>
                      <w:color w:val="000000"/>
                    </w:rPr>
                  </w:pPr>
                  <w:r>
                    <w:rPr>
                      <w:rFonts w:hint="eastAsia"/>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jc w:val="center"/>
              </w:trPr>
              <w:tc>
                <w:tcPr>
                  <w:tcW w:w="426" w:type="dxa"/>
                  <w:vAlign w:val="center"/>
                </w:tcPr>
                <w:p>
                  <w:pPr>
                    <w:pStyle w:val="70"/>
                    <w:rPr>
                      <w:color w:val="000000"/>
                    </w:rPr>
                  </w:pPr>
                  <w:r>
                    <w:rPr>
                      <w:rFonts w:hint="eastAsia"/>
                      <w:color w:val="000000"/>
                    </w:rPr>
                    <w:t>3</w:t>
                  </w:r>
                </w:p>
              </w:tc>
              <w:tc>
                <w:tcPr>
                  <w:tcW w:w="4332" w:type="dxa"/>
                  <w:vAlign w:val="center"/>
                </w:tcPr>
                <w:p>
                  <w:pPr>
                    <w:pStyle w:val="70"/>
                    <w:rPr>
                      <w:color w:val="000000"/>
                    </w:rPr>
                  </w:pPr>
                  <w:r>
                    <w:rPr>
                      <w:rFonts w:hint="eastAsia"/>
                      <w:color w:val="000000"/>
                    </w:rPr>
                    <w:t>煤炭、石油、天然气开发单位应当使用先进技术、工艺和设备，实行清洁生产。禁止使用国家和自治区明令淘汰的技术、工艺和设备。</w:t>
                  </w:r>
                </w:p>
              </w:tc>
              <w:tc>
                <w:tcPr>
                  <w:tcW w:w="2845" w:type="dxa"/>
                  <w:vAlign w:val="center"/>
                </w:tcPr>
                <w:p>
                  <w:pPr>
                    <w:pStyle w:val="70"/>
                    <w:rPr>
                      <w:color w:val="000000"/>
                    </w:rPr>
                  </w:pPr>
                  <w:r>
                    <w:rPr>
                      <w:rFonts w:hint="eastAsia"/>
                      <w:color w:val="000000"/>
                    </w:rPr>
                    <w:t>本项目采用先进技术、工艺设备，未使用国家和自治区明令淘汰的技术、工艺和设备。</w:t>
                  </w:r>
                </w:p>
              </w:tc>
              <w:tc>
                <w:tcPr>
                  <w:tcW w:w="789" w:type="dxa"/>
                  <w:vAlign w:val="center"/>
                </w:tcPr>
                <w:p>
                  <w:pPr>
                    <w:pStyle w:val="70"/>
                    <w:rPr>
                      <w:color w:val="000000"/>
                    </w:rPr>
                  </w:pPr>
                  <w:r>
                    <w:rPr>
                      <w:rFonts w:hint="eastAsia"/>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jc w:val="center"/>
              </w:trPr>
              <w:tc>
                <w:tcPr>
                  <w:tcW w:w="426" w:type="dxa"/>
                  <w:vAlign w:val="center"/>
                </w:tcPr>
                <w:p>
                  <w:pPr>
                    <w:pStyle w:val="70"/>
                    <w:rPr>
                      <w:color w:val="000000"/>
                    </w:rPr>
                  </w:pPr>
                  <w:r>
                    <w:rPr>
                      <w:rFonts w:hint="eastAsia"/>
                      <w:color w:val="000000"/>
                    </w:rPr>
                    <w:t>4</w:t>
                  </w:r>
                </w:p>
              </w:tc>
              <w:tc>
                <w:tcPr>
                  <w:tcW w:w="4332" w:type="dxa"/>
                  <w:vAlign w:val="center"/>
                </w:tcPr>
                <w:p>
                  <w:pPr>
                    <w:pStyle w:val="70"/>
                    <w:rPr>
                      <w:color w:val="000000"/>
                    </w:rPr>
                  </w:pPr>
                  <w:r>
                    <w:rPr>
                      <w:rFonts w:hint="eastAsia"/>
                      <w:color w:val="000000"/>
                    </w:rPr>
                    <w:t>石油开发单位应当建设清洁井场，做到场地平整、清洁卫生，在井场内实施无污染作业，并根据需要在井场四周设置符合规定的挡水墙、雨水出口和防洪渠道。</w:t>
                  </w:r>
                </w:p>
              </w:tc>
              <w:tc>
                <w:tcPr>
                  <w:tcW w:w="2845" w:type="dxa"/>
                  <w:vAlign w:val="center"/>
                </w:tcPr>
                <w:p>
                  <w:pPr>
                    <w:pStyle w:val="70"/>
                    <w:rPr>
                      <w:color w:val="000000"/>
                    </w:rPr>
                  </w:pPr>
                  <w:r>
                    <w:rPr>
                      <w:rFonts w:hint="eastAsia"/>
                      <w:color w:val="000000"/>
                    </w:rPr>
                    <w:t>本项目建设清洁井场、场地平整、清洁卫生。</w:t>
                  </w:r>
                </w:p>
              </w:tc>
              <w:tc>
                <w:tcPr>
                  <w:tcW w:w="789" w:type="dxa"/>
                  <w:vAlign w:val="center"/>
                </w:tcPr>
                <w:p>
                  <w:pPr>
                    <w:pStyle w:val="70"/>
                    <w:rPr>
                      <w:color w:val="000000"/>
                    </w:rPr>
                  </w:pPr>
                  <w:r>
                    <w:rPr>
                      <w:rFonts w:hint="eastAsia"/>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jc w:val="center"/>
              </w:trPr>
              <w:tc>
                <w:tcPr>
                  <w:tcW w:w="426" w:type="dxa"/>
                  <w:vAlign w:val="center"/>
                </w:tcPr>
                <w:p>
                  <w:pPr>
                    <w:pStyle w:val="70"/>
                    <w:rPr>
                      <w:color w:val="000000"/>
                    </w:rPr>
                  </w:pPr>
                  <w:r>
                    <w:rPr>
                      <w:rFonts w:hint="eastAsia"/>
                      <w:color w:val="000000"/>
                    </w:rPr>
                    <w:t>5</w:t>
                  </w:r>
                </w:p>
              </w:tc>
              <w:tc>
                <w:tcPr>
                  <w:tcW w:w="4332" w:type="dxa"/>
                  <w:vAlign w:val="center"/>
                </w:tcPr>
                <w:p>
                  <w:pPr>
                    <w:pStyle w:val="70"/>
                    <w:rPr>
                      <w:color w:val="000000"/>
                    </w:rPr>
                  </w:pPr>
                  <w:r>
                    <w:rPr>
                      <w:rFonts w:hint="eastAsia"/>
                      <w:color w:val="000000"/>
                    </w:rPr>
                    <w:t>石油、天然气开发单位钻井和井下作业应使用无毒、低毒钻井液。对已使用的有毒钻井液应当回收利用并做无害化处置，防止污染环境。</w:t>
                  </w:r>
                </w:p>
              </w:tc>
              <w:tc>
                <w:tcPr>
                  <w:tcW w:w="2845" w:type="dxa"/>
                  <w:vAlign w:val="center"/>
                </w:tcPr>
                <w:p>
                  <w:pPr>
                    <w:pStyle w:val="70"/>
                    <w:rPr>
                      <w:color w:val="000000"/>
                    </w:rPr>
                  </w:pPr>
                  <w:r>
                    <w:rPr>
                      <w:rFonts w:hint="eastAsia"/>
                      <w:color w:val="000000"/>
                    </w:rPr>
                    <w:t>本项目采用无毒、低毒钻井液。</w:t>
                  </w:r>
                </w:p>
              </w:tc>
              <w:tc>
                <w:tcPr>
                  <w:tcW w:w="789" w:type="dxa"/>
                  <w:vAlign w:val="center"/>
                </w:tcPr>
                <w:p>
                  <w:pPr>
                    <w:pStyle w:val="70"/>
                    <w:rPr>
                      <w:color w:val="000000"/>
                    </w:rPr>
                  </w:pPr>
                  <w:r>
                    <w:rPr>
                      <w:rFonts w:hint="eastAsia"/>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57" w:hRule="atLeast"/>
                <w:jc w:val="center"/>
              </w:trPr>
              <w:tc>
                <w:tcPr>
                  <w:tcW w:w="426" w:type="dxa"/>
                  <w:vAlign w:val="center"/>
                </w:tcPr>
                <w:p>
                  <w:pPr>
                    <w:pStyle w:val="70"/>
                    <w:rPr>
                      <w:color w:val="000000"/>
                    </w:rPr>
                  </w:pPr>
                  <w:r>
                    <w:rPr>
                      <w:rFonts w:hint="eastAsia"/>
                      <w:color w:val="000000"/>
                    </w:rPr>
                    <w:t>6</w:t>
                  </w:r>
                </w:p>
              </w:tc>
              <w:tc>
                <w:tcPr>
                  <w:tcW w:w="4332" w:type="dxa"/>
                  <w:vAlign w:val="center"/>
                </w:tcPr>
                <w:p>
                  <w:pPr>
                    <w:pStyle w:val="70"/>
                    <w:rPr>
                      <w:color w:val="000000"/>
                    </w:rPr>
                  </w:pPr>
                  <w:r>
                    <w:rPr>
                      <w:rFonts w:hint="eastAsia"/>
                      <w:color w:val="000000"/>
                    </w:rPr>
                    <w:t>对钻井作业产生的污水应当进行回收，经处理达标后方可回注。未经处理达标的污水不得回注或者外排。</w:t>
                  </w:r>
                </w:p>
              </w:tc>
              <w:tc>
                <w:tcPr>
                  <w:tcW w:w="2845" w:type="dxa"/>
                  <w:vAlign w:val="center"/>
                </w:tcPr>
                <w:p>
                  <w:pPr>
                    <w:pStyle w:val="70"/>
                    <w:rPr>
                      <w:color w:val="000000"/>
                    </w:rPr>
                  </w:pPr>
                  <w:r>
                    <w:rPr>
                      <w:rFonts w:hint="eastAsia"/>
                      <w:color w:val="000000"/>
                    </w:rPr>
                    <w:t>本项目产生的</w:t>
                  </w:r>
                  <w:r>
                    <w:rPr>
                      <w:rFonts w:hint="eastAsia" w:hAnsi="宋体"/>
                      <w:color w:val="000000"/>
                    </w:rPr>
                    <w:t>钻井废水</w:t>
                  </w:r>
                  <w:r>
                    <w:rPr>
                      <w:rFonts w:hint="eastAsia"/>
                      <w:color w:val="000000"/>
                    </w:rPr>
                    <w:t>输送至“泥浆不落地”泥浆槽中循环利用，完井后废水运至春风一号联合站处理达标后用于产能开发回注地层。</w:t>
                  </w:r>
                </w:p>
              </w:tc>
              <w:tc>
                <w:tcPr>
                  <w:tcW w:w="789" w:type="dxa"/>
                  <w:vAlign w:val="center"/>
                </w:tcPr>
                <w:p>
                  <w:pPr>
                    <w:pStyle w:val="70"/>
                    <w:rPr>
                      <w:color w:val="000000"/>
                    </w:rPr>
                  </w:pPr>
                  <w:r>
                    <w:rPr>
                      <w:rFonts w:hint="eastAsia"/>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7" w:hRule="atLeast"/>
                <w:jc w:val="center"/>
              </w:trPr>
              <w:tc>
                <w:tcPr>
                  <w:tcW w:w="426" w:type="dxa"/>
                  <w:vAlign w:val="center"/>
                </w:tcPr>
                <w:p>
                  <w:pPr>
                    <w:pStyle w:val="70"/>
                    <w:rPr>
                      <w:color w:val="000000"/>
                    </w:rPr>
                  </w:pPr>
                  <w:r>
                    <w:rPr>
                      <w:rFonts w:hint="eastAsia"/>
                      <w:color w:val="000000"/>
                    </w:rPr>
                    <w:t>序号</w:t>
                  </w:r>
                </w:p>
              </w:tc>
              <w:tc>
                <w:tcPr>
                  <w:tcW w:w="4332" w:type="dxa"/>
                  <w:vAlign w:val="center"/>
                </w:tcPr>
                <w:p>
                  <w:pPr>
                    <w:pStyle w:val="70"/>
                    <w:rPr>
                      <w:color w:val="000000"/>
                    </w:rPr>
                  </w:pPr>
                  <w:r>
                    <w:rPr>
                      <w:rFonts w:hint="eastAsia"/>
                      <w:color w:val="000000"/>
                    </w:rPr>
                    <w:t>《新疆维吾尔自治区煤炭石油天然气开发环境保护条例》（2018年9月21日）中相关规定</w:t>
                  </w:r>
                </w:p>
              </w:tc>
              <w:tc>
                <w:tcPr>
                  <w:tcW w:w="2845" w:type="dxa"/>
                  <w:vAlign w:val="center"/>
                </w:tcPr>
                <w:p>
                  <w:pPr>
                    <w:pStyle w:val="70"/>
                    <w:rPr>
                      <w:color w:val="000000"/>
                    </w:rPr>
                  </w:pPr>
                  <w:r>
                    <w:rPr>
                      <w:rFonts w:hint="eastAsia"/>
                      <w:color w:val="000000"/>
                    </w:rPr>
                    <w:t>本项目实施过程中采取的措施</w:t>
                  </w:r>
                </w:p>
              </w:tc>
              <w:tc>
                <w:tcPr>
                  <w:tcW w:w="789" w:type="dxa"/>
                  <w:vAlign w:val="center"/>
                </w:tcPr>
                <w:p>
                  <w:pPr>
                    <w:pStyle w:val="70"/>
                    <w:rPr>
                      <w:color w:val="000000"/>
                    </w:rPr>
                  </w:pPr>
                  <w:r>
                    <w:rPr>
                      <w:rFonts w:hint="eastAsia"/>
                      <w:color w:val="000000"/>
                    </w:rPr>
                    <w:t>相符性分析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7" w:hRule="atLeast"/>
                <w:jc w:val="center"/>
              </w:trPr>
              <w:tc>
                <w:tcPr>
                  <w:tcW w:w="426" w:type="dxa"/>
                  <w:vAlign w:val="center"/>
                </w:tcPr>
                <w:p>
                  <w:pPr>
                    <w:pStyle w:val="70"/>
                    <w:rPr>
                      <w:color w:val="000000"/>
                    </w:rPr>
                  </w:pPr>
                  <w:r>
                    <w:rPr>
                      <w:rFonts w:hint="eastAsia"/>
                      <w:color w:val="000000"/>
                    </w:rPr>
                    <w:t>7</w:t>
                  </w:r>
                </w:p>
              </w:tc>
              <w:tc>
                <w:tcPr>
                  <w:tcW w:w="4332" w:type="dxa"/>
                  <w:vAlign w:val="center"/>
                </w:tcPr>
                <w:p>
                  <w:pPr>
                    <w:pStyle w:val="70"/>
                    <w:rPr>
                      <w:color w:val="000000"/>
                    </w:rPr>
                  </w:pPr>
                  <w:r>
                    <w:rPr>
                      <w:rFonts w:hint="eastAsia"/>
                      <w:color w:val="000000"/>
                    </w:rPr>
                    <w:t>石油、天然气开发单位应当采取保护性措施，防止油井套管破损、气井泄漏，污染地下水体。</w:t>
                  </w:r>
                </w:p>
              </w:tc>
              <w:tc>
                <w:tcPr>
                  <w:tcW w:w="2845" w:type="dxa"/>
                  <w:vAlign w:val="center"/>
                </w:tcPr>
                <w:p>
                  <w:pPr>
                    <w:pStyle w:val="70"/>
                    <w:rPr>
                      <w:color w:val="000000"/>
                    </w:rPr>
                  </w:pPr>
                  <w:r>
                    <w:rPr>
                      <w:color w:val="000000"/>
                    </w:rPr>
                    <w:t>本项目钻井时严格落实套管下入深度合格和固井质量合格，防止油井套管破损、气井泄漏，污染地下水体</w:t>
                  </w:r>
                  <w:r>
                    <w:rPr>
                      <w:rFonts w:hint="eastAsia"/>
                      <w:color w:val="000000"/>
                    </w:rPr>
                    <w:t>。</w:t>
                  </w:r>
                </w:p>
              </w:tc>
              <w:tc>
                <w:tcPr>
                  <w:tcW w:w="789" w:type="dxa"/>
                  <w:vAlign w:val="center"/>
                </w:tcPr>
                <w:p>
                  <w:pPr>
                    <w:pStyle w:val="70"/>
                    <w:rPr>
                      <w:color w:val="000000"/>
                    </w:rPr>
                  </w:pPr>
                  <w:r>
                    <w:rPr>
                      <w:rFonts w:hint="eastAsia"/>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jc w:val="center"/>
              </w:trPr>
              <w:tc>
                <w:tcPr>
                  <w:tcW w:w="426" w:type="dxa"/>
                  <w:vAlign w:val="center"/>
                </w:tcPr>
                <w:p>
                  <w:pPr>
                    <w:pStyle w:val="70"/>
                    <w:rPr>
                      <w:color w:val="000000"/>
                    </w:rPr>
                  </w:pPr>
                  <w:r>
                    <w:rPr>
                      <w:rFonts w:hint="eastAsia"/>
                      <w:color w:val="000000"/>
                    </w:rPr>
                    <w:t>8</w:t>
                  </w:r>
                </w:p>
              </w:tc>
              <w:tc>
                <w:tcPr>
                  <w:tcW w:w="4332" w:type="dxa"/>
                  <w:vAlign w:val="center"/>
                </w:tcPr>
                <w:p>
                  <w:pPr>
                    <w:pStyle w:val="70"/>
                    <w:rPr>
                      <w:color w:val="000000"/>
                    </w:rPr>
                  </w:pPr>
                  <w:r>
                    <w:rPr>
                      <w:rFonts w:hint="eastAsia"/>
                      <w:color w:val="000000"/>
                    </w:rPr>
                    <w:t>煤炭、石油、天然气开发过程中产生的伴生气、有毒有害气体或者可燃性气体应当进行回收利用；不具备回收利用条件的，应当经过充分燃烧或者采取其他防治措施，达到国家或者自治区规定的排放标准后排放。</w:t>
                  </w:r>
                </w:p>
              </w:tc>
              <w:tc>
                <w:tcPr>
                  <w:tcW w:w="2845" w:type="dxa"/>
                  <w:vAlign w:val="center"/>
                </w:tcPr>
                <w:p>
                  <w:pPr>
                    <w:pStyle w:val="70"/>
                    <w:rPr>
                      <w:color w:val="000000"/>
                    </w:rPr>
                  </w:pPr>
                  <w:r>
                    <w:rPr>
                      <w:rFonts w:hint="eastAsia"/>
                      <w:color w:val="000000"/>
                    </w:rPr>
                    <w:t>本项目不涉及试油，不涉及油气反应。</w:t>
                  </w:r>
                </w:p>
              </w:tc>
              <w:tc>
                <w:tcPr>
                  <w:tcW w:w="789" w:type="dxa"/>
                  <w:vAlign w:val="center"/>
                </w:tcPr>
                <w:p>
                  <w:pPr>
                    <w:pStyle w:val="70"/>
                    <w:rPr>
                      <w:color w:val="000000"/>
                    </w:rPr>
                  </w:pPr>
                  <w:r>
                    <w:rPr>
                      <w:rFonts w:hint="eastAsia"/>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jc w:val="center"/>
              </w:trPr>
              <w:tc>
                <w:tcPr>
                  <w:tcW w:w="426" w:type="dxa"/>
                  <w:vAlign w:val="center"/>
                </w:tcPr>
                <w:p>
                  <w:pPr>
                    <w:pStyle w:val="70"/>
                    <w:rPr>
                      <w:color w:val="000000"/>
                    </w:rPr>
                  </w:pPr>
                  <w:r>
                    <w:rPr>
                      <w:rFonts w:hint="eastAsia"/>
                      <w:color w:val="000000"/>
                    </w:rPr>
                    <w:t>9</w:t>
                  </w:r>
                </w:p>
              </w:tc>
              <w:tc>
                <w:tcPr>
                  <w:tcW w:w="4332" w:type="dxa"/>
                  <w:vAlign w:val="center"/>
                </w:tcPr>
                <w:p>
                  <w:pPr>
                    <w:pStyle w:val="70"/>
                    <w:rPr>
                      <w:color w:val="000000"/>
                    </w:rPr>
                  </w:pPr>
                  <w:r>
                    <w:rPr>
                      <w:rFonts w:hint="eastAsia"/>
                      <w:color w:val="000000"/>
                    </w:rPr>
                    <w:t>煤炭、石油、天然气开发单位应加强危险废物的管理。危险废物的收集、贮存、运输、处置，必须符合国家和自治区有关规定；不具备处置、利用条件的，应送交有资质的单位处置。</w:t>
                  </w:r>
                </w:p>
              </w:tc>
              <w:tc>
                <w:tcPr>
                  <w:tcW w:w="2845" w:type="dxa"/>
                  <w:vAlign w:val="center"/>
                </w:tcPr>
                <w:p>
                  <w:pPr>
                    <w:pStyle w:val="70"/>
                    <w:rPr>
                      <w:color w:val="000000"/>
                    </w:rPr>
                  </w:pPr>
                  <w:r>
                    <w:rPr>
                      <w:rFonts w:hint="eastAsia" w:hAnsi="宋体" w:cs="宋体"/>
                      <w:color w:val="000000"/>
                    </w:rPr>
                    <w:t>废防渗材料</w:t>
                  </w:r>
                  <w:r>
                    <w:rPr>
                      <w:rFonts w:hint="eastAsia"/>
                      <w:color w:val="000000"/>
                    </w:rPr>
                    <w:t>正常情况循环利用，使用过程中如产生不可利用的废防渗材料，则按照《危险废物贮存污染控制标准》（GB 18597-2001）及其修改单（环境保护部公告2013年第36号）标准，委托有危废处理资质单位进行无害化处理。</w:t>
                  </w:r>
                </w:p>
              </w:tc>
              <w:tc>
                <w:tcPr>
                  <w:tcW w:w="789" w:type="dxa"/>
                  <w:vAlign w:val="center"/>
                </w:tcPr>
                <w:p>
                  <w:pPr>
                    <w:pStyle w:val="70"/>
                    <w:rPr>
                      <w:color w:val="000000"/>
                    </w:rPr>
                  </w:pPr>
                  <w:r>
                    <w:rPr>
                      <w:rFonts w:hint="eastAsia"/>
                      <w:color w:val="000000"/>
                    </w:rPr>
                    <w:t>符合</w:t>
                  </w:r>
                </w:p>
              </w:tc>
            </w:tr>
          </w:tbl>
          <w:p>
            <w:pPr>
              <w:pStyle w:val="110"/>
              <w:rPr>
                <w:color w:val="000000"/>
              </w:rPr>
            </w:pPr>
          </w:p>
          <w:p>
            <w:pPr>
              <w:pStyle w:val="110"/>
              <w:rPr>
                <w:color w:val="000000"/>
              </w:rPr>
            </w:pPr>
            <w:r>
              <w:rPr>
                <w:rFonts w:hint="eastAsia"/>
                <w:color w:val="000000"/>
              </w:rPr>
              <w:t>综上所述，本项目建设符合《新疆维吾尔自治区煤炭石油天然气开发环境保护条例》（2018年9月21日）的相关规定。</w:t>
            </w:r>
          </w:p>
          <w:p>
            <w:pPr>
              <w:pStyle w:val="110"/>
              <w:rPr>
                <w:color w:val="000000"/>
              </w:rPr>
            </w:pPr>
            <w:r>
              <w:rPr>
                <w:color w:val="000000"/>
              </w:rPr>
              <w:t>3</w:t>
            </w:r>
            <w:r>
              <w:rPr>
                <w:rFonts w:hint="eastAsia"/>
                <w:color w:val="000000"/>
              </w:rPr>
              <w:t>、与“三线一单”符合性分析</w:t>
            </w:r>
          </w:p>
          <w:p>
            <w:pPr>
              <w:pStyle w:val="110"/>
              <w:rPr>
                <w:color w:val="000000"/>
              </w:rPr>
            </w:pPr>
            <w:r>
              <w:rPr>
                <w:rFonts w:hint="eastAsia"/>
                <w:color w:val="000000"/>
              </w:rPr>
              <w:t>本项目与《关于以改善环境质量为核心加强环境影响评价管理的通知》（环环评[2016]150号）、《关于印发&lt;新疆维吾尔自治区“三线一单”生态环境分区管控方案&gt;的通知》（新政发[2021]18号）、《</w:t>
            </w:r>
            <w:r>
              <w:rPr>
                <w:color w:val="000000"/>
              </w:rPr>
              <w:t>关于</w:t>
            </w:r>
            <w:r>
              <w:rPr>
                <w:rFonts w:hint="eastAsia"/>
                <w:color w:val="000000"/>
              </w:rPr>
              <w:t>&lt;</w:t>
            </w:r>
            <w:r>
              <w:rPr>
                <w:color w:val="000000"/>
              </w:rPr>
              <w:t>昌吉回族自治州“三线一单”生态环境分区管控方案及生态环境准入清单</w:t>
            </w:r>
            <w:r>
              <w:rPr>
                <w:rFonts w:hint="eastAsia"/>
                <w:color w:val="000000"/>
              </w:rPr>
              <w:t>&gt;</w:t>
            </w:r>
            <w:r>
              <w:rPr>
                <w:color w:val="000000"/>
              </w:rPr>
              <w:t>的公告</w:t>
            </w:r>
            <w:r>
              <w:rPr>
                <w:rFonts w:hint="eastAsia"/>
                <w:color w:val="000000"/>
              </w:rPr>
              <w:t>》（</w:t>
            </w:r>
            <w:r>
              <w:rPr>
                <w:color w:val="000000"/>
              </w:rPr>
              <w:t>昌州政办发</w:t>
            </w:r>
            <w:r>
              <w:rPr>
                <w:rFonts w:hint="eastAsia"/>
                <w:color w:val="000000"/>
              </w:rPr>
              <w:t>[</w:t>
            </w:r>
            <w:r>
              <w:rPr>
                <w:color w:val="000000"/>
              </w:rPr>
              <w:t>2021]41号</w:t>
            </w:r>
            <w:r>
              <w:rPr>
                <w:rFonts w:hint="eastAsia"/>
                <w:color w:val="000000"/>
              </w:rPr>
              <w:t xml:space="preserve">）中“三线一单”符合性分析见表 </w:t>
            </w:r>
            <w:r>
              <w:rPr>
                <w:color w:val="000000"/>
              </w:rPr>
              <w:t>2</w:t>
            </w:r>
            <w:r>
              <w:rPr>
                <w:rFonts w:hint="eastAsia"/>
                <w:color w:val="000000"/>
              </w:rPr>
              <w:t>。</w:t>
            </w:r>
          </w:p>
          <w:p>
            <w:pPr>
              <w:pStyle w:val="12"/>
              <w:spacing w:before="120"/>
              <w:rPr>
                <w:color w:val="000000"/>
              </w:rPr>
            </w:pPr>
            <w:bookmarkStart w:id="5" w:name="_Ref59701540"/>
            <w:r>
              <w:rPr>
                <w:rFonts w:hint="eastAsia"/>
                <w:color w:val="000000"/>
              </w:rPr>
              <w:t xml:space="preserve">表 </w:t>
            </w:r>
            <w:r>
              <w:rPr>
                <w:color w:val="000000"/>
              </w:rPr>
              <w:t>2</w:t>
            </w:r>
            <w:bookmarkEnd w:id="5"/>
            <w:r>
              <w:rPr>
                <w:color w:val="000000"/>
              </w:rPr>
              <w:t xml:space="preserve">  </w:t>
            </w:r>
            <w:r>
              <w:rPr>
                <w:rFonts w:hint="eastAsia"/>
                <w:color w:val="000000"/>
              </w:rPr>
              <w:t>“三线一单”符合性分析表</w:t>
            </w:r>
          </w:p>
          <w:tbl>
            <w:tblPr>
              <w:tblStyle w:val="29"/>
              <w:tblW w:w="839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426"/>
              <w:gridCol w:w="1810"/>
              <w:gridCol w:w="427"/>
              <w:gridCol w:w="2965"/>
              <w:gridCol w:w="1912"/>
              <w:gridCol w:w="4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trPr>
              <w:tc>
                <w:tcPr>
                  <w:tcW w:w="426" w:type="dxa"/>
                  <w:tcBorders>
                    <w:top w:val="single" w:color="auto" w:sz="4" w:space="0"/>
                    <w:left w:val="single" w:color="auto" w:sz="4" w:space="0"/>
                    <w:bottom w:val="single" w:color="auto" w:sz="4" w:space="0"/>
                    <w:right w:val="single" w:color="auto" w:sz="4" w:space="0"/>
                  </w:tcBorders>
                  <w:vAlign w:val="center"/>
                </w:tcPr>
                <w:p>
                  <w:pPr>
                    <w:pStyle w:val="115"/>
                    <w:rPr>
                      <w:color w:val="000000"/>
                    </w:rPr>
                  </w:pPr>
                  <w:r>
                    <w:rPr>
                      <w:rFonts w:hint="eastAsia"/>
                      <w:color w:val="000000"/>
                    </w:rPr>
                    <w:t>序号</w:t>
                  </w:r>
                </w:p>
              </w:tc>
              <w:tc>
                <w:tcPr>
                  <w:tcW w:w="2236" w:type="dxa"/>
                  <w:gridSpan w:val="2"/>
                  <w:tcBorders>
                    <w:top w:val="single" w:color="auto" w:sz="4" w:space="0"/>
                    <w:left w:val="single" w:color="auto" w:sz="4" w:space="0"/>
                    <w:bottom w:val="single" w:color="auto" w:sz="4" w:space="0"/>
                    <w:right w:val="single" w:color="auto" w:sz="4" w:space="0"/>
                  </w:tcBorders>
                  <w:vAlign w:val="center"/>
                </w:tcPr>
                <w:p>
                  <w:pPr>
                    <w:pStyle w:val="115"/>
                    <w:rPr>
                      <w:color w:val="000000"/>
                    </w:rPr>
                  </w:pPr>
                  <w:r>
                    <w:rPr>
                      <w:rStyle w:val="76"/>
                      <w:rFonts w:hint="eastAsia"/>
                      <w:color w:val="000000"/>
                      <w:sz w:val="21"/>
                      <w:szCs w:val="21"/>
                    </w:rPr>
                    <w:t>环环评[2016]150号</w:t>
                  </w:r>
                  <w:r>
                    <w:rPr>
                      <w:rFonts w:hint="eastAsia"/>
                      <w:color w:val="000000"/>
                    </w:rPr>
                    <w:t>要求</w:t>
                  </w:r>
                </w:p>
              </w:tc>
              <w:tc>
                <w:tcPr>
                  <w:tcW w:w="3392" w:type="dxa"/>
                  <w:gridSpan w:val="2"/>
                  <w:tcBorders>
                    <w:top w:val="single" w:color="auto" w:sz="4" w:space="0"/>
                    <w:left w:val="single" w:color="auto" w:sz="4" w:space="0"/>
                    <w:bottom w:val="single" w:color="auto" w:sz="4" w:space="0"/>
                    <w:right w:val="single" w:color="auto" w:sz="4" w:space="0"/>
                  </w:tcBorders>
                  <w:vAlign w:val="center"/>
                </w:tcPr>
                <w:p>
                  <w:pPr>
                    <w:pStyle w:val="115"/>
                    <w:rPr>
                      <w:color w:val="000000"/>
                    </w:rPr>
                  </w:pPr>
                  <w:r>
                    <w:rPr>
                      <w:rFonts w:hint="eastAsia" w:hAnsi="宋体"/>
                      <w:color w:val="000000"/>
                    </w:rPr>
                    <w:t>新疆维吾尔自治区及昌吉回族自治州要求</w:t>
                  </w:r>
                </w:p>
              </w:tc>
              <w:tc>
                <w:tcPr>
                  <w:tcW w:w="1912" w:type="dxa"/>
                  <w:tcBorders>
                    <w:top w:val="single" w:color="auto" w:sz="4" w:space="0"/>
                    <w:left w:val="single" w:color="auto" w:sz="4" w:space="0"/>
                    <w:bottom w:val="single" w:color="auto" w:sz="4" w:space="0"/>
                    <w:right w:val="single" w:color="auto" w:sz="4" w:space="0"/>
                  </w:tcBorders>
                  <w:vAlign w:val="center"/>
                </w:tcPr>
                <w:p>
                  <w:pPr>
                    <w:pStyle w:val="115"/>
                    <w:rPr>
                      <w:color w:val="000000"/>
                    </w:rPr>
                  </w:pPr>
                  <w:r>
                    <w:rPr>
                      <w:rFonts w:hint="eastAsia"/>
                      <w:color w:val="000000"/>
                    </w:rPr>
                    <w:t>项目情况</w:t>
                  </w:r>
                </w:p>
              </w:tc>
              <w:tc>
                <w:tcPr>
                  <w:tcW w:w="426" w:type="dxa"/>
                  <w:tcBorders>
                    <w:top w:val="single" w:color="auto" w:sz="4" w:space="0"/>
                    <w:left w:val="single" w:color="auto" w:sz="4" w:space="0"/>
                    <w:bottom w:val="single" w:color="auto" w:sz="4" w:space="0"/>
                    <w:right w:val="single" w:color="auto" w:sz="4" w:space="0"/>
                  </w:tcBorders>
                  <w:vAlign w:val="center"/>
                </w:tcPr>
                <w:p>
                  <w:pPr>
                    <w:pStyle w:val="115"/>
                    <w:rPr>
                      <w:color w:val="000000"/>
                    </w:rPr>
                  </w:pPr>
                  <w:r>
                    <w:rPr>
                      <w:rFonts w:hint="eastAsia"/>
                      <w:color w:val="000000"/>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26" w:type="dxa"/>
                  <w:tcBorders>
                    <w:top w:val="single" w:color="auto" w:sz="4" w:space="0"/>
                    <w:left w:val="single" w:color="auto" w:sz="4" w:space="0"/>
                    <w:bottom w:val="single" w:color="auto" w:sz="4" w:space="0"/>
                    <w:right w:val="single" w:color="auto" w:sz="4" w:space="0"/>
                  </w:tcBorders>
                  <w:vAlign w:val="center"/>
                </w:tcPr>
                <w:p>
                  <w:pPr>
                    <w:pStyle w:val="115"/>
                    <w:rPr>
                      <w:color w:val="000000"/>
                    </w:rPr>
                  </w:pPr>
                  <w:r>
                    <w:rPr>
                      <w:rFonts w:hint="eastAsia"/>
                      <w:color w:val="000000"/>
                    </w:rPr>
                    <w:t>1</w:t>
                  </w:r>
                </w:p>
              </w:tc>
              <w:tc>
                <w:tcPr>
                  <w:tcW w:w="426" w:type="dxa"/>
                  <w:tcBorders>
                    <w:top w:val="single" w:color="auto" w:sz="4" w:space="0"/>
                    <w:left w:val="single" w:color="auto" w:sz="4" w:space="0"/>
                    <w:bottom w:val="single" w:color="auto" w:sz="4" w:space="0"/>
                    <w:right w:val="single" w:color="auto" w:sz="4" w:space="0"/>
                  </w:tcBorders>
                  <w:vAlign w:val="center"/>
                </w:tcPr>
                <w:p>
                  <w:pPr>
                    <w:pStyle w:val="115"/>
                    <w:rPr>
                      <w:color w:val="000000"/>
                    </w:rPr>
                  </w:pPr>
                  <w:r>
                    <w:rPr>
                      <w:rFonts w:hint="eastAsia"/>
                      <w:color w:val="000000"/>
                    </w:rPr>
                    <w:t>生态保护红线</w:t>
                  </w:r>
                </w:p>
              </w:tc>
              <w:tc>
                <w:tcPr>
                  <w:tcW w:w="1810" w:type="dxa"/>
                  <w:tcBorders>
                    <w:top w:val="single" w:color="auto" w:sz="4" w:space="0"/>
                    <w:left w:val="single" w:color="auto" w:sz="4" w:space="0"/>
                    <w:bottom w:val="single" w:color="auto" w:sz="4" w:space="0"/>
                    <w:right w:val="single" w:color="auto" w:sz="4" w:space="0"/>
                  </w:tcBorders>
                  <w:vAlign w:val="center"/>
                </w:tcPr>
                <w:p>
                  <w:pPr>
                    <w:pStyle w:val="115"/>
                    <w:rPr>
                      <w:color w:val="000000"/>
                    </w:rPr>
                  </w:pPr>
                  <w:r>
                    <w:rPr>
                      <w:rFonts w:hint="eastAsia"/>
                      <w:color w:val="000000"/>
                    </w:rPr>
                    <w:t>生态保护红线是生态空间范围内具有特殊重要生态功能必须实行强制性严格保护的区域。相关规划环评应将态空间管控作为重要内容，规划区域涉及生态保护红线的管理要求，提出相应对策措施。在生态保护红线范围内，严控各类开发建设活动，依法不予审批新建工业项目和矿业开发项目的环评文件</w:t>
                  </w:r>
                </w:p>
              </w:tc>
              <w:tc>
                <w:tcPr>
                  <w:tcW w:w="427" w:type="dxa"/>
                  <w:tcBorders>
                    <w:top w:val="single" w:color="auto" w:sz="4" w:space="0"/>
                    <w:left w:val="single" w:color="auto" w:sz="4" w:space="0"/>
                    <w:bottom w:val="single" w:color="auto" w:sz="4" w:space="0"/>
                    <w:right w:val="single" w:color="auto" w:sz="4" w:space="0"/>
                  </w:tcBorders>
                  <w:vAlign w:val="center"/>
                </w:tcPr>
                <w:p>
                  <w:pPr>
                    <w:pStyle w:val="115"/>
                    <w:rPr>
                      <w:color w:val="000000"/>
                    </w:rPr>
                  </w:pPr>
                  <w:r>
                    <w:rPr>
                      <w:rFonts w:hint="eastAsia"/>
                      <w:color w:val="000000"/>
                    </w:rPr>
                    <w:t>生态保护红线</w:t>
                  </w:r>
                </w:p>
              </w:tc>
              <w:tc>
                <w:tcPr>
                  <w:tcW w:w="2965" w:type="dxa"/>
                  <w:tcBorders>
                    <w:top w:val="single" w:color="auto" w:sz="4" w:space="0"/>
                    <w:left w:val="single" w:color="auto" w:sz="4" w:space="0"/>
                    <w:bottom w:val="single" w:color="auto" w:sz="4" w:space="0"/>
                    <w:right w:val="single" w:color="auto" w:sz="4" w:space="0"/>
                  </w:tcBorders>
                  <w:vAlign w:val="center"/>
                </w:tcPr>
                <w:p>
                  <w:pPr>
                    <w:pStyle w:val="115"/>
                    <w:rPr>
                      <w:rFonts w:hAnsi="宋体"/>
                      <w:color w:val="000000"/>
                    </w:rPr>
                  </w:pPr>
                  <w:r>
                    <w:rPr>
                      <w:rFonts w:hint="eastAsia" w:hAnsi="宋体"/>
                      <w:color w:val="000000"/>
                      <w:lang w:val="zh-CN"/>
                    </w:rPr>
                    <w:t>按照“生态功能不降低、面积不减少、性质不改变”的基本要求，对划定的生态保护红线实施严格管控，保障和维护国家生态安全的底线和生命线</w:t>
                  </w:r>
                </w:p>
              </w:tc>
              <w:tc>
                <w:tcPr>
                  <w:tcW w:w="1912" w:type="dxa"/>
                  <w:tcBorders>
                    <w:top w:val="single" w:color="auto" w:sz="4" w:space="0"/>
                    <w:left w:val="single" w:color="auto" w:sz="4" w:space="0"/>
                    <w:bottom w:val="single" w:color="auto" w:sz="4" w:space="0"/>
                    <w:right w:val="single" w:color="auto" w:sz="4" w:space="0"/>
                  </w:tcBorders>
                  <w:vAlign w:val="center"/>
                </w:tcPr>
                <w:p>
                  <w:pPr>
                    <w:pStyle w:val="115"/>
                    <w:rPr>
                      <w:rFonts w:hAnsi="宋体"/>
                      <w:color w:val="000000"/>
                    </w:rPr>
                  </w:pPr>
                  <w:r>
                    <w:rPr>
                      <w:rFonts w:hint="eastAsia" w:hAnsi="宋体"/>
                      <w:color w:val="000000"/>
                    </w:rPr>
                    <w:t>本项目不占用生态红线，总体符合新疆生态保护红线规划要求</w:t>
                  </w:r>
                </w:p>
              </w:tc>
              <w:tc>
                <w:tcPr>
                  <w:tcW w:w="426" w:type="dxa"/>
                  <w:tcBorders>
                    <w:top w:val="single" w:color="auto" w:sz="4" w:space="0"/>
                    <w:left w:val="single" w:color="auto" w:sz="4" w:space="0"/>
                    <w:bottom w:val="single" w:color="auto" w:sz="4" w:space="0"/>
                    <w:right w:val="single" w:color="auto" w:sz="4" w:space="0"/>
                  </w:tcBorders>
                  <w:vAlign w:val="center"/>
                </w:tcPr>
                <w:p>
                  <w:pPr>
                    <w:pStyle w:val="115"/>
                    <w:rPr>
                      <w:color w:val="000000"/>
                    </w:rPr>
                  </w:pPr>
                  <w:r>
                    <w:rPr>
                      <w:rFonts w:hint="eastAsia"/>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26" w:type="dxa"/>
                  <w:tcBorders>
                    <w:top w:val="single" w:color="auto" w:sz="4" w:space="0"/>
                    <w:left w:val="single" w:color="auto" w:sz="4" w:space="0"/>
                    <w:bottom w:val="single" w:color="auto" w:sz="4" w:space="0"/>
                    <w:right w:val="single" w:color="auto" w:sz="4" w:space="0"/>
                  </w:tcBorders>
                  <w:vAlign w:val="center"/>
                </w:tcPr>
                <w:p>
                  <w:pPr>
                    <w:pStyle w:val="115"/>
                    <w:rPr>
                      <w:color w:val="000000"/>
                    </w:rPr>
                  </w:pPr>
                  <w:r>
                    <w:rPr>
                      <w:rFonts w:hint="eastAsia"/>
                      <w:color w:val="000000"/>
                    </w:rPr>
                    <w:t>2</w:t>
                  </w:r>
                </w:p>
              </w:tc>
              <w:tc>
                <w:tcPr>
                  <w:tcW w:w="426" w:type="dxa"/>
                  <w:tcBorders>
                    <w:top w:val="single" w:color="auto" w:sz="4" w:space="0"/>
                    <w:left w:val="single" w:color="auto" w:sz="4" w:space="0"/>
                    <w:bottom w:val="single" w:color="auto" w:sz="4" w:space="0"/>
                    <w:right w:val="single" w:color="auto" w:sz="4" w:space="0"/>
                  </w:tcBorders>
                  <w:vAlign w:val="center"/>
                </w:tcPr>
                <w:p>
                  <w:pPr>
                    <w:pStyle w:val="115"/>
                    <w:rPr>
                      <w:color w:val="000000"/>
                    </w:rPr>
                  </w:pPr>
                  <w:r>
                    <w:rPr>
                      <w:rFonts w:hint="eastAsia"/>
                      <w:color w:val="000000"/>
                    </w:rPr>
                    <w:t>资源利用上线</w:t>
                  </w:r>
                </w:p>
              </w:tc>
              <w:tc>
                <w:tcPr>
                  <w:tcW w:w="1810" w:type="dxa"/>
                  <w:tcBorders>
                    <w:top w:val="single" w:color="auto" w:sz="4" w:space="0"/>
                    <w:left w:val="single" w:color="auto" w:sz="4" w:space="0"/>
                    <w:bottom w:val="single" w:color="auto" w:sz="4" w:space="0"/>
                    <w:right w:val="single" w:color="auto" w:sz="4" w:space="0"/>
                  </w:tcBorders>
                  <w:vAlign w:val="center"/>
                </w:tcPr>
                <w:p>
                  <w:pPr>
                    <w:pStyle w:val="115"/>
                    <w:rPr>
                      <w:color w:val="000000"/>
                    </w:rPr>
                  </w:pPr>
                  <w:r>
                    <w:rPr>
                      <w:rFonts w:hint="eastAsia"/>
                      <w:color w:val="000000"/>
                    </w:rPr>
                    <w:t>资源是环境的载体，资源利用上线是各地区能源、水、土地等资源消耗不得突破的“天花板”。相关规划环评应依据有关资源利用上线，对规划实施以及规划内项目的资源开发利用，区分不同行业，从能源资源开发等量或减量替代、开采方式和规模控制、利用效率和保护措施等方面提出建议，为规划编制和审批决策提供重要依据</w:t>
                  </w:r>
                </w:p>
              </w:tc>
              <w:tc>
                <w:tcPr>
                  <w:tcW w:w="427" w:type="dxa"/>
                  <w:tcBorders>
                    <w:top w:val="single" w:color="auto" w:sz="4" w:space="0"/>
                    <w:left w:val="single" w:color="auto" w:sz="4" w:space="0"/>
                    <w:bottom w:val="single" w:color="auto" w:sz="4" w:space="0"/>
                    <w:right w:val="single" w:color="auto" w:sz="4" w:space="0"/>
                  </w:tcBorders>
                  <w:vAlign w:val="center"/>
                </w:tcPr>
                <w:p>
                  <w:pPr>
                    <w:pStyle w:val="115"/>
                    <w:rPr>
                      <w:color w:val="000000"/>
                    </w:rPr>
                  </w:pPr>
                  <w:r>
                    <w:rPr>
                      <w:rFonts w:hint="eastAsia"/>
                      <w:color w:val="000000"/>
                    </w:rPr>
                    <w:t>资源利用上线</w:t>
                  </w:r>
                </w:p>
              </w:tc>
              <w:tc>
                <w:tcPr>
                  <w:tcW w:w="2965" w:type="dxa"/>
                  <w:tcBorders>
                    <w:top w:val="single" w:color="auto" w:sz="4" w:space="0"/>
                    <w:left w:val="single" w:color="auto" w:sz="4" w:space="0"/>
                    <w:bottom w:val="single" w:color="auto" w:sz="4" w:space="0"/>
                    <w:right w:val="single" w:color="auto" w:sz="4" w:space="0"/>
                  </w:tcBorders>
                  <w:vAlign w:val="center"/>
                </w:tcPr>
                <w:p>
                  <w:pPr>
                    <w:pStyle w:val="115"/>
                    <w:rPr>
                      <w:color w:val="000000"/>
                    </w:rPr>
                  </w:pPr>
                  <w:r>
                    <w:rPr>
                      <w:rFonts w:hint="eastAsia" w:ascii="Times New Roman"/>
                      <w:color w:val="000000"/>
                      <w:kern w:val="0"/>
                      <w:lang w:val="zh-CN"/>
                    </w:rPr>
                    <w:t>强化节约集约利用，持续提升资源能源利用效率，水资源、土地资源、能源消耗等达到国家、自治区下达的总量和强度控制目标。加快区域低碳发展，积极推动乌鲁木齐市、昌吉市、伊宁市、和田市等</w:t>
                  </w:r>
                  <w:r>
                    <w:rPr>
                      <w:rFonts w:ascii="Times New Roman"/>
                      <w:color w:val="000000"/>
                      <w:kern w:val="0"/>
                      <w:lang w:val="zh-CN"/>
                    </w:rPr>
                    <w:t>4</w:t>
                  </w:r>
                  <w:r>
                    <w:rPr>
                      <w:rFonts w:hint="eastAsia" w:ascii="Times New Roman"/>
                      <w:color w:val="000000"/>
                      <w:kern w:val="0"/>
                      <w:lang w:val="zh-CN"/>
                    </w:rPr>
                    <w:t>个国家级低碳试点城市发挥低碳试点示范和引领作用</w:t>
                  </w:r>
                </w:p>
              </w:tc>
              <w:tc>
                <w:tcPr>
                  <w:tcW w:w="1912" w:type="dxa"/>
                  <w:tcBorders>
                    <w:top w:val="single" w:color="auto" w:sz="4" w:space="0"/>
                    <w:left w:val="single" w:color="auto" w:sz="4" w:space="0"/>
                    <w:bottom w:val="single" w:color="auto" w:sz="4" w:space="0"/>
                    <w:right w:val="single" w:color="auto" w:sz="4" w:space="0"/>
                  </w:tcBorders>
                  <w:vAlign w:val="center"/>
                </w:tcPr>
                <w:p>
                  <w:pPr>
                    <w:pStyle w:val="115"/>
                    <w:rPr>
                      <w:color w:val="000000"/>
                    </w:rPr>
                  </w:pPr>
                  <w:r>
                    <w:rPr>
                      <w:rFonts w:hint="eastAsia"/>
                      <w:color w:val="000000"/>
                    </w:rPr>
                    <w:t>本项目生产过程钻井废水循环利用，消耗新鲜水量较少，不新增永久占地，临时占地在施工结束后及时进行植被恢复。本项目类型属于油气勘探，符合资源利用上线的要求；项目水的消耗量相对区域资源利用总量较小，符合资源利用上线要求</w:t>
                  </w:r>
                </w:p>
              </w:tc>
              <w:tc>
                <w:tcPr>
                  <w:tcW w:w="426" w:type="dxa"/>
                  <w:tcBorders>
                    <w:top w:val="single" w:color="auto" w:sz="4" w:space="0"/>
                    <w:left w:val="single" w:color="auto" w:sz="4" w:space="0"/>
                    <w:bottom w:val="single" w:color="auto" w:sz="4" w:space="0"/>
                    <w:right w:val="single" w:color="auto" w:sz="4" w:space="0"/>
                  </w:tcBorders>
                  <w:vAlign w:val="center"/>
                </w:tcPr>
                <w:p>
                  <w:pPr>
                    <w:pStyle w:val="115"/>
                    <w:rPr>
                      <w:color w:val="000000"/>
                    </w:rPr>
                  </w:pPr>
                  <w:r>
                    <w:rPr>
                      <w:rFonts w:hint="eastAsia"/>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26" w:type="dxa"/>
                  <w:tcBorders>
                    <w:top w:val="single" w:color="auto" w:sz="4" w:space="0"/>
                    <w:left w:val="single" w:color="auto" w:sz="4" w:space="0"/>
                    <w:bottom w:val="single" w:color="auto" w:sz="4" w:space="0"/>
                    <w:right w:val="single" w:color="auto" w:sz="4" w:space="0"/>
                  </w:tcBorders>
                  <w:vAlign w:val="center"/>
                </w:tcPr>
                <w:p>
                  <w:pPr>
                    <w:pStyle w:val="115"/>
                    <w:rPr>
                      <w:color w:val="000000"/>
                    </w:rPr>
                  </w:pPr>
                  <w:r>
                    <w:rPr>
                      <w:rFonts w:hint="eastAsia"/>
                      <w:color w:val="000000"/>
                    </w:rPr>
                    <w:t>3</w:t>
                  </w:r>
                </w:p>
              </w:tc>
              <w:tc>
                <w:tcPr>
                  <w:tcW w:w="426" w:type="dxa"/>
                  <w:tcBorders>
                    <w:top w:val="single" w:color="auto" w:sz="4" w:space="0"/>
                    <w:left w:val="single" w:color="auto" w:sz="4" w:space="0"/>
                    <w:bottom w:val="single" w:color="auto" w:sz="4" w:space="0"/>
                    <w:right w:val="single" w:color="auto" w:sz="4" w:space="0"/>
                  </w:tcBorders>
                  <w:vAlign w:val="center"/>
                </w:tcPr>
                <w:p>
                  <w:pPr>
                    <w:pStyle w:val="115"/>
                    <w:rPr>
                      <w:color w:val="000000"/>
                    </w:rPr>
                  </w:pPr>
                  <w:r>
                    <w:rPr>
                      <w:rFonts w:hint="eastAsia"/>
                      <w:color w:val="000000"/>
                    </w:rPr>
                    <w:t>环境质量底线</w:t>
                  </w:r>
                </w:p>
              </w:tc>
              <w:tc>
                <w:tcPr>
                  <w:tcW w:w="1810" w:type="dxa"/>
                  <w:tcBorders>
                    <w:top w:val="single" w:color="auto" w:sz="4" w:space="0"/>
                    <w:left w:val="single" w:color="auto" w:sz="4" w:space="0"/>
                    <w:bottom w:val="single" w:color="auto" w:sz="4" w:space="0"/>
                    <w:right w:val="single" w:color="auto" w:sz="4" w:space="0"/>
                  </w:tcBorders>
                  <w:vAlign w:val="center"/>
                </w:tcPr>
                <w:p>
                  <w:pPr>
                    <w:pStyle w:val="115"/>
                    <w:rPr>
                      <w:color w:val="000000"/>
                    </w:rPr>
                  </w:pPr>
                  <w:r>
                    <w:rPr>
                      <w:rFonts w:hint="eastAsia"/>
                      <w:color w:val="000000"/>
                    </w:rPr>
                    <w:t>环境质量底线是国家和地方设置的大气、水和土壤环境质量目标，也是改善环境质量的基准线。有关规划环评应落实区域环境质量目标管理要求，提出区域或者行业污染物排放总量管控建议以及优化区域或行业发展布局、结构和规模的对策措施。项目环评应对照区域环境质量目标，深入分析预测项目建设对环境质量的影响，强化污染防治措施和污染物排放控制要求</w:t>
                  </w:r>
                </w:p>
              </w:tc>
              <w:tc>
                <w:tcPr>
                  <w:tcW w:w="427" w:type="dxa"/>
                  <w:tcBorders>
                    <w:top w:val="single" w:color="auto" w:sz="4" w:space="0"/>
                    <w:left w:val="single" w:color="auto" w:sz="4" w:space="0"/>
                    <w:bottom w:val="single" w:color="auto" w:sz="4" w:space="0"/>
                    <w:right w:val="single" w:color="auto" w:sz="4" w:space="0"/>
                  </w:tcBorders>
                  <w:vAlign w:val="center"/>
                </w:tcPr>
                <w:p>
                  <w:pPr>
                    <w:pStyle w:val="115"/>
                    <w:rPr>
                      <w:color w:val="000000"/>
                    </w:rPr>
                  </w:pPr>
                  <w:r>
                    <w:rPr>
                      <w:rFonts w:hint="eastAsia"/>
                      <w:color w:val="000000"/>
                    </w:rPr>
                    <w:t>环境质量底线</w:t>
                  </w:r>
                </w:p>
              </w:tc>
              <w:tc>
                <w:tcPr>
                  <w:tcW w:w="2965" w:type="dxa"/>
                  <w:tcBorders>
                    <w:top w:val="single" w:color="auto" w:sz="4" w:space="0"/>
                    <w:left w:val="single" w:color="auto" w:sz="4" w:space="0"/>
                    <w:bottom w:val="single" w:color="auto" w:sz="4" w:space="0"/>
                    <w:right w:val="single" w:color="auto" w:sz="4" w:space="0"/>
                  </w:tcBorders>
                  <w:vAlign w:val="center"/>
                </w:tcPr>
                <w:p>
                  <w:pPr>
                    <w:pStyle w:val="115"/>
                    <w:rPr>
                      <w:color w:val="000000"/>
                    </w:rPr>
                  </w:pPr>
                  <w:r>
                    <w:rPr>
                      <w:rFonts w:hint="eastAsia"/>
                      <w:color w:val="000000"/>
                      <w:lang w:val="zh-CN"/>
                    </w:rPr>
                    <w:t>全区水环境质量持续改善，受污染地表水体得到有效治理，饮用水安全保障水平持续提升，地下水超采得到严格控制，地下水水质保持稳定；全区环境空气质量有所提升，重污染天数持续减少，已达标城市环境空气质量保持稳定，未达标城市环境空气质量持续改善，沙尘影响严重地区做好防风固沙、生态环境保护修复等工作；全区土壤环境质量保持稳定，污染地块安全利用水平稳中有升，土壤环境风险得到进一步管控</w:t>
                  </w:r>
                </w:p>
              </w:tc>
              <w:tc>
                <w:tcPr>
                  <w:tcW w:w="1912" w:type="dxa"/>
                  <w:tcBorders>
                    <w:top w:val="single" w:color="auto" w:sz="4" w:space="0"/>
                    <w:left w:val="single" w:color="auto" w:sz="4" w:space="0"/>
                    <w:bottom w:val="single" w:color="auto" w:sz="4" w:space="0"/>
                    <w:right w:val="single" w:color="auto" w:sz="4" w:space="0"/>
                  </w:tcBorders>
                  <w:vAlign w:val="center"/>
                </w:tcPr>
                <w:p>
                  <w:pPr>
                    <w:pStyle w:val="70"/>
                    <w:rPr>
                      <w:color w:val="000000"/>
                    </w:rPr>
                  </w:pPr>
                  <w:r>
                    <w:rPr>
                      <w:rFonts w:hint="eastAsia"/>
                      <w:color w:val="000000"/>
                    </w:rPr>
                    <w:t>根据环境质量现状调查结果可知，项目所在区域环境空气质量指标中个别因子出现超标现象。本项目</w:t>
                  </w:r>
                  <w:r>
                    <w:rPr>
                      <w:rFonts w:hint="eastAsia"/>
                      <w:bCs/>
                      <w:color w:val="000000"/>
                    </w:rPr>
                    <w:t>为评价井地质勘查项目，只有施工期污染，不涉及运营期环境影响；</w:t>
                  </w:r>
                  <w:r>
                    <w:rPr>
                      <w:rFonts w:hint="eastAsia"/>
                      <w:color w:val="000000"/>
                    </w:rPr>
                    <w:t>本项目排放大气污染物为挥发性有机物，施工期大气污染物对区域环境空气质量影响较小，符合大气环境功能区要求；</w:t>
                  </w:r>
                  <w:r>
                    <w:rPr>
                      <w:rFonts w:hint="eastAsia"/>
                      <w:bCs/>
                      <w:color w:val="000000"/>
                    </w:rPr>
                    <w:t>施工期钻井废水收集后拉运处理达标后回注地层。</w:t>
                  </w:r>
                  <w:r>
                    <w:rPr>
                      <w:rFonts w:hint="eastAsia"/>
                      <w:color w:val="000000"/>
                    </w:rPr>
                    <w:t>钻井固废</w:t>
                  </w:r>
                  <w:r>
                    <w:rPr>
                      <w:rFonts w:hint="eastAsia"/>
                      <w:bCs/>
                      <w:color w:val="000000"/>
                    </w:rPr>
                    <w:t>全部妥善处置，不会对周围环境造成影响</w:t>
                  </w:r>
                  <w:r>
                    <w:rPr>
                      <w:rFonts w:hint="eastAsia"/>
                      <w:color w:val="000000"/>
                    </w:rPr>
                    <w:t>，对环境影响较小；本项目在做好防渗的前提下，对土壤和地下水影响较小；各项污染物均能实现达标排放，项目建设后不会突破环境质量底线</w:t>
                  </w:r>
                </w:p>
              </w:tc>
              <w:tc>
                <w:tcPr>
                  <w:tcW w:w="426" w:type="dxa"/>
                  <w:tcBorders>
                    <w:top w:val="single" w:color="auto" w:sz="4" w:space="0"/>
                    <w:left w:val="single" w:color="auto" w:sz="4" w:space="0"/>
                    <w:bottom w:val="single" w:color="auto" w:sz="4" w:space="0"/>
                    <w:right w:val="single" w:color="auto" w:sz="4" w:space="0"/>
                  </w:tcBorders>
                  <w:vAlign w:val="center"/>
                </w:tcPr>
                <w:p>
                  <w:pPr>
                    <w:pStyle w:val="115"/>
                    <w:rPr>
                      <w:color w:val="000000"/>
                    </w:rPr>
                  </w:pPr>
                  <w:r>
                    <w:rPr>
                      <w:rFonts w:hint="eastAsia"/>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26" w:type="dxa"/>
                  <w:tcBorders>
                    <w:top w:val="single" w:color="auto" w:sz="4" w:space="0"/>
                    <w:left w:val="single" w:color="auto" w:sz="4" w:space="0"/>
                    <w:right w:val="single" w:color="auto" w:sz="4" w:space="0"/>
                  </w:tcBorders>
                  <w:vAlign w:val="center"/>
                </w:tcPr>
                <w:p>
                  <w:pPr>
                    <w:pStyle w:val="115"/>
                    <w:rPr>
                      <w:color w:val="000000"/>
                    </w:rPr>
                  </w:pPr>
                  <w:r>
                    <w:rPr>
                      <w:rFonts w:hint="eastAsia"/>
                      <w:color w:val="000000"/>
                    </w:rPr>
                    <w:t>4</w:t>
                  </w:r>
                </w:p>
              </w:tc>
              <w:tc>
                <w:tcPr>
                  <w:tcW w:w="426" w:type="dxa"/>
                  <w:tcBorders>
                    <w:top w:val="single" w:color="auto" w:sz="4" w:space="0"/>
                    <w:left w:val="single" w:color="auto" w:sz="4" w:space="0"/>
                    <w:right w:val="single" w:color="auto" w:sz="4" w:space="0"/>
                  </w:tcBorders>
                  <w:vAlign w:val="center"/>
                </w:tcPr>
                <w:p>
                  <w:pPr>
                    <w:pStyle w:val="115"/>
                    <w:rPr>
                      <w:color w:val="000000"/>
                    </w:rPr>
                  </w:pPr>
                  <w:r>
                    <w:rPr>
                      <w:rFonts w:hint="eastAsia"/>
                      <w:color w:val="000000"/>
                    </w:rPr>
                    <w:t>生态环境准入清单</w:t>
                  </w:r>
                </w:p>
              </w:tc>
              <w:tc>
                <w:tcPr>
                  <w:tcW w:w="1810" w:type="dxa"/>
                  <w:tcBorders>
                    <w:top w:val="single" w:color="auto" w:sz="4" w:space="0"/>
                    <w:left w:val="single" w:color="auto" w:sz="4" w:space="0"/>
                    <w:right w:val="single" w:color="auto" w:sz="4" w:space="0"/>
                  </w:tcBorders>
                  <w:vAlign w:val="center"/>
                </w:tcPr>
                <w:p>
                  <w:pPr>
                    <w:pStyle w:val="115"/>
                    <w:rPr>
                      <w:color w:val="000000"/>
                    </w:rPr>
                  </w:pPr>
                  <w:r>
                    <w:rPr>
                      <w:rFonts w:hint="eastAsia"/>
                      <w:color w:val="000000"/>
                    </w:rPr>
                    <w:t>环境准入负面清单是基于生态保护红线、环境质量底线和资源利用上线，以清单方式列出的禁止、限制等差别化环境准入条件和要求。要在规划环评清单式管理试点的基础上，从布局选址、资源利用效率、资源配置方式等方面入手，制定环境准入负面清单，充分发挥负面清单对产业发展和项目准入的指导和约束作用</w:t>
                  </w:r>
                </w:p>
              </w:tc>
              <w:tc>
                <w:tcPr>
                  <w:tcW w:w="427" w:type="dxa"/>
                  <w:tcBorders>
                    <w:top w:val="single" w:color="auto" w:sz="4" w:space="0"/>
                    <w:left w:val="single" w:color="auto" w:sz="4" w:space="0"/>
                    <w:bottom w:val="single" w:color="auto" w:sz="4" w:space="0"/>
                    <w:right w:val="single" w:color="auto" w:sz="4" w:space="0"/>
                  </w:tcBorders>
                  <w:vAlign w:val="center"/>
                </w:tcPr>
                <w:p>
                  <w:pPr>
                    <w:pStyle w:val="115"/>
                    <w:rPr>
                      <w:color w:val="000000"/>
                    </w:rPr>
                  </w:pPr>
                  <w:r>
                    <w:rPr>
                      <w:rFonts w:hint="eastAsia"/>
                      <w:color w:val="000000"/>
                    </w:rPr>
                    <w:t>生态环境准入清单</w:t>
                  </w:r>
                </w:p>
              </w:tc>
              <w:tc>
                <w:tcPr>
                  <w:tcW w:w="2965" w:type="dxa"/>
                  <w:tcBorders>
                    <w:top w:val="single" w:color="auto" w:sz="4" w:space="0"/>
                    <w:left w:val="single" w:color="auto" w:sz="4" w:space="0"/>
                    <w:bottom w:val="single" w:color="auto" w:sz="4" w:space="0"/>
                    <w:right w:val="single" w:color="auto" w:sz="4" w:space="0"/>
                  </w:tcBorders>
                  <w:vAlign w:val="center"/>
                </w:tcPr>
                <w:p>
                  <w:pPr>
                    <w:pStyle w:val="115"/>
                    <w:rPr>
                      <w:color w:val="000000"/>
                    </w:rPr>
                  </w:pPr>
                  <w:r>
                    <w:rPr>
                      <w:rFonts w:hint="eastAsia" w:ascii="Times New Roman"/>
                      <w:color w:val="000000"/>
                      <w:kern w:val="0"/>
                      <w:lang w:val="zh-CN"/>
                    </w:rPr>
                    <w:t>以环境管控单元为基础，从空间布局约束、污染物排放管控、环境风险防控和资源利用效率四个方面严格环境准入。基于新疆各地自然地理条件、资源环境禀赋、经济社会发展状况的差异性，将全区划分为七大片区。乌昌石片区重点突出大气污染治理、资源能源利用效率提升</w:t>
                  </w:r>
                </w:p>
              </w:tc>
              <w:tc>
                <w:tcPr>
                  <w:tcW w:w="1912" w:type="dxa"/>
                  <w:tcBorders>
                    <w:top w:val="single" w:color="auto" w:sz="4" w:space="0"/>
                    <w:left w:val="single" w:color="auto" w:sz="4" w:space="0"/>
                    <w:bottom w:val="single" w:color="auto" w:sz="4" w:space="0"/>
                    <w:right w:val="single" w:color="auto" w:sz="4" w:space="0"/>
                  </w:tcBorders>
                  <w:vAlign w:val="center"/>
                </w:tcPr>
                <w:p>
                  <w:pPr>
                    <w:pStyle w:val="115"/>
                    <w:rPr>
                      <w:color w:val="000000"/>
                    </w:rPr>
                  </w:pPr>
                  <w:r>
                    <w:rPr>
                      <w:rFonts w:hint="eastAsia"/>
                      <w:color w:val="000000"/>
                    </w:rPr>
                    <w:t>根据《昌吉回族自治州“三线一单”生态环境分区管控方案及生态环境准入清单》，本项目大龙口-</w:t>
                  </w:r>
                  <w:r>
                    <w:rPr>
                      <w:color w:val="000000"/>
                    </w:rPr>
                    <w:t>浅</w:t>
                  </w:r>
                  <w:r>
                    <w:rPr>
                      <w:rFonts w:hint="eastAsia"/>
                      <w:color w:val="000000"/>
                    </w:rPr>
                    <w:t>1位于阜康市重点管控单元</w:t>
                  </w:r>
                  <w:r>
                    <w:rPr>
                      <w:color w:val="000000"/>
                    </w:rPr>
                    <w:t>ZH65230220005（</w:t>
                  </w:r>
                  <w:r>
                    <w:rPr>
                      <w:rFonts w:hint="eastAsia"/>
                      <w:color w:val="000000"/>
                    </w:rPr>
                    <w:t>阜康油页岩开采区</w:t>
                  </w:r>
                  <w:r>
                    <w:rPr>
                      <w:color w:val="000000"/>
                    </w:rPr>
                    <w:t>）；大龙口</w:t>
                  </w:r>
                  <w:r>
                    <w:rPr>
                      <w:rFonts w:hint="eastAsia"/>
                      <w:color w:val="000000"/>
                    </w:rPr>
                    <w:t>-浅2、大龙口-浅3位于吉木萨尔县优先保护单元（吉木萨尔县一般生态空间）</w:t>
                  </w:r>
                  <w:r>
                    <w:rPr>
                      <w:color w:val="000000"/>
                    </w:rPr>
                    <w:t>ZH65232710004</w:t>
                  </w:r>
                  <w:r>
                    <w:rPr>
                      <w:rFonts w:hint="eastAsia"/>
                      <w:color w:val="000000"/>
                    </w:rPr>
                    <w:t>。本项目的建设符合相关政策、规划要求。详见附件4。</w:t>
                  </w:r>
                </w:p>
              </w:tc>
              <w:tc>
                <w:tcPr>
                  <w:tcW w:w="426" w:type="dxa"/>
                  <w:tcBorders>
                    <w:top w:val="single" w:color="auto" w:sz="4" w:space="0"/>
                    <w:left w:val="single" w:color="auto" w:sz="4" w:space="0"/>
                    <w:bottom w:val="single" w:color="auto" w:sz="4" w:space="0"/>
                    <w:right w:val="single" w:color="auto" w:sz="4" w:space="0"/>
                  </w:tcBorders>
                  <w:vAlign w:val="center"/>
                </w:tcPr>
                <w:p>
                  <w:pPr>
                    <w:pStyle w:val="115"/>
                    <w:rPr>
                      <w:color w:val="000000"/>
                    </w:rPr>
                  </w:pPr>
                  <w:r>
                    <w:rPr>
                      <w:rFonts w:hint="eastAsia"/>
                      <w:color w:val="000000"/>
                    </w:rPr>
                    <w:t>符合</w:t>
                  </w:r>
                </w:p>
              </w:tc>
            </w:tr>
          </w:tbl>
          <w:p>
            <w:pPr>
              <w:pStyle w:val="99"/>
              <w:ind w:firstLine="480"/>
              <w:rPr>
                <w:color w:val="000000"/>
              </w:rPr>
            </w:pPr>
          </w:p>
          <w:p>
            <w:pPr>
              <w:pStyle w:val="110"/>
              <w:rPr>
                <w:color w:val="000000"/>
              </w:rPr>
            </w:pPr>
            <w:r>
              <w:rPr>
                <w:bCs/>
                <w:color w:val="000000"/>
              </w:rPr>
              <w:t>4</w:t>
            </w:r>
            <w:r>
              <w:rPr>
                <w:rFonts w:hint="eastAsia"/>
                <w:bCs/>
                <w:color w:val="000000"/>
              </w:rPr>
              <w:t>、</w:t>
            </w:r>
            <w:r>
              <w:rPr>
                <w:rFonts w:hint="eastAsia"/>
                <w:color w:val="000000"/>
              </w:rPr>
              <w:t>与《关于进一步加强石油天然气行业环境影响评价管理的通知》（</w:t>
            </w:r>
            <w:r>
              <w:rPr>
                <w:color w:val="000000"/>
              </w:rPr>
              <w:t>环办环评函</w:t>
            </w:r>
            <w:r>
              <w:rPr>
                <w:rFonts w:hint="eastAsia"/>
                <w:color w:val="000000"/>
              </w:rPr>
              <w:t>[</w:t>
            </w:r>
            <w:r>
              <w:rPr>
                <w:color w:val="000000"/>
              </w:rPr>
              <w:t>2019]910号</w:t>
            </w:r>
            <w:r>
              <w:rPr>
                <w:rFonts w:hint="eastAsia"/>
                <w:color w:val="000000"/>
              </w:rPr>
              <w:t>）相符性分析</w:t>
            </w:r>
          </w:p>
          <w:p>
            <w:pPr>
              <w:pStyle w:val="110"/>
              <w:rPr>
                <w:color w:val="000000"/>
              </w:rPr>
            </w:pPr>
            <w:r>
              <w:rPr>
                <w:rFonts w:hint="eastAsia"/>
                <w:color w:val="000000"/>
              </w:rPr>
              <w:t>本项目与《关于进一步加强石油天然气行业环境影响评价管理的通知》（</w:t>
            </w:r>
            <w:r>
              <w:rPr>
                <w:color w:val="000000"/>
              </w:rPr>
              <w:t>环办环评函</w:t>
            </w:r>
            <w:r>
              <w:rPr>
                <w:rFonts w:hint="eastAsia"/>
                <w:color w:val="000000"/>
              </w:rPr>
              <w:t>[</w:t>
            </w:r>
            <w:r>
              <w:rPr>
                <w:color w:val="000000"/>
              </w:rPr>
              <w:t>2019]910号</w:t>
            </w:r>
            <w:r>
              <w:rPr>
                <w:rFonts w:hint="eastAsia"/>
                <w:color w:val="000000"/>
              </w:rPr>
              <w:t xml:space="preserve">）中要求的相符性分析详见表 </w:t>
            </w:r>
            <w:r>
              <w:rPr>
                <w:color w:val="000000"/>
              </w:rPr>
              <w:t>3</w:t>
            </w:r>
            <w:r>
              <w:rPr>
                <w:rFonts w:hint="eastAsia"/>
                <w:color w:val="000000"/>
              </w:rPr>
              <w:t>。</w:t>
            </w:r>
          </w:p>
          <w:p>
            <w:pPr>
              <w:pStyle w:val="12"/>
              <w:spacing w:before="120"/>
              <w:rPr>
                <w:color w:val="000000"/>
                <w:sz w:val="22"/>
                <w:szCs w:val="21"/>
              </w:rPr>
            </w:pPr>
            <w:bookmarkStart w:id="6" w:name="_Ref38542422"/>
            <w:r>
              <w:rPr>
                <w:rFonts w:hint="eastAsia"/>
                <w:color w:val="000000"/>
              </w:rPr>
              <w:t xml:space="preserve">表 </w:t>
            </w:r>
            <w:r>
              <w:rPr>
                <w:color w:val="000000"/>
              </w:rPr>
              <w:t>3</w:t>
            </w:r>
            <w:bookmarkEnd w:id="6"/>
            <w:r>
              <w:rPr>
                <w:color w:val="000000"/>
              </w:rPr>
              <w:t xml:space="preserve">  </w:t>
            </w:r>
            <w:r>
              <w:rPr>
                <w:rFonts w:hint="eastAsia"/>
                <w:snapToGrid w:val="0"/>
                <w:color w:val="000000"/>
              </w:rPr>
              <w:t>与《</w:t>
            </w:r>
            <w:r>
              <w:rPr>
                <w:rFonts w:hint="eastAsia"/>
                <w:color w:val="000000"/>
              </w:rPr>
              <w:t>关于进一步加强石油天然气行业环境影响评价管理的通知</w:t>
            </w:r>
            <w:r>
              <w:rPr>
                <w:rFonts w:hint="eastAsia"/>
                <w:snapToGrid w:val="0"/>
                <w:color w:val="000000"/>
              </w:rPr>
              <w:t>》</w:t>
            </w:r>
            <w:r>
              <w:rPr>
                <w:rFonts w:hint="eastAsia"/>
                <w:color w:val="000000"/>
              </w:rPr>
              <w:t>（</w:t>
            </w:r>
            <w:r>
              <w:rPr>
                <w:color w:val="000000"/>
              </w:rPr>
              <w:t>环办环评函</w:t>
            </w:r>
            <w:r>
              <w:rPr>
                <w:rFonts w:hint="eastAsia"/>
                <w:color w:val="000000"/>
              </w:rPr>
              <w:t>[</w:t>
            </w:r>
            <w:r>
              <w:rPr>
                <w:color w:val="000000"/>
              </w:rPr>
              <w:t>2019]910号</w:t>
            </w:r>
            <w:r>
              <w:rPr>
                <w:rFonts w:hint="eastAsia"/>
                <w:color w:val="000000"/>
              </w:rPr>
              <w:t>）</w:t>
            </w:r>
            <w:r>
              <w:rPr>
                <w:rFonts w:hint="eastAsia"/>
                <w:snapToGrid w:val="0"/>
                <w:color w:val="000000"/>
              </w:rPr>
              <w:t>的相符性分析</w:t>
            </w:r>
          </w:p>
          <w:tbl>
            <w:tblPr>
              <w:tblStyle w:val="29"/>
              <w:tblW w:w="839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3776"/>
              <w:gridCol w:w="3742"/>
              <w:gridCol w:w="4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26" w:type="dxa"/>
                  <w:vAlign w:val="center"/>
                </w:tcPr>
                <w:p>
                  <w:pPr>
                    <w:pStyle w:val="70"/>
                    <w:rPr>
                      <w:color w:val="000000"/>
                    </w:rPr>
                  </w:pPr>
                  <w:r>
                    <w:rPr>
                      <w:rFonts w:hint="eastAsia"/>
                      <w:color w:val="000000"/>
                    </w:rPr>
                    <w:t>序号</w:t>
                  </w:r>
                </w:p>
              </w:tc>
              <w:tc>
                <w:tcPr>
                  <w:tcW w:w="3776" w:type="dxa"/>
                  <w:vAlign w:val="center"/>
                </w:tcPr>
                <w:p>
                  <w:pPr>
                    <w:pStyle w:val="70"/>
                    <w:rPr>
                      <w:color w:val="000000"/>
                    </w:rPr>
                  </w:pPr>
                  <w:r>
                    <w:rPr>
                      <w:rFonts w:hint="eastAsia"/>
                      <w:color w:val="000000"/>
                    </w:rPr>
                    <w:t>《关于进一步加强石油天然气行业环境影响评价管理的通知》（</w:t>
                  </w:r>
                  <w:r>
                    <w:rPr>
                      <w:color w:val="000000"/>
                    </w:rPr>
                    <w:t>环办环评函</w:t>
                  </w:r>
                  <w:r>
                    <w:rPr>
                      <w:rFonts w:hint="eastAsia"/>
                      <w:color w:val="000000"/>
                    </w:rPr>
                    <w:t>[</w:t>
                  </w:r>
                  <w:r>
                    <w:rPr>
                      <w:color w:val="000000"/>
                    </w:rPr>
                    <w:t>2019]910号</w:t>
                  </w:r>
                  <w:r>
                    <w:rPr>
                      <w:rFonts w:hint="eastAsia"/>
                      <w:color w:val="000000"/>
                    </w:rPr>
                    <w:t>）中相关规定</w:t>
                  </w:r>
                </w:p>
              </w:tc>
              <w:tc>
                <w:tcPr>
                  <w:tcW w:w="3742" w:type="dxa"/>
                  <w:vAlign w:val="center"/>
                </w:tcPr>
                <w:p>
                  <w:pPr>
                    <w:pStyle w:val="70"/>
                    <w:rPr>
                      <w:color w:val="000000"/>
                    </w:rPr>
                  </w:pPr>
                  <w:r>
                    <w:rPr>
                      <w:rFonts w:hint="eastAsia"/>
                      <w:color w:val="000000"/>
                    </w:rPr>
                    <w:t>本项目实施过程中采取的措施</w:t>
                  </w:r>
                </w:p>
              </w:tc>
              <w:tc>
                <w:tcPr>
                  <w:tcW w:w="448" w:type="dxa"/>
                  <w:vAlign w:val="center"/>
                </w:tcPr>
                <w:p>
                  <w:pPr>
                    <w:pStyle w:val="70"/>
                    <w:rPr>
                      <w:color w:val="000000"/>
                    </w:rPr>
                  </w:pPr>
                  <w:r>
                    <w:rPr>
                      <w:rFonts w:hint="eastAsia"/>
                      <w:color w:val="000000"/>
                    </w:rPr>
                    <w:t>相符性分析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26" w:type="dxa"/>
                  <w:vAlign w:val="center"/>
                </w:tcPr>
                <w:p>
                  <w:pPr>
                    <w:pStyle w:val="70"/>
                    <w:rPr>
                      <w:color w:val="000000"/>
                    </w:rPr>
                  </w:pPr>
                  <w:r>
                    <w:rPr>
                      <w:rFonts w:hint="eastAsia"/>
                      <w:color w:val="000000"/>
                    </w:rPr>
                    <w:t>1</w:t>
                  </w:r>
                </w:p>
              </w:tc>
              <w:tc>
                <w:tcPr>
                  <w:tcW w:w="3776" w:type="dxa"/>
                  <w:vAlign w:val="center"/>
                </w:tcPr>
                <w:p>
                  <w:pPr>
                    <w:pStyle w:val="70"/>
                    <w:rPr>
                      <w:color w:val="000000"/>
                    </w:rPr>
                  </w:pPr>
                  <w:r>
                    <w:rPr>
                      <w:color w:val="000000"/>
                    </w:rPr>
                    <w:t>未确定产能建设规模的陆地油气开采新区块，建设勘探井应当依法编制环境影响报告表。海洋油气勘探工程应当填报环境影响登记表并进行备案。确定产能建设规模后，原则上不得以勘探名义继续开展单井环评。勘探井转为生产井的，可以纳入区块环评。自2021年1月1日起，原则上不以单井形式开展环评。</w:t>
                  </w:r>
                </w:p>
              </w:tc>
              <w:tc>
                <w:tcPr>
                  <w:tcW w:w="3742" w:type="dxa"/>
                  <w:vAlign w:val="center"/>
                </w:tcPr>
                <w:p>
                  <w:pPr>
                    <w:pStyle w:val="70"/>
                    <w:rPr>
                      <w:color w:val="000000"/>
                    </w:rPr>
                  </w:pPr>
                  <w:r>
                    <w:rPr>
                      <w:rFonts w:hint="eastAsia"/>
                      <w:color w:val="000000"/>
                    </w:rPr>
                    <w:t>本项目所在构造位置为</w:t>
                  </w:r>
                  <w:r>
                    <w:rPr>
                      <w:rFonts w:hint="eastAsia"/>
                    </w:rPr>
                    <w:t>准噶尔盆地博格达北翼大龙口推覆体</w:t>
                  </w:r>
                  <w:r>
                    <w:rPr>
                      <w:rFonts w:hint="eastAsia"/>
                      <w:color w:val="000000"/>
                    </w:rPr>
                    <w:t>，目前仍处于探矿阶段，尚未确定产能建设规模，</w:t>
                  </w:r>
                  <w:r>
                    <w:rPr>
                      <w:rFonts w:hint="eastAsia"/>
                    </w:rPr>
                    <w:t>为了解大龙口浅1、2、3井区二叠系含油气情况</w:t>
                  </w:r>
                  <w:r>
                    <w:rPr>
                      <w:rFonts w:hint="eastAsia"/>
                      <w:color w:val="000000"/>
                    </w:rPr>
                    <w:t>，拟建本项目，该井属于勘探井，不属于开发井。</w:t>
                  </w:r>
                </w:p>
              </w:tc>
              <w:tc>
                <w:tcPr>
                  <w:tcW w:w="448" w:type="dxa"/>
                  <w:vAlign w:val="center"/>
                </w:tcPr>
                <w:p>
                  <w:pPr>
                    <w:pStyle w:val="70"/>
                    <w:rPr>
                      <w:color w:val="000000"/>
                    </w:rPr>
                  </w:pPr>
                  <w:r>
                    <w:rPr>
                      <w:rFonts w:hint="eastAsia"/>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26" w:type="dxa"/>
                  <w:vAlign w:val="center"/>
                </w:tcPr>
                <w:p>
                  <w:pPr>
                    <w:pStyle w:val="70"/>
                    <w:rPr>
                      <w:color w:val="000000"/>
                    </w:rPr>
                  </w:pPr>
                  <w:r>
                    <w:rPr>
                      <w:color w:val="000000"/>
                    </w:rPr>
                    <w:t>2</w:t>
                  </w:r>
                </w:p>
              </w:tc>
              <w:tc>
                <w:tcPr>
                  <w:tcW w:w="3776" w:type="dxa"/>
                  <w:vAlign w:val="center"/>
                </w:tcPr>
                <w:p>
                  <w:pPr>
                    <w:pStyle w:val="70"/>
                    <w:rPr>
                      <w:color w:val="000000"/>
                    </w:rPr>
                  </w:pPr>
                  <w:r>
                    <w:rPr>
                      <w:color w:val="000000"/>
                    </w:rPr>
                    <w:t>涉及向地表水体排放污染物的陆地油气开采项目，应当符合国家和地方污染物排放标准，满足重点污染物排放总量控制要求。</w:t>
                  </w:r>
                </w:p>
              </w:tc>
              <w:tc>
                <w:tcPr>
                  <w:tcW w:w="3742" w:type="dxa"/>
                  <w:vAlign w:val="center"/>
                </w:tcPr>
                <w:p>
                  <w:pPr>
                    <w:pStyle w:val="70"/>
                    <w:rPr>
                      <w:color w:val="000000"/>
                    </w:rPr>
                  </w:pPr>
                  <w:r>
                    <w:rPr>
                      <w:color w:val="000000"/>
                    </w:rPr>
                    <w:t>本项目</w:t>
                  </w:r>
                  <w:r>
                    <w:rPr>
                      <w:rFonts w:hint="eastAsia"/>
                      <w:color w:val="000000"/>
                    </w:rPr>
                    <w:t>无</w:t>
                  </w:r>
                  <w:r>
                    <w:rPr>
                      <w:color w:val="000000"/>
                    </w:rPr>
                    <w:t>废水外排。</w:t>
                  </w:r>
                </w:p>
              </w:tc>
              <w:tc>
                <w:tcPr>
                  <w:tcW w:w="448" w:type="dxa"/>
                  <w:vAlign w:val="center"/>
                </w:tcPr>
                <w:p>
                  <w:pPr>
                    <w:pStyle w:val="70"/>
                    <w:rPr>
                      <w:color w:val="000000"/>
                    </w:rPr>
                  </w:pPr>
                  <w:r>
                    <w:rPr>
                      <w:rFonts w:hint="eastAsia"/>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26" w:type="dxa"/>
                  <w:vAlign w:val="center"/>
                </w:tcPr>
                <w:p>
                  <w:pPr>
                    <w:pStyle w:val="70"/>
                    <w:rPr>
                      <w:color w:val="000000"/>
                    </w:rPr>
                  </w:pPr>
                  <w:r>
                    <w:rPr>
                      <w:color w:val="000000"/>
                    </w:rPr>
                    <w:t>3</w:t>
                  </w:r>
                </w:p>
              </w:tc>
              <w:tc>
                <w:tcPr>
                  <w:tcW w:w="3776" w:type="dxa"/>
                  <w:vAlign w:val="center"/>
                </w:tcPr>
                <w:p>
                  <w:pPr>
                    <w:pStyle w:val="70"/>
                    <w:rPr>
                      <w:color w:val="000000"/>
                    </w:rPr>
                  </w:pPr>
                  <w:r>
                    <w:rPr>
                      <w:color w:val="000000"/>
                    </w:rPr>
                    <w:t>涉及废水回注的，应当论证回注的环境可行性，采取切实可行的地下水污染防治和监控措施，不得回注与油气开采无关的废水，严禁造成地下水污染。在相关行业污染控制标准发布前，回注的开采废水应当经处理并符合</w:t>
                  </w:r>
                  <w:r>
                    <w:rPr>
                      <w:rFonts w:hint="eastAsia"/>
                      <w:color w:val="000000"/>
                    </w:rPr>
                    <w:t>《碎屑岩油藏注水水质指标及分析方法》（SY/T 5329-2012）</w:t>
                  </w:r>
                  <w:r>
                    <w:rPr>
                      <w:color w:val="000000"/>
                    </w:rPr>
                    <w:t>等相关标准要求后回注，同步采取切实可行措施防治污染。</w:t>
                  </w:r>
                </w:p>
              </w:tc>
              <w:tc>
                <w:tcPr>
                  <w:tcW w:w="3742" w:type="dxa"/>
                  <w:vAlign w:val="center"/>
                </w:tcPr>
                <w:p>
                  <w:pPr>
                    <w:pStyle w:val="70"/>
                    <w:rPr>
                      <w:color w:val="000000"/>
                    </w:rPr>
                  </w:pPr>
                  <w:r>
                    <w:rPr>
                      <w:rFonts w:hint="eastAsia"/>
                      <w:color w:val="000000"/>
                    </w:rPr>
                    <w:t>本项目产生的</w:t>
                  </w:r>
                  <w:r>
                    <w:rPr>
                      <w:rFonts w:hint="eastAsia" w:hAnsi="宋体"/>
                      <w:color w:val="000000"/>
                    </w:rPr>
                    <w:t>钻井废水</w:t>
                  </w:r>
                  <w:r>
                    <w:rPr>
                      <w:rFonts w:hint="eastAsia"/>
                      <w:color w:val="000000"/>
                    </w:rPr>
                    <w:t>输送至“泥浆不落地”泥浆槽中循环利用，完井后废水运至春风一号联合站处理达标后用于产能开发回注地层。</w:t>
                  </w:r>
                </w:p>
              </w:tc>
              <w:tc>
                <w:tcPr>
                  <w:tcW w:w="448" w:type="dxa"/>
                  <w:vAlign w:val="center"/>
                </w:tcPr>
                <w:p>
                  <w:pPr>
                    <w:pStyle w:val="70"/>
                    <w:rPr>
                      <w:color w:val="000000"/>
                    </w:rPr>
                  </w:pPr>
                  <w:r>
                    <w:rPr>
                      <w:rFonts w:hint="eastAsia"/>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26" w:type="dxa"/>
                  <w:vAlign w:val="center"/>
                </w:tcPr>
                <w:p>
                  <w:pPr>
                    <w:pStyle w:val="70"/>
                    <w:rPr>
                      <w:color w:val="000000"/>
                    </w:rPr>
                  </w:pPr>
                  <w:r>
                    <w:rPr>
                      <w:color w:val="000000"/>
                    </w:rPr>
                    <w:t>4</w:t>
                  </w:r>
                </w:p>
              </w:tc>
              <w:tc>
                <w:tcPr>
                  <w:tcW w:w="3776" w:type="dxa"/>
                  <w:vAlign w:val="center"/>
                </w:tcPr>
                <w:p>
                  <w:pPr>
                    <w:pStyle w:val="70"/>
                    <w:rPr>
                      <w:color w:val="000000"/>
                    </w:rPr>
                  </w:pPr>
                  <w:r>
                    <w:rPr>
                      <w:color w:val="000000"/>
                    </w:rPr>
                    <w:t>油气开采产生的废弃油基泥浆、含油钻屑及其他固体废物，应当遵循减量化、资源化、无害化原则，按照国家和地方有关固体废物的管理规定进行处置。</w:t>
                  </w:r>
                </w:p>
              </w:tc>
              <w:tc>
                <w:tcPr>
                  <w:tcW w:w="3742" w:type="dxa"/>
                  <w:vAlign w:val="center"/>
                </w:tcPr>
                <w:p>
                  <w:pPr>
                    <w:pStyle w:val="70"/>
                    <w:rPr>
                      <w:color w:val="000000"/>
                    </w:rPr>
                  </w:pPr>
                  <w:r>
                    <w:rPr>
                      <w:rFonts w:hint="eastAsia" w:hAnsi="宋体"/>
                      <w:color w:val="000000"/>
                    </w:rPr>
                    <w:t>本项目采用无毒、低毒钻井液。</w:t>
                  </w:r>
                  <w:r>
                    <w:rPr>
                      <w:color w:val="000000"/>
                    </w:rPr>
                    <w:t>钻井固废经</w:t>
                  </w:r>
                  <w:r>
                    <w:rPr>
                      <w:rFonts w:hAnsi="宋体"/>
                      <w:color w:val="000000"/>
                    </w:rPr>
                    <w:t>“</w:t>
                  </w:r>
                  <w:r>
                    <w:rPr>
                      <w:rFonts w:hint="eastAsia" w:hAnsi="宋体"/>
                      <w:color w:val="000000"/>
                    </w:rPr>
                    <w:t>泥浆不落地</w:t>
                  </w:r>
                  <w:r>
                    <w:rPr>
                      <w:rFonts w:hAnsi="宋体"/>
                      <w:color w:val="000000"/>
                    </w:rPr>
                    <w:t>”</w:t>
                  </w:r>
                  <w:r>
                    <w:rPr>
                      <w:rFonts w:hint="eastAsia"/>
                      <w:color w:val="000000"/>
                    </w:rPr>
                    <w:t>设备分离后拉运至克拉玛依前山石油工程服务有限公司处理，处理后</w:t>
                  </w:r>
                  <w:r>
                    <w:rPr>
                      <w:color w:val="000000"/>
                    </w:rPr>
                    <w:t>的</w:t>
                  </w:r>
                  <w:r>
                    <w:rPr>
                      <w:rFonts w:hint="eastAsia"/>
                      <w:color w:val="000000"/>
                    </w:rPr>
                    <w:t>泥饼（钻井固废）</w:t>
                  </w:r>
                  <w:r>
                    <w:rPr>
                      <w:color w:val="000000"/>
                    </w:rPr>
                    <w:t>按照</w:t>
                  </w:r>
                  <w:r>
                    <w:rPr>
                      <w:rFonts w:hint="eastAsia"/>
                      <w:color w:val="000000"/>
                    </w:rPr>
                    <w:t>要求</w:t>
                  </w:r>
                  <w:r>
                    <w:rPr>
                      <w:color w:val="000000"/>
                    </w:rPr>
                    <w:t>，用于修路、铺垫井场</w:t>
                  </w:r>
                  <w:r>
                    <w:rPr>
                      <w:rFonts w:hint="eastAsia"/>
                      <w:color w:val="000000"/>
                    </w:rPr>
                    <w:t>。</w:t>
                  </w:r>
                </w:p>
              </w:tc>
              <w:tc>
                <w:tcPr>
                  <w:tcW w:w="448" w:type="dxa"/>
                  <w:vAlign w:val="center"/>
                </w:tcPr>
                <w:p>
                  <w:pPr>
                    <w:pStyle w:val="70"/>
                    <w:rPr>
                      <w:color w:val="000000"/>
                    </w:rPr>
                  </w:pPr>
                  <w:r>
                    <w:rPr>
                      <w:rFonts w:hint="eastAsia"/>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26" w:type="dxa"/>
                  <w:vAlign w:val="center"/>
                </w:tcPr>
                <w:p>
                  <w:pPr>
                    <w:pStyle w:val="70"/>
                    <w:rPr>
                      <w:color w:val="000000"/>
                    </w:rPr>
                  </w:pPr>
                  <w:r>
                    <w:rPr>
                      <w:color w:val="000000"/>
                    </w:rPr>
                    <w:t>5</w:t>
                  </w:r>
                </w:p>
              </w:tc>
              <w:tc>
                <w:tcPr>
                  <w:tcW w:w="3776" w:type="dxa"/>
                  <w:vAlign w:val="center"/>
                </w:tcPr>
                <w:p>
                  <w:pPr>
                    <w:pStyle w:val="70"/>
                    <w:rPr>
                      <w:color w:val="000000"/>
                    </w:rPr>
                  </w:pPr>
                  <w:r>
                    <w:rPr>
                      <w:color w:val="000000"/>
                    </w:rPr>
                    <w:t>施工期应当尽量减少施工占地、缩短施工时间、选择合理施工方式、落实环境敏感区管控要求以及其他生态环境保护措施，降低生态环境影响。钻井和压裂设备应当优先使用网电、高标准清洁燃油，减少废气排放。选用低噪声设备，避免噪声扰民。施工结束后，应当及时落实环评提出的生态保护措施</w:t>
                  </w:r>
                  <w:r>
                    <w:rPr>
                      <w:rFonts w:hint="eastAsia"/>
                      <w:color w:val="000000"/>
                    </w:rPr>
                    <w:t>。</w:t>
                  </w:r>
                </w:p>
              </w:tc>
              <w:tc>
                <w:tcPr>
                  <w:tcW w:w="3742" w:type="dxa"/>
                  <w:vAlign w:val="center"/>
                </w:tcPr>
                <w:p>
                  <w:pPr>
                    <w:pStyle w:val="70"/>
                    <w:rPr>
                      <w:color w:val="000000"/>
                    </w:rPr>
                  </w:pPr>
                  <w:r>
                    <w:rPr>
                      <w:color w:val="000000"/>
                    </w:rPr>
                    <w:t>本</w:t>
                  </w:r>
                  <w:r>
                    <w:rPr>
                      <w:rFonts w:hint="eastAsia"/>
                      <w:color w:val="000000"/>
                    </w:rPr>
                    <w:t>次环评提出相应的保护措施，</w:t>
                  </w:r>
                  <w:r>
                    <w:rPr>
                      <w:color w:val="000000"/>
                    </w:rPr>
                    <w:t>减少废气排放，避免噪声扰民</w:t>
                  </w:r>
                  <w:r>
                    <w:rPr>
                      <w:rFonts w:hint="eastAsia"/>
                      <w:color w:val="000000"/>
                    </w:rPr>
                    <w:t>。</w:t>
                  </w:r>
                </w:p>
              </w:tc>
              <w:tc>
                <w:tcPr>
                  <w:tcW w:w="448" w:type="dxa"/>
                  <w:vAlign w:val="center"/>
                </w:tcPr>
                <w:p>
                  <w:pPr>
                    <w:pStyle w:val="70"/>
                    <w:rPr>
                      <w:color w:val="000000"/>
                    </w:rPr>
                  </w:pPr>
                  <w:r>
                    <w:rPr>
                      <w:rFonts w:hint="eastAsia"/>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26" w:type="dxa"/>
                  <w:vAlign w:val="center"/>
                </w:tcPr>
                <w:p>
                  <w:pPr>
                    <w:pStyle w:val="70"/>
                    <w:rPr>
                      <w:color w:val="000000"/>
                    </w:rPr>
                  </w:pPr>
                  <w:r>
                    <w:rPr>
                      <w:color w:val="000000"/>
                    </w:rPr>
                    <w:t>6</w:t>
                  </w:r>
                </w:p>
              </w:tc>
              <w:tc>
                <w:tcPr>
                  <w:tcW w:w="3776" w:type="dxa"/>
                  <w:vAlign w:val="center"/>
                </w:tcPr>
                <w:p>
                  <w:pPr>
                    <w:pStyle w:val="70"/>
                    <w:rPr>
                      <w:color w:val="000000"/>
                    </w:rPr>
                  </w:pPr>
                  <w:r>
                    <w:rPr>
                      <w:color w:val="000000"/>
                    </w:rPr>
                    <w:t>建设单位或生产经营单位按规定开展建设项目竣工环境保护验收，并录入全国建设项目竣工环境保护验收信息平台。分期建设、分期投入生产或者使用的建设项目，其相应的环境保护设施应当分期验收。</w:t>
                  </w:r>
                </w:p>
              </w:tc>
              <w:tc>
                <w:tcPr>
                  <w:tcW w:w="3742" w:type="dxa"/>
                  <w:vAlign w:val="center"/>
                </w:tcPr>
                <w:p>
                  <w:pPr>
                    <w:pStyle w:val="70"/>
                    <w:rPr>
                      <w:color w:val="000000"/>
                    </w:rPr>
                  </w:pPr>
                  <w:r>
                    <w:rPr>
                      <w:color w:val="000000"/>
                    </w:rPr>
                    <w:t>本项目建成后</w:t>
                  </w:r>
                  <w:r>
                    <w:rPr>
                      <w:rFonts w:hint="eastAsia"/>
                      <w:color w:val="000000"/>
                    </w:rPr>
                    <w:t>将由建设单位</w:t>
                  </w:r>
                  <w:r>
                    <w:rPr>
                      <w:color w:val="000000"/>
                    </w:rPr>
                    <w:t>按规定开展建设项目竣工环境保护验收。</w:t>
                  </w:r>
                </w:p>
              </w:tc>
              <w:tc>
                <w:tcPr>
                  <w:tcW w:w="448" w:type="dxa"/>
                  <w:vAlign w:val="center"/>
                </w:tcPr>
                <w:p>
                  <w:pPr>
                    <w:pStyle w:val="70"/>
                    <w:rPr>
                      <w:color w:val="000000"/>
                    </w:rPr>
                  </w:pPr>
                  <w:r>
                    <w:rPr>
                      <w:rFonts w:hint="eastAsia"/>
                      <w:color w:val="000000"/>
                    </w:rPr>
                    <w:t>符合</w:t>
                  </w:r>
                </w:p>
              </w:tc>
            </w:tr>
          </w:tbl>
          <w:p>
            <w:pPr>
              <w:pStyle w:val="99"/>
              <w:ind w:firstLine="480"/>
              <w:rPr>
                <w:color w:val="000000"/>
              </w:rPr>
            </w:pPr>
          </w:p>
          <w:p>
            <w:pPr>
              <w:pStyle w:val="110"/>
              <w:rPr>
                <w:color w:val="000000"/>
              </w:rPr>
            </w:pPr>
            <w:r>
              <w:rPr>
                <w:rFonts w:hint="eastAsia"/>
                <w:color w:val="000000"/>
              </w:rPr>
              <w:t>综上所述，本项目建设符合《关于进一步加强石油天然气行业环境影响评价管理的通知》（</w:t>
            </w:r>
            <w:r>
              <w:rPr>
                <w:color w:val="000000"/>
              </w:rPr>
              <w:t>环办环评函</w:t>
            </w:r>
            <w:r>
              <w:rPr>
                <w:rFonts w:hint="eastAsia"/>
                <w:color w:val="000000"/>
              </w:rPr>
              <w:t>[</w:t>
            </w:r>
            <w:r>
              <w:rPr>
                <w:color w:val="000000"/>
              </w:rPr>
              <w:t>2019]910号</w:t>
            </w:r>
            <w:r>
              <w:rPr>
                <w:rFonts w:hint="eastAsia"/>
                <w:color w:val="000000"/>
              </w:rPr>
              <w:t>）的相关规定。</w:t>
            </w:r>
          </w:p>
          <w:p>
            <w:pPr>
              <w:pStyle w:val="99"/>
              <w:ind w:firstLine="420"/>
              <w:rPr>
                <w:bCs/>
                <w:color w:val="000000"/>
                <w:sz w:val="21"/>
                <w:szCs w:val="21"/>
              </w:rPr>
            </w:pPr>
            <w:r>
              <w:rPr>
                <w:rFonts w:hint="eastAsia"/>
                <w:color w:val="000000"/>
                <w:sz w:val="21"/>
                <w:szCs w:val="21"/>
              </w:rPr>
              <w:t>5、与《陆上石油天然气开采业绿色矿山建设规范》（DZ/T</w:t>
            </w:r>
            <w:r>
              <w:rPr>
                <w:color w:val="000000"/>
                <w:sz w:val="21"/>
                <w:szCs w:val="21"/>
              </w:rPr>
              <w:t xml:space="preserve"> 0317-2018</w:t>
            </w:r>
            <w:r>
              <w:rPr>
                <w:rFonts w:hint="eastAsia"/>
                <w:color w:val="000000"/>
                <w:sz w:val="21"/>
                <w:szCs w:val="21"/>
              </w:rPr>
              <w:t>）相符性分析</w:t>
            </w:r>
          </w:p>
          <w:p>
            <w:pPr>
              <w:pStyle w:val="99"/>
              <w:ind w:firstLine="420"/>
              <w:rPr>
                <w:color w:val="000000"/>
                <w:sz w:val="21"/>
                <w:szCs w:val="21"/>
              </w:rPr>
            </w:pPr>
            <w:r>
              <w:rPr>
                <w:rFonts w:hint="eastAsia"/>
                <w:color w:val="000000"/>
                <w:sz w:val="21"/>
                <w:szCs w:val="21"/>
              </w:rPr>
              <w:t>本项目与《陆上石油天然气开采业绿色矿山建设规范》（DZ/T</w:t>
            </w:r>
            <w:r>
              <w:rPr>
                <w:color w:val="000000"/>
                <w:sz w:val="21"/>
                <w:szCs w:val="21"/>
              </w:rPr>
              <w:t xml:space="preserve"> 0317-2018</w:t>
            </w:r>
            <w:r>
              <w:rPr>
                <w:rFonts w:hint="eastAsia"/>
                <w:color w:val="000000"/>
                <w:sz w:val="21"/>
                <w:szCs w:val="21"/>
              </w:rPr>
              <w:t xml:space="preserve">）中要求的相符性分析详见表 </w:t>
            </w:r>
            <w:r>
              <w:rPr>
                <w:color w:val="000000"/>
                <w:sz w:val="21"/>
                <w:szCs w:val="21"/>
              </w:rPr>
              <w:t>4</w:t>
            </w:r>
            <w:r>
              <w:rPr>
                <w:rFonts w:hint="eastAsia"/>
                <w:color w:val="000000"/>
                <w:sz w:val="21"/>
                <w:szCs w:val="21"/>
              </w:rPr>
              <w:t>。</w:t>
            </w:r>
          </w:p>
          <w:p>
            <w:pPr>
              <w:pStyle w:val="97"/>
              <w:spacing w:before="120" w:beforeLines="50" w:line="360" w:lineRule="auto"/>
              <w:rPr>
                <w:color w:val="000000"/>
                <w:szCs w:val="21"/>
              </w:rPr>
            </w:pPr>
            <w:bookmarkStart w:id="7" w:name="_Ref38542459"/>
            <w:r>
              <w:rPr>
                <w:rFonts w:hint="eastAsia"/>
                <w:color w:val="000000"/>
                <w:szCs w:val="21"/>
              </w:rPr>
              <w:t xml:space="preserve">表 </w:t>
            </w:r>
            <w:r>
              <w:rPr>
                <w:color w:val="000000"/>
                <w:szCs w:val="21"/>
              </w:rPr>
              <w:t>4</w:t>
            </w:r>
            <w:bookmarkEnd w:id="7"/>
            <w:r>
              <w:rPr>
                <w:color w:val="000000"/>
                <w:szCs w:val="21"/>
              </w:rPr>
              <w:t xml:space="preserve">  </w:t>
            </w:r>
            <w:r>
              <w:rPr>
                <w:rFonts w:hint="eastAsia"/>
                <w:snapToGrid w:val="0"/>
                <w:color w:val="000000"/>
                <w:szCs w:val="21"/>
              </w:rPr>
              <w:t>与《</w:t>
            </w:r>
            <w:r>
              <w:rPr>
                <w:rFonts w:hint="eastAsia"/>
                <w:color w:val="000000"/>
                <w:kern w:val="0"/>
                <w:szCs w:val="21"/>
              </w:rPr>
              <w:t>陆上石油天然气开采业绿色矿山建设规范</w:t>
            </w:r>
            <w:r>
              <w:rPr>
                <w:rFonts w:hint="eastAsia"/>
                <w:snapToGrid w:val="0"/>
                <w:color w:val="000000"/>
                <w:szCs w:val="21"/>
              </w:rPr>
              <w:t>》</w:t>
            </w:r>
            <w:r>
              <w:rPr>
                <w:rFonts w:hint="eastAsia"/>
                <w:color w:val="000000"/>
                <w:szCs w:val="21"/>
              </w:rPr>
              <w:t>（DZ/T</w:t>
            </w:r>
            <w:r>
              <w:rPr>
                <w:color w:val="000000"/>
                <w:szCs w:val="21"/>
              </w:rPr>
              <w:t xml:space="preserve"> 0317-2018</w:t>
            </w:r>
            <w:r>
              <w:rPr>
                <w:rFonts w:hint="eastAsia"/>
                <w:color w:val="000000"/>
                <w:szCs w:val="21"/>
              </w:rPr>
              <w:t>）</w:t>
            </w:r>
            <w:r>
              <w:rPr>
                <w:rFonts w:hint="eastAsia"/>
                <w:snapToGrid w:val="0"/>
                <w:color w:val="000000"/>
                <w:szCs w:val="21"/>
              </w:rPr>
              <w:t>的相符性分析</w:t>
            </w:r>
          </w:p>
          <w:tbl>
            <w:tblPr>
              <w:tblStyle w:val="29"/>
              <w:tblW w:w="839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7"/>
              <w:gridCol w:w="510"/>
              <w:gridCol w:w="2699"/>
              <w:gridCol w:w="4256"/>
              <w:gridCol w:w="4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37" w:type="dxa"/>
                  <w:vAlign w:val="center"/>
                </w:tcPr>
                <w:p>
                  <w:pPr>
                    <w:pStyle w:val="70"/>
                    <w:rPr>
                      <w:color w:val="000000"/>
                    </w:rPr>
                  </w:pPr>
                  <w:r>
                    <w:rPr>
                      <w:rFonts w:hint="eastAsia"/>
                      <w:color w:val="000000"/>
                    </w:rPr>
                    <w:t>序号</w:t>
                  </w:r>
                </w:p>
              </w:tc>
              <w:tc>
                <w:tcPr>
                  <w:tcW w:w="3209" w:type="dxa"/>
                  <w:gridSpan w:val="2"/>
                  <w:vAlign w:val="center"/>
                </w:tcPr>
                <w:p>
                  <w:pPr>
                    <w:pStyle w:val="70"/>
                    <w:rPr>
                      <w:color w:val="000000"/>
                    </w:rPr>
                  </w:pPr>
                  <w:r>
                    <w:rPr>
                      <w:rFonts w:hint="eastAsia"/>
                      <w:color w:val="000000"/>
                    </w:rPr>
                    <w:t>《陆上石油天然气开采业绿色矿山建设规范》（DZ/T</w:t>
                  </w:r>
                  <w:r>
                    <w:rPr>
                      <w:color w:val="000000"/>
                    </w:rPr>
                    <w:t xml:space="preserve"> 0317-2018</w:t>
                  </w:r>
                  <w:r>
                    <w:rPr>
                      <w:rFonts w:hint="eastAsia"/>
                      <w:color w:val="000000"/>
                    </w:rPr>
                    <w:t>）中相关规定</w:t>
                  </w:r>
                </w:p>
              </w:tc>
              <w:tc>
                <w:tcPr>
                  <w:tcW w:w="4256" w:type="dxa"/>
                  <w:vAlign w:val="center"/>
                </w:tcPr>
                <w:p>
                  <w:pPr>
                    <w:pStyle w:val="70"/>
                    <w:rPr>
                      <w:color w:val="000000"/>
                    </w:rPr>
                  </w:pPr>
                  <w:r>
                    <w:rPr>
                      <w:rFonts w:hint="eastAsia"/>
                      <w:color w:val="000000"/>
                    </w:rPr>
                    <w:t>本项目实施过程中采取的措施</w:t>
                  </w:r>
                </w:p>
              </w:tc>
              <w:tc>
                <w:tcPr>
                  <w:tcW w:w="490" w:type="dxa"/>
                  <w:vAlign w:val="center"/>
                </w:tcPr>
                <w:p>
                  <w:pPr>
                    <w:pStyle w:val="70"/>
                    <w:rPr>
                      <w:color w:val="000000"/>
                    </w:rPr>
                  </w:pPr>
                  <w:r>
                    <w:rPr>
                      <w:rFonts w:hint="eastAsia"/>
                      <w:color w:val="000000"/>
                    </w:rPr>
                    <w:t>相符性分析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37" w:type="dxa"/>
                  <w:vAlign w:val="center"/>
                </w:tcPr>
                <w:p>
                  <w:pPr>
                    <w:pStyle w:val="70"/>
                    <w:rPr>
                      <w:color w:val="000000"/>
                    </w:rPr>
                  </w:pPr>
                  <w:r>
                    <w:rPr>
                      <w:rFonts w:hint="eastAsia"/>
                      <w:color w:val="000000"/>
                    </w:rPr>
                    <w:t>1</w:t>
                  </w:r>
                </w:p>
              </w:tc>
              <w:tc>
                <w:tcPr>
                  <w:tcW w:w="510" w:type="dxa"/>
                  <w:vMerge w:val="restart"/>
                  <w:vAlign w:val="center"/>
                </w:tcPr>
                <w:p>
                  <w:pPr>
                    <w:pStyle w:val="70"/>
                    <w:rPr>
                      <w:color w:val="000000"/>
                    </w:rPr>
                  </w:pPr>
                  <w:r>
                    <w:rPr>
                      <w:color w:val="000000"/>
                    </w:rPr>
                    <w:t>矿区环境</w:t>
                  </w:r>
                </w:p>
              </w:tc>
              <w:tc>
                <w:tcPr>
                  <w:tcW w:w="2699" w:type="dxa"/>
                  <w:vAlign w:val="center"/>
                </w:tcPr>
                <w:p>
                  <w:pPr>
                    <w:pStyle w:val="70"/>
                    <w:rPr>
                      <w:color w:val="000000"/>
                    </w:rPr>
                  </w:pPr>
                  <w:r>
                    <w:rPr>
                      <w:color w:val="000000"/>
                    </w:rPr>
                    <w:t>矿区按生产区、管理区、生活区等功能分区，各功能区符合GB50187的规定，建立管理机构，制订管理制度，运行有序、管理规范。</w:t>
                  </w:r>
                </w:p>
              </w:tc>
              <w:tc>
                <w:tcPr>
                  <w:tcW w:w="4256" w:type="dxa"/>
                  <w:vAlign w:val="center"/>
                </w:tcPr>
                <w:p>
                  <w:pPr>
                    <w:pStyle w:val="70"/>
                    <w:rPr>
                      <w:color w:val="000000"/>
                    </w:rPr>
                  </w:pPr>
                  <w:r>
                    <w:rPr>
                      <w:rFonts w:hint="eastAsia"/>
                      <w:color w:val="000000"/>
                    </w:rPr>
                    <w:t>本项目按相关要求设置各</w:t>
                  </w:r>
                  <w:r>
                    <w:rPr>
                      <w:color w:val="000000"/>
                    </w:rPr>
                    <w:t>功能分区</w:t>
                  </w:r>
                  <w:r>
                    <w:rPr>
                      <w:rFonts w:hint="eastAsia"/>
                      <w:color w:val="000000"/>
                    </w:rPr>
                    <w:t>。</w:t>
                  </w:r>
                </w:p>
              </w:tc>
              <w:tc>
                <w:tcPr>
                  <w:tcW w:w="490" w:type="dxa"/>
                  <w:vAlign w:val="center"/>
                </w:tcPr>
                <w:p>
                  <w:pPr>
                    <w:pStyle w:val="70"/>
                    <w:rPr>
                      <w:color w:val="000000"/>
                    </w:rPr>
                  </w:pPr>
                  <w:r>
                    <w:rPr>
                      <w:rFonts w:hint="eastAsia"/>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37" w:type="dxa"/>
                  <w:vAlign w:val="center"/>
                </w:tcPr>
                <w:p>
                  <w:pPr>
                    <w:pStyle w:val="70"/>
                    <w:rPr>
                      <w:color w:val="000000"/>
                    </w:rPr>
                  </w:pPr>
                  <w:r>
                    <w:rPr>
                      <w:rFonts w:hint="eastAsia"/>
                      <w:color w:val="000000"/>
                    </w:rPr>
                    <w:t>2</w:t>
                  </w:r>
                </w:p>
              </w:tc>
              <w:tc>
                <w:tcPr>
                  <w:tcW w:w="510" w:type="dxa"/>
                  <w:vMerge w:val="continue"/>
                  <w:vAlign w:val="center"/>
                </w:tcPr>
                <w:p>
                  <w:pPr>
                    <w:pStyle w:val="70"/>
                    <w:rPr>
                      <w:color w:val="000000"/>
                    </w:rPr>
                  </w:pPr>
                </w:p>
              </w:tc>
              <w:tc>
                <w:tcPr>
                  <w:tcW w:w="2699" w:type="dxa"/>
                  <w:vAlign w:val="center"/>
                </w:tcPr>
                <w:p>
                  <w:pPr>
                    <w:pStyle w:val="70"/>
                    <w:rPr>
                      <w:color w:val="000000"/>
                    </w:rPr>
                  </w:pPr>
                  <w:r>
                    <w:rPr>
                      <w:color w:val="000000"/>
                    </w:rPr>
                    <w:t>矿区地面道路、供水、供电、卫生、环保等基础配套设施完善，道路平整规范，标识清晰、标牌统一。</w:t>
                  </w:r>
                </w:p>
              </w:tc>
              <w:tc>
                <w:tcPr>
                  <w:tcW w:w="4256" w:type="dxa"/>
                  <w:vAlign w:val="center"/>
                </w:tcPr>
                <w:p>
                  <w:pPr>
                    <w:pStyle w:val="70"/>
                    <w:rPr>
                      <w:color w:val="000000"/>
                    </w:rPr>
                  </w:pPr>
                  <w:r>
                    <w:rPr>
                      <w:rFonts w:hint="eastAsia" w:hAnsi="宋体"/>
                      <w:color w:val="000000"/>
                    </w:rPr>
                    <w:t>本项目建设清洁井场、场地平整、清洁卫生；</w:t>
                  </w:r>
                  <w:r>
                    <w:rPr>
                      <w:rFonts w:hint="eastAsia"/>
                      <w:color w:val="000000"/>
                    </w:rPr>
                    <w:t>配套建设井场道路、供水、供电、环保等基础设施。</w:t>
                  </w:r>
                </w:p>
              </w:tc>
              <w:tc>
                <w:tcPr>
                  <w:tcW w:w="490" w:type="dxa"/>
                  <w:vAlign w:val="center"/>
                </w:tcPr>
                <w:p>
                  <w:pPr>
                    <w:pStyle w:val="70"/>
                    <w:rPr>
                      <w:color w:val="000000"/>
                    </w:rPr>
                  </w:pPr>
                  <w:r>
                    <w:rPr>
                      <w:rFonts w:hint="eastAsia"/>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37" w:type="dxa"/>
                  <w:vAlign w:val="center"/>
                </w:tcPr>
                <w:p>
                  <w:pPr>
                    <w:pStyle w:val="70"/>
                    <w:rPr>
                      <w:color w:val="000000"/>
                    </w:rPr>
                  </w:pPr>
                  <w:r>
                    <w:rPr>
                      <w:rFonts w:hint="eastAsia"/>
                      <w:color w:val="000000"/>
                    </w:rPr>
                    <w:t>3</w:t>
                  </w:r>
                </w:p>
              </w:tc>
              <w:tc>
                <w:tcPr>
                  <w:tcW w:w="510" w:type="dxa"/>
                  <w:vMerge w:val="continue"/>
                  <w:vAlign w:val="center"/>
                </w:tcPr>
                <w:p>
                  <w:pPr>
                    <w:pStyle w:val="70"/>
                    <w:rPr>
                      <w:color w:val="000000"/>
                    </w:rPr>
                  </w:pPr>
                </w:p>
              </w:tc>
              <w:tc>
                <w:tcPr>
                  <w:tcW w:w="2699" w:type="dxa"/>
                  <w:vAlign w:val="center"/>
                </w:tcPr>
                <w:p>
                  <w:pPr>
                    <w:pStyle w:val="70"/>
                    <w:rPr>
                      <w:color w:val="000000"/>
                    </w:rPr>
                  </w:pPr>
                  <w:r>
                    <w:rPr>
                      <w:color w:val="000000"/>
                    </w:rPr>
                    <w:t>执行各类废弃物管理制度。固体废弃物按照GB18599的规定堆放、综合利用和处置；矿区废液污物按照GB8978的规定存储和处置。</w:t>
                  </w:r>
                </w:p>
              </w:tc>
              <w:tc>
                <w:tcPr>
                  <w:tcW w:w="4256" w:type="dxa"/>
                  <w:vAlign w:val="center"/>
                </w:tcPr>
                <w:p>
                  <w:pPr>
                    <w:pStyle w:val="70"/>
                    <w:rPr>
                      <w:color w:val="000000"/>
                    </w:rPr>
                  </w:pPr>
                  <w:r>
                    <w:rPr>
                      <w:rFonts w:hint="eastAsia" w:hAnsi="宋体"/>
                      <w:color w:val="000000"/>
                    </w:rPr>
                    <w:t>本项目产生的钻井泥浆、岩屑的处置符合</w:t>
                  </w:r>
                  <w:r>
                    <w:rPr>
                      <w:rFonts w:hAnsi="宋体"/>
                      <w:color w:val="000000"/>
                    </w:rPr>
                    <w:t>《油气田钻井固体废物综合利用污染控制要求》（DB65/T 3997-2017）的规范</w:t>
                  </w:r>
                  <w:r>
                    <w:rPr>
                      <w:rFonts w:hint="eastAsia" w:hAnsi="宋体"/>
                      <w:color w:val="000000"/>
                    </w:rPr>
                    <w:t>要求。本项目产生的钻井废水</w:t>
                  </w:r>
                  <w:r>
                    <w:rPr>
                      <w:rFonts w:hint="eastAsia"/>
                      <w:color w:val="000000"/>
                    </w:rPr>
                    <w:t>输送至“泥浆不落地”泥浆槽中循环利用，完井后废水运至春风一号联合站处理达标后用于产能开发回注地层</w:t>
                  </w:r>
                  <w:r>
                    <w:rPr>
                      <w:rFonts w:hint="eastAsia" w:hAnsi="宋体"/>
                      <w:color w:val="000000"/>
                    </w:rPr>
                    <w:t>。</w:t>
                  </w:r>
                </w:p>
              </w:tc>
              <w:tc>
                <w:tcPr>
                  <w:tcW w:w="490" w:type="dxa"/>
                  <w:vAlign w:val="center"/>
                </w:tcPr>
                <w:p>
                  <w:pPr>
                    <w:pStyle w:val="70"/>
                    <w:rPr>
                      <w:color w:val="000000"/>
                    </w:rPr>
                  </w:pPr>
                  <w:r>
                    <w:rPr>
                      <w:rFonts w:hint="eastAsia"/>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37" w:type="dxa"/>
                  <w:vAlign w:val="center"/>
                </w:tcPr>
                <w:p>
                  <w:pPr>
                    <w:pStyle w:val="70"/>
                    <w:rPr>
                      <w:color w:val="000000"/>
                    </w:rPr>
                  </w:pPr>
                  <w:r>
                    <w:rPr>
                      <w:rFonts w:hint="eastAsia"/>
                      <w:color w:val="000000"/>
                    </w:rPr>
                    <w:t>4</w:t>
                  </w:r>
                </w:p>
              </w:tc>
              <w:tc>
                <w:tcPr>
                  <w:tcW w:w="510" w:type="dxa"/>
                  <w:vMerge w:val="restart"/>
                  <w:vAlign w:val="center"/>
                </w:tcPr>
                <w:p>
                  <w:pPr>
                    <w:pStyle w:val="70"/>
                    <w:rPr>
                      <w:color w:val="000000"/>
                    </w:rPr>
                  </w:pPr>
                  <w:r>
                    <w:rPr>
                      <w:color w:val="000000"/>
                    </w:rPr>
                    <w:t>资源开发方式</w:t>
                  </w:r>
                </w:p>
              </w:tc>
              <w:tc>
                <w:tcPr>
                  <w:tcW w:w="2699" w:type="dxa"/>
                  <w:vAlign w:val="center"/>
                </w:tcPr>
                <w:p>
                  <w:pPr>
                    <w:pStyle w:val="70"/>
                    <w:rPr>
                      <w:color w:val="000000"/>
                    </w:rPr>
                  </w:pPr>
                  <w:r>
                    <w:rPr>
                      <w:color w:val="000000"/>
                    </w:rPr>
                    <w:t>应遵循矿区油气资源赋存状况、生态环境特征等条件，科学合理确定开发方案，选择与油气藏类型相适应的先进开采技术和工艺，推广使用成熟、先进的技术装备，严禁使用国家明文规定的限制和淘汰的技术工艺及装备。</w:t>
                  </w:r>
                </w:p>
              </w:tc>
              <w:tc>
                <w:tcPr>
                  <w:tcW w:w="4256" w:type="dxa"/>
                  <w:vAlign w:val="center"/>
                </w:tcPr>
                <w:p>
                  <w:pPr>
                    <w:pStyle w:val="70"/>
                    <w:rPr>
                      <w:color w:val="000000"/>
                    </w:rPr>
                  </w:pPr>
                  <w:r>
                    <w:rPr>
                      <w:rFonts w:hint="eastAsia" w:hAnsi="宋体"/>
                      <w:color w:val="000000"/>
                    </w:rPr>
                    <w:t>本项目采用先进技术、工艺设备，未使用国家和自治区明令淘汰的技术、工艺和设备。</w:t>
                  </w:r>
                </w:p>
              </w:tc>
              <w:tc>
                <w:tcPr>
                  <w:tcW w:w="490" w:type="dxa"/>
                  <w:vAlign w:val="center"/>
                </w:tcPr>
                <w:p>
                  <w:pPr>
                    <w:pStyle w:val="70"/>
                    <w:rPr>
                      <w:color w:val="000000"/>
                    </w:rPr>
                  </w:pPr>
                  <w:r>
                    <w:rPr>
                      <w:rFonts w:hint="eastAsia"/>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37" w:type="dxa"/>
                  <w:vAlign w:val="center"/>
                </w:tcPr>
                <w:p>
                  <w:pPr>
                    <w:pStyle w:val="70"/>
                    <w:rPr>
                      <w:color w:val="000000"/>
                    </w:rPr>
                  </w:pPr>
                  <w:r>
                    <w:rPr>
                      <w:rFonts w:hint="eastAsia"/>
                      <w:color w:val="000000"/>
                    </w:rPr>
                    <w:t>5</w:t>
                  </w:r>
                </w:p>
              </w:tc>
              <w:tc>
                <w:tcPr>
                  <w:tcW w:w="510" w:type="dxa"/>
                  <w:vMerge w:val="continue"/>
                  <w:vAlign w:val="center"/>
                </w:tcPr>
                <w:p>
                  <w:pPr>
                    <w:pStyle w:val="70"/>
                    <w:rPr>
                      <w:color w:val="000000"/>
                    </w:rPr>
                  </w:pPr>
                </w:p>
              </w:tc>
              <w:tc>
                <w:tcPr>
                  <w:tcW w:w="2699" w:type="dxa"/>
                  <w:vAlign w:val="center"/>
                </w:tcPr>
                <w:p>
                  <w:pPr>
                    <w:pStyle w:val="70"/>
                    <w:rPr>
                      <w:color w:val="000000"/>
                    </w:rPr>
                  </w:pPr>
                  <w:r>
                    <w:rPr>
                      <w:color w:val="000000"/>
                    </w:rPr>
                    <w:t>集约节约利用土地资源，土地利用符合用地指标政策。合理确定站址、场址、管网、路网建设占地规模。</w:t>
                  </w:r>
                </w:p>
              </w:tc>
              <w:tc>
                <w:tcPr>
                  <w:tcW w:w="4256" w:type="dxa"/>
                  <w:vAlign w:val="center"/>
                </w:tcPr>
                <w:p>
                  <w:pPr>
                    <w:pStyle w:val="70"/>
                    <w:rPr>
                      <w:color w:val="000000"/>
                    </w:rPr>
                  </w:pPr>
                  <w:r>
                    <w:rPr>
                      <w:rFonts w:hint="eastAsia"/>
                      <w:color w:val="000000"/>
                    </w:rPr>
                    <w:t>本项目合理规划井场占地。</w:t>
                  </w:r>
                </w:p>
              </w:tc>
              <w:tc>
                <w:tcPr>
                  <w:tcW w:w="490" w:type="dxa"/>
                  <w:vAlign w:val="center"/>
                </w:tcPr>
                <w:p>
                  <w:pPr>
                    <w:pStyle w:val="70"/>
                    <w:rPr>
                      <w:color w:val="000000"/>
                    </w:rPr>
                  </w:pPr>
                  <w:r>
                    <w:rPr>
                      <w:rFonts w:hint="eastAsia"/>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37" w:type="dxa"/>
                  <w:vAlign w:val="center"/>
                </w:tcPr>
                <w:p>
                  <w:pPr>
                    <w:pStyle w:val="70"/>
                    <w:rPr>
                      <w:color w:val="000000"/>
                    </w:rPr>
                  </w:pPr>
                  <w:r>
                    <w:rPr>
                      <w:rFonts w:hint="eastAsia"/>
                      <w:color w:val="000000"/>
                    </w:rPr>
                    <w:t>6</w:t>
                  </w:r>
                </w:p>
              </w:tc>
              <w:tc>
                <w:tcPr>
                  <w:tcW w:w="510" w:type="dxa"/>
                  <w:vMerge w:val="continue"/>
                  <w:vAlign w:val="center"/>
                </w:tcPr>
                <w:p>
                  <w:pPr>
                    <w:pStyle w:val="70"/>
                    <w:rPr>
                      <w:color w:val="000000"/>
                    </w:rPr>
                  </w:pPr>
                </w:p>
              </w:tc>
              <w:tc>
                <w:tcPr>
                  <w:tcW w:w="2699" w:type="dxa"/>
                  <w:vAlign w:val="center"/>
                </w:tcPr>
                <w:p>
                  <w:pPr>
                    <w:pStyle w:val="70"/>
                    <w:rPr>
                      <w:color w:val="000000"/>
                    </w:rPr>
                  </w:pPr>
                  <w:r>
                    <w:rPr>
                      <w:color w:val="000000"/>
                    </w:rPr>
                    <w:t>应实施绿色钻井技术体系，科学选择钻井方式、环境友好型钻井液及井控措施，配备完善的固控系统，及时妥善处置钻井泥浆。</w:t>
                  </w:r>
                </w:p>
              </w:tc>
              <w:tc>
                <w:tcPr>
                  <w:tcW w:w="4256" w:type="dxa"/>
                  <w:vAlign w:val="center"/>
                </w:tcPr>
                <w:p>
                  <w:pPr>
                    <w:pStyle w:val="70"/>
                    <w:rPr>
                      <w:color w:val="000000"/>
                    </w:rPr>
                  </w:pPr>
                  <w:r>
                    <w:rPr>
                      <w:rFonts w:hint="eastAsia" w:hAnsi="宋体"/>
                      <w:color w:val="000000"/>
                    </w:rPr>
                    <w:t>本项目采用环境友好型钻井液。</w:t>
                  </w:r>
                  <w:r>
                    <w:rPr>
                      <w:color w:val="000000"/>
                    </w:rPr>
                    <w:t>钻井固废经</w:t>
                  </w:r>
                  <w:r>
                    <w:rPr>
                      <w:rFonts w:hAnsi="宋体"/>
                      <w:color w:val="000000"/>
                    </w:rPr>
                    <w:t>“</w:t>
                  </w:r>
                  <w:r>
                    <w:rPr>
                      <w:rFonts w:hint="eastAsia" w:hAnsi="宋体"/>
                      <w:color w:val="000000"/>
                    </w:rPr>
                    <w:t>泥浆不落地</w:t>
                  </w:r>
                  <w:r>
                    <w:rPr>
                      <w:rFonts w:hAnsi="宋体"/>
                      <w:color w:val="000000"/>
                    </w:rPr>
                    <w:t>”</w:t>
                  </w:r>
                  <w:r>
                    <w:rPr>
                      <w:rFonts w:hint="eastAsia"/>
                      <w:color w:val="000000"/>
                    </w:rPr>
                    <w:t>设备分离后拉运至克拉玛依前山石油工程服务有限公司处理，处理后</w:t>
                  </w:r>
                  <w:r>
                    <w:rPr>
                      <w:color w:val="000000"/>
                    </w:rPr>
                    <w:t>的</w:t>
                  </w:r>
                  <w:r>
                    <w:rPr>
                      <w:rFonts w:hint="eastAsia"/>
                      <w:color w:val="000000"/>
                    </w:rPr>
                    <w:t>泥饼（钻井固废）</w:t>
                  </w:r>
                  <w:r>
                    <w:rPr>
                      <w:color w:val="000000"/>
                    </w:rPr>
                    <w:t>按照</w:t>
                  </w:r>
                  <w:r>
                    <w:rPr>
                      <w:rFonts w:hint="eastAsia"/>
                      <w:color w:val="000000"/>
                    </w:rPr>
                    <w:t>要求</w:t>
                  </w:r>
                  <w:r>
                    <w:rPr>
                      <w:color w:val="000000"/>
                    </w:rPr>
                    <w:t>，用于修路、铺垫井场</w:t>
                  </w:r>
                  <w:r>
                    <w:rPr>
                      <w:rFonts w:hint="eastAsia"/>
                      <w:color w:val="000000"/>
                    </w:rPr>
                    <w:t>。</w:t>
                  </w:r>
                </w:p>
              </w:tc>
              <w:tc>
                <w:tcPr>
                  <w:tcW w:w="490" w:type="dxa"/>
                  <w:vAlign w:val="center"/>
                </w:tcPr>
                <w:p>
                  <w:pPr>
                    <w:pStyle w:val="70"/>
                    <w:rPr>
                      <w:color w:val="000000"/>
                    </w:rPr>
                  </w:pPr>
                  <w:r>
                    <w:rPr>
                      <w:rFonts w:hint="eastAsia"/>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37" w:type="dxa"/>
                  <w:vAlign w:val="center"/>
                </w:tcPr>
                <w:p>
                  <w:pPr>
                    <w:pStyle w:val="70"/>
                    <w:rPr>
                      <w:color w:val="000000"/>
                    </w:rPr>
                  </w:pPr>
                  <w:r>
                    <w:rPr>
                      <w:rFonts w:hint="eastAsia"/>
                      <w:color w:val="000000"/>
                    </w:rPr>
                    <w:t>7</w:t>
                  </w:r>
                </w:p>
              </w:tc>
              <w:tc>
                <w:tcPr>
                  <w:tcW w:w="510" w:type="dxa"/>
                  <w:vMerge w:val="restart"/>
                  <w:vAlign w:val="center"/>
                </w:tcPr>
                <w:p>
                  <w:pPr>
                    <w:pStyle w:val="70"/>
                    <w:rPr>
                      <w:color w:val="000000"/>
                    </w:rPr>
                  </w:pPr>
                  <w:r>
                    <w:rPr>
                      <w:color w:val="000000"/>
                    </w:rPr>
                    <w:t>资源综合利用</w:t>
                  </w:r>
                </w:p>
              </w:tc>
              <w:tc>
                <w:tcPr>
                  <w:tcW w:w="2699" w:type="dxa"/>
                  <w:vAlign w:val="center"/>
                </w:tcPr>
                <w:p>
                  <w:pPr>
                    <w:pStyle w:val="70"/>
                    <w:rPr>
                      <w:color w:val="000000"/>
                    </w:rPr>
                  </w:pPr>
                  <w:r>
                    <w:rPr>
                      <w:color w:val="000000"/>
                    </w:rPr>
                    <w:t>油气生产过程中产生的废液、废气、固体废物应建档分类管理，并清洁化、无害化处置，处置率应达到100%。</w:t>
                  </w:r>
                </w:p>
              </w:tc>
              <w:tc>
                <w:tcPr>
                  <w:tcW w:w="4256" w:type="dxa"/>
                  <w:vAlign w:val="center"/>
                </w:tcPr>
                <w:p>
                  <w:pPr>
                    <w:pStyle w:val="70"/>
                    <w:rPr>
                      <w:color w:val="000000"/>
                    </w:rPr>
                  </w:pPr>
                  <w:r>
                    <w:rPr>
                      <w:rFonts w:hint="eastAsia"/>
                      <w:color w:val="000000"/>
                    </w:rPr>
                    <w:t>本项目施工期产生的各类污染物均能得到妥善处置，不外排。</w:t>
                  </w:r>
                </w:p>
              </w:tc>
              <w:tc>
                <w:tcPr>
                  <w:tcW w:w="490" w:type="dxa"/>
                  <w:vAlign w:val="center"/>
                </w:tcPr>
                <w:p>
                  <w:pPr>
                    <w:pStyle w:val="70"/>
                    <w:rPr>
                      <w:color w:val="000000"/>
                    </w:rPr>
                  </w:pPr>
                  <w:r>
                    <w:rPr>
                      <w:rFonts w:hint="eastAsia"/>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37" w:type="dxa"/>
                  <w:vAlign w:val="center"/>
                </w:tcPr>
                <w:p>
                  <w:pPr>
                    <w:pStyle w:val="70"/>
                    <w:rPr>
                      <w:color w:val="000000"/>
                    </w:rPr>
                  </w:pPr>
                  <w:r>
                    <w:rPr>
                      <w:color w:val="000000"/>
                    </w:rPr>
                    <w:t>8</w:t>
                  </w:r>
                </w:p>
              </w:tc>
              <w:tc>
                <w:tcPr>
                  <w:tcW w:w="510" w:type="dxa"/>
                  <w:vMerge w:val="continue"/>
                  <w:vAlign w:val="center"/>
                </w:tcPr>
                <w:p>
                  <w:pPr>
                    <w:pStyle w:val="70"/>
                    <w:rPr>
                      <w:color w:val="000000"/>
                    </w:rPr>
                  </w:pPr>
                </w:p>
              </w:tc>
              <w:tc>
                <w:tcPr>
                  <w:tcW w:w="2699" w:type="dxa"/>
                  <w:vAlign w:val="center"/>
                </w:tcPr>
                <w:p>
                  <w:pPr>
                    <w:pStyle w:val="70"/>
                    <w:rPr>
                      <w:color w:val="000000"/>
                    </w:rPr>
                  </w:pPr>
                  <w:r>
                    <w:rPr>
                      <w:color w:val="000000"/>
                    </w:rPr>
                    <w:t>油气开采过程中产生的落地原油，应及时完全回收。</w:t>
                  </w:r>
                </w:p>
              </w:tc>
              <w:tc>
                <w:tcPr>
                  <w:tcW w:w="4256" w:type="dxa"/>
                  <w:vAlign w:val="center"/>
                </w:tcPr>
                <w:p>
                  <w:pPr>
                    <w:pStyle w:val="70"/>
                    <w:rPr>
                      <w:color w:val="000000"/>
                    </w:rPr>
                  </w:pPr>
                  <w:r>
                    <w:rPr>
                      <w:rFonts w:hint="eastAsia"/>
                      <w:color w:val="000000"/>
                    </w:rPr>
                    <w:t>本工程不涉及油气开采过程。</w:t>
                  </w:r>
                </w:p>
              </w:tc>
              <w:tc>
                <w:tcPr>
                  <w:tcW w:w="490" w:type="dxa"/>
                  <w:vAlign w:val="center"/>
                </w:tcPr>
                <w:p>
                  <w:pPr>
                    <w:pStyle w:val="70"/>
                    <w:rPr>
                      <w:color w:val="000000"/>
                    </w:rPr>
                  </w:pPr>
                  <w:r>
                    <w:rPr>
                      <w:rFonts w:hint="eastAsia"/>
                      <w:color w:val="000000"/>
                    </w:rPr>
                    <w:t>符合</w:t>
                  </w:r>
                </w:p>
              </w:tc>
            </w:tr>
          </w:tbl>
          <w:p>
            <w:pPr>
              <w:pStyle w:val="99"/>
              <w:ind w:firstLine="420"/>
              <w:rPr>
                <w:color w:val="000000"/>
                <w:sz w:val="21"/>
                <w:szCs w:val="21"/>
              </w:rPr>
            </w:pPr>
          </w:p>
          <w:p>
            <w:pPr>
              <w:pStyle w:val="110"/>
              <w:rPr>
                <w:color w:val="000000"/>
                <w:szCs w:val="21"/>
              </w:rPr>
            </w:pPr>
            <w:r>
              <w:rPr>
                <w:rFonts w:hint="eastAsia"/>
                <w:color w:val="000000"/>
                <w:szCs w:val="21"/>
              </w:rPr>
              <w:t>综上所述，本项目建设符合《陆上石油天然气开采业绿色矿山建设规范》（DZ/T 0317-2018）的相关规定。</w:t>
            </w:r>
          </w:p>
          <w:p>
            <w:pPr>
              <w:pStyle w:val="110"/>
              <w:rPr>
                <w:color w:val="000000"/>
                <w:kern w:val="0"/>
                <w:szCs w:val="21"/>
              </w:rPr>
            </w:pPr>
            <w:r>
              <w:rPr>
                <w:color w:val="000000"/>
                <w:kern w:val="0"/>
                <w:szCs w:val="21"/>
              </w:rPr>
              <w:t>6</w:t>
            </w:r>
            <w:r>
              <w:rPr>
                <w:rFonts w:hint="eastAsia"/>
                <w:color w:val="000000"/>
                <w:kern w:val="0"/>
                <w:szCs w:val="21"/>
              </w:rPr>
              <w:t>、与《石油天然气开采业污染防治技术政策》（2012年3月7日）的</w:t>
            </w:r>
            <w:r>
              <w:rPr>
                <w:rFonts w:hint="eastAsia"/>
                <w:color w:val="000000"/>
                <w:szCs w:val="21"/>
              </w:rPr>
              <w:t>相符性分析</w:t>
            </w:r>
          </w:p>
          <w:p>
            <w:pPr>
              <w:pStyle w:val="110"/>
              <w:rPr>
                <w:color w:val="000000"/>
                <w:kern w:val="0"/>
                <w:szCs w:val="21"/>
              </w:rPr>
            </w:pPr>
            <w:r>
              <w:rPr>
                <w:rFonts w:hint="eastAsia"/>
                <w:color w:val="000000"/>
                <w:kern w:val="0"/>
                <w:szCs w:val="21"/>
              </w:rPr>
              <w:t>本项目与《石油天然气开采业污染防治技术政策》（2012年3月7日）的</w:t>
            </w:r>
            <w:r>
              <w:rPr>
                <w:rFonts w:hint="eastAsia"/>
                <w:color w:val="000000"/>
                <w:szCs w:val="21"/>
              </w:rPr>
              <w:t>相符性分析</w:t>
            </w:r>
            <w:r>
              <w:rPr>
                <w:rFonts w:hint="eastAsia"/>
                <w:color w:val="000000"/>
                <w:kern w:val="0"/>
                <w:szCs w:val="21"/>
              </w:rPr>
              <w:t>见表</w:t>
            </w:r>
            <w:r>
              <w:rPr>
                <w:color w:val="000000"/>
                <w:kern w:val="0"/>
                <w:szCs w:val="21"/>
              </w:rPr>
              <w:t>5</w:t>
            </w:r>
            <w:r>
              <w:rPr>
                <w:rFonts w:hint="eastAsia"/>
                <w:color w:val="000000"/>
                <w:kern w:val="0"/>
                <w:szCs w:val="21"/>
              </w:rPr>
              <w:t>。</w:t>
            </w:r>
          </w:p>
          <w:p>
            <w:pPr>
              <w:pStyle w:val="12"/>
              <w:spacing w:before="120"/>
              <w:rPr>
                <w:color w:val="000000"/>
                <w:szCs w:val="21"/>
              </w:rPr>
            </w:pPr>
            <w:bookmarkStart w:id="8" w:name="_Ref33647528"/>
            <w:r>
              <w:rPr>
                <w:rFonts w:hint="eastAsia"/>
                <w:color w:val="000000"/>
                <w:szCs w:val="21"/>
              </w:rPr>
              <w:t>表</w:t>
            </w:r>
            <w:r>
              <w:rPr>
                <w:color w:val="000000"/>
                <w:szCs w:val="21"/>
              </w:rPr>
              <w:t>5</w:t>
            </w:r>
            <w:bookmarkEnd w:id="8"/>
            <w:r>
              <w:rPr>
                <w:rFonts w:hint="eastAsia"/>
                <w:color w:val="000000"/>
                <w:szCs w:val="21"/>
              </w:rPr>
              <w:t xml:space="preserve"> </w:t>
            </w:r>
            <w:r>
              <w:rPr>
                <w:color w:val="000000"/>
                <w:szCs w:val="21"/>
              </w:rPr>
              <w:t xml:space="preserve"> </w:t>
            </w:r>
            <w:r>
              <w:rPr>
                <w:rFonts w:hint="eastAsia"/>
                <w:color w:val="000000"/>
                <w:szCs w:val="21"/>
              </w:rPr>
              <w:t>与《石油天然气开采业污染防治技术政策》（2012年3月7日）的相符性分析</w:t>
            </w:r>
          </w:p>
          <w:tbl>
            <w:tblPr>
              <w:tblStyle w:val="29"/>
              <w:tblW w:w="839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52"/>
              <w:gridCol w:w="3330"/>
              <w:gridCol w:w="510"/>
            </w:tblGrid>
            <w:tr>
              <w:tblPrEx>
                <w:tblLayout w:type="fixed"/>
                <w:tblCellMar>
                  <w:top w:w="0" w:type="dxa"/>
                  <w:left w:w="108" w:type="dxa"/>
                  <w:bottom w:w="0" w:type="dxa"/>
                  <w:right w:w="108" w:type="dxa"/>
                </w:tblCellMar>
              </w:tblPrEx>
              <w:trPr>
                <w:trHeight w:val="340" w:hRule="atLeast"/>
                <w:tblHeader/>
                <w:jc w:val="center"/>
              </w:trPr>
              <w:tc>
                <w:tcPr>
                  <w:tcW w:w="4552" w:type="dxa"/>
                  <w:tcBorders>
                    <w:top w:val="single" w:color="auto" w:sz="4" w:space="0"/>
                    <w:left w:val="single" w:color="auto" w:sz="4" w:space="0"/>
                    <w:bottom w:val="single" w:color="auto" w:sz="4" w:space="0"/>
                    <w:right w:val="single" w:color="auto" w:sz="4" w:space="0"/>
                  </w:tcBorders>
                  <w:vAlign w:val="center"/>
                </w:tcPr>
                <w:p>
                  <w:pPr>
                    <w:pStyle w:val="70"/>
                    <w:rPr>
                      <w:color w:val="000000"/>
                    </w:rPr>
                  </w:pPr>
                  <w:r>
                    <w:rPr>
                      <w:rFonts w:hint="eastAsia"/>
                      <w:color w:val="000000"/>
                    </w:rPr>
                    <w:t>文件要求</w:t>
                  </w:r>
                </w:p>
              </w:tc>
              <w:tc>
                <w:tcPr>
                  <w:tcW w:w="3330" w:type="dxa"/>
                  <w:tcBorders>
                    <w:top w:val="single" w:color="auto" w:sz="4" w:space="0"/>
                    <w:left w:val="single" w:color="auto" w:sz="4" w:space="0"/>
                    <w:bottom w:val="single" w:color="auto" w:sz="4" w:space="0"/>
                    <w:right w:val="single" w:color="auto" w:sz="4" w:space="0"/>
                  </w:tcBorders>
                  <w:vAlign w:val="center"/>
                </w:tcPr>
                <w:p>
                  <w:pPr>
                    <w:pStyle w:val="70"/>
                    <w:rPr>
                      <w:color w:val="000000"/>
                    </w:rPr>
                  </w:pPr>
                  <w:r>
                    <w:rPr>
                      <w:rFonts w:hint="eastAsia"/>
                      <w:bCs/>
                      <w:color w:val="000000"/>
                    </w:rPr>
                    <w:t>项目情况</w:t>
                  </w:r>
                </w:p>
              </w:tc>
              <w:tc>
                <w:tcPr>
                  <w:tcW w:w="510" w:type="dxa"/>
                  <w:tcBorders>
                    <w:top w:val="single" w:color="auto" w:sz="4" w:space="0"/>
                    <w:left w:val="single" w:color="auto" w:sz="4" w:space="0"/>
                    <w:bottom w:val="single" w:color="auto" w:sz="4" w:space="0"/>
                    <w:right w:val="single" w:color="auto" w:sz="4" w:space="0"/>
                  </w:tcBorders>
                  <w:vAlign w:val="center"/>
                </w:tcPr>
                <w:p>
                  <w:pPr>
                    <w:pStyle w:val="70"/>
                    <w:rPr>
                      <w:color w:val="000000"/>
                    </w:rPr>
                  </w:pPr>
                  <w:r>
                    <w:rPr>
                      <w:rFonts w:hint="eastAsia"/>
                      <w:color w:val="000000"/>
                    </w:rPr>
                    <w:t>符合情况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552" w:type="dxa"/>
                  <w:tcBorders>
                    <w:top w:val="single" w:color="auto" w:sz="4" w:space="0"/>
                    <w:left w:val="single" w:color="auto" w:sz="4" w:space="0"/>
                    <w:bottom w:val="single" w:color="auto" w:sz="4" w:space="0"/>
                    <w:right w:val="single" w:color="auto" w:sz="4" w:space="0"/>
                  </w:tcBorders>
                  <w:vAlign w:val="center"/>
                </w:tcPr>
                <w:p>
                  <w:pPr>
                    <w:pStyle w:val="70"/>
                    <w:rPr>
                      <w:color w:val="000000"/>
                    </w:rPr>
                  </w:pPr>
                  <w:r>
                    <w:rPr>
                      <w:rFonts w:hint="eastAsia"/>
                      <w:color w:val="000000"/>
                    </w:rPr>
                    <w:t>一、总则</w:t>
                  </w:r>
                </w:p>
              </w:tc>
              <w:tc>
                <w:tcPr>
                  <w:tcW w:w="3330" w:type="dxa"/>
                  <w:tcBorders>
                    <w:top w:val="single" w:color="auto" w:sz="4" w:space="0"/>
                    <w:left w:val="single" w:color="auto" w:sz="4" w:space="0"/>
                    <w:bottom w:val="single" w:color="auto" w:sz="4" w:space="0"/>
                    <w:right w:val="single" w:color="auto" w:sz="4" w:space="0"/>
                  </w:tcBorders>
                  <w:vAlign w:val="center"/>
                </w:tcPr>
                <w:p>
                  <w:pPr>
                    <w:pStyle w:val="70"/>
                    <w:rPr>
                      <w:bCs/>
                      <w:color w:val="000000"/>
                    </w:rPr>
                  </w:pPr>
                </w:p>
              </w:tc>
              <w:tc>
                <w:tcPr>
                  <w:tcW w:w="510" w:type="dxa"/>
                  <w:tcBorders>
                    <w:top w:val="single" w:color="auto" w:sz="4" w:space="0"/>
                    <w:left w:val="single" w:color="auto" w:sz="4" w:space="0"/>
                    <w:bottom w:val="single" w:color="auto" w:sz="4" w:space="0"/>
                    <w:right w:val="single" w:color="auto" w:sz="4" w:space="0"/>
                  </w:tcBorders>
                  <w:vAlign w:val="center"/>
                </w:tcPr>
                <w:p>
                  <w:pPr>
                    <w:pStyle w:val="70"/>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552" w:type="dxa"/>
                  <w:tcBorders>
                    <w:top w:val="single" w:color="auto" w:sz="4" w:space="0"/>
                    <w:left w:val="single" w:color="auto" w:sz="4" w:space="0"/>
                    <w:bottom w:val="single" w:color="auto" w:sz="4" w:space="0"/>
                    <w:right w:val="single" w:color="auto" w:sz="4" w:space="0"/>
                  </w:tcBorders>
                  <w:vAlign w:val="center"/>
                </w:tcPr>
                <w:p>
                  <w:pPr>
                    <w:pStyle w:val="70"/>
                    <w:rPr>
                      <w:color w:val="000000"/>
                    </w:rPr>
                  </w:pPr>
                  <w:r>
                    <w:rPr>
                      <w:rFonts w:hint="eastAsia"/>
                      <w:color w:val="000000"/>
                    </w:rPr>
                    <w:t>（三）到2015年末，行业新、改、扩建项目均采用清洁生产工艺和技术，工业废水回用率达到90%以上，工业固体废物资源化及无害化处理处置率达到100%。要遏制重大、杜绝特别重大环境污染和生态破坏事故的发生。要逐步实现对行业排放的石油类污染物进行总量控制。</w:t>
                  </w:r>
                </w:p>
              </w:tc>
              <w:tc>
                <w:tcPr>
                  <w:tcW w:w="3330" w:type="dxa"/>
                  <w:tcBorders>
                    <w:top w:val="single" w:color="auto" w:sz="4" w:space="0"/>
                    <w:left w:val="single" w:color="auto" w:sz="4" w:space="0"/>
                    <w:bottom w:val="single" w:color="auto" w:sz="4" w:space="0"/>
                    <w:right w:val="single" w:color="auto" w:sz="4" w:space="0"/>
                  </w:tcBorders>
                  <w:vAlign w:val="center"/>
                </w:tcPr>
                <w:p>
                  <w:pPr>
                    <w:pStyle w:val="70"/>
                    <w:rPr>
                      <w:color w:val="000000"/>
                    </w:rPr>
                  </w:pPr>
                  <w:r>
                    <w:rPr>
                      <w:rFonts w:hint="eastAsia"/>
                      <w:color w:val="000000"/>
                    </w:rPr>
                    <w:t>项目采用清洁生产工艺和技术，生产废水回用率达到100%，固体废物资源化及无害化处理处置率达到100%。</w:t>
                  </w:r>
                </w:p>
              </w:tc>
              <w:tc>
                <w:tcPr>
                  <w:tcW w:w="510" w:type="dxa"/>
                  <w:tcBorders>
                    <w:top w:val="single" w:color="auto" w:sz="4" w:space="0"/>
                    <w:left w:val="single" w:color="auto" w:sz="4" w:space="0"/>
                    <w:bottom w:val="single" w:color="auto" w:sz="4" w:space="0"/>
                    <w:right w:val="single" w:color="auto" w:sz="4" w:space="0"/>
                  </w:tcBorders>
                  <w:vAlign w:val="center"/>
                </w:tcPr>
                <w:p>
                  <w:pPr>
                    <w:pStyle w:val="70"/>
                    <w:rPr>
                      <w:color w:val="000000"/>
                    </w:rPr>
                  </w:pPr>
                  <w:r>
                    <w:rPr>
                      <w:rFonts w:hint="eastAsia"/>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552" w:type="dxa"/>
                  <w:tcBorders>
                    <w:top w:val="single" w:color="auto" w:sz="4" w:space="0"/>
                    <w:left w:val="single" w:color="auto" w:sz="4" w:space="0"/>
                    <w:bottom w:val="single" w:color="auto" w:sz="4" w:space="0"/>
                    <w:right w:val="single" w:color="auto" w:sz="4" w:space="0"/>
                  </w:tcBorders>
                  <w:vAlign w:val="center"/>
                </w:tcPr>
                <w:p>
                  <w:pPr>
                    <w:pStyle w:val="70"/>
                    <w:rPr>
                      <w:color w:val="000000"/>
                    </w:rPr>
                  </w:pPr>
                  <w:r>
                    <w:rPr>
                      <w:rFonts w:hint="eastAsia"/>
                      <w:color w:val="000000"/>
                    </w:rPr>
                    <w:t>（四）石油天然气开采要坚持油气开发与环境保护并举，油气田整体开发与优化布局相结合，污染防治与生态保护并重。大力推行清洁生产，发展循环经济，强化末端治理，注重环境风险防范，因地制宜进行生态恢复与建设，实现绿色发展。</w:t>
                  </w:r>
                </w:p>
              </w:tc>
              <w:tc>
                <w:tcPr>
                  <w:tcW w:w="3330" w:type="dxa"/>
                  <w:tcBorders>
                    <w:top w:val="single" w:color="auto" w:sz="4" w:space="0"/>
                    <w:left w:val="single" w:color="auto" w:sz="4" w:space="0"/>
                    <w:bottom w:val="single" w:color="auto" w:sz="4" w:space="0"/>
                    <w:right w:val="single" w:color="auto" w:sz="4" w:space="0"/>
                  </w:tcBorders>
                  <w:vAlign w:val="center"/>
                </w:tcPr>
                <w:p>
                  <w:pPr>
                    <w:pStyle w:val="70"/>
                    <w:rPr>
                      <w:color w:val="000000"/>
                    </w:rPr>
                  </w:pPr>
                  <w:r>
                    <w:rPr>
                      <w:rFonts w:hint="eastAsia"/>
                      <w:color w:val="000000"/>
                    </w:rPr>
                    <w:t>拟实施污染防治与生态保护措施。拟推行清洁生产，发展循环经济，强化末端治理，注重环境风险防范，因地制宜进行生态恢复与建设。</w:t>
                  </w:r>
                </w:p>
              </w:tc>
              <w:tc>
                <w:tcPr>
                  <w:tcW w:w="510" w:type="dxa"/>
                  <w:tcBorders>
                    <w:top w:val="single" w:color="auto" w:sz="4" w:space="0"/>
                    <w:left w:val="single" w:color="auto" w:sz="4" w:space="0"/>
                    <w:bottom w:val="single" w:color="auto" w:sz="4" w:space="0"/>
                    <w:right w:val="single" w:color="auto" w:sz="4" w:space="0"/>
                  </w:tcBorders>
                  <w:vAlign w:val="center"/>
                </w:tcPr>
                <w:p>
                  <w:pPr>
                    <w:pStyle w:val="70"/>
                    <w:rPr>
                      <w:color w:val="000000"/>
                    </w:rPr>
                  </w:pPr>
                  <w:r>
                    <w:rPr>
                      <w:rFonts w:hint="eastAsia"/>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552" w:type="dxa"/>
                  <w:tcBorders>
                    <w:top w:val="single" w:color="auto" w:sz="4" w:space="0"/>
                    <w:left w:val="single" w:color="auto" w:sz="4" w:space="0"/>
                    <w:bottom w:val="single" w:color="auto" w:sz="4" w:space="0"/>
                    <w:right w:val="single" w:color="auto" w:sz="4" w:space="0"/>
                  </w:tcBorders>
                  <w:vAlign w:val="center"/>
                </w:tcPr>
                <w:p>
                  <w:pPr>
                    <w:pStyle w:val="70"/>
                    <w:rPr>
                      <w:color w:val="000000"/>
                    </w:rPr>
                  </w:pPr>
                  <w:r>
                    <w:rPr>
                      <w:rFonts w:hint="eastAsia"/>
                      <w:color w:val="000000"/>
                    </w:rPr>
                    <w:t>（五）在环境敏感区进行石油天然气勘探、开采的，要在开发前对生态、环境影响进行充分论证，并严格执行环境影响评价文件的要求，积极采取缓解生态、环境破坏的措施。</w:t>
                  </w:r>
                </w:p>
              </w:tc>
              <w:tc>
                <w:tcPr>
                  <w:tcW w:w="3330" w:type="dxa"/>
                  <w:tcBorders>
                    <w:top w:val="single" w:color="auto" w:sz="4" w:space="0"/>
                    <w:left w:val="single" w:color="auto" w:sz="4" w:space="0"/>
                    <w:bottom w:val="single" w:color="auto" w:sz="4" w:space="0"/>
                    <w:right w:val="single" w:color="auto" w:sz="4" w:space="0"/>
                  </w:tcBorders>
                  <w:vAlign w:val="center"/>
                </w:tcPr>
                <w:p>
                  <w:pPr>
                    <w:pStyle w:val="70"/>
                    <w:rPr>
                      <w:color w:val="000000"/>
                    </w:rPr>
                  </w:pPr>
                  <w:r>
                    <w:rPr>
                      <w:rFonts w:hint="eastAsia"/>
                      <w:color w:val="000000"/>
                    </w:rPr>
                    <w:t>不在环境敏感区，在勘探前对生态、环境影响进行了充分论证，并拟严格执行环境影响评价文件的要求，积极采取缓解生态、环境破坏的措施。</w:t>
                  </w:r>
                </w:p>
              </w:tc>
              <w:tc>
                <w:tcPr>
                  <w:tcW w:w="510" w:type="dxa"/>
                  <w:tcBorders>
                    <w:top w:val="single" w:color="auto" w:sz="4" w:space="0"/>
                    <w:left w:val="single" w:color="auto" w:sz="4" w:space="0"/>
                    <w:bottom w:val="single" w:color="auto" w:sz="4" w:space="0"/>
                    <w:right w:val="single" w:color="auto" w:sz="4" w:space="0"/>
                  </w:tcBorders>
                  <w:vAlign w:val="center"/>
                </w:tcPr>
                <w:p>
                  <w:pPr>
                    <w:pStyle w:val="70"/>
                    <w:rPr>
                      <w:color w:val="000000"/>
                    </w:rPr>
                  </w:pPr>
                  <w:r>
                    <w:rPr>
                      <w:rFonts w:hint="eastAsia"/>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552" w:type="dxa"/>
                  <w:tcBorders>
                    <w:top w:val="single" w:color="auto" w:sz="4" w:space="0"/>
                    <w:left w:val="single" w:color="auto" w:sz="4" w:space="0"/>
                    <w:bottom w:val="single" w:color="auto" w:sz="4" w:space="0"/>
                    <w:right w:val="single" w:color="auto" w:sz="4" w:space="0"/>
                  </w:tcBorders>
                  <w:vAlign w:val="center"/>
                </w:tcPr>
                <w:p>
                  <w:pPr>
                    <w:pStyle w:val="70"/>
                    <w:rPr>
                      <w:color w:val="000000"/>
                    </w:rPr>
                  </w:pPr>
                  <w:r>
                    <w:rPr>
                      <w:rFonts w:hint="eastAsia"/>
                      <w:color w:val="000000"/>
                    </w:rPr>
                    <w:t>二、清洁生产</w:t>
                  </w:r>
                </w:p>
              </w:tc>
              <w:tc>
                <w:tcPr>
                  <w:tcW w:w="3330" w:type="dxa"/>
                  <w:tcBorders>
                    <w:top w:val="single" w:color="auto" w:sz="4" w:space="0"/>
                    <w:left w:val="single" w:color="auto" w:sz="4" w:space="0"/>
                    <w:bottom w:val="single" w:color="auto" w:sz="4" w:space="0"/>
                    <w:right w:val="single" w:color="auto" w:sz="4" w:space="0"/>
                  </w:tcBorders>
                  <w:vAlign w:val="center"/>
                </w:tcPr>
                <w:p>
                  <w:pPr>
                    <w:pStyle w:val="70"/>
                    <w:rPr>
                      <w:color w:val="000000"/>
                    </w:rPr>
                  </w:pPr>
                </w:p>
              </w:tc>
              <w:tc>
                <w:tcPr>
                  <w:tcW w:w="510" w:type="dxa"/>
                  <w:tcBorders>
                    <w:top w:val="single" w:color="auto" w:sz="4" w:space="0"/>
                    <w:left w:val="single" w:color="auto" w:sz="4" w:space="0"/>
                    <w:bottom w:val="single" w:color="auto" w:sz="4" w:space="0"/>
                    <w:right w:val="single" w:color="auto" w:sz="4" w:space="0"/>
                  </w:tcBorders>
                  <w:vAlign w:val="center"/>
                </w:tcPr>
                <w:p>
                  <w:pPr>
                    <w:pStyle w:val="70"/>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552" w:type="dxa"/>
                  <w:tcBorders>
                    <w:top w:val="single" w:color="auto" w:sz="4" w:space="0"/>
                    <w:left w:val="single" w:color="auto" w:sz="4" w:space="0"/>
                    <w:bottom w:val="single" w:color="auto" w:sz="4" w:space="0"/>
                    <w:right w:val="single" w:color="auto" w:sz="4" w:space="0"/>
                  </w:tcBorders>
                  <w:vAlign w:val="center"/>
                </w:tcPr>
                <w:p>
                  <w:pPr>
                    <w:pStyle w:val="70"/>
                    <w:rPr>
                      <w:color w:val="000000"/>
                    </w:rPr>
                  </w:pPr>
                  <w:r>
                    <w:rPr>
                      <w:rFonts w:hint="eastAsia"/>
                      <w:color w:val="000000"/>
                    </w:rPr>
                    <w:t>（一）油气田建设应总体规划，优化布局，整体开发，减少占地和油气损失，实现油气和废物的集中收集、处理处置。</w:t>
                  </w:r>
                </w:p>
              </w:tc>
              <w:tc>
                <w:tcPr>
                  <w:tcW w:w="3330" w:type="dxa"/>
                  <w:tcBorders>
                    <w:top w:val="single" w:color="auto" w:sz="4" w:space="0"/>
                    <w:left w:val="single" w:color="auto" w:sz="4" w:space="0"/>
                    <w:bottom w:val="single" w:color="auto" w:sz="4" w:space="0"/>
                    <w:right w:val="single" w:color="auto" w:sz="4" w:space="0"/>
                  </w:tcBorders>
                  <w:vAlign w:val="center"/>
                </w:tcPr>
                <w:p>
                  <w:pPr>
                    <w:pStyle w:val="70"/>
                    <w:rPr>
                      <w:color w:val="000000"/>
                    </w:rPr>
                  </w:pPr>
                  <w:r>
                    <w:rPr>
                      <w:rFonts w:hint="eastAsia"/>
                      <w:color w:val="000000"/>
                    </w:rPr>
                    <w:t>本项目为勘探井，不属于开发井。</w:t>
                  </w:r>
                </w:p>
              </w:tc>
              <w:tc>
                <w:tcPr>
                  <w:tcW w:w="510" w:type="dxa"/>
                  <w:tcBorders>
                    <w:top w:val="single" w:color="auto" w:sz="4" w:space="0"/>
                    <w:left w:val="single" w:color="auto" w:sz="4" w:space="0"/>
                    <w:bottom w:val="single" w:color="auto" w:sz="4" w:space="0"/>
                    <w:right w:val="single" w:color="auto" w:sz="4" w:space="0"/>
                  </w:tcBorders>
                  <w:vAlign w:val="center"/>
                </w:tcPr>
                <w:p>
                  <w:pPr>
                    <w:pStyle w:val="70"/>
                    <w:rPr>
                      <w:color w:val="000000"/>
                    </w:rPr>
                  </w:pPr>
                  <w:r>
                    <w:rPr>
                      <w:rFonts w:hint="eastAsia"/>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552" w:type="dxa"/>
                  <w:tcBorders>
                    <w:top w:val="single" w:color="auto" w:sz="4" w:space="0"/>
                    <w:left w:val="single" w:color="auto" w:sz="4" w:space="0"/>
                    <w:bottom w:val="single" w:color="auto" w:sz="4" w:space="0"/>
                    <w:right w:val="single" w:color="auto" w:sz="4" w:space="0"/>
                  </w:tcBorders>
                  <w:vAlign w:val="center"/>
                </w:tcPr>
                <w:p>
                  <w:pPr>
                    <w:pStyle w:val="70"/>
                    <w:rPr>
                      <w:color w:val="000000"/>
                    </w:rPr>
                  </w:pPr>
                  <w:r>
                    <w:rPr>
                      <w:rFonts w:hint="eastAsia"/>
                      <w:color w:val="000000"/>
                    </w:rPr>
                    <w:t>（二）油气田开发不得使用含有国际公约禁用化学物质的油气田化学剂，逐步淘汰微毒及以上油气田化学剂，鼓励使用无毒油气田化学剂。</w:t>
                  </w:r>
                </w:p>
              </w:tc>
              <w:tc>
                <w:tcPr>
                  <w:tcW w:w="3330" w:type="dxa"/>
                  <w:tcBorders>
                    <w:top w:val="single" w:color="auto" w:sz="4" w:space="0"/>
                    <w:left w:val="single" w:color="auto" w:sz="4" w:space="0"/>
                    <w:bottom w:val="single" w:color="auto" w:sz="4" w:space="0"/>
                    <w:right w:val="single" w:color="auto" w:sz="4" w:space="0"/>
                  </w:tcBorders>
                  <w:vAlign w:val="center"/>
                </w:tcPr>
                <w:p>
                  <w:pPr>
                    <w:pStyle w:val="70"/>
                    <w:rPr>
                      <w:color w:val="000000"/>
                    </w:rPr>
                  </w:pPr>
                  <w:r>
                    <w:rPr>
                      <w:rFonts w:hint="eastAsia"/>
                      <w:color w:val="000000"/>
                    </w:rPr>
                    <w:t>拟使用环保型无毒无害的化学剂（钻井液等）。</w:t>
                  </w:r>
                </w:p>
              </w:tc>
              <w:tc>
                <w:tcPr>
                  <w:tcW w:w="510" w:type="dxa"/>
                  <w:tcBorders>
                    <w:top w:val="single" w:color="auto" w:sz="4" w:space="0"/>
                    <w:left w:val="single" w:color="auto" w:sz="4" w:space="0"/>
                    <w:bottom w:val="single" w:color="auto" w:sz="4" w:space="0"/>
                    <w:right w:val="single" w:color="auto" w:sz="4" w:space="0"/>
                  </w:tcBorders>
                  <w:vAlign w:val="center"/>
                </w:tcPr>
                <w:p>
                  <w:pPr>
                    <w:pStyle w:val="70"/>
                    <w:rPr>
                      <w:color w:val="000000"/>
                    </w:rPr>
                  </w:pPr>
                  <w:r>
                    <w:rPr>
                      <w:rFonts w:hint="eastAsia"/>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552" w:type="dxa"/>
                  <w:tcBorders>
                    <w:top w:val="single" w:color="auto" w:sz="4" w:space="0"/>
                    <w:left w:val="single" w:color="auto" w:sz="4" w:space="0"/>
                    <w:bottom w:val="single" w:color="auto" w:sz="4" w:space="0"/>
                    <w:right w:val="single" w:color="auto" w:sz="4" w:space="0"/>
                  </w:tcBorders>
                  <w:vAlign w:val="center"/>
                </w:tcPr>
                <w:p>
                  <w:pPr>
                    <w:pStyle w:val="70"/>
                    <w:rPr>
                      <w:color w:val="000000"/>
                    </w:rPr>
                  </w:pPr>
                  <w:r>
                    <w:rPr>
                      <w:rFonts w:hint="eastAsia"/>
                      <w:color w:val="000000"/>
                    </w:rPr>
                    <w:t>（三）在勘探开发过程中，应防止产生落地原油。其中井下作业过程中应配备泄油器、刮油器等。落地原油应及时回收，落地原油回收率应达到100%。</w:t>
                  </w:r>
                </w:p>
              </w:tc>
              <w:tc>
                <w:tcPr>
                  <w:tcW w:w="3330" w:type="dxa"/>
                  <w:tcBorders>
                    <w:top w:val="single" w:color="auto" w:sz="4" w:space="0"/>
                    <w:left w:val="single" w:color="auto" w:sz="4" w:space="0"/>
                    <w:bottom w:val="single" w:color="auto" w:sz="4" w:space="0"/>
                    <w:right w:val="single" w:color="auto" w:sz="4" w:space="0"/>
                  </w:tcBorders>
                  <w:vAlign w:val="center"/>
                </w:tcPr>
                <w:p>
                  <w:pPr>
                    <w:pStyle w:val="70"/>
                    <w:rPr>
                      <w:color w:val="000000"/>
                    </w:rPr>
                  </w:pPr>
                  <w:r>
                    <w:rPr>
                      <w:rFonts w:hint="eastAsia"/>
                      <w:color w:val="000000"/>
                    </w:rPr>
                    <w:t>原油不落地，拟通过防渗膜收集。井下作业过程中拟配备泄油器、刮油器等。</w:t>
                  </w:r>
                </w:p>
              </w:tc>
              <w:tc>
                <w:tcPr>
                  <w:tcW w:w="510" w:type="dxa"/>
                  <w:tcBorders>
                    <w:top w:val="single" w:color="auto" w:sz="4" w:space="0"/>
                    <w:left w:val="single" w:color="auto" w:sz="4" w:space="0"/>
                    <w:bottom w:val="single" w:color="auto" w:sz="4" w:space="0"/>
                    <w:right w:val="single" w:color="auto" w:sz="4" w:space="0"/>
                  </w:tcBorders>
                  <w:vAlign w:val="center"/>
                </w:tcPr>
                <w:p>
                  <w:pPr>
                    <w:pStyle w:val="70"/>
                    <w:rPr>
                      <w:color w:val="000000"/>
                    </w:rPr>
                  </w:pPr>
                  <w:r>
                    <w:rPr>
                      <w:rFonts w:hint="eastAsia"/>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552" w:type="dxa"/>
                  <w:tcBorders>
                    <w:top w:val="single" w:color="auto" w:sz="4" w:space="0"/>
                    <w:left w:val="single" w:color="auto" w:sz="4" w:space="0"/>
                    <w:bottom w:val="single" w:color="auto" w:sz="4" w:space="0"/>
                    <w:right w:val="single" w:color="auto" w:sz="4" w:space="0"/>
                  </w:tcBorders>
                  <w:vAlign w:val="center"/>
                </w:tcPr>
                <w:p>
                  <w:pPr>
                    <w:pStyle w:val="70"/>
                    <w:rPr>
                      <w:color w:val="000000"/>
                    </w:rPr>
                  </w:pPr>
                  <w:r>
                    <w:rPr>
                      <w:rFonts w:hint="eastAsia"/>
                      <w:color w:val="000000"/>
                    </w:rPr>
                    <w:t>（四）在油气勘探过程中，宜使用环保型炸药和可控震源，应采取防渗等措施预防燃料泄漏对环境的污染。</w:t>
                  </w:r>
                </w:p>
              </w:tc>
              <w:tc>
                <w:tcPr>
                  <w:tcW w:w="3330" w:type="dxa"/>
                  <w:tcBorders>
                    <w:top w:val="single" w:color="auto" w:sz="4" w:space="0"/>
                    <w:left w:val="single" w:color="auto" w:sz="4" w:space="0"/>
                    <w:bottom w:val="single" w:color="auto" w:sz="4" w:space="0"/>
                    <w:right w:val="single" w:color="auto" w:sz="4" w:space="0"/>
                  </w:tcBorders>
                  <w:vAlign w:val="center"/>
                </w:tcPr>
                <w:p>
                  <w:pPr>
                    <w:pStyle w:val="70"/>
                    <w:rPr>
                      <w:color w:val="000000"/>
                    </w:rPr>
                  </w:pPr>
                  <w:r>
                    <w:rPr>
                      <w:rFonts w:hint="eastAsia"/>
                      <w:color w:val="000000"/>
                    </w:rPr>
                    <w:t>本项目不涉及使用炸药等。</w:t>
                  </w:r>
                </w:p>
              </w:tc>
              <w:tc>
                <w:tcPr>
                  <w:tcW w:w="510" w:type="dxa"/>
                  <w:tcBorders>
                    <w:top w:val="single" w:color="auto" w:sz="4" w:space="0"/>
                    <w:left w:val="single" w:color="auto" w:sz="4" w:space="0"/>
                    <w:bottom w:val="single" w:color="auto" w:sz="4" w:space="0"/>
                    <w:right w:val="single" w:color="auto" w:sz="4" w:space="0"/>
                  </w:tcBorders>
                  <w:vAlign w:val="center"/>
                </w:tcPr>
                <w:p>
                  <w:pPr>
                    <w:pStyle w:val="70"/>
                    <w:rPr>
                      <w:color w:val="000000"/>
                    </w:rPr>
                  </w:pPr>
                  <w:r>
                    <w:rPr>
                      <w:rFonts w:hint="eastAsia"/>
                      <w:color w:val="000000"/>
                    </w:rPr>
                    <w:t>符合</w:t>
                  </w:r>
                </w:p>
              </w:tc>
            </w:tr>
            <w:tr>
              <w:tblPrEx>
                <w:tblLayout w:type="fixed"/>
                <w:tblCellMar>
                  <w:top w:w="0" w:type="dxa"/>
                  <w:left w:w="108" w:type="dxa"/>
                  <w:bottom w:w="0" w:type="dxa"/>
                  <w:right w:w="108" w:type="dxa"/>
                </w:tblCellMar>
              </w:tblPrEx>
              <w:trPr>
                <w:trHeight w:val="340" w:hRule="atLeast"/>
                <w:jc w:val="center"/>
              </w:trPr>
              <w:tc>
                <w:tcPr>
                  <w:tcW w:w="4552" w:type="dxa"/>
                  <w:tcBorders>
                    <w:top w:val="single" w:color="auto" w:sz="4" w:space="0"/>
                    <w:left w:val="single" w:color="auto" w:sz="4" w:space="0"/>
                    <w:bottom w:val="single" w:color="auto" w:sz="4" w:space="0"/>
                    <w:right w:val="single" w:color="auto" w:sz="4" w:space="0"/>
                  </w:tcBorders>
                  <w:vAlign w:val="center"/>
                </w:tcPr>
                <w:p>
                  <w:pPr>
                    <w:pStyle w:val="70"/>
                    <w:rPr>
                      <w:color w:val="000000"/>
                    </w:rPr>
                  </w:pPr>
                  <w:r>
                    <w:rPr>
                      <w:rFonts w:hint="eastAsia"/>
                      <w:color w:val="000000"/>
                    </w:rPr>
                    <w:t>（五）在钻井过程中，鼓励采用环境友好的钻井液体系；配备完善的固控设备，钻井液循环率达到95%以上；钻井过程产生的废水应回用。</w:t>
                  </w:r>
                </w:p>
              </w:tc>
              <w:tc>
                <w:tcPr>
                  <w:tcW w:w="3330" w:type="dxa"/>
                  <w:tcBorders>
                    <w:top w:val="single" w:color="auto" w:sz="4" w:space="0"/>
                    <w:left w:val="single" w:color="auto" w:sz="4" w:space="0"/>
                    <w:bottom w:val="single" w:color="auto" w:sz="4" w:space="0"/>
                    <w:right w:val="single" w:color="auto" w:sz="4" w:space="0"/>
                  </w:tcBorders>
                  <w:vAlign w:val="center"/>
                </w:tcPr>
                <w:p>
                  <w:pPr>
                    <w:pStyle w:val="70"/>
                    <w:rPr>
                      <w:color w:val="000000"/>
                    </w:rPr>
                  </w:pPr>
                  <w:r>
                    <w:rPr>
                      <w:rFonts w:hint="eastAsia"/>
                      <w:color w:val="000000"/>
                    </w:rPr>
                    <w:t>本项目采用环保型钻井液，配备完善的固控设备；钻井液循环率达到95%以上；钻井过程产生的废水处理后全部回用。</w:t>
                  </w:r>
                </w:p>
              </w:tc>
              <w:tc>
                <w:tcPr>
                  <w:tcW w:w="510" w:type="dxa"/>
                  <w:tcBorders>
                    <w:top w:val="single" w:color="auto" w:sz="4" w:space="0"/>
                    <w:left w:val="single" w:color="auto" w:sz="4" w:space="0"/>
                    <w:bottom w:val="single" w:color="auto" w:sz="4" w:space="0"/>
                    <w:right w:val="single" w:color="auto" w:sz="4" w:space="0"/>
                  </w:tcBorders>
                  <w:vAlign w:val="center"/>
                </w:tcPr>
                <w:p>
                  <w:pPr>
                    <w:pStyle w:val="70"/>
                    <w:rPr>
                      <w:color w:val="000000"/>
                    </w:rPr>
                  </w:pPr>
                  <w:r>
                    <w:rPr>
                      <w:rFonts w:hint="eastAsia"/>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552" w:type="dxa"/>
                  <w:tcBorders>
                    <w:top w:val="single" w:color="auto" w:sz="4" w:space="0"/>
                    <w:left w:val="single" w:color="auto" w:sz="4" w:space="0"/>
                    <w:bottom w:val="single" w:color="auto" w:sz="4" w:space="0"/>
                    <w:right w:val="single" w:color="auto" w:sz="4" w:space="0"/>
                  </w:tcBorders>
                  <w:vAlign w:val="center"/>
                </w:tcPr>
                <w:p>
                  <w:pPr>
                    <w:pStyle w:val="70"/>
                    <w:rPr>
                      <w:color w:val="000000"/>
                    </w:rPr>
                  </w:pPr>
                  <w:r>
                    <w:rPr>
                      <w:rFonts w:hint="eastAsia"/>
                      <w:color w:val="000000"/>
                    </w:rPr>
                    <w:t>（六）在井下作业过程中，酸化液和压裂液宜集中配制，酸化残液、压裂残液和返排液应回收利用或进行无害化处置，压裂放喷返排入罐率应达到100%。酸化、压裂作业和试油（气）过程应采取防喷、地面管线防刺、防漏、防溢等措施。</w:t>
                  </w:r>
                </w:p>
              </w:tc>
              <w:tc>
                <w:tcPr>
                  <w:tcW w:w="3330" w:type="dxa"/>
                  <w:tcBorders>
                    <w:top w:val="single" w:color="auto" w:sz="4" w:space="0"/>
                    <w:left w:val="single" w:color="auto" w:sz="4" w:space="0"/>
                    <w:bottom w:val="single" w:color="auto" w:sz="4" w:space="0"/>
                    <w:right w:val="single" w:color="auto" w:sz="4" w:space="0"/>
                  </w:tcBorders>
                  <w:vAlign w:val="center"/>
                </w:tcPr>
                <w:p>
                  <w:pPr>
                    <w:pStyle w:val="70"/>
                    <w:rPr>
                      <w:color w:val="000000"/>
                    </w:rPr>
                  </w:pPr>
                  <w:r>
                    <w:rPr>
                      <w:rFonts w:hint="eastAsia"/>
                      <w:color w:val="000000"/>
                    </w:rPr>
                    <w:t>本项目不涉及酸化、压裂和试油。</w:t>
                  </w:r>
                </w:p>
              </w:tc>
              <w:tc>
                <w:tcPr>
                  <w:tcW w:w="510" w:type="dxa"/>
                  <w:tcBorders>
                    <w:top w:val="single" w:color="auto" w:sz="4" w:space="0"/>
                    <w:left w:val="single" w:color="auto" w:sz="4" w:space="0"/>
                    <w:bottom w:val="single" w:color="auto" w:sz="4" w:space="0"/>
                    <w:right w:val="single" w:color="auto" w:sz="4" w:space="0"/>
                  </w:tcBorders>
                  <w:vAlign w:val="center"/>
                </w:tcPr>
                <w:p>
                  <w:pPr>
                    <w:pStyle w:val="70"/>
                    <w:rPr>
                      <w:color w:val="000000"/>
                    </w:rPr>
                  </w:pPr>
                  <w:r>
                    <w:rPr>
                      <w:rFonts w:hint="eastAsia"/>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552" w:type="dxa"/>
                  <w:tcBorders>
                    <w:top w:val="single" w:color="auto" w:sz="4" w:space="0"/>
                    <w:left w:val="single" w:color="auto" w:sz="4" w:space="0"/>
                    <w:bottom w:val="single" w:color="auto" w:sz="4" w:space="0"/>
                    <w:right w:val="single" w:color="auto" w:sz="4" w:space="0"/>
                  </w:tcBorders>
                  <w:vAlign w:val="center"/>
                </w:tcPr>
                <w:p>
                  <w:pPr>
                    <w:pStyle w:val="70"/>
                    <w:rPr>
                      <w:color w:val="000000"/>
                    </w:rPr>
                  </w:pPr>
                  <w:r>
                    <w:rPr>
                      <w:rFonts w:hint="eastAsia"/>
                      <w:color w:val="000000"/>
                    </w:rPr>
                    <w:t>三、生态保护</w:t>
                  </w:r>
                </w:p>
              </w:tc>
              <w:tc>
                <w:tcPr>
                  <w:tcW w:w="3330" w:type="dxa"/>
                  <w:tcBorders>
                    <w:top w:val="single" w:color="auto" w:sz="4" w:space="0"/>
                    <w:left w:val="single" w:color="auto" w:sz="4" w:space="0"/>
                    <w:bottom w:val="single" w:color="auto" w:sz="4" w:space="0"/>
                    <w:right w:val="single" w:color="auto" w:sz="4" w:space="0"/>
                  </w:tcBorders>
                  <w:vAlign w:val="center"/>
                </w:tcPr>
                <w:p>
                  <w:pPr>
                    <w:pStyle w:val="70"/>
                    <w:rPr>
                      <w:color w:val="000000"/>
                      <w:highlight w:val="yellow"/>
                    </w:rPr>
                  </w:pPr>
                </w:p>
              </w:tc>
              <w:tc>
                <w:tcPr>
                  <w:tcW w:w="510" w:type="dxa"/>
                  <w:tcBorders>
                    <w:top w:val="single" w:color="auto" w:sz="4" w:space="0"/>
                    <w:left w:val="single" w:color="auto" w:sz="4" w:space="0"/>
                    <w:bottom w:val="single" w:color="auto" w:sz="4" w:space="0"/>
                    <w:right w:val="single" w:color="auto" w:sz="4" w:space="0"/>
                  </w:tcBorders>
                  <w:vAlign w:val="center"/>
                </w:tcPr>
                <w:p>
                  <w:pPr>
                    <w:pStyle w:val="70"/>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552" w:type="dxa"/>
                  <w:tcBorders>
                    <w:top w:val="single" w:color="auto" w:sz="4" w:space="0"/>
                    <w:left w:val="single" w:color="auto" w:sz="4" w:space="0"/>
                    <w:bottom w:val="single" w:color="auto" w:sz="4" w:space="0"/>
                    <w:right w:val="single" w:color="auto" w:sz="4" w:space="0"/>
                  </w:tcBorders>
                  <w:vAlign w:val="center"/>
                </w:tcPr>
                <w:p>
                  <w:pPr>
                    <w:pStyle w:val="70"/>
                    <w:rPr>
                      <w:color w:val="000000"/>
                    </w:rPr>
                  </w:pPr>
                  <w:r>
                    <w:rPr>
                      <w:rFonts w:hint="eastAsia"/>
                      <w:color w:val="000000"/>
                    </w:rPr>
                    <w:t>（六）位于湿地自然保护区和鸟类迁徙通道上的油田、油井，若有较大的生态影响，应将电线、采油管线地下敷设。在油田作业区，应采取措施，保护零散自然湿地。</w:t>
                  </w:r>
                </w:p>
              </w:tc>
              <w:tc>
                <w:tcPr>
                  <w:tcW w:w="3330" w:type="dxa"/>
                  <w:tcBorders>
                    <w:top w:val="single" w:color="auto" w:sz="4" w:space="0"/>
                    <w:left w:val="single" w:color="auto" w:sz="4" w:space="0"/>
                    <w:bottom w:val="single" w:color="auto" w:sz="4" w:space="0"/>
                    <w:right w:val="single" w:color="auto" w:sz="4" w:space="0"/>
                  </w:tcBorders>
                  <w:vAlign w:val="center"/>
                </w:tcPr>
                <w:p>
                  <w:pPr>
                    <w:pStyle w:val="70"/>
                    <w:rPr>
                      <w:color w:val="000000"/>
                    </w:rPr>
                  </w:pPr>
                  <w:r>
                    <w:rPr>
                      <w:rFonts w:hint="eastAsia"/>
                      <w:color w:val="000000"/>
                    </w:rPr>
                    <w:t>本项目不在湿地自然保护区和鸟类迁徙通道上，对生态影响较小。</w:t>
                  </w:r>
                </w:p>
              </w:tc>
              <w:tc>
                <w:tcPr>
                  <w:tcW w:w="510" w:type="dxa"/>
                  <w:tcBorders>
                    <w:top w:val="single" w:color="auto" w:sz="4" w:space="0"/>
                    <w:left w:val="single" w:color="auto" w:sz="4" w:space="0"/>
                    <w:bottom w:val="single" w:color="auto" w:sz="4" w:space="0"/>
                    <w:right w:val="single" w:color="auto" w:sz="4" w:space="0"/>
                  </w:tcBorders>
                  <w:vAlign w:val="center"/>
                </w:tcPr>
                <w:p>
                  <w:pPr>
                    <w:pStyle w:val="70"/>
                    <w:rPr>
                      <w:color w:val="000000"/>
                    </w:rPr>
                  </w:pPr>
                  <w:r>
                    <w:rPr>
                      <w:rFonts w:hint="eastAsia"/>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552" w:type="dxa"/>
                  <w:tcBorders>
                    <w:top w:val="single" w:color="auto" w:sz="4" w:space="0"/>
                    <w:left w:val="single" w:color="auto" w:sz="4" w:space="0"/>
                    <w:bottom w:val="single" w:color="auto" w:sz="4" w:space="0"/>
                    <w:right w:val="single" w:color="auto" w:sz="4" w:space="0"/>
                  </w:tcBorders>
                  <w:vAlign w:val="center"/>
                </w:tcPr>
                <w:p>
                  <w:pPr>
                    <w:pStyle w:val="70"/>
                    <w:rPr>
                      <w:color w:val="000000"/>
                    </w:rPr>
                  </w:pPr>
                  <w:r>
                    <w:rPr>
                      <w:rFonts w:hint="eastAsia"/>
                      <w:color w:val="000000"/>
                    </w:rPr>
                    <w:t>（七）油气田退役前应进行环境影响后评价，油气田企业应按照后评价要求进行生态恢复。</w:t>
                  </w:r>
                </w:p>
              </w:tc>
              <w:tc>
                <w:tcPr>
                  <w:tcW w:w="3330" w:type="dxa"/>
                  <w:tcBorders>
                    <w:top w:val="single" w:color="auto" w:sz="4" w:space="0"/>
                    <w:left w:val="single" w:color="auto" w:sz="4" w:space="0"/>
                    <w:bottom w:val="single" w:color="auto" w:sz="4" w:space="0"/>
                    <w:right w:val="single" w:color="auto" w:sz="4" w:space="0"/>
                  </w:tcBorders>
                  <w:vAlign w:val="center"/>
                </w:tcPr>
                <w:p>
                  <w:pPr>
                    <w:pStyle w:val="70"/>
                    <w:rPr>
                      <w:color w:val="000000"/>
                    </w:rPr>
                  </w:pPr>
                  <w:r>
                    <w:rPr>
                      <w:rFonts w:hint="eastAsia"/>
                      <w:color w:val="000000"/>
                    </w:rPr>
                    <w:t>油气田退役前拟进行环境影响后评价，建设单位将按照后评价要求进行生态恢复。</w:t>
                  </w:r>
                </w:p>
              </w:tc>
              <w:tc>
                <w:tcPr>
                  <w:tcW w:w="510" w:type="dxa"/>
                  <w:tcBorders>
                    <w:top w:val="single" w:color="auto" w:sz="4" w:space="0"/>
                    <w:left w:val="single" w:color="auto" w:sz="4" w:space="0"/>
                    <w:bottom w:val="single" w:color="auto" w:sz="4" w:space="0"/>
                    <w:right w:val="single" w:color="auto" w:sz="4" w:space="0"/>
                  </w:tcBorders>
                  <w:vAlign w:val="center"/>
                </w:tcPr>
                <w:p>
                  <w:pPr>
                    <w:pStyle w:val="70"/>
                    <w:rPr>
                      <w:color w:val="000000"/>
                    </w:rPr>
                  </w:pPr>
                  <w:r>
                    <w:rPr>
                      <w:rFonts w:hint="eastAsia"/>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552" w:type="dxa"/>
                  <w:tcBorders>
                    <w:top w:val="single" w:color="auto" w:sz="4" w:space="0"/>
                    <w:left w:val="single" w:color="auto" w:sz="4" w:space="0"/>
                    <w:bottom w:val="single" w:color="auto" w:sz="4" w:space="0"/>
                    <w:right w:val="single" w:color="auto" w:sz="4" w:space="0"/>
                  </w:tcBorders>
                  <w:vAlign w:val="center"/>
                </w:tcPr>
                <w:p>
                  <w:pPr>
                    <w:pStyle w:val="70"/>
                    <w:rPr>
                      <w:color w:val="000000"/>
                    </w:rPr>
                  </w:pPr>
                  <w:r>
                    <w:rPr>
                      <w:rFonts w:hint="eastAsia"/>
                      <w:color w:val="000000"/>
                    </w:rPr>
                    <w:t>四、污染治理</w:t>
                  </w:r>
                </w:p>
              </w:tc>
              <w:tc>
                <w:tcPr>
                  <w:tcW w:w="3330" w:type="dxa"/>
                  <w:tcBorders>
                    <w:top w:val="single" w:color="auto" w:sz="4" w:space="0"/>
                    <w:left w:val="single" w:color="auto" w:sz="4" w:space="0"/>
                    <w:bottom w:val="single" w:color="auto" w:sz="4" w:space="0"/>
                    <w:right w:val="single" w:color="auto" w:sz="4" w:space="0"/>
                  </w:tcBorders>
                  <w:vAlign w:val="center"/>
                </w:tcPr>
                <w:p>
                  <w:pPr>
                    <w:pStyle w:val="70"/>
                    <w:rPr>
                      <w:color w:val="000000"/>
                    </w:rPr>
                  </w:pPr>
                </w:p>
              </w:tc>
              <w:tc>
                <w:tcPr>
                  <w:tcW w:w="510" w:type="dxa"/>
                  <w:tcBorders>
                    <w:top w:val="single" w:color="auto" w:sz="4" w:space="0"/>
                    <w:left w:val="single" w:color="auto" w:sz="4" w:space="0"/>
                    <w:bottom w:val="single" w:color="auto" w:sz="4" w:space="0"/>
                    <w:right w:val="single" w:color="auto" w:sz="4" w:space="0"/>
                  </w:tcBorders>
                  <w:vAlign w:val="center"/>
                </w:tcPr>
                <w:p>
                  <w:pPr>
                    <w:pStyle w:val="70"/>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552" w:type="dxa"/>
                  <w:tcBorders>
                    <w:top w:val="single" w:color="auto" w:sz="4" w:space="0"/>
                    <w:left w:val="single" w:color="auto" w:sz="4" w:space="0"/>
                    <w:bottom w:val="single" w:color="auto" w:sz="4" w:space="0"/>
                    <w:right w:val="single" w:color="auto" w:sz="4" w:space="0"/>
                  </w:tcBorders>
                  <w:vAlign w:val="center"/>
                </w:tcPr>
                <w:p>
                  <w:pPr>
                    <w:pStyle w:val="70"/>
                    <w:rPr>
                      <w:color w:val="000000"/>
                    </w:rPr>
                  </w:pPr>
                  <w:r>
                    <w:rPr>
                      <w:rFonts w:hint="eastAsia"/>
                      <w:color w:val="000000"/>
                    </w:rPr>
                    <w:t>（一）在钻井和井下作业过程中，鼓励污油、污水进入生产流程循环利用，未进入生产流程的污油、污水应采用固液分离、废水处理一体化装置等处理后达标外排。在油气开发过程中，未回注的油气田采出水宜采用混凝气浮和生化处理相结合的方式。</w:t>
                  </w:r>
                </w:p>
              </w:tc>
              <w:tc>
                <w:tcPr>
                  <w:tcW w:w="3330" w:type="dxa"/>
                  <w:tcBorders>
                    <w:top w:val="single" w:color="auto" w:sz="4" w:space="0"/>
                    <w:left w:val="single" w:color="auto" w:sz="4" w:space="0"/>
                    <w:bottom w:val="single" w:color="auto" w:sz="4" w:space="0"/>
                    <w:right w:val="single" w:color="auto" w:sz="4" w:space="0"/>
                  </w:tcBorders>
                  <w:vAlign w:val="center"/>
                </w:tcPr>
                <w:p>
                  <w:pPr>
                    <w:pStyle w:val="70"/>
                    <w:rPr>
                      <w:color w:val="000000"/>
                    </w:rPr>
                  </w:pPr>
                  <w:r>
                    <w:rPr>
                      <w:rFonts w:hint="eastAsia"/>
                      <w:color w:val="000000"/>
                    </w:rPr>
                    <w:t>钻井废水输送至“泥浆不落地”泥浆槽中循环利用，完井后废水运至春风一号联合站处理达标后用于产能开发回注地层。</w:t>
                  </w:r>
                </w:p>
              </w:tc>
              <w:tc>
                <w:tcPr>
                  <w:tcW w:w="510" w:type="dxa"/>
                  <w:tcBorders>
                    <w:top w:val="single" w:color="auto" w:sz="4" w:space="0"/>
                    <w:left w:val="single" w:color="auto" w:sz="4" w:space="0"/>
                    <w:bottom w:val="single" w:color="auto" w:sz="4" w:space="0"/>
                    <w:right w:val="single" w:color="auto" w:sz="4" w:space="0"/>
                  </w:tcBorders>
                  <w:vAlign w:val="center"/>
                </w:tcPr>
                <w:p>
                  <w:pPr>
                    <w:pStyle w:val="70"/>
                    <w:rPr>
                      <w:color w:val="000000"/>
                    </w:rPr>
                  </w:pPr>
                  <w:r>
                    <w:rPr>
                      <w:rFonts w:hint="eastAsia"/>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552" w:type="dxa"/>
                  <w:tcBorders>
                    <w:top w:val="single" w:color="auto" w:sz="4" w:space="0"/>
                    <w:left w:val="single" w:color="auto" w:sz="4" w:space="0"/>
                    <w:bottom w:val="single" w:color="auto" w:sz="4" w:space="0"/>
                    <w:right w:val="single" w:color="auto" w:sz="4" w:space="0"/>
                  </w:tcBorders>
                  <w:vAlign w:val="center"/>
                </w:tcPr>
                <w:p>
                  <w:pPr>
                    <w:pStyle w:val="70"/>
                    <w:rPr>
                      <w:color w:val="000000"/>
                    </w:rPr>
                  </w:pPr>
                  <w:r>
                    <w:rPr>
                      <w:rFonts w:hint="eastAsia"/>
                      <w:color w:val="000000"/>
                    </w:rPr>
                    <w:t>（二）在天然气净化过程中，鼓励采用二氧化硫尾气处理技术，提高去除效率。</w:t>
                  </w:r>
                </w:p>
              </w:tc>
              <w:tc>
                <w:tcPr>
                  <w:tcW w:w="3330" w:type="dxa"/>
                  <w:tcBorders>
                    <w:top w:val="single" w:color="auto" w:sz="4" w:space="0"/>
                    <w:left w:val="single" w:color="auto" w:sz="4" w:space="0"/>
                    <w:bottom w:val="single" w:color="auto" w:sz="4" w:space="0"/>
                    <w:right w:val="single" w:color="auto" w:sz="4" w:space="0"/>
                  </w:tcBorders>
                  <w:vAlign w:val="center"/>
                </w:tcPr>
                <w:p>
                  <w:pPr>
                    <w:pStyle w:val="70"/>
                    <w:rPr>
                      <w:color w:val="000000"/>
                    </w:rPr>
                  </w:pPr>
                  <w:r>
                    <w:rPr>
                      <w:rFonts w:hint="eastAsia"/>
                      <w:color w:val="000000"/>
                    </w:rPr>
                    <w:t>本项目不涉及天然气净化。</w:t>
                  </w:r>
                </w:p>
              </w:tc>
              <w:tc>
                <w:tcPr>
                  <w:tcW w:w="510" w:type="dxa"/>
                  <w:tcBorders>
                    <w:top w:val="single" w:color="auto" w:sz="4" w:space="0"/>
                    <w:left w:val="single" w:color="auto" w:sz="4" w:space="0"/>
                    <w:bottom w:val="single" w:color="auto" w:sz="4" w:space="0"/>
                    <w:right w:val="single" w:color="auto" w:sz="4" w:space="0"/>
                  </w:tcBorders>
                  <w:vAlign w:val="center"/>
                </w:tcPr>
                <w:p>
                  <w:pPr>
                    <w:pStyle w:val="70"/>
                    <w:rPr>
                      <w:color w:val="000000"/>
                    </w:rPr>
                  </w:pPr>
                  <w:r>
                    <w:rPr>
                      <w:rFonts w:hint="eastAsia"/>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552" w:type="dxa"/>
                  <w:tcBorders>
                    <w:top w:val="single" w:color="auto" w:sz="4" w:space="0"/>
                    <w:left w:val="single" w:color="auto" w:sz="4" w:space="0"/>
                    <w:bottom w:val="single" w:color="auto" w:sz="4" w:space="0"/>
                    <w:right w:val="single" w:color="auto" w:sz="4" w:space="0"/>
                  </w:tcBorders>
                  <w:vAlign w:val="center"/>
                </w:tcPr>
                <w:p>
                  <w:pPr>
                    <w:pStyle w:val="70"/>
                    <w:rPr>
                      <w:color w:val="000000"/>
                    </w:rPr>
                  </w:pPr>
                  <w:r>
                    <w:rPr>
                      <w:rFonts w:hint="eastAsia"/>
                      <w:color w:val="000000"/>
                    </w:rPr>
                    <w:t>（三）固体废物收集、贮存、处理处置设施应按照标准要求采取防渗措施。试油（气）后应立即封闭废弃钻井液贮池。</w:t>
                  </w:r>
                </w:p>
              </w:tc>
              <w:tc>
                <w:tcPr>
                  <w:tcW w:w="3330" w:type="dxa"/>
                  <w:tcBorders>
                    <w:top w:val="single" w:color="auto" w:sz="4" w:space="0"/>
                    <w:left w:val="single" w:color="auto" w:sz="4" w:space="0"/>
                    <w:bottom w:val="single" w:color="auto" w:sz="4" w:space="0"/>
                    <w:right w:val="single" w:color="auto" w:sz="4" w:space="0"/>
                  </w:tcBorders>
                  <w:vAlign w:val="center"/>
                </w:tcPr>
                <w:p>
                  <w:pPr>
                    <w:pStyle w:val="70"/>
                    <w:rPr>
                      <w:color w:val="000000"/>
                    </w:rPr>
                  </w:pPr>
                  <w:r>
                    <w:rPr>
                      <w:rFonts w:hint="eastAsia"/>
                      <w:color w:val="000000"/>
                    </w:rPr>
                    <w:t>钻井固废使用“泥浆不落地”工艺处置，不采用泥浆池，符合防渗要求。</w:t>
                  </w:r>
                </w:p>
              </w:tc>
              <w:tc>
                <w:tcPr>
                  <w:tcW w:w="510" w:type="dxa"/>
                  <w:tcBorders>
                    <w:top w:val="single" w:color="auto" w:sz="4" w:space="0"/>
                    <w:left w:val="single" w:color="auto" w:sz="4" w:space="0"/>
                    <w:bottom w:val="single" w:color="auto" w:sz="4" w:space="0"/>
                    <w:right w:val="single" w:color="auto" w:sz="4" w:space="0"/>
                  </w:tcBorders>
                  <w:vAlign w:val="center"/>
                </w:tcPr>
                <w:p>
                  <w:pPr>
                    <w:pStyle w:val="70"/>
                    <w:rPr>
                      <w:color w:val="000000"/>
                    </w:rPr>
                  </w:pPr>
                  <w:r>
                    <w:rPr>
                      <w:rFonts w:hint="eastAsia"/>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552" w:type="dxa"/>
                  <w:tcBorders>
                    <w:top w:val="single" w:color="auto" w:sz="4" w:space="0"/>
                    <w:left w:val="single" w:color="auto" w:sz="4" w:space="0"/>
                    <w:bottom w:val="single" w:color="auto" w:sz="4" w:space="0"/>
                    <w:right w:val="single" w:color="auto" w:sz="4" w:space="0"/>
                  </w:tcBorders>
                  <w:vAlign w:val="center"/>
                </w:tcPr>
                <w:p>
                  <w:pPr>
                    <w:pStyle w:val="70"/>
                    <w:rPr>
                      <w:color w:val="000000"/>
                    </w:rPr>
                  </w:pPr>
                  <w:r>
                    <w:rPr>
                      <w:rFonts w:hint="eastAsia"/>
                      <w:color w:val="000000"/>
                    </w:rPr>
                    <w:t>（四）应回收落地原油，以及原油处理、废水处理产生的油泥（砂）等中的油类物质，含油污泥资源化利用率应达到90%以上，残余固体废物应按照《国家危险废物名录（2021年版）》（2021年1月1日）和危险废物鉴别标准识别，根据识别结果资源化利用或无害化处置。</w:t>
                  </w:r>
                </w:p>
              </w:tc>
              <w:tc>
                <w:tcPr>
                  <w:tcW w:w="3330" w:type="dxa"/>
                  <w:tcBorders>
                    <w:top w:val="single" w:color="auto" w:sz="4" w:space="0"/>
                    <w:left w:val="single" w:color="auto" w:sz="4" w:space="0"/>
                    <w:bottom w:val="single" w:color="auto" w:sz="4" w:space="0"/>
                    <w:right w:val="single" w:color="auto" w:sz="4" w:space="0"/>
                  </w:tcBorders>
                  <w:vAlign w:val="center"/>
                </w:tcPr>
                <w:p>
                  <w:pPr>
                    <w:pStyle w:val="70"/>
                    <w:rPr>
                      <w:color w:val="000000"/>
                    </w:rPr>
                  </w:pPr>
                  <w:r>
                    <w:rPr>
                      <w:rFonts w:hint="eastAsia"/>
                      <w:color w:val="000000"/>
                    </w:rPr>
                    <w:t>本项目作业过程中在施工现场铺设防渗膜，实现原油不落地。</w:t>
                  </w:r>
                </w:p>
              </w:tc>
              <w:tc>
                <w:tcPr>
                  <w:tcW w:w="510" w:type="dxa"/>
                  <w:tcBorders>
                    <w:top w:val="single" w:color="auto" w:sz="4" w:space="0"/>
                    <w:left w:val="single" w:color="auto" w:sz="4" w:space="0"/>
                    <w:bottom w:val="single" w:color="auto" w:sz="4" w:space="0"/>
                    <w:right w:val="single" w:color="auto" w:sz="4" w:space="0"/>
                  </w:tcBorders>
                  <w:vAlign w:val="center"/>
                </w:tcPr>
                <w:p>
                  <w:pPr>
                    <w:pStyle w:val="70"/>
                    <w:rPr>
                      <w:color w:val="000000"/>
                    </w:rPr>
                  </w:pPr>
                  <w:r>
                    <w:rPr>
                      <w:rFonts w:hint="eastAsia"/>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552" w:type="dxa"/>
                  <w:tcBorders>
                    <w:top w:val="single" w:color="auto" w:sz="4" w:space="0"/>
                    <w:left w:val="single" w:color="auto" w:sz="4" w:space="0"/>
                    <w:bottom w:val="single" w:color="auto" w:sz="4" w:space="0"/>
                    <w:right w:val="single" w:color="auto" w:sz="4" w:space="0"/>
                  </w:tcBorders>
                  <w:vAlign w:val="center"/>
                </w:tcPr>
                <w:p>
                  <w:pPr>
                    <w:pStyle w:val="70"/>
                    <w:rPr>
                      <w:color w:val="000000"/>
                    </w:rPr>
                  </w:pPr>
                  <w:r>
                    <w:rPr>
                      <w:rFonts w:hint="eastAsia"/>
                      <w:color w:val="000000"/>
                    </w:rPr>
                    <w:t>（五）对受到油污染的土壤宜采取生物或物化方法进行修复。</w:t>
                  </w:r>
                </w:p>
              </w:tc>
              <w:tc>
                <w:tcPr>
                  <w:tcW w:w="3330" w:type="dxa"/>
                  <w:tcBorders>
                    <w:top w:val="single" w:color="auto" w:sz="4" w:space="0"/>
                    <w:left w:val="single" w:color="auto" w:sz="4" w:space="0"/>
                    <w:bottom w:val="single" w:color="auto" w:sz="4" w:space="0"/>
                    <w:right w:val="single" w:color="auto" w:sz="4" w:space="0"/>
                  </w:tcBorders>
                  <w:vAlign w:val="center"/>
                </w:tcPr>
                <w:p>
                  <w:pPr>
                    <w:pStyle w:val="70"/>
                    <w:rPr>
                      <w:color w:val="000000"/>
                    </w:rPr>
                  </w:pPr>
                  <w:r>
                    <w:rPr>
                      <w:rFonts w:hint="eastAsia"/>
                      <w:color w:val="000000"/>
                    </w:rPr>
                    <w:t>正常工况下土壤不会受到油污染，事故状态下，建设单位启动应急预案处理受污染土壤。</w:t>
                  </w:r>
                </w:p>
              </w:tc>
              <w:tc>
                <w:tcPr>
                  <w:tcW w:w="510" w:type="dxa"/>
                  <w:tcBorders>
                    <w:top w:val="single" w:color="auto" w:sz="4" w:space="0"/>
                    <w:left w:val="single" w:color="auto" w:sz="4" w:space="0"/>
                    <w:bottom w:val="single" w:color="auto" w:sz="4" w:space="0"/>
                    <w:right w:val="single" w:color="auto" w:sz="4" w:space="0"/>
                  </w:tcBorders>
                  <w:vAlign w:val="center"/>
                </w:tcPr>
                <w:p>
                  <w:pPr>
                    <w:pStyle w:val="70"/>
                    <w:rPr>
                      <w:color w:val="000000"/>
                    </w:rPr>
                  </w:pPr>
                  <w:r>
                    <w:rPr>
                      <w:rFonts w:hint="eastAsia"/>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552" w:type="dxa"/>
                  <w:tcBorders>
                    <w:top w:val="single" w:color="auto" w:sz="4" w:space="0"/>
                    <w:left w:val="single" w:color="auto" w:sz="4" w:space="0"/>
                    <w:bottom w:val="single" w:color="auto" w:sz="4" w:space="0"/>
                    <w:right w:val="single" w:color="auto" w:sz="4" w:space="0"/>
                  </w:tcBorders>
                  <w:vAlign w:val="center"/>
                </w:tcPr>
                <w:p>
                  <w:pPr>
                    <w:pStyle w:val="70"/>
                    <w:rPr>
                      <w:color w:val="000000"/>
                    </w:rPr>
                  </w:pPr>
                  <w:r>
                    <w:rPr>
                      <w:rFonts w:hint="eastAsia"/>
                      <w:color w:val="000000"/>
                    </w:rPr>
                    <w:t>五、鼓励研发的新技术</w:t>
                  </w:r>
                </w:p>
              </w:tc>
              <w:tc>
                <w:tcPr>
                  <w:tcW w:w="3330" w:type="dxa"/>
                  <w:tcBorders>
                    <w:top w:val="single" w:color="auto" w:sz="4" w:space="0"/>
                    <w:left w:val="single" w:color="auto" w:sz="4" w:space="0"/>
                    <w:bottom w:val="single" w:color="auto" w:sz="4" w:space="0"/>
                    <w:right w:val="single" w:color="auto" w:sz="4" w:space="0"/>
                  </w:tcBorders>
                  <w:vAlign w:val="center"/>
                </w:tcPr>
                <w:p>
                  <w:pPr>
                    <w:pStyle w:val="70"/>
                    <w:rPr>
                      <w:color w:val="000000"/>
                    </w:rPr>
                  </w:pPr>
                </w:p>
              </w:tc>
              <w:tc>
                <w:tcPr>
                  <w:tcW w:w="510" w:type="dxa"/>
                  <w:tcBorders>
                    <w:top w:val="single" w:color="auto" w:sz="4" w:space="0"/>
                    <w:left w:val="single" w:color="auto" w:sz="4" w:space="0"/>
                    <w:bottom w:val="single" w:color="auto" w:sz="4" w:space="0"/>
                    <w:right w:val="single" w:color="auto" w:sz="4" w:space="0"/>
                  </w:tcBorders>
                  <w:vAlign w:val="center"/>
                </w:tcPr>
                <w:p>
                  <w:pPr>
                    <w:pStyle w:val="70"/>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552" w:type="dxa"/>
                  <w:tcBorders>
                    <w:top w:val="single" w:color="auto" w:sz="4" w:space="0"/>
                    <w:left w:val="single" w:color="auto" w:sz="4" w:space="0"/>
                    <w:bottom w:val="single" w:color="auto" w:sz="4" w:space="0"/>
                    <w:right w:val="single" w:color="auto" w:sz="4" w:space="0"/>
                  </w:tcBorders>
                  <w:vAlign w:val="center"/>
                </w:tcPr>
                <w:p>
                  <w:pPr>
                    <w:pStyle w:val="70"/>
                    <w:rPr>
                      <w:color w:val="000000"/>
                    </w:rPr>
                  </w:pPr>
                  <w:r>
                    <w:rPr>
                      <w:rFonts w:hint="eastAsia"/>
                      <w:color w:val="000000"/>
                    </w:rPr>
                    <w:t>（一）环境友好的油田化学剂、酸化液、压裂液、钻井液，酸化、压裂替代技术，钻井废物的随钻处理技术，提高天然气净化厂硫回收率技术。</w:t>
                  </w:r>
                </w:p>
              </w:tc>
              <w:tc>
                <w:tcPr>
                  <w:tcW w:w="3330" w:type="dxa"/>
                  <w:tcBorders>
                    <w:top w:val="single" w:color="auto" w:sz="4" w:space="0"/>
                    <w:left w:val="single" w:color="auto" w:sz="4" w:space="0"/>
                    <w:bottom w:val="single" w:color="auto" w:sz="4" w:space="0"/>
                    <w:right w:val="single" w:color="auto" w:sz="4" w:space="0"/>
                  </w:tcBorders>
                  <w:vAlign w:val="center"/>
                </w:tcPr>
                <w:p>
                  <w:pPr>
                    <w:pStyle w:val="70"/>
                    <w:rPr>
                      <w:color w:val="000000"/>
                    </w:rPr>
                  </w:pPr>
                  <w:r>
                    <w:rPr>
                      <w:rFonts w:hint="eastAsia" w:hAnsi="宋体"/>
                      <w:color w:val="000000"/>
                      <w:kern w:val="0"/>
                    </w:rPr>
                    <w:t>使用环保型的油田化学剂、钻井液，钻井废物采用泥浆不落地工艺处理，即“随钻随治处理”。</w:t>
                  </w:r>
                </w:p>
              </w:tc>
              <w:tc>
                <w:tcPr>
                  <w:tcW w:w="510" w:type="dxa"/>
                  <w:tcBorders>
                    <w:top w:val="single" w:color="auto" w:sz="4" w:space="0"/>
                    <w:left w:val="single" w:color="auto" w:sz="4" w:space="0"/>
                    <w:bottom w:val="single" w:color="auto" w:sz="4" w:space="0"/>
                    <w:right w:val="single" w:color="auto" w:sz="4" w:space="0"/>
                  </w:tcBorders>
                  <w:vAlign w:val="center"/>
                </w:tcPr>
                <w:p>
                  <w:pPr>
                    <w:pStyle w:val="70"/>
                    <w:rPr>
                      <w:color w:val="000000"/>
                    </w:rPr>
                  </w:pPr>
                  <w:r>
                    <w:rPr>
                      <w:rFonts w:hint="eastAsia"/>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552" w:type="dxa"/>
                  <w:tcBorders>
                    <w:top w:val="single" w:color="auto" w:sz="4" w:space="0"/>
                    <w:left w:val="single" w:color="auto" w:sz="4" w:space="0"/>
                    <w:bottom w:val="single" w:color="auto" w:sz="4" w:space="0"/>
                    <w:right w:val="single" w:color="auto" w:sz="4" w:space="0"/>
                  </w:tcBorders>
                  <w:vAlign w:val="center"/>
                </w:tcPr>
                <w:p>
                  <w:pPr>
                    <w:pStyle w:val="70"/>
                    <w:rPr>
                      <w:color w:val="000000"/>
                    </w:rPr>
                  </w:pPr>
                  <w:r>
                    <w:rPr>
                      <w:rFonts w:hint="eastAsia"/>
                      <w:color w:val="000000"/>
                    </w:rPr>
                    <w:t>（二）二氧化碳驱采油技术，低渗透地层的注水处理技术。</w:t>
                  </w:r>
                </w:p>
              </w:tc>
              <w:tc>
                <w:tcPr>
                  <w:tcW w:w="3330" w:type="dxa"/>
                  <w:tcBorders>
                    <w:top w:val="single" w:color="auto" w:sz="4" w:space="0"/>
                    <w:left w:val="single" w:color="auto" w:sz="4" w:space="0"/>
                    <w:bottom w:val="single" w:color="auto" w:sz="4" w:space="0"/>
                    <w:right w:val="single" w:color="auto" w:sz="4" w:space="0"/>
                  </w:tcBorders>
                  <w:vAlign w:val="center"/>
                </w:tcPr>
                <w:p>
                  <w:pPr>
                    <w:pStyle w:val="70"/>
                    <w:rPr>
                      <w:color w:val="000000"/>
                    </w:rPr>
                  </w:pPr>
                  <w:r>
                    <w:rPr>
                      <w:rFonts w:hint="eastAsia"/>
                      <w:color w:val="000000"/>
                    </w:rPr>
                    <w:t>本项目不涉及二氧化碳驱采油。</w:t>
                  </w:r>
                </w:p>
              </w:tc>
              <w:tc>
                <w:tcPr>
                  <w:tcW w:w="510" w:type="dxa"/>
                  <w:tcBorders>
                    <w:top w:val="single" w:color="auto" w:sz="4" w:space="0"/>
                    <w:left w:val="single" w:color="auto" w:sz="4" w:space="0"/>
                    <w:bottom w:val="single" w:color="auto" w:sz="4" w:space="0"/>
                    <w:right w:val="single" w:color="auto" w:sz="4" w:space="0"/>
                  </w:tcBorders>
                  <w:vAlign w:val="center"/>
                </w:tcPr>
                <w:p>
                  <w:pPr>
                    <w:pStyle w:val="70"/>
                    <w:rPr>
                      <w:color w:val="000000"/>
                    </w:rPr>
                  </w:pPr>
                  <w:r>
                    <w:rPr>
                      <w:rFonts w:hint="eastAsia"/>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552" w:type="dxa"/>
                  <w:tcBorders>
                    <w:top w:val="single" w:color="auto" w:sz="4" w:space="0"/>
                    <w:left w:val="single" w:color="auto" w:sz="4" w:space="0"/>
                    <w:bottom w:val="single" w:color="auto" w:sz="4" w:space="0"/>
                    <w:right w:val="single" w:color="auto" w:sz="4" w:space="0"/>
                  </w:tcBorders>
                  <w:vAlign w:val="center"/>
                </w:tcPr>
                <w:p>
                  <w:pPr>
                    <w:pStyle w:val="70"/>
                    <w:rPr>
                      <w:color w:val="000000"/>
                    </w:rPr>
                  </w:pPr>
                  <w:r>
                    <w:rPr>
                      <w:rFonts w:hint="eastAsia"/>
                      <w:color w:val="000000"/>
                    </w:rPr>
                    <w:t>（三）废弃钻井液、井下作业废液及含油污泥资源化利用和无害化处置技术，石油污染物的快速降解技术，受污染土壤、地下水的修复技术。</w:t>
                  </w:r>
                </w:p>
              </w:tc>
              <w:tc>
                <w:tcPr>
                  <w:tcW w:w="3330" w:type="dxa"/>
                  <w:tcBorders>
                    <w:top w:val="single" w:color="auto" w:sz="4" w:space="0"/>
                    <w:left w:val="single" w:color="auto" w:sz="4" w:space="0"/>
                    <w:bottom w:val="single" w:color="auto" w:sz="4" w:space="0"/>
                    <w:right w:val="single" w:color="auto" w:sz="4" w:space="0"/>
                  </w:tcBorders>
                  <w:vAlign w:val="center"/>
                </w:tcPr>
                <w:p>
                  <w:pPr>
                    <w:pStyle w:val="70"/>
                    <w:rPr>
                      <w:color w:val="000000"/>
                    </w:rPr>
                  </w:pPr>
                  <w:r>
                    <w:rPr>
                      <w:rFonts w:hint="eastAsia"/>
                      <w:color w:val="000000"/>
                    </w:rPr>
                    <w:t>废弃钻井液采用资源化利用和无害化处置技术。</w:t>
                  </w:r>
                </w:p>
              </w:tc>
              <w:tc>
                <w:tcPr>
                  <w:tcW w:w="510" w:type="dxa"/>
                  <w:tcBorders>
                    <w:top w:val="single" w:color="auto" w:sz="4" w:space="0"/>
                    <w:left w:val="single" w:color="auto" w:sz="4" w:space="0"/>
                    <w:bottom w:val="single" w:color="auto" w:sz="4" w:space="0"/>
                    <w:right w:val="single" w:color="auto" w:sz="4" w:space="0"/>
                  </w:tcBorders>
                  <w:vAlign w:val="center"/>
                </w:tcPr>
                <w:p>
                  <w:pPr>
                    <w:pStyle w:val="70"/>
                    <w:rPr>
                      <w:color w:val="000000"/>
                    </w:rPr>
                  </w:pPr>
                  <w:r>
                    <w:rPr>
                      <w:rFonts w:hint="eastAsia"/>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552" w:type="dxa"/>
                  <w:tcBorders>
                    <w:top w:val="single" w:color="auto" w:sz="4" w:space="0"/>
                    <w:left w:val="single" w:color="auto" w:sz="4" w:space="0"/>
                    <w:bottom w:val="single" w:color="auto" w:sz="4" w:space="0"/>
                    <w:right w:val="single" w:color="auto" w:sz="4" w:space="0"/>
                  </w:tcBorders>
                  <w:vAlign w:val="center"/>
                </w:tcPr>
                <w:p>
                  <w:pPr>
                    <w:pStyle w:val="70"/>
                    <w:rPr>
                      <w:color w:val="000000"/>
                    </w:rPr>
                  </w:pPr>
                  <w:r>
                    <w:rPr>
                      <w:rFonts w:hint="eastAsia"/>
                      <w:color w:val="000000"/>
                    </w:rPr>
                    <w:t>六、运行管理与风险防范</w:t>
                  </w:r>
                </w:p>
              </w:tc>
              <w:tc>
                <w:tcPr>
                  <w:tcW w:w="3330" w:type="dxa"/>
                  <w:tcBorders>
                    <w:top w:val="single" w:color="auto" w:sz="4" w:space="0"/>
                    <w:left w:val="single" w:color="auto" w:sz="4" w:space="0"/>
                    <w:bottom w:val="single" w:color="auto" w:sz="4" w:space="0"/>
                    <w:right w:val="single" w:color="auto" w:sz="4" w:space="0"/>
                  </w:tcBorders>
                  <w:vAlign w:val="center"/>
                </w:tcPr>
                <w:p>
                  <w:pPr>
                    <w:pStyle w:val="70"/>
                    <w:rPr>
                      <w:color w:val="000000"/>
                    </w:rPr>
                  </w:pPr>
                </w:p>
              </w:tc>
              <w:tc>
                <w:tcPr>
                  <w:tcW w:w="510" w:type="dxa"/>
                  <w:tcBorders>
                    <w:top w:val="single" w:color="auto" w:sz="4" w:space="0"/>
                    <w:left w:val="single" w:color="auto" w:sz="4" w:space="0"/>
                    <w:bottom w:val="single" w:color="auto" w:sz="4" w:space="0"/>
                    <w:right w:val="single" w:color="auto" w:sz="4" w:space="0"/>
                  </w:tcBorders>
                  <w:vAlign w:val="center"/>
                </w:tcPr>
                <w:p>
                  <w:pPr>
                    <w:pStyle w:val="70"/>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552" w:type="dxa"/>
                  <w:tcBorders>
                    <w:top w:val="single" w:color="auto" w:sz="4" w:space="0"/>
                    <w:left w:val="single" w:color="auto" w:sz="4" w:space="0"/>
                    <w:bottom w:val="single" w:color="auto" w:sz="4" w:space="0"/>
                    <w:right w:val="single" w:color="auto" w:sz="4" w:space="0"/>
                  </w:tcBorders>
                  <w:vAlign w:val="center"/>
                </w:tcPr>
                <w:p>
                  <w:pPr>
                    <w:pStyle w:val="70"/>
                    <w:rPr>
                      <w:color w:val="000000"/>
                    </w:rPr>
                  </w:pPr>
                  <w:r>
                    <w:rPr>
                      <w:rFonts w:hint="eastAsia"/>
                      <w:color w:val="000000"/>
                    </w:rPr>
                    <w:t>（一）油气田企业应制定环境保护管理规定，建立并运行健康、安全与环境管理体系。</w:t>
                  </w:r>
                </w:p>
              </w:tc>
              <w:tc>
                <w:tcPr>
                  <w:tcW w:w="3330" w:type="dxa"/>
                  <w:tcBorders>
                    <w:top w:val="single" w:color="auto" w:sz="4" w:space="0"/>
                    <w:left w:val="single" w:color="auto" w:sz="4" w:space="0"/>
                    <w:bottom w:val="single" w:color="auto" w:sz="4" w:space="0"/>
                    <w:right w:val="single" w:color="auto" w:sz="4" w:space="0"/>
                  </w:tcBorders>
                  <w:vAlign w:val="center"/>
                </w:tcPr>
                <w:p>
                  <w:pPr>
                    <w:pStyle w:val="70"/>
                    <w:rPr>
                      <w:color w:val="000000"/>
                    </w:rPr>
                  </w:pPr>
                  <w:r>
                    <w:rPr>
                      <w:rFonts w:hint="eastAsia"/>
                      <w:color w:val="000000"/>
                    </w:rPr>
                    <w:t>制定了环境保护管理规定，建立并运行了健康、安全与环境管理体系。</w:t>
                  </w:r>
                </w:p>
              </w:tc>
              <w:tc>
                <w:tcPr>
                  <w:tcW w:w="510" w:type="dxa"/>
                  <w:tcBorders>
                    <w:top w:val="single" w:color="auto" w:sz="4" w:space="0"/>
                    <w:left w:val="single" w:color="auto" w:sz="4" w:space="0"/>
                    <w:bottom w:val="single" w:color="auto" w:sz="4" w:space="0"/>
                    <w:right w:val="single" w:color="auto" w:sz="4" w:space="0"/>
                  </w:tcBorders>
                  <w:vAlign w:val="center"/>
                </w:tcPr>
                <w:p>
                  <w:pPr>
                    <w:pStyle w:val="70"/>
                    <w:rPr>
                      <w:color w:val="000000"/>
                    </w:rPr>
                  </w:pPr>
                  <w:r>
                    <w:rPr>
                      <w:rFonts w:hint="eastAsia"/>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552" w:type="dxa"/>
                  <w:tcBorders>
                    <w:top w:val="single" w:color="auto" w:sz="4" w:space="0"/>
                    <w:left w:val="single" w:color="auto" w:sz="4" w:space="0"/>
                    <w:bottom w:val="single" w:color="auto" w:sz="4" w:space="0"/>
                    <w:right w:val="single" w:color="auto" w:sz="4" w:space="0"/>
                  </w:tcBorders>
                  <w:vAlign w:val="center"/>
                </w:tcPr>
                <w:p>
                  <w:pPr>
                    <w:pStyle w:val="70"/>
                    <w:rPr>
                      <w:color w:val="000000"/>
                    </w:rPr>
                  </w:pPr>
                  <w:r>
                    <w:rPr>
                      <w:rFonts w:hint="eastAsia"/>
                      <w:color w:val="000000"/>
                    </w:rPr>
                    <w:t>（二）加强油气田建设、勘探开发过程的环境监督管理。油气田建设过程应开展工程环境监理。</w:t>
                  </w:r>
                </w:p>
              </w:tc>
              <w:tc>
                <w:tcPr>
                  <w:tcW w:w="3330" w:type="dxa"/>
                  <w:tcBorders>
                    <w:top w:val="single" w:color="auto" w:sz="4" w:space="0"/>
                    <w:left w:val="single" w:color="auto" w:sz="4" w:space="0"/>
                    <w:bottom w:val="single" w:color="auto" w:sz="4" w:space="0"/>
                    <w:right w:val="single" w:color="auto" w:sz="4" w:space="0"/>
                  </w:tcBorders>
                  <w:vAlign w:val="center"/>
                </w:tcPr>
                <w:p>
                  <w:pPr>
                    <w:pStyle w:val="70"/>
                    <w:rPr>
                      <w:color w:val="000000"/>
                    </w:rPr>
                  </w:pPr>
                  <w:r>
                    <w:rPr>
                      <w:rFonts w:hint="eastAsia"/>
                      <w:color w:val="000000"/>
                    </w:rPr>
                    <w:t>建设单位拟加强油气田建设、勘探开发过程的环境监督管理。</w:t>
                  </w:r>
                </w:p>
              </w:tc>
              <w:tc>
                <w:tcPr>
                  <w:tcW w:w="510" w:type="dxa"/>
                  <w:tcBorders>
                    <w:top w:val="single" w:color="auto" w:sz="4" w:space="0"/>
                    <w:left w:val="single" w:color="auto" w:sz="4" w:space="0"/>
                    <w:bottom w:val="single" w:color="auto" w:sz="4" w:space="0"/>
                    <w:right w:val="single" w:color="auto" w:sz="4" w:space="0"/>
                  </w:tcBorders>
                  <w:vAlign w:val="center"/>
                </w:tcPr>
                <w:p>
                  <w:pPr>
                    <w:pStyle w:val="70"/>
                    <w:rPr>
                      <w:color w:val="000000"/>
                    </w:rPr>
                  </w:pPr>
                  <w:r>
                    <w:rPr>
                      <w:rFonts w:hint="eastAsia"/>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552" w:type="dxa"/>
                  <w:tcBorders>
                    <w:top w:val="single" w:color="auto" w:sz="4" w:space="0"/>
                    <w:left w:val="single" w:color="auto" w:sz="4" w:space="0"/>
                    <w:bottom w:val="single" w:color="auto" w:sz="4" w:space="0"/>
                    <w:right w:val="single" w:color="auto" w:sz="4" w:space="0"/>
                  </w:tcBorders>
                  <w:vAlign w:val="center"/>
                </w:tcPr>
                <w:p>
                  <w:pPr>
                    <w:pStyle w:val="70"/>
                    <w:rPr>
                      <w:color w:val="000000"/>
                    </w:rPr>
                  </w:pPr>
                  <w:r>
                    <w:rPr>
                      <w:rFonts w:hint="eastAsia"/>
                      <w:color w:val="000000"/>
                    </w:rPr>
                    <w:t>（三）在开发过程中，企业应加强油气井套管的检测和维护，防止油气泄漏污染地下水。</w:t>
                  </w:r>
                </w:p>
              </w:tc>
              <w:tc>
                <w:tcPr>
                  <w:tcW w:w="3330" w:type="dxa"/>
                  <w:tcBorders>
                    <w:top w:val="single" w:color="auto" w:sz="4" w:space="0"/>
                    <w:left w:val="single" w:color="auto" w:sz="4" w:space="0"/>
                    <w:bottom w:val="single" w:color="auto" w:sz="4" w:space="0"/>
                    <w:right w:val="single" w:color="auto" w:sz="4" w:space="0"/>
                  </w:tcBorders>
                  <w:vAlign w:val="center"/>
                </w:tcPr>
                <w:p>
                  <w:pPr>
                    <w:pStyle w:val="70"/>
                    <w:rPr>
                      <w:color w:val="000000"/>
                    </w:rPr>
                  </w:pPr>
                  <w:r>
                    <w:rPr>
                      <w:rFonts w:hint="eastAsia"/>
                      <w:color w:val="000000"/>
                    </w:rPr>
                    <w:t>本项目为勘探井，不属于开发井。</w:t>
                  </w:r>
                </w:p>
              </w:tc>
              <w:tc>
                <w:tcPr>
                  <w:tcW w:w="510" w:type="dxa"/>
                  <w:tcBorders>
                    <w:top w:val="single" w:color="auto" w:sz="4" w:space="0"/>
                    <w:left w:val="single" w:color="auto" w:sz="4" w:space="0"/>
                    <w:bottom w:val="single" w:color="auto" w:sz="4" w:space="0"/>
                    <w:right w:val="single" w:color="auto" w:sz="4" w:space="0"/>
                  </w:tcBorders>
                  <w:vAlign w:val="center"/>
                </w:tcPr>
                <w:p>
                  <w:pPr>
                    <w:pStyle w:val="70"/>
                    <w:rPr>
                      <w:color w:val="000000"/>
                    </w:rPr>
                  </w:pPr>
                  <w:r>
                    <w:rPr>
                      <w:rFonts w:hint="eastAsia"/>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552" w:type="dxa"/>
                  <w:tcBorders>
                    <w:top w:val="single" w:color="auto" w:sz="4" w:space="0"/>
                    <w:left w:val="single" w:color="auto" w:sz="4" w:space="0"/>
                    <w:bottom w:val="single" w:color="auto" w:sz="4" w:space="0"/>
                    <w:right w:val="single" w:color="auto" w:sz="4" w:space="0"/>
                  </w:tcBorders>
                  <w:vAlign w:val="center"/>
                </w:tcPr>
                <w:p>
                  <w:pPr>
                    <w:pStyle w:val="70"/>
                    <w:rPr>
                      <w:color w:val="000000"/>
                    </w:rPr>
                  </w:pPr>
                  <w:r>
                    <w:rPr>
                      <w:rFonts w:hint="eastAsia"/>
                      <w:color w:val="000000"/>
                    </w:rPr>
                    <w:t>（四）油气田企业应建立环境保护人员培训制度，环境监测人员、统计人员、污染治理设施操作人员应经培训合格后上岗。</w:t>
                  </w:r>
                </w:p>
              </w:tc>
              <w:tc>
                <w:tcPr>
                  <w:tcW w:w="3330" w:type="dxa"/>
                  <w:tcBorders>
                    <w:top w:val="single" w:color="auto" w:sz="4" w:space="0"/>
                    <w:left w:val="single" w:color="auto" w:sz="4" w:space="0"/>
                    <w:bottom w:val="single" w:color="auto" w:sz="4" w:space="0"/>
                    <w:right w:val="single" w:color="auto" w:sz="4" w:space="0"/>
                  </w:tcBorders>
                  <w:vAlign w:val="center"/>
                </w:tcPr>
                <w:p>
                  <w:pPr>
                    <w:pStyle w:val="70"/>
                    <w:rPr>
                      <w:color w:val="000000"/>
                    </w:rPr>
                  </w:pPr>
                  <w:r>
                    <w:rPr>
                      <w:rFonts w:hint="eastAsia"/>
                      <w:color w:val="000000"/>
                    </w:rPr>
                    <w:t>建立了环境保护人员培训制度，环境监测人员、统计人员、污染治理设施操作人员应经培训合格后上岗。</w:t>
                  </w:r>
                </w:p>
              </w:tc>
              <w:tc>
                <w:tcPr>
                  <w:tcW w:w="510" w:type="dxa"/>
                  <w:tcBorders>
                    <w:top w:val="single" w:color="auto" w:sz="4" w:space="0"/>
                    <w:left w:val="single" w:color="auto" w:sz="4" w:space="0"/>
                    <w:bottom w:val="single" w:color="auto" w:sz="4" w:space="0"/>
                    <w:right w:val="single" w:color="auto" w:sz="4" w:space="0"/>
                  </w:tcBorders>
                  <w:vAlign w:val="center"/>
                </w:tcPr>
                <w:p>
                  <w:pPr>
                    <w:pStyle w:val="70"/>
                    <w:rPr>
                      <w:color w:val="000000"/>
                    </w:rPr>
                  </w:pPr>
                  <w:r>
                    <w:rPr>
                      <w:rFonts w:hint="eastAsia"/>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552" w:type="dxa"/>
                  <w:tcBorders>
                    <w:top w:val="single" w:color="auto" w:sz="4" w:space="0"/>
                    <w:left w:val="single" w:color="auto" w:sz="4" w:space="0"/>
                    <w:bottom w:val="single" w:color="auto" w:sz="4" w:space="0"/>
                    <w:right w:val="single" w:color="auto" w:sz="4" w:space="0"/>
                  </w:tcBorders>
                  <w:vAlign w:val="center"/>
                </w:tcPr>
                <w:p>
                  <w:pPr>
                    <w:pStyle w:val="70"/>
                    <w:rPr>
                      <w:color w:val="000000"/>
                    </w:rPr>
                  </w:pPr>
                  <w:r>
                    <w:rPr>
                      <w:rFonts w:hint="eastAsia"/>
                      <w:color w:val="000000"/>
                    </w:rPr>
                    <w:t>（五）油气田企业应对勘探开发过程进行环境风险因素识别，制定突发环境事件应急预案并定期进行演练。应开展特征污染物监测工作，采取环境风险防范和应急措施，防止发生由突发性油气泄漏产生的环境事故。</w:t>
                  </w:r>
                </w:p>
              </w:tc>
              <w:tc>
                <w:tcPr>
                  <w:tcW w:w="3330" w:type="dxa"/>
                  <w:tcBorders>
                    <w:top w:val="single" w:color="auto" w:sz="4" w:space="0"/>
                    <w:left w:val="single" w:color="auto" w:sz="4" w:space="0"/>
                    <w:bottom w:val="single" w:color="auto" w:sz="4" w:space="0"/>
                    <w:right w:val="single" w:color="auto" w:sz="4" w:space="0"/>
                  </w:tcBorders>
                  <w:vAlign w:val="center"/>
                </w:tcPr>
                <w:p>
                  <w:pPr>
                    <w:pStyle w:val="70"/>
                    <w:rPr>
                      <w:color w:val="000000"/>
                    </w:rPr>
                  </w:pPr>
                  <w:r>
                    <w:rPr>
                      <w:rFonts w:hint="eastAsia"/>
                      <w:color w:val="000000"/>
                    </w:rPr>
                    <w:t>对勘探开发过程进行了环境风险因素识别，制定突发环境事件应急预案并定期进行演练。采取环境风险防范和应急措施，防止发生由突发性油气泄漏产生的环境事故。</w:t>
                  </w:r>
                </w:p>
              </w:tc>
              <w:tc>
                <w:tcPr>
                  <w:tcW w:w="510" w:type="dxa"/>
                  <w:tcBorders>
                    <w:top w:val="single" w:color="auto" w:sz="4" w:space="0"/>
                    <w:left w:val="single" w:color="auto" w:sz="4" w:space="0"/>
                    <w:bottom w:val="single" w:color="auto" w:sz="4" w:space="0"/>
                    <w:right w:val="single" w:color="auto" w:sz="4" w:space="0"/>
                  </w:tcBorders>
                  <w:vAlign w:val="center"/>
                </w:tcPr>
                <w:p>
                  <w:pPr>
                    <w:pStyle w:val="70"/>
                    <w:rPr>
                      <w:color w:val="000000"/>
                    </w:rPr>
                  </w:pPr>
                  <w:r>
                    <w:rPr>
                      <w:rFonts w:hint="eastAsia"/>
                      <w:color w:val="000000"/>
                    </w:rPr>
                    <w:t>符合</w:t>
                  </w:r>
                </w:p>
              </w:tc>
            </w:tr>
          </w:tbl>
          <w:p>
            <w:pPr>
              <w:rPr>
                <w:color w:val="000000"/>
              </w:rPr>
            </w:pPr>
          </w:p>
          <w:p>
            <w:pPr>
              <w:pStyle w:val="72"/>
              <w:ind w:firstLine="420"/>
              <w:rPr>
                <w:color w:val="000000"/>
              </w:rPr>
            </w:pPr>
            <w:r>
              <w:rPr>
                <w:rFonts w:hint="eastAsia"/>
                <w:color w:val="000000"/>
              </w:rPr>
              <w:t>综上所述，本项目建设符合《石油天然气开采业污染防治技术政策》（2012年3月7日）的相关规定。</w:t>
            </w:r>
          </w:p>
        </w:tc>
      </w:tr>
    </w:tbl>
    <w:p>
      <w:pPr>
        <w:spacing w:line="360" w:lineRule="auto"/>
        <w:outlineLvl w:val="0"/>
        <w:rPr>
          <w:rFonts w:eastAsia="黑体"/>
          <w:color w:val="000000"/>
          <w:sz w:val="30"/>
        </w:rPr>
        <w:sectPr>
          <w:footerReference r:id="rId5" w:type="default"/>
          <w:pgSz w:w="11906" w:h="16838"/>
          <w:pgMar w:top="1701" w:right="1531" w:bottom="1701" w:left="1531" w:header="851" w:footer="1077" w:gutter="0"/>
          <w:pgNumType w:start="1"/>
          <w:cols w:space="720" w:num="1"/>
          <w:docGrid w:linePitch="312" w:charSpace="0"/>
        </w:sectPr>
      </w:pPr>
    </w:p>
    <w:p>
      <w:pPr>
        <w:pStyle w:val="26"/>
        <w:adjustRightInd w:val="0"/>
        <w:snapToGrid w:val="0"/>
        <w:spacing w:before="0" w:beforeAutospacing="0" w:after="0" w:afterAutospacing="0"/>
        <w:jc w:val="center"/>
        <w:outlineLvl w:val="0"/>
        <w:rPr>
          <w:rFonts w:ascii="黑体" w:hAnsi="黑体" w:eastAsia="黑体"/>
          <w:snapToGrid w:val="0"/>
          <w:color w:val="000000"/>
          <w:sz w:val="30"/>
          <w:szCs w:val="30"/>
        </w:rPr>
      </w:pPr>
      <w:bookmarkStart w:id="9" w:name="_Toc110934645"/>
      <w:r>
        <w:rPr>
          <w:rFonts w:hint="eastAsia" w:ascii="黑体" w:hAnsi="黑体" w:eastAsia="黑体"/>
          <w:snapToGrid w:val="0"/>
          <w:color w:val="000000"/>
          <w:sz w:val="30"/>
          <w:szCs w:val="30"/>
        </w:rPr>
        <w:t>二、建设内容</w:t>
      </w:r>
      <w:bookmarkEnd w:id="9"/>
    </w:p>
    <w:tbl>
      <w:tblPr>
        <w:tblStyle w:val="29"/>
        <w:tblW w:w="8286"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81"/>
        <w:gridCol w:w="790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jc w:val="center"/>
        </w:trPr>
        <w:tc>
          <w:tcPr>
            <w:tcW w:w="381" w:type="dxa"/>
            <w:vAlign w:val="center"/>
          </w:tcPr>
          <w:p>
            <w:pPr>
              <w:adjustRightInd w:val="0"/>
              <w:snapToGrid w:val="0"/>
              <w:jc w:val="center"/>
              <w:rPr>
                <w:rFonts w:ascii="宋体" w:hAnsi="宋体" w:cs="宋体"/>
                <w:color w:val="000000"/>
                <w:kern w:val="0"/>
                <w:szCs w:val="21"/>
              </w:rPr>
            </w:pPr>
            <w:r>
              <w:rPr>
                <w:rFonts w:hint="eastAsia" w:ascii="宋体" w:hAnsi="宋体" w:cs="宋体"/>
                <w:color w:val="000000"/>
                <w:kern w:val="0"/>
                <w:szCs w:val="21"/>
              </w:rPr>
              <w:t>地理位置</w:t>
            </w:r>
          </w:p>
        </w:tc>
        <w:tc>
          <w:tcPr>
            <w:tcW w:w="7905" w:type="dxa"/>
            <w:vAlign w:val="center"/>
          </w:tcPr>
          <w:p>
            <w:pPr>
              <w:pStyle w:val="72"/>
              <w:ind w:firstLine="420"/>
              <w:rPr>
                <w:color w:val="000000"/>
              </w:rPr>
            </w:pPr>
            <w:r>
              <w:rPr>
                <w:rFonts w:hint="eastAsia"/>
                <w:color w:val="000000"/>
              </w:rPr>
              <w:t>拟建项目分别位于</w:t>
            </w:r>
            <w:r>
              <w:rPr>
                <w:rFonts w:hint="eastAsia"/>
              </w:rPr>
              <w:t>新疆维吾尔自治区昌吉回族自治州阜康市郑家村东北侧1375m、新疆维吾尔自治区昌吉回族自治州吉木萨尔县乏马塘村西北侧372m、西台子村西北侧240m</w:t>
            </w:r>
            <w:r>
              <w:rPr>
                <w:rFonts w:hint="eastAsia"/>
                <w:color w:val="000000"/>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27" w:hRule="atLeast"/>
          <w:jc w:val="center"/>
        </w:trPr>
        <w:tc>
          <w:tcPr>
            <w:tcW w:w="381" w:type="dxa"/>
            <w:vAlign w:val="center"/>
          </w:tcPr>
          <w:p>
            <w:pPr>
              <w:adjustRightInd w:val="0"/>
              <w:snapToGrid w:val="0"/>
              <w:jc w:val="center"/>
              <w:rPr>
                <w:rFonts w:ascii="宋体" w:hAnsi="宋体" w:cs="宋体"/>
                <w:color w:val="000000"/>
                <w:kern w:val="0"/>
                <w:szCs w:val="21"/>
              </w:rPr>
            </w:pPr>
            <w:r>
              <w:rPr>
                <w:rFonts w:hint="eastAsia" w:ascii="宋体" w:hAnsi="宋体" w:cs="宋体"/>
                <w:color w:val="000000"/>
                <w:kern w:val="0"/>
                <w:szCs w:val="21"/>
              </w:rPr>
              <w:t>项目组成及规模</w:t>
            </w:r>
          </w:p>
        </w:tc>
        <w:tc>
          <w:tcPr>
            <w:tcW w:w="7905" w:type="dxa"/>
            <w:vAlign w:val="center"/>
          </w:tcPr>
          <w:p>
            <w:pPr>
              <w:pStyle w:val="110"/>
              <w:rPr>
                <w:color w:val="000000"/>
              </w:rPr>
            </w:pPr>
            <w:r>
              <w:rPr>
                <w:rFonts w:hint="eastAsia"/>
                <w:color w:val="000000"/>
              </w:rPr>
              <w:t>1、项目背景</w:t>
            </w:r>
          </w:p>
          <w:p>
            <w:pPr>
              <w:pStyle w:val="110"/>
              <w:rPr>
                <w:color w:val="000000"/>
              </w:rPr>
            </w:pPr>
            <w:r>
              <w:rPr>
                <w:rFonts w:hint="eastAsia"/>
              </w:rPr>
              <w:t>为了解大龙口浅1、2、3井区二叠系含油气情况</w:t>
            </w:r>
            <w:r>
              <w:rPr>
                <w:rFonts w:hint="eastAsia"/>
                <w:color w:val="000000"/>
                <w:szCs w:val="21"/>
              </w:rPr>
              <w:t>，中石化新疆新</w:t>
            </w:r>
            <w:r>
              <w:rPr>
                <w:rFonts w:hint="eastAsia"/>
                <w:color w:val="000000"/>
              </w:rPr>
              <w:t>春石油开发有限责任公司拟进行</w:t>
            </w:r>
            <w:r>
              <w:rPr>
                <w:rFonts w:hint="eastAsia"/>
              </w:rPr>
              <w:t>大龙口-浅1、大龙口-浅2、大龙口-浅3等3口探井</w:t>
            </w:r>
            <w:r>
              <w:rPr>
                <w:rFonts w:hint="eastAsia"/>
                <w:color w:val="000000"/>
              </w:rPr>
              <w:t>的钻探工作。</w:t>
            </w:r>
            <w:r>
              <w:rPr>
                <w:rFonts w:hint="eastAsia"/>
              </w:rPr>
              <w:t>大龙口-浅1、大龙口-浅2、大龙口-浅3等3口探井</w:t>
            </w:r>
            <w:r>
              <w:rPr>
                <w:rFonts w:hint="eastAsia"/>
                <w:color w:val="000000"/>
              </w:rPr>
              <w:t>主要是对油层进行勘探，从而获取相关技术参数，在完成取心等任务后，建设单位将对</w:t>
            </w:r>
            <w:r>
              <w:rPr>
                <w:snapToGrid w:val="0"/>
                <w:color w:val="000000"/>
              </w:rPr>
              <w:t>其</w:t>
            </w:r>
            <w:r>
              <w:rPr>
                <w:rFonts w:hint="eastAsia"/>
                <w:color w:val="000000"/>
              </w:rPr>
              <w:t>进行封井。</w:t>
            </w:r>
          </w:p>
          <w:p>
            <w:pPr>
              <w:pStyle w:val="110"/>
              <w:rPr>
                <w:color w:val="000000"/>
              </w:rPr>
            </w:pPr>
            <w:r>
              <w:rPr>
                <w:color w:val="000000"/>
              </w:rPr>
              <w:t>2</w:t>
            </w:r>
            <w:r>
              <w:rPr>
                <w:rFonts w:hint="eastAsia"/>
                <w:color w:val="000000"/>
              </w:rPr>
              <w:t>、项目组成</w:t>
            </w:r>
          </w:p>
          <w:p>
            <w:pPr>
              <w:pStyle w:val="110"/>
              <w:rPr>
                <w:color w:val="000000"/>
              </w:rPr>
            </w:pPr>
            <w:r>
              <w:rPr>
                <w:rFonts w:hint="eastAsia"/>
                <w:color w:val="000000"/>
              </w:rPr>
              <w:t xml:space="preserve">本项目工程组成见表 </w:t>
            </w:r>
            <w:r>
              <w:rPr>
                <w:color w:val="000000"/>
              </w:rPr>
              <w:t>6</w:t>
            </w:r>
            <w:r>
              <w:rPr>
                <w:rFonts w:hint="eastAsia"/>
                <w:color w:val="000000"/>
              </w:rPr>
              <w:t>。</w:t>
            </w:r>
          </w:p>
          <w:p>
            <w:pPr>
              <w:pStyle w:val="97"/>
              <w:spacing w:before="120" w:beforeLines="50" w:line="360" w:lineRule="auto"/>
              <w:rPr>
                <w:snapToGrid w:val="0"/>
                <w:color w:val="000000"/>
                <w:kern w:val="0"/>
                <w:szCs w:val="21"/>
              </w:rPr>
            </w:pPr>
            <w:bookmarkStart w:id="10" w:name="_Ref38542094"/>
            <w:r>
              <w:rPr>
                <w:rFonts w:hint="eastAsia"/>
                <w:color w:val="000000"/>
              </w:rPr>
              <w:t xml:space="preserve">表 </w:t>
            </w:r>
            <w:r>
              <w:rPr>
                <w:color w:val="000000"/>
              </w:rPr>
              <w:t>6</w:t>
            </w:r>
            <w:bookmarkEnd w:id="10"/>
            <w:r>
              <w:rPr>
                <w:color w:val="000000"/>
              </w:rPr>
              <w:t xml:space="preserve">  </w:t>
            </w:r>
            <w:r>
              <w:rPr>
                <w:rFonts w:hint="eastAsia"/>
                <w:snapToGrid w:val="0"/>
                <w:color w:val="000000"/>
              </w:rPr>
              <w:t>项目</w:t>
            </w:r>
            <w:r>
              <w:rPr>
                <w:snapToGrid w:val="0"/>
                <w:color w:val="000000"/>
              </w:rPr>
              <w:t>组成表</w:t>
            </w:r>
          </w:p>
          <w:tbl>
            <w:tblPr>
              <w:tblStyle w:val="29"/>
              <w:tblW w:w="76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4"/>
              <w:gridCol w:w="502"/>
              <w:gridCol w:w="1004"/>
              <w:gridCol w:w="56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504" w:type="dxa"/>
                  <w:shd w:val="clear" w:color="auto" w:fill="auto"/>
                  <w:vAlign w:val="center"/>
                </w:tcPr>
                <w:p>
                  <w:pPr>
                    <w:pStyle w:val="70"/>
                    <w:rPr>
                      <w:snapToGrid w:val="0"/>
                      <w:color w:val="000000"/>
                    </w:rPr>
                  </w:pPr>
                  <w:r>
                    <w:rPr>
                      <w:rFonts w:hint="eastAsia"/>
                      <w:snapToGrid w:val="0"/>
                      <w:color w:val="000000"/>
                    </w:rPr>
                    <w:t>项目</w:t>
                  </w:r>
                  <w:r>
                    <w:rPr>
                      <w:snapToGrid w:val="0"/>
                      <w:color w:val="000000"/>
                    </w:rPr>
                    <w:t>分类</w:t>
                  </w:r>
                </w:p>
              </w:tc>
              <w:tc>
                <w:tcPr>
                  <w:tcW w:w="1506" w:type="dxa"/>
                  <w:gridSpan w:val="2"/>
                  <w:shd w:val="clear" w:color="auto" w:fill="auto"/>
                  <w:vAlign w:val="center"/>
                </w:tcPr>
                <w:p>
                  <w:pPr>
                    <w:pStyle w:val="70"/>
                    <w:rPr>
                      <w:snapToGrid w:val="0"/>
                      <w:color w:val="000000"/>
                    </w:rPr>
                  </w:pPr>
                  <w:r>
                    <w:rPr>
                      <w:rFonts w:hint="eastAsia"/>
                      <w:snapToGrid w:val="0"/>
                      <w:color w:val="000000"/>
                    </w:rPr>
                    <w:t>项目</w:t>
                  </w:r>
                  <w:r>
                    <w:rPr>
                      <w:snapToGrid w:val="0"/>
                      <w:color w:val="000000"/>
                    </w:rPr>
                    <w:t>组成</w:t>
                  </w:r>
                </w:p>
              </w:tc>
              <w:tc>
                <w:tcPr>
                  <w:tcW w:w="5669" w:type="dxa"/>
                  <w:shd w:val="clear" w:color="auto" w:fill="auto"/>
                  <w:vAlign w:val="center"/>
                </w:tcPr>
                <w:p>
                  <w:pPr>
                    <w:pStyle w:val="70"/>
                    <w:rPr>
                      <w:snapToGrid w:val="0"/>
                      <w:color w:val="000000"/>
                    </w:rPr>
                  </w:pPr>
                  <w:r>
                    <w:rPr>
                      <w:rFonts w:hint="eastAsia"/>
                      <w:snapToGrid w:val="0"/>
                      <w:color w:val="00000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504" w:type="dxa"/>
                  <w:vMerge w:val="restart"/>
                  <w:shd w:val="clear" w:color="auto" w:fill="auto"/>
                  <w:vAlign w:val="center"/>
                </w:tcPr>
                <w:p>
                  <w:pPr>
                    <w:pStyle w:val="70"/>
                    <w:rPr>
                      <w:snapToGrid w:val="0"/>
                      <w:color w:val="000000"/>
                    </w:rPr>
                  </w:pPr>
                  <w:r>
                    <w:rPr>
                      <w:rFonts w:hint="eastAsia"/>
                      <w:snapToGrid w:val="0"/>
                      <w:color w:val="000000"/>
                    </w:rPr>
                    <w:t>主体工程</w:t>
                  </w:r>
                </w:p>
              </w:tc>
              <w:tc>
                <w:tcPr>
                  <w:tcW w:w="1506" w:type="dxa"/>
                  <w:gridSpan w:val="2"/>
                  <w:shd w:val="clear" w:color="auto" w:fill="auto"/>
                  <w:vAlign w:val="center"/>
                </w:tcPr>
                <w:p>
                  <w:pPr>
                    <w:pStyle w:val="70"/>
                    <w:rPr>
                      <w:snapToGrid w:val="0"/>
                      <w:color w:val="000000"/>
                    </w:rPr>
                  </w:pPr>
                  <w:r>
                    <w:rPr>
                      <w:rFonts w:hint="eastAsia"/>
                      <w:snapToGrid w:val="0"/>
                      <w:color w:val="000000"/>
                    </w:rPr>
                    <w:t>井场</w:t>
                  </w:r>
                </w:p>
              </w:tc>
              <w:tc>
                <w:tcPr>
                  <w:tcW w:w="5669" w:type="dxa"/>
                  <w:shd w:val="clear" w:color="auto" w:fill="auto"/>
                  <w:vAlign w:val="center"/>
                </w:tcPr>
                <w:p>
                  <w:pPr>
                    <w:pStyle w:val="70"/>
                    <w:rPr>
                      <w:snapToGrid w:val="0"/>
                      <w:color w:val="000000"/>
                    </w:rPr>
                  </w:pPr>
                  <w:r>
                    <w:rPr>
                      <w:rFonts w:hint="eastAsia"/>
                      <w:snapToGrid w:val="0"/>
                      <w:color w:val="000000"/>
                    </w:rPr>
                    <w:t>新钻</w:t>
                  </w:r>
                  <w:r>
                    <w:rPr>
                      <w:rFonts w:hint="eastAsia"/>
                    </w:rPr>
                    <w:t>大龙口-浅1、大龙口-浅2、大龙口-浅3等3口探井</w:t>
                  </w:r>
                  <w:r>
                    <w:rPr>
                      <w:snapToGrid w:val="0"/>
                      <w:color w:val="000000"/>
                    </w:rPr>
                    <w:t>，各</w:t>
                  </w:r>
                  <w:r>
                    <w:rPr>
                      <w:rFonts w:hint="eastAsia"/>
                      <w:snapToGrid w:val="0"/>
                      <w:color w:val="000000"/>
                    </w:rPr>
                    <w:t>井场宽</w:t>
                  </w:r>
                  <w:r>
                    <w:rPr>
                      <w:rFonts w:hint="eastAsia"/>
                    </w:rPr>
                    <w:t>50</w:t>
                  </w:r>
                  <w:r>
                    <w:rPr>
                      <w:snapToGrid w:val="0"/>
                      <w:color w:val="000000"/>
                    </w:rPr>
                    <w:t>m</w:t>
                  </w:r>
                  <w:r>
                    <w:rPr>
                      <w:rFonts w:hint="eastAsia"/>
                      <w:snapToGrid w:val="0"/>
                      <w:color w:val="000000"/>
                    </w:rPr>
                    <w:t>、长</w:t>
                  </w:r>
                  <w:r>
                    <w:rPr>
                      <w:rFonts w:hint="eastAsia"/>
                    </w:rPr>
                    <w:t>70</w:t>
                  </w:r>
                  <w:r>
                    <w:rPr>
                      <w:snapToGrid w:val="0"/>
                      <w:color w:val="000000"/>
                    </w:rPr>
                    <w:t>m</w:t>
                  </w:r>
                  <w:r>
                    <w:rPr>
                      <w:rFonts w:hint="eastAsia"/>
                      <w:snapToGrid w:val="0"/>
                      <w:color w:val="000000"/>
                    </w:rPr>
                    <w:t>，井场</w:t>
                  </w:r>
                  <w:r>
                    <w:rPr>
                      <w:snapToGrid w:val="0"/>
                      <w:color w:val="000000"/>
                    </w:rPr>
                    <w:t>占地面积共</w:t>
                  </w:r>
                  <w:r>
                    <w:rPr>
                      <w:rFonts w:hint="eastAsia"/>
                    </w:rPr>
                    <w:t>10500</w:t>
                  </w:r>
                  <w:r>
                    <w:rPr>
                      <w:snapToGrid w:val="0"/>
                      <w:color w:val="000000"/>
                    </w:rPr>
                    <w:t>m</w:t>
                  </w:r>
                  <w:r>
                    <w:rPr>
                      <w:snapToGrid w:val="0"/>
                      <w:color w:val="000000"/>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504" w:type="dxa"/>
                  <w:vMerge w:val="continue"/>
                  <w:shd w:val="clear" w:color="auto" w:fill="auto"/>
                  <w:vAlign w:val="center"/>
                </w:tcPr>
                <w:p>
                  <w:pPr>
                    <w:pStyle w:val="70"/>
                    <w:rPr>
                      <w:snapToGrid w:val="0"/>
                      <w:color w:val="000000"/>
                    </w:rPr>
                  </w:pPr>
                </w:p>
              </w:tc>
              <w:tc>
                <w:tcPr>
                  <w:tcW w:w="1506" w:type="dxa"/>
                  <w:gridSpan w:val="2"/>
                  <w:shd w:val="clear" w:color="auto" w:fill="auto"/>
                  <w:vAlign w:val="center"/>
                </w:tcPr>
                <w:p>
                  <w:pPr>
                    <w:pStyle w:val="70"/>
                    <w:rPr>
                      <w:snapToGrid w:val="0"/>
                      <w:color w:val="000000"/>
                    </w:rPr>
                  </w:pPr>
                  <w:r>
                    <w:rPr>
                      <w:rFonts w:hint="eastAsia"/>
                      <w:snapToGrid w:val="0"/>
                      <w:color w:val="000000"/>
                    </w:rPr>
                    <w:t>钻井工程</w:t>
                  </w:r>
                </w:p>
              </w:tc>
              <w:tc>
                <w:tcPr>
                  <w:tcW w:w="5669" w:type="dxa"/>
                  <w:shd w:val="clear" w:color="auto" w:fill="auto"/>
                  <w:vAlign w:val="center"/>
                </w:tcPr>
                <w:p>
                  <w:pPr>
                    <w:pStyle w:val="70"/>
                    <w:rPr>
                      <w:snapToGrid w:val="0"/>
                      <w:color w:val="000000"/>
                    </w:rPr>
                  </w:pPr>
                  <w:r>
                    <w:rPr>
                      <w:rFonts w:hint="eastAsia"/>
                      <w:snapToGrid w:val="0"/>
                      <w:color w:val="000000"/>
                    </w:rPr>
                    <w:t>井场内围绕井口设有值班处、废料堆放区、泥浆不落地装置区、燃油区、发电机组、工具区、钻杆钻具摆放区、管材区、岩心摆放区、生活区等，均为临时建筑（设备），完成评价任务后拆除，场地恢复原状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504" w:type="dxa"/>
                  <w:vMerge w:val="restart"/>
                  <w:shd w:val="clear" w:color="auto" w:fill="auto"/>
                  <w:vAlign w:val="center"/>
                </w:tcPr>
                <w:p>
                  <w:pPr>
                    <w:pStyle w:val="70"/>
                    <w:rPr>
                      <w:snapToGrid w:val="0"/>
                      <w:color w:val="000000"/>
                    </w:rPr>
                  </w:pPr>
                  <w:r>
                    <w:rPr>
                      <w:rFonts w:hint="eastAsia"/>
                      <w:snapToGrid w:val="0"/>
                      <w:color w:val="000000"/>
                    </w:rPr>
                    <w:t>辅助工程</w:t>
                  </w:r>
                </w:p>
              </w:tc>
              <w:tc>
                <w:tcPr>
                  <w:tcW w:w="1506" w:type="dxa"/>
                  <w:gridSpan w:val="2"/>
                  <w:shd w:val="clear" w:color="auto" w:fill="auto"/>
                  <w:vAlign w:val="center"/>
                </w:tcPr>
                <w:p>
                  <w:pPr>
                    <w:pStyle w:val="70"/>
                    <w:rPr>
                      <w:snapToGrid w:val="0"/>
                      <w:color w:val="000000"/>
                    </w:rPr>
                  </w:pPr>
                  <w:r>
                    <w:rPr>
                      <w:rFonts w:hint="eastAsia"/>
                      <w:snapToGrid w:val="0"/>
                      <w:color w:val="000000"/>
                    </w:rPr>
                    <w:t>简易道路</w:t>
                  </w:r>
                </w:p>
              </w:tc>
              <w:tc>
                <w:tcPr>
                  <w:tcW w:w="5669" w:type="dxa"/>
                  <w:shd w:val="clear" w:color="auto" w:fill="auto"/>
                  <w:vAlign w:val="center"/>
                </w:tcPr>
                <w:p>
                  <w:pPr>
                    <w:pStyle w:val="70"/>
                    <w:rPr>
                      <w:snapToGrid w:val="0"/>
                      <w:color w:val="000000"/>
                    </w:rPr>
                  </w:pPr>
                  <w:r>
                    <w:rPr>
                      <w:rFonts w:hint="eastAsia"/>
                      <w:snapToGrid w:val="0"/>
                      <w:color w:val="000000"/>
                    </w:rPr>
                    <w:t>新建路宽</w:t>
                  </w:r>
                  <w:r>
                    <w:rPr>
                      <w:rFonts w:hint="eastAsia"/>
                    </w:rPr>
                    <w:t>8</w:t>
                  </w:r>
                  <w:r>
                    <w:rPr>
                      <w:rFonts w:hint="eastAsia"/>
                      <w:snapToGrid w:val="0"/>
                      <w:color w:val="000000"/>
                    </w:rPr>
                    <w:t>m通井道路，长约</w:t>
                  </w:r>
                  <w:r>
                    <w:rPr>
                      <w:rFonts w:hint="eastAsia"/>
                    </w:rPr>
                    <w:t>74</w:t>
                  </w:r>
                  <w:r>
                    <w:rPr>
                      <w:rFonts w:hint="eastAsia"/>
                      <w:snapToGrid w:val="0"/>
                      <w:color w:val="000000"/>
                    </w:rPr>
                    <w:t>m，占地面积约为</w:t>
                  </w:r>
                  <w:r>
                    <w:rPr>
                      <w:rFonts w:hint="eastAsia"/>
                    </w:rPr>
                    <w:t>592</w:t>
                  </w:r>
                  <w:r>
                    <w:rPr>
                      <w:rFonts w:hint="eastAsia"/>
                      <w:snapToGrid w:val="0"/>
                      <w:color w:val="000000"/>
                    </w:rPr>
                    <w:t>m</w:t>
                  </w:r>
                  <w:r>
                    <w:rPr>
                      <w:rFonts w:hint="eastAsia"/>
                      <w:snapToGrid w:val="0"/>
                      <w:color w:val="000000"/>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504" w:type="dxa"/>
                  <w:vMerge w:val="continue"/>
                  <w:shd w:val="clear" w:color="auto" w:fill="auto"/>
                  <w:vAlign w:val="center"/>
                </w:tcPr>
                <w:p>
                  <w:pPr>
                    <w:pStyle w:val="70"/>
                    <w:rPr>
                      <w:snapToGrid w:val="0"/>
                      <w:color w:val="000000"/>
                    </w:rPr>
                  </w:pPr>
                </w:p>
              </w:tc>
              <w:tc>
                <w:tcPr>
                  <w:tcW w:w="1506" w:type="dxa"/>
                  <w:gridSpan w:val="2"/>
                  <w:shd w:val="clear" w:color="auto" w:fill="auto"/>
                  <w:vAlign w:val="center"/>
                </w:tcPr>
                <w:p>
                  <w:pPr>
                    <w:pStyle w:val="70"/>
                    <w:rPr>
                      <w:snapToGrid w:val="0"/>
                      <w:color w:val="000000"/>
                    </w:rPr>
                  </w:pPr>
                  <w:r>
                    <w:rPr>
                      <w:rFonts w:hint="eastAsia"/>
                      <w:snapToGrid w:val="0"/>
                      <w:color w:val="000000"/>
                    </w:rPr>
                    <w:t>生活区</w:t>
                  </w:r>
                </w:p>
              </w:tc>
              <w:tc>
                <w:tcPr>
                  <w:tcW w:w="5669" w:type="dxa"/>
                  <w:shd w:val="clear" w:color="auto" w:fill="auto"/>
                  <w:vAlign w:val="center"/>
                </w:tcPr>
                <w:p>
                  <w:pPr>
                    <w:pStyle w:val="70"/>
                    <w:rPr>
                      <w:snapToGrid w:val="0"/>
                      <w:color w:val="000000"/>
                    </w:rPr>
                  </w:pPr>
                  <w:r>
                    <w:rPr>
                      <w:rFonts w:hint="eastAsia"/>
                      <w:snapToGrid w:val="0"/>
                      <w:color w:val="000000"/>
                    </w:rPr>
                    <w:t>施工人员生活区域依托周边村庄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504" w:type="dxa"/>
                  <w:vMerge w:val="restart"/>
                  <w:shd w:val="clear" w:color="auto" w:fill="auto"/>
                  <w:vAlign w:val="center"/>
                </w:tcPr>
                <w:p>
                  <w:pPr>
                    <w:pStyle w:val="70"/>
                    <w:rPr>
                      <w:snapToGrid w:val="0"/>
                      <w:color w:val="000000"/>
                    </w:rPr>
                  </w:pPr>
                  <w:r>
                    <w:rPr>
                      <w:rFonts w:hint="eastAsia"/>
                      <w:snapToGrid w:val="0"/>
                      <w:color w:val="000000"/>
                    </w:rPr>
                    <w:t>环保工程</w:t>
                  </w:r>
                </w:p>
              </w:tc>
              <w:tc>
                <w:tcPr>
                  <w:tcW w:w="502" w:type="dxa"/>
                  <w:vMerge w:val="restart"/>
                  <w:shd w:val="clear" w:color="auto" w:fill="auto"/>
                  <w:vAlign w:val="center"/>
                </w:tcPr>
                <w:p>
                  <w:pPr>
                    <w:pStyle w:val="70"/>
                    <w:rPr>
                      <w:snapToGrid w:val="0"/>
                      <w:color w:val="000000"/>
                    </w:rPr>
                  </w:pPr>
                  <w:r>
                    <w:rPr>
                      <w:rFonts w:hint="eastAsia"/>
                      <w:snapToGrid w:val="0"/>
                      <w:color w:val="000000"/>
                    </w:rPr>
                    <w:t>废气</w:t>
                  </w:r>
                </w:p>
              </w:tc>
              <w:tc>
                <w:tcPr>
                  <w:tcW w:w="1004" w:type="dxa"/>
                  <w:shd w:val="clear" w:color="auto" w:fill="auto"/>
                  <w:vAlign w:val="center"/>
                </w:tcPr>
                <w:p>
                  <w:pPr>
                    <w:pStyle w:val="70"/>
                    <w:rPr>
                      <w:snapToGrid w:val="0"/>
                      <w:color w:val="000000"/>
                    </w:rPr>
                  </w:pPr>
                  <w:r>
                    <w:rPr>
                      <w:rFonts w:hint="eastAsia"/>
                      <w:color w:val="000000"/>
                    </w:rPr>
                    <w:t>施工扬尘</w:t>
                  </w:r>
                </w:p>
              </w:tc>
              <w:tc>
                <w:tcPr>
                  <w:tcW w:w="5669" w:type="dxa"/>
                  <w:shd w:val="clear" w:color="auto" w:fill="auto"/>
                  <w:vAlign w:val="center"/>
                </w:tcPr>
                <w:p>
                  <w:pPr>
                    <w:pStyle w:val="70"/>
                    <w:rPr>
                      <w:snapToGrid w:val="0"/>
                      <w:color w:val="000000"/>
                    </w:rPr>
                  </w:pPr>
                  <w:r>
                    <w:rPr>
                      <w:rFonts w:hint="eastAsia"/>
                      <w:snapToGrid w:val="0"/>
                      <w:color w:val="000000"/>
                    </w:rPr>
                    <w:t>采取洒水、围挡措施；物料集中堆放采取遮盖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504" w:type="dxa"/>
                  <w:vMerge w:val="continue"/>
                  <w:shd w:val="clear" w:color="auto" w:fill="auto"/>
                  <w:vAlign w:val="center"/>
                </w:tcPr>
                <w:p>
                  <w:pPr>
                    <w:pStyle w:val="70"/>
                    <w:rPr>
                      <w:snapToGrid w:val="0"/>
                      <w:color w:val="000000"/>
                    </w:rPr>
                  </w:pPr>
                </w:p>
              </w:tc>
              <w:tc>
                <w:tcPr>
                  <w:tcW w:w="502" w:type="dxa"/>
                  <w:vMerge w:val="continue"/>
                  <w:shd w:val="clear" w:color="auto" w:fill="auto"/>
                  <w:vAlign w:val="center"/>
                </w:tcPr>
                <w:p>
                  <w:pPr>
                    <w:pStyle w:val="70"/>
                    <w:rPr>
                      <w:snapToGrid w:val="0"/>
                      <w:color w:val="000000"/>
                    </w:rPr>
                  </w:pPr>
                </w:p>
              </w:tc>
              <w:tc>
                <w:tcPr>
                  <w:tcW w:w="1004" w:type="dxa"/>
                  <w:shd w:val="clear" w:color="auto" w:fill="auto"/>
                  <w:vAlign w:val="center"/>
                </w:tcPr>
                <w:p>
                  <w:pPr>
                    <w:pStyle w:val="70"/>
                    <w:rPr>
                      <w:snapToGrid w:val="0"/>
                      <w:color w:val="000000"/>
                    </w:rPr>
                  </w:pPr>
                  <w:r>
                    <w:rPr>
                      <w:rFonts w:hint="eastAsia"/>
                      <w:color w:val="000000"/>
                    </w:rPr>
                    <w:t>运输车辆尾气</w:t>
                  </w:r>
                </w:p>
              </w:tc>
              <w:tc>
                <w:tcPr>
                  <w:tcW w:w="5669" w:type="dxa"/>
                  <w:shd w:val="clear" w:color="auto" w:fill="auto"/>
                  <w:vAlign w:val="center"/>
                </w:tcPr>
                <w:p>
                  <w:pPr>
                    <w:pStyle w:val="70"/>
                    <w:rPr>
                      <w:snapToGrid w:val="0"/>
                      <w:color w:val="000000"/>
                    </w:rPr>
                  </w:pPr>
                  <w:r>
                    <w:rPr>
                      <w:rFonts w:hint="eastAsia"/>
                      <w:color w:val="000000"/>
                    </w:rPr>
                    <w:t>加强车辆管理和维护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504" w:type="dxa"/>
                  <w:vMerge w:val="continue"/>
                  <w:shd w:val="clear" w:color="auto" w:fill="auto"/>
                  <w:vAlign w:val="center"/>
                </w:tcPr>
                <w:p>
                  <w:pPr>
                    <w:pStyle w:val="70"/>
                    <w:rPr>
                      <w:snapToGrid w:val="0"/>
                      <w:color w:val="000000"/>
                    </w:rPr>
                  </w:pPr>
                </w:p>
              </w:tc>
              <w:tc>
                <w:tcPr>
                  <w:tcW w:w="502" w:type="dxa"/>
                  <w:vMerge w:val="continue"/>
                  <w:shd w:val="clear" w:color="auto" w:fill="auto"/>
                  <w:vAlign w:val="center"/>
                </w:tcPr>
                <w:p>
                  <w:pPr>
                    <w:pStyle w:val="70"/>
                    <w:rPr>
                      <w:snapToGrid w:val="0"/>
                      <w:color w:val="000000"/>
                    </w:rPr>
                  </w:pPr>
                </w:p>
              </w:tc>
              <w:tc>
                <w:tcPr>
                  <w:tcW w:w="1004" w:type="dxa"/>
                  <w:shd w:val="clear" w:color="auto" w:fill="auto"/>
                  <w:vAlign w:val="center"/>
                </w:tcPr>
                <w:p>
                  <w:pPr>
                    <w:pStyle w:val="70"/>
                    <w:rPr>
                      <w:snapToGrid w:val="0"/>
                      <w:color w:val="000000"/>
                    </w:rPr>
                  </w:pPr>
                  <w:r>
                    <w:rPr>
                      <w:rFonts w:hint="eastAsia"/>
                      <w:snapToGrid w:val="0"/>
                      <w:color w:val="000000"/>
                    </w:rPr>
                    <w:t>柴油机燃烧烟气</w:t>
                  </w:r>
                </w:p>
              </w:tc>
              <w:tc>
                <w:tcPr>
                  <w:tcW w:w="5669" w:type="dxa"/>
                  <w:shd w:val="clear" w:color="auto" w:fill="auto"/>
                  <w:vAlign w:val="center"/>
                </w:tcPr>
                <w:p>
                  <w:pPr>
                    <w:pStyle w:val="70"/>
                    <w:rPr>
                      <w:snapToGrid w:val="0"/>
                      <w:color w:val="000000"/>
                    </w:rPr>
                  </w:pPr>
                  <w:r>
                    <w:rPr>
                      <w:rFonts w:hint="eastAsia"/>
                      <w:color w:val="000000"/>
                    </w:rPr>
                    <w:t>使用品质合格的燃油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504" w:type="dxa"/>
                  <w:vMerge w:val="continue"/>
                  <w:shd w:val="clear" w:color="auto" w:fill="auto"/>
                  <w:vAlign w:val="center"/>
                </w:tcPr>
                <w:p>
                  <w:pPr>
                    <w:pStyle w:val="70"/>
                    <w:rPr>
                      <w:snapToGrid w:val="0"/>
                      <w:color w:val="000000"/>
                    </w:rPr>
                  </w:pPr>
                </w:p>
              </w:tc>
              <w:tc>
                <w:tcPr>
                  <w:tcW w:w="502" w:type="dxa"/>
                  <w:vMerge w:val="restart"/>
                  <w:shd w:val="clear" w:color="auto" w:fill="auto"/>
                  <w:vAlign w:val="center"/>
                </w:tcPr>
                <w:p>
                  <w:pPr>
                    <w:pStyle w:val="70"/>
                    <w:rPr>
                      <w:snapToGrid w:val="0"/>
                      <w:color w:val="000000"/>
                    </w:rPr>
                  </w:pPr>
                  <w:r>
                    <w:rPr>
                      <w:rFonts w:hint="eastAsia"/>
                      <w:snapToGrid w:val="0"/>
                      <w:color w:val="000000"/>
                    </w:rPr>
                    <w:t>废水</w:t>
                  </w:r>
                </w:p>
              </w:tc>
              <w:tc>
                <w:tcPr>
                  <w:tcW w:w="1004" w:type="dxa"/>
                  <w:shd w:val="clear" w:color="auto" w:fill="auto"/>
                  <w:vAlign w:val="center"/>
                </w:tcPr>
                <w:p>
                  <w:pPr>
                    <w:pStyle w:val="70"/>
                    <w:rPr>
                      <w:snapToGrid w:val="0"/>
                      <w:color w:val="000000"/>
                    </w:rPr>
                  </w:pPr>
                  <w:r>
                    <w:rPr>
                      <w:rFonts w:hint="eastAsia"/>
                      <w:color w:val="000000"/>
                    </w:rPr>
                    <w:t>钻井废水</w:t>
                  </w:r>
                </w:p>
              </w:tc>
              <w:tc>
                <w:tcPr>
                  <w:tcW w:w="5669" w:type="dxa"/>
                  <w:shd w:val="clear" w:color="auto" w:fill="auto"/>
                  <w:vAlign w:val="center"/>
                </w:tcPr>
                <w:p>
                  <w:pPr>
                    <w:pStyle w:val="70"/>
                    <w:rPr>
                      <w:snapToGrid w:val="0"/>
                      <w:color w:val="000000"/>
                    </w:rPr>
                  </w:pPr>
                  <w:r>
                    <w:rPr>
                      <w:rFonts w:hint="eastAsia"/>
                      <w:color w:val="000000"/>
                    </w:rPr>
                    <w:t>输送至泥浆不落地泥浆槽中循环利用，完井后废水运至春风一号联合站处理达标后用于产能开发回注地层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504" w:type="dxa"/>
                  <w:vMerge w:val="continue"/>
                  <w:shd w:val="clear" w:color="auto" w:fill="auto"/>
                  <w:vAlign w:val="center"/>
                </w:tcPr>
                <w:p>
                  <w:pPr>
                    <w:pStyle w:val="70"/>
                    <w:rPr>
                      <w:snapToGrid w:val="0"/>
                      <w:color w:val="000000"/>
                    </w:rPr>
                  </w:pPr>
                </w:p>
              </w:tc>
              <w:tc>
                <w:tcPr>
                  <w:tcW w:w="502" w:type="dxa"/>
                  <w:vMerge w:val="continue"/>
                  <w:shd w:val="clear" w:color="auto" w:fill="auto"/>
                  <w:vAlign w:val="center"/>
                </w:tcPr>
                <w:p>
                  <w:pPr>
                    <w:pStyle w:val="70"/>
                    <w:rPr>
                      <w:snapToGrid w:val="0"/>
                      <w:color w:val="000000"/>
                    </w:rPr>
                  </w:pPr>
                </w:p>
              </w:tc>
              <w:tc>
                <w:tcPr>
                  <w:tcW w:w="1004" w:type="dxa"/>
                  <w:shd w:val="clear" w:color="auto" w:fill="auto"/>
                  <w:vAlign w:val="center"/>
                </w:tcPr>
                <w:p>
                  <w:pPr>
                    <w:pStyle w:val="70"/>
                    <w:rPr>
                      <w:snapToGrid w:val="0"/>
                      <w:color w:val="000000"/>
                    </w:rPr>
                  </w:pPr>
                  <w:r>
                    <w:rPr>
                      <w:rFonts w:hint="eastAsia"/>
                      <w:snapToGrid w:val="0"/>
                      <w:color w:val="000000"/>
                    </w:rPr>
                    <w:t>生活污水</w:t>
                  </w:r>
                </w:p>
              </w:tc>
              <w:tc>
                <w:tcPr>
                  <w:tcW w:w="5669" w:type="dxa"/>
                  <w:shd w:val="clear" w:color="auto" w:fill="auto"/>
                  <w:vAlign w:val="center"/>
                </w:tcPr>
                <w:p>
                  <w:pPr>
                    <w:pStyle w:val="70"/>
                    <w:rPr>
                      <w:snapToGrid w:val="0"/>
                      <w:color w:val="000000"/>
                    </w:rPr>
                  </w:pPr>
                  <w:r>
                    <w:rPr>
                      <w:color w:val="000000"/>
                    </w:rPr>
                    <w:t>本项目不设生活营地，施工期职工生活依托周边村镇</w:t>
                  </w:r>
                  <w:r>
                    <w:rPr>
                      <w:rFonts w:hint="eastAsia"/>
                      <w:color w:val="000000"/>
                    </w:rPr>
                    <w:t>，生活污水排入旱厕由当地农户定期清理，用做农肥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504" w:type="dxa"/>
                  <w:vMerge w:val="restart"/>
                  <w:shd w:val="clear" w:color="auto" w:fill="auto"/>
                  <w:vAlign w:val="center"/>
                </w:tcPr>
                <w:p>
                  <w:pPr>
                    <w:pStyle w:val="70"/>
                    <w:rPr>
                      <w:snapToGrid w:val="0"/>
                      <w:color w:val="000000"/>
                    </w:rPr>
                  </w:pPr>
                  <w:r>
                    <w:rPr>
                      <w:rFonts w:hint="eastAsia"/>
                      <w:snapToGrid w:val="0"/>
                      <w:color w:val="000000"/>
                    </w:rPr>
                    <w:t>环保工程</w:t>
                  </w:r>
                </w:p>
              </w:tc>
              <w:tc>
                <w:tcPr>
                  <w:tcW w:w="502" w:type="dxa"/>
                  <w:vMerge w:val="restart"/>
                  <w:shd w:val="clear" w:color="auto" w:fill="auto"/>
                  <w:vAlign w:val="center"/>
                </w:tcPr>
                <w:p>
                  <w:pPr>
                    <w:pStyle w:val="70"/>
                    <w:rPr>
                      <w:color w:val="000000"/>
                    </w:rPr>
                  </w:pPr>
                  <w:r>
                    <w:rPr>
                      <w:rFonts w:hint="eastAsia"/>
                      <w:color w:val="000000"/>
                    </w:rPr>
                    <w:t>固体废物</w:t>
                  </w:r>
                </w:p>
              </w:tc>
              <w:tc>
                <w:tcPr>
                  <w:tcW w:w="1004" w:type="dxa"/>
                  <w:shd w:val="clear" w:color="auto" w:fill="auto"/>
                  <w:vAlign w:val="center"/>
                </w:tcPr>
                <w:p>
                  <w:pPr>
                    <w:pStyle w:val="70"/>
                    <w:rPr>
                      <w:color w:val="000000"/>
                    </w:rPr>
                  </w:pPr>
                  <w:r>
                    <w:rPr>
                      <w:rFonts w:hint="eastAsia"/>
                      <w:color w:val="000000"/>
                    </w:rPr>
                    <w:t>钻井固废处置</w:t>
                  </w:r>
                </w:p>
              </w:tc>
              <w:tc>
                <w:tcPr>
                  <w:tcW w:w="5669" w:type="dxa"/>
                  <w:shd w:val="clear" w:color="auto" w:fill="auto"/>
                  <w:vAlign w:val="center"/>
                </w:tcPr>
                <w:p>
                  <w:pPr>
                    <w:pStyle w:val="70"/>
                    <w:rPr>
                      <w:color w:val="000000"/>
                    </w:rPr>
                  </w:pPr>
                  <w:r>
                    <w:rPr>
                      <w:color w:val="000000"/>
                    </w:rPr>
                    <w:t>钻井固废经</w:t>
                  </w:r>
                  <w:r>
                    <w:rPr>
                      <w:rFonts w:hAnsi="宋体"/>
                      <w:color w:val="000000"/>
                    </w:rPr>
                    <w:t>“</w:t>
                  </w:r>
                  <w:r>
                    <w:rPr>
                      <w:rFonts w:hint="eastAsia" w:hAnsi="宋体"/>
                      <w:color w:val="000000"/>
                    </w:rPr>
                    <w:t>泥浆不落地</w:t>
                  </w:r>
                  <w:r>
                    <w:rPr>
                      <w:rFonts w:hAnsi="宋体"/>
                      <w:color w:val="000000"/>
                    </w:rPr>
                    <w:t>”</w:t>
                  </w:r>
                  <w:r>
                    <w:rPr>
                      <w:rFonts w:hint="eastAsia"/>
                      <w:color w:val="000000"/>
                    </w:rPr>
                    <w:t>设备分离后拉运至克拉玛依前山石油工程服务有限公司处理，</w:t>
                  </w:r>
                  <w:r>
                    <w:rPr>
                      <w:color w:val="000000"/>
                    </w:rPr>
                    <w:t>检测达到《油气田钻井固体废物综合利用污染控制要求》（DB65/T 3997-2017）相关标准限值后用于铺路、铺垫井场综合利用，未达标的产物将进入处置系统再次进行处理，不得随意排放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504" w:type="dxa"/>
                  <w:vMerge w:val="continue"/>
                  <w:shd w:val="clear" w:color="auto" w:fill="auto"/>
                  <w:vAlign w:val="center"/>
                </w:tcPr>
                <w:p>
                  <w:pPr>
                    <w:pStyle w:val="70"/>
                    <w:rPr>
                      <w:snapToGrid w:val="0"/>
                      <w:color w:val="000000"/>
                    </w:rPr>
                  </w:pPr>
                </w:p>
              </w:tc>
              <w:tc>
                <w:tcPr>
                  <w:tcW w:w="502" w:type="dxa"/>
                  <w:vMerge w:val="continue"/>
                  <w:shd w:val="clear" w:color="auto" w:fill="auto"/>
                  <w:vAlign w:val="center"/>
                </w:tcPr>
                <w:p>
                  <w:pPr>
                    <w:pStyle w:val="70"/>
                    <w:rPr>
                      <w:color w:val="000000"/>
                    </w:rPr>
                  </w:pPr>
                </w:p>
              </w:tc>
              <w:tc>
                <w:tcPr>
                  <w:tcW w:w="1004" w:type="dxa"/>
                  <w:shd w:val="clear" w:color="auto" w:fill="auto"/>
                  <w:vAlign w:val="center"/>
                </w:tcPr>
                <w:p>
                  <w:pPr>
                    <w:pStyle w:val="70"/>
                    <w:rPr>
                      <w:color w:val="000000"/>
                    </w:rPr>
                  </w:pPr>
                  <w:r>
                    <w:rPr>
                      <w:rFonts w:hint="eastAsia"/>
                      <w:color w:val="000000"/>
                    </w:rPr>
                    <w:t>废防渗材料</w:t>
                  </w:r>
                </w:p>
              </w:tc>
              <w:tc>
                <w:tcPr>
                  <w:tcW w:w="5669" w:type="dxa"/>
                  <w:shd w:val="clear" w:color="auto" w:fill="auto"/>
                  <w:vAlign w:val="center"/>
                </w:tcPr>
                <w:p>
                  <w:pPr>
                    <w:pStyle w:val="70"/>
                    <w:rPr>
                      <w:color w:val="000000"/>
                    </w:rPr>
                  </w:pPr>
                  <w:r>
                    <w:rPr>
                      <w:rFonts w:hint="eastAsia"/>
                      <w:color w:val="000000"/>
                      <w:kern w:val="0"/>
                    </w:rPr>
                    <w:t>重点防渗区铺设渗透系数≤</w:t>
                  </w:r>
                  <w:r>
                    <w:rPr>
                      <w:color w:val="000000"/>
                      <w:kern w:val="0"/>
                    </w:rPr>
                    <w:t>10</w:t>
                  </w:r>
                  <w:r>
                    <w:rPr>
                      <w:color w:val="000000"/>
                      <w:kern w:val="0"/>
                      <w:vertAlign w:val="superscript"/>
                    </w:rPr>
                    <w:t>-7</w:t>
                  </w:r>
                  <w:r>
                    <w:rPr>
                      <w:color w:val="000000"/>
                      <w:kern w:val="0"/>
                    </w:rPr>
                    <w:t>cm/s</w:t>
                  </w:r>
                  <w:r>
                    <w:rPr>
                      <w:rFonts w:hint="eastAsia"/>
                      <w:color w:val="000000"/>
                      <w:kern w:val="0"/>
                    </w:rPr>
                    <w:t>的防渗材料，废</w:t>
                  </w:r>
                  <w:r>
                    <w:rPr>
                      <w:rFonts w:hint="eastAsia"/>
                      <w:color w:val="000000"/>
                    </w:rPr>
                    <w:t>防渗材料循环利用，使用过程中如产生不可利用的废防渗材料，需委托有资质单位处置，废防渗材料为危险废物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504" w:type="dxa"/>
                  <w:vMerge w:val="continue"/>
                  <w:shd w:val="clear" w:color="auto" w:fill="auto"/>
                  <w:vAlign w:val="center"/>
                </w:tcPr>
                <w:p>
                  <w:pPr>
                    <w:pStyle w:val="70"/>
                    <w:rPr>
                      <w:snapToGrid w:val="0"/>
                      <w:color w:val="000000"/>
                    </w:rPr>
                  </w:pPr>
                </w:p>
              </w:tc>
              <w:tc>
                <w:tcPr>
                  <w:tcW w:w="502" w:type="dxa"/>
                  <w:vMerge w:val="continue"/>
                  <w:shd w:val="clear" w:color="auto" w:fill="auto"/>
                  <w:vAlign w:val="center"/>
                </w:tcPr>
                <w:p>
                  <w:pPr>
                    <w:pStyle w:val="70"/>
                    <w:rPr>
                      <w:snapToGrid w:val="0"/>
                      <w:color w:val="000000"/>
                    </w:rPr>
                  </w:pPr>
                </w:p>
              </w:tc>
              <w:tc>
                <w:tcPr>
                  <w:tcW w:w="1004" w:type="dxa"/>
                  <w:shd w:val="clear" w:color="auto" w:fill="auto"/>
                  <w:vAlign w:val="center"/>
                </w:tcPr>
                <w:p>
                  <w:pPr>
                    <w:pStyle w:val="70"/>
                    <w:rPr>
                      <w:snapToGrid w:val="0"/>
                      <w:color w:val="000000"/>
                    </w:rPr>
                  </w:pPr>
                  <w:r>
                    <w:rPr>
                      <w:rFonts w:hint="eastAsia"/>
                      <w:color w:val="000000"/>
                    </w:rPr>
                    <w:t>生活垃圾收集</w:t>
                  </w:r>
                </w:p>
              </w:tc>
              <w:tc>
                <w:tcPr>
                  <w:tcW w:w="5669" w:type="dxa"/>
                  <w:shd w:val="clear" w:color="auto" w:fill="auto"/>
                  <w:vAlign w:val="center"/>
                </w:tcPr>
                <w:p>
                  <w:pPr>
                    <w:pStyle w:val="70"/>
                    <w:rPr>
                      <w:snapToGrid w:val="0"/>
                      <w:color w:val="000000"/>
                    </w:rPr>
                  </w:pPr>
                  <w:r>
                    <w:rPr>
                      <w:rFonts w:hint="eastAsia"/>
                      <w:snapToGrid w:val="0"/>
                      <w:color w:val="000000"/>
                    </w:rPr>
                    <w:t>生活区设1个生活垃圾收集箱，对生活垃圾及时清运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504" w:type="dxa"/>
                  <w:vMerge w:val="continue"/>
                  <w:shd w:val="clear" w:color="auto" w:fill="auto"/>
                  <w:vAlign w:val="center"/>
                </w:tcPr>
                <w:p>
                  <w:pPr>
                    <w:pStyle w:val="70"/>
                    <w:rPr>
                      <w:snapToGrid w:val="0"/>
                      <w:color w:val="000000"/>
                    </w:rPr>
                  </w:pPr>
                </w:p>
              </w:tc>
              <w:tc>
                <w:tcPr>
                  <w:tcW w:w="1506" w:type="dxa"/>
                  <w:gridSpan w:val="2"/>
                  <w:shd w:val="clear" w:color="auto" w:fill="auto"/>
                  <w:vAlign w:val="center"/>
                </w:tcPr>
                <w:p>
                  <w:pPr>
                    <w:pStyle w:val="70"/>
                    <w:rPr>
                      <w:color w:val="000000"/>
                    </w:rPr>
                  </w:pPr>
                  <w:r>
                    <w:rPr>
                      <w:rFonts w:hint="eastAsia"/>
                      <w:color w:val="000000"/>
                    </w:rPr>
                    <w:t>噪声</w:t>
                  </w:r>
                </w:p>
              </w:tc>
              <w:tc>
                <w:tcPr>
                  <w:tcW w:w="5669" w:type="dxa"/>
                  <w:shd w:val="clear" w:color="auto" w:fill="auto"/>
                  <w:vAlign w:val="center"/>
                </w:tcPr>
                <w:p>
                  <w:pPr>
                    <w:pStyle w:val="70"/>
                    <w:rPr>
                      <w:snapToGrid w:val="0"/>
                      <w:color w:val="000000"/>
                    </w:rPr>
                  </w:pPr>
                  <w:r>
                    <w:rPr>
                      <w:rFonts w:hint="eastAsia"/>
                      <w:snapToGrid w:val="0"/>
                      <w:color w:val="000000"/>
                    </w:rPr>
                    <w:t>合理布局钻井现场，</w:t>
                  </w:r>
                  <w:r>
                    <w:rPr>
                      <w:snapToGrid w:val="0"/>
                      <w:color w:val="000000"/>
                    </w:rPr>
                    <w:t>尽量</w:t>
                  </w:r>
                  <w:r>
                    <w:rPr>
                      <w:rFonts w:hint="eastAsia"/>
                      <w:snapToGrid w:val="0"/>
                      <w:color w:val="000000"/>
                    </w:rPr>
                    <w:t>选用低噪声设备；制定施工计划时，尽可能避免大量高噪声设备同时施工。同时，高噪声设备施工时间尽量安排在昼间（确需连续作业的除外）；加强施工管理和设备维护，发现设备存在的问题及时维修，保证设备正常运转；整体设备要安放稳固，并与地面保持良好接触，有条件的应使用减振机座，柴油机、发电机和各种机泵等要安装消声隔声设施，最大限度地降低噪声源的噪声；加强对运输车辆的管理及疏导，尽量压缩施工区汽车数量和行车密度，控制汽车鸣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504" w:type="dxa"/>
                  <w:vMerge w:val="continue"/>
                  <w:shd w:val="clear" w:color="auto" w:fill="auto"/>
                  <w:vAlign w:val="center"/>
                </w:tcPr>
                <w:p>
                  <w:pPr>
                    <w:pStyle w:val="70"/>
                    <w:rPr>
                      <w:snapToGrid w:val="0"/>
                      <w:color w:val="000000"/>
                    </w:rPr>
                  </w:pPr>
                </w:p>
              </w:tc>
              <w:tc>
                <w:tcPr>
                  <w:tcW w:w="1506" w:type="dxa"/>
                  <w:gridSpan w:val="2"/>
                  <w:shd w:val="clear" w:color="auto" w:fill="auto"/>
                  <w:vAlign w:val="center"/>
                </w:tcPr>
                <w:p>
                  <w:pPr>
                    <w:pStyle w:val="70"/>
                    <w:rPr>
                      <w:snapToGrid w:val="0"/>
                      <w:color w:val="000000"/>
                    </w:rPr>
                  </w:pPr>
                  <w:r>
                    <w:rPr>
                      <w:rFonts w:hint="eastAsia"/>
                      <w:snapToGrid w:val="0"/>
                      <w:color w:val="000000"/>
                    </w:rPr>
                    <w:t>生态恢复</w:t>
                  </w:r>
                </w:p>
              </w:tc>
              <w:tc>
                <w:tcPr>
                  <w:tcW w:w="5669" w:type="dxa"/>
                  <w:shd w:val="clear" w:color="auto" w:fill="auto"/>
                  <w:vAlign w:val="center"/>
                </w:tcPr>
                <w:p>
                  <w:pPr>
                    <w:pStyle w:val="70"/>
                    <w:rPr>
                      <w:snapToGrid w:val="0"/>
                      <w:color w:val="000000"/>
                    </w:rPr>
                  </w:pPr>
                  <w:r>
                    <w:rPr>
                      <w:rFonts w:hint="eastAsia"/>
                      <w:color w:val="000000"/>
                    </w:rPr>
                    <w:t>合理规划、尽量减少修建进井路的施工作业区域宽度，尽量减少井场临时占地面积；区域施工现场尽量适时洒水，减少扬尘；项目建设完成后及时清理场地、地表植被自然恢复，以维持原有生态环境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504" w:type="dxa"/>
                  <w:vMerge w:val="continue"/>
                  <w:shd w:val="clear" w:color="auto" w:fill="auto"/>
                  <w:vAlign w:val="center"/>
                </w:tcPr>
                <w:p>
                  <w:pPr>
                    <w:pStyle w:val="70"/>
                    <w:rPr>
                      <w:snapToGrid w:val="0"/>
                      <w:color w:val="000000"/>
                    </w:rPr>
                  </w:pPr>
                </w:p>
              </w:tc>
              <w:tc>
                <w:tcPr>
                  <w:tcW w:w="502" w:type="dxa"/>
                  <w:vMerge w:val="restart"/>
                  <w:shd w:val="clear" w:color="auto" w:fill="auto"/>
                  <w:vAlign w:val="center"/>
                </w:tcPr>
                <w:p>
                  <w:pPr>
                    <w:pStyle w:val="70"/>
                    <w:rPr>
                      <w:snapToGrid w:val="0"/>
                      <w:color w:val="000000"/>
                    </w:rPr>
                  </w:pPr>
                  <w:r>
                    <w:rPr>
                      <w:snapToGrid w:val="0"/>
                      <w:color w:val="000000"/>
                    </w:rPr>
                    <w:t>风险</w:t>
                  </w:r>
                </w:p>
              </w:tc>
              <w:tc>
                <w:tcPr>
                  <w:tcW w:w="1004" w:type="dxa"/>
                  <w:shd w:val="clear" w:color="auto" w:fill="auto"/>
                  <w:vAlign w:val="center"/>
                </w:tcPr>
                <w:p>
                  <w:pPr>
                    <w:pStyle w:val="70"/>
                    <w:rPr>
                      <w:snapToGrid w:val="0"/>
                      <w:color w:val="000000"/>
                    </w:rPr>
                  </w:pPr>
                  <w:r>
                    <w:rPr>
                      <w:rFonts w:hint="eastAsia"/>
                      <w:snapToGrid w:val="0"/>
                      <w:color w:val="000000"/>
                    </w:rPr>
                    <w:t>H</w:t>
                  </w:r>
                  <w:r>
                    <w:rPr>
                      <w:rFonts w:hint="eastAsia"/>
                      <w:snapToGrid w:val="0"/>
                      <w:color w:val="000000"/>
                      <w:vertAlign w:val="subscript"/>
                    </w:rPr>
                    <w:t>2</w:t>
                  </w:r>
                  <w:r>
                    <w:rPr>
                      <w:rFonts w:hint="eastAsia"/>
                      <w:snapToGrid w:val="0"/>
                      <w:color w:val="000000"/>
                    </w:rPr>
                    <w:t>S监测装置</w:t>
                  </w:r>
                </w:p>
              </w:tc>
              <w:tc>
                <w:tcPr>
                  <w:tcW w:w="5669" w:type="dxa"/>
                  <w:shd w:val="clear" w:color="auto" w:fill="auto"/>
                  <w:vAlign w:val="center"/>
                </w:tcPr>
                <w:p>
                  <w:pPr>
                    <w:pStyle w:val="70"/>
                    <w:rPr>
                      <w:snapToGrid w:val="0"/>
                      <w:color w:val="000000"/>
                    </w:rPr>
                  </w:pPr>
                  <w:r>
                    <w:rPr>
                      <w:rFonts w:hint="eastAsia"/>
                      <w:snapToGrid w:val="0"/>
                      <w:color w:val="000000"/>
                    </w:rPr>
                    <w:t>探井录井仪配置有4个硫化氢监测仪，属于标准配置，分别位于钻台面上、钻台面下井口处、泥浆出口、室内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504" w:type="dxa"/>
                  <w:vMerge w:val="continue"/>
                  <w:shd w:val="clear" w:color="auto" w:fill="auto"/>
                  <w:vAlign w:val="center"/>
                </w:tcPr>
                <w:p>
                  <w:pPr>
                    <w:pStyle w:val="70"/>
                    <w:rPr>
                      <w:snapToGrid w:val="0"/>
                      <w:color w:val="000000"/>
                    </w:rPr>
                  </w:pPr>
                </w:p>
              </w:tc>
              <w:tc>
                <w:tcPr>
                  <w:tcW w:w="502" w:type="dxa"/>
                  <w:vMerge w:val="continue"/>
                  <w:shd w:val="clear" w:color="auto" w:fill="auto"/>
                  <w:vAlign w:val="center"/>
                </w:tcPr>
                <w:p>
                  <w:pPr>
                    <w:pStyle w:val="70"/>
                    <w:rPr>
                      <w:snapToGrid w:val="0"/>
                      <w:color w:val="000000"/>
                    </w:rPr>
                  </w:pPr>
                </w:p>
              </w:tc>
              <w:tc>
                <w:tcPr>
                  <w:tcW w:w="1004" w:type="dxa"/>
                  <w:shd w:val="clear" w:color="auto" w:fill="auto"/>
                  <w:vAlign w:val="center"/>
                </w:tcPr>
                <w:p>
                  <w:pPr>
                    <w:pStyle w:val="70"/>
                    <w:rPr>
                      <w:snapToGrid w:val="0"/>
                      <w:color w:val="000000"/>
                    </w:rPr>
                  </w:pPr>
                  <w:r>
                    <w:rPr>
                      <w:rFonts w:hint="eastAsia"/>
                      <w:snapToGrid w:val="0"/>
                      <w:color w:val="000000"/>
                    </w:rPr>
                    <w:t>防渗措施</w:t>
                  </w:r>
                </w:p>
              </w:tc>
              <w:tc>
                <w:tcPr>
                  <w:tcW w:w="5669" w:type="dxa"/>
                  <w:shd w:val="clear" w:color="auto" w:fill="auto"/>
                  <w:vAlign w:val="center"/>
                </w:tcPr>
                <w:p>
                  <w:pPr>
                    <w:pStyle w:val="70"/>
                    <w:rPr>
                      <w:color w:val="000000"/>
                    </w:rPr>
                  </w:pPr>
                  <w:r>
                    <w:rPr>
                      <w:color w:val="000000"/>
                    </w:rPr>
                    <w:t>重点防渗区</w:t>
                  </w:r>
                  <w:r>
                    <w:rPr>
                      <w:rFonts w:hint="eastAsia"/>
                      <w:color w:val="000000"/>
                    </w:rPr>
                    <w:t>敷设3mm防渗布</w:t>
                  </w:r>
                  <w:r>
                    <w:rPr>
                      <w:rFonts w:hint="eastAsia"/>
                      <w:snapToGrid w:val="0"/>
                      <w:color w:val="000000"/>
                    </w:rPr>
                    <w:t>（渗透系数≤10</w:t>
                  </w:r>
                  <w:r>
                    <w:rPr>
                      <w:snapToGrid w:val="0"/>
                      <w:color w:val="000000"/>
                      <w:vertAlign w:val="superscript"/>
                    </w:rPr>
                    <w:t>-7</w:t>
                  </w:r>
                  <w:r>
                    <w:rPr>
                      <w:rFonts w:hint="eastAsia"/>
                      <w:snapToGrid w:val="0"/>
                      <w:color w:val="000000"/>
                    </w:rPr>
                    <w:t>cm/s）</w:t>
                  </w:r>
                  <w:r>
                    <w:rPr>
                      <w:rFonts w:hint="eastAsia"/>
                      <w:color w:val="000000"/>
                    </w:rPr>
                    <w:t>防渗；</w:t>
                  </w:r>
                </w:p>
                <w:p>
                  <w:pPr>
                    <w:pStyle w:val="70"/>
                    <w:rPr>
                      <w:snapToGrid w:val="0"/>
                      <w:color w:val="000000"/>
                    </w:rPr>
                  </w:pPr>
                  <w:r>
                    <w:rPr>
                      <w:color w:val="000000"/>
                    </w:rPr>
                    <w:t>一般防渗区</w:t>
                  </w:r>
                  <w:r>
                    <w:rPr>
                      <w:rFonts w:hint="eastAsia"/>
                      <w:color w:val="000000"/>
                    </w:rPr>
                    <w:t>采用在混凝土面层中掺水泥基渗透结晶型防水剂，其下铺砌砂石基层，原土夯实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504" w:type="dxa"/>
                  <w:vMerge w:val="restart"/>
                  <w:shd w:val="clear" w:color="auto" w:fill="auto"/>
                  <w:vAlign w:val="center"/>
                </w:tcPr>
                <w:p>
                  <w:pPr>
                    <w:pStyle w:val="70"/>
                    <w:rPr>
                      <w:snapToGrid w:val="0"/>
                      <w:color w:val="000000"/>
                    </w:rPr>
                  </w:pPr>
                  <w:r>
                    <w:rPr>
                      <w:rFonts w:hint="eastAsia"/>
                      <w:snapToGrid w:val="0"/>
                      <w:color w:val="000000"/>
                    </w:rPr>
                    <w:t>公用工程</w:t>
                  </w:r>
                </w:p>
              </w:tc>
              <w:tc>
                <w:tcPr>
                  <w:tcW w:w="1506" w:type="dxa"/>
                  <w:gridSpan w:val="2"/>
                  <w:shd w:val="clear" w:color="auto" w:fill="auto"/>
                  <w:vAlign w:val="center"/>
                </w:tcPr>
                <w:p>
                  <w:pPr>
                    <w:pStyle w:val="70"/>
                    <w:rPr>
                      <w:snapToGrid w:val="0"/>
                      <w:color w:val="000000"/>
                    </w:rPr>
                  </w:pPr>
                  <w:r>
                    <w:rPr>
                      <w:rFonts w:hint="eastAsia"/>
                      <w:snapToGrid w:val="0"/>
                      <w:color w:val="000000"/>
                    </w:rPr>
                    <w:t>供水</w:t>
                  </w:r>
                </w:p>
              </w:tc>
              <w:tc>
                <w:tcPr>
                  <w:tcW w:w="5669" w:type="dxa"/>
                  <w:shd w:val="clear" w:color="auto" w:fill="auto"/>
                  <w:vAlign w:val="center"/>
                </w:tcPr>
                <w:p>
                  <w:pPr>
                    <w:pStyle w:val="70"/>
                    <w:rPr>
                      <w:snapToGrid w:val="0"/>
                      <w:color w:val="000000"/>
                    </w:rPr>
                  </w:pPr>
                  <w:r>
                    <w:rPr>
                      <w:rFonts w:hint="eastAsia"/>
                      <w:snapToGrid w:val="0"/>
                      <w:color w:val="000000"/>
                    </w:rPr>
                    <w:t>本项目需水量为</w:t>
                  </w:r>
                  <w:r>
                    <w:rPr>
                      <w:rFonts w:hint="eastAsia"/>
                    </w:rPr>
                    <w:t>2560</w:t>
                  </w:r>
                  <w:r>
                    <w:rPr>
                      <w:snapToGrid w:val="0"/>
                      <w:color w:val="000000"/>
                    </w:rPr>
                    <w:t>m</w:t>
                  </w:r>
                  <w:r>
                    <w:rPr>
                      <w:snapToGrid w:val="0"/>
                      <w:color w:val="000000"/>
                      <w:vertAlign w:val="superscript"/>
                    </w:rPr>
                    <w:t>3</w:t>
                  </w:r>
                  <w:r>
                    <w:rPr>
                      <w:rFonts w:hint="eastAsia"/>
                      <w:snapToGrid w:val="0"/>
                      <w:color w:val="000000"/>
                    </w:rPr>
                    <w:t>，用水由车辆拉运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504" w:type="dxa"/>
                  <w:vMerge w:val="continue"/>
                  <w:shd w:val="clear" w:color="auto" w:fill="auto"/>
                  <w:vAlign w:val="center"/>
                </w:tcPr>
                <w:p>
                  <w:pPr>
                    <w:pStyle w:val="70"/>
                    <w:rPr>
                      <w:snapToGrid w:val="0"/>
                      <w:color w:val="000000"/>
                    </w:rPr>
                  </w:pPr>
                </w:p>
              </w:tc>
              <w:tc>
                <w:tcPr>
                  <w:tcW w:w="1506" w:type="dxa"/>
                  <w:gridSpan w:val="2"/>
                  <w:shd w:val="clear" w:color="auto" w:fill="auto"/>
                  <w:vAlign w:val="center"/>
                </w:tcPr>
                <w:p>
                  <w:pPr>
                    <w:pStyle w:val="70"/>
                    <w:rPr>
                      <w:snapToGrid w:val="0"/>
                      <w:color w:val="000000"/>
                    </w:rPr>
                  </w:pPr>
                  <w:r>
                    <w:rPr>
                      <w:rFonts w:hint="eastAsia"/>
                      <w:snapToGrid w:val="0"/>
                      <w:color w:val="000000"/>
                    </w:rPr>
                    <w:t>排水</w:t>
                  </w:r>
                </w:p>
              </w:tc>
              <w:tc>
                <w:tcPr>
                  <w:tcW w:w="5669" w:type="dxa"/>
                  <w:shd w:val="clear" w:color="auto" w:fill="auto"/>
                  <w:vAlign w:val="center"/>
                </w:tcPr>
                <w:p>
                  <w:pPr>
                    <w:pStyle w:val="70"/>
                    <w:rPr>
                      <w:snapToGrid w:val="0"/>
                      <w:color w:val="000000"/>
                    </w:rPr>
                  </w:pPr>
                  <w:r>
                    <w:rPr>
                      <w:rFonts w:hint="eastAsia"/>
                      <w:snapToGrid w:val="0"/>
                      <w:color w:val="000000"/>
                    </w:rPr>
                    <w:t>钻井期钻井废水输送至泥浆不落地泥浆槽中循环利用，完井后废水运至春风一号联合站处理达标后用于产能开发回注地层；</w:t>
                  </w:r>
                  <w:r>
                    <w:rPr>
                      <w:rFonts w:hint="eastAsia"/>
                      <w:color w:val="000000"/>
                    </w:rPr>
                    <w:t>生活污水排入旱厕由当地农户定期清理，用做农肥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504" w:type="dxa"/>
                  <w:vMerge w:val="continue"/>
                  <w:shd w:val="clear" w:color="auto" w:fill="auto"/>
                  <w:vAlign w:val="center"/>
                </w:tcPr>
                <w:p>
                  <w:pPr>
                    <w:pStyle w:val="70"/>
                    <w:rPr>
                      <w:snapToGrid w:val="0"/>
                      <w:color w:val="000000"/>
                    </w:rPr>
                  </w:pPr>
                </w:p>
              </w:tc>
              <w:tc>
                <w:tcPr>
                  <w:tcW w:w="1506" w:type="dxa"/>
                  <w:gridSpan w:val="2"/>
                  <w:shd w:val="clear" w:color="auto" w:fill="auto"/>
                  <w:vAlign w:val="center"/>
                </w:tcPr>
                <w:p>
                  <w:pPr>
                    <w:pStyle w:val="70"/>
                    <w:rPr>
                      <w:snapToGrid w:val="0"/>
                      <w:color w:val="000000"/>
                    </w:rPr>
                  </w:pPr>
                  <w:r>
                    <w:rPr>
                      <w:rFonts w:hint="eastAsia"/>
                      <w:snapToGrid w:val="0"/>
                      <w:color w:val="000000"/>
                    </w:rPr>
                    <w:t>供电</w:t>
                  </w:r>
                </w:p>
              </w:tc>
              <w:tc>
                <w:tcPr>
                  <w:tcW w:w="5669" w:type="dxa"/>
                  <w:shd w:val="clear" w:color="auto" w:fill="auto"/>
                  <w:vAlign w:val="center"/>
                </w:tcPr>
                <w:p>
                  <w:pPr>
                    <w:pStyle w:val="70"/>
                    <w:rPr>
                      <w:snapToGrid w:val="0"/>
                      <w:color w:val="000000"/>
                    </w:rPr>
                  </w:pPr>
                  <w:r>
                    <w:rPr>
                      <w:rFonts w:hint="eastAsia"/>
                      <w:snapToGrid w:val="0"/>
                      <w:color w:val="000000"/>
                    </w:rPr>
                    <w:t>柴油机发电，钻井期消耗柴油量</w:t>
                  </w:r>
                  <w:r>
                    <w:rPr>
                      <w:rFonts w:hint="eastAsia"/>
                    </w:rPr>
                    <w:t>130</w:t>
                  </w:r>
                  <w:r>
                    <w:rPr>
                      <w:rFonts w:hint="eastAsia"/>
                      <w:snapToGrid w:val="0"/>
                      <w:color w:val="000000"/>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504" w:type="dxa"/>
                  <w:vMerge w:val="continue"/>
                  <w:shd w:val="clear" w:color="auto" w:fill="auto"/>
                  <w:vAlign w:val="center"/>
                </w:tcPr>
                <w:p>
                  <w:pPr>
                    <w:pStyle w:val="70"/>
                    <w:rPr>
                      <w:snapToGrid w:val="0"/>
                      <w:color w:val="000000"/>
                    </w:rPr>
                  </w:pPr>
                </w:p>
              </w:tc>
              <w:tc>
                <w:tcPr>
                  <w:tcW w:w="1506" w:type="dxa"/>
                  <w:gridSpan w:val="2"/>
                  <w:shd w:val="clear" w:color="auto" w:fill="auto"/>
                  <w:vAlign w:val="center"/>
                </w:tcPr>
                <w:p>
                  <w:pPr>
                    <w:pStyle w:val="70"/>
                    <w:rPr>
                      <w:snapToGrid w:val="0"/>
                      <w:color w:val="000000"/>
                    </w:rPr>
                  </w:pPr>
                  <w:r>
                    <w:rPr>
                      <w:rFonts w:hint="eastAsia"/>
                      <w:snapToGrid w:val="0"/>
                      <w:color w:val="000000"/>
                    </w:rPr>
                    <w:t>供暖</w:t>
                  </w:r>
                </w:p>
              </w:tc>
              <w:tc>
                <w:tcPr>
                  <w:tcW w:w="5669" w:type="dxa"/>
                  <w:shd w:val="clear" w:color="auto" w:fill="auto"/>
                  <w:vAlign w:val="center"/>
                </w:tcPr>
                <w:p>
                  <w:pPr>
                    <w:pStyle w:val="70"/>
                    <w:rPr>
                      <w:snapToGrid w:val="0"/>
                      <w:color w:val="000000"/>
                    </w:rPr>
                  </w:pPr>
                  <w:r>
                    <w:rPr>
                      <w:rFonts w:hint="eastAsia"/>
                      <w:snapToGrid w:val="0"/>
                      <w:color w:val="000000"/>
                    </w:rPr>
                    <w:t>电采暖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504" w:type="dxa"/>
                  <w:vMerge w:val="restart"/>
                  <w:shd w:val="clear" w:color="auto" w:fill="auto"/>
                  <w:vAlign w:val="center"/>
                </w:tcPr>
                <w:p>
                  <w:pPr>
                    <w:pStyle w:val="70"/>
                    <w:rPr>
                      <w:snapToGrid w:val="0"/>
                      <w:color w:val="000000"/>
                    </w:rPr>
                  </w:pPr>
                  <w:r>
                    <w:rPr>
                      <w:rFonts w:hint="eastAsia"/>
                      <w:snapToGrid w:val="0"/>
                      <w:color w:val="000000"/>
                    </w:rPr>
                    <w:t>依托工程</w:t>
                  </w:r>
                </w:p>
              </w:tc>
              <w:tc>
                <w:tcPr>
                  <w:tcW w:w="1506" w:type="dxa"/>
                  <w:gridSpan w:val="2"/>
                  <w:shd w:val="clear" w:color="auto" w:fill="auto"/>
                  <w:vAlign w:val="center"/>
                </w:tcPr>
                <w:p>
                  <w:pPr>
                    <w:pStyle w:val="70"/>
                    <w:rPr>
                      <w:snapToGrid w:val="0"/>
                      <w:color w:val="000000"/>
                    </w:rPr>
                  </w:pPr>
                  <w:r>
                    <w:rPr>
                      <w:rFonts w:hint="eastAsia"/>
                      <w:color w:val="000000"/>
                    </w:rPr>
                    <w:t>钻井废水处置</w:t>
                  </w:r>
                </w:p>
              </w:tc>
              <w:tc>
                <w:tcPr>
                  <w:tcW w:w="5669" w:type="dxa"/>
                  <w:shd w:val="clear" w:color="auto" w:fill="auto"/>
                  <w:vAlign w:val="center"/>
                </w:tcPr>
                <w:p>
                  <w:pPr>
                    <w:pStyle w:val="70"/>
                    <w:rPr>
                      <w:snapToGrid w:val="0"/>
                      <w:color w:val="000000"/>
                    </w:rPr>
                  </w:pPr>
                  <w:r>
                    <w:rPr>
                      <w:rFonts w:hint="eastAsia"/>
                      <w:color w:val="000000"/>
                    </w:rPr>
                    <w:t>钻井废水全部输送至泥浆不落地泥浆槽中循环利用，完井后废水运至春风一号联合站处理达标后用于产能开发回注地层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504" w:type="dxa"/>
                  <w:vMerge w:val="continue"/>
                  <w:shd w:val="clear" w:color="auto" w:fill="auto"/>
                  <w:vAlign w:val="center"/>
                </w:tcPr>
                <w:p>
                  <w:pPr>
                    <w:pStyle w:val="70"/>
                    <w:rPr>
                      <w:snapToGrid w:val="0"/>
                      <w:color w:val="000000"/>
                    </w:rPr>
                  </w:pPr>
                </w:p>
              </w:tc>
              <w:tc>
                <w:tcPr>
                  <w:tcW w:w="1506" w:type="dxa"/>
                  <w:gridSpan w:val="2"/>
                  <w:shd w:val="clear" w:color="auto" w:fill="auto"/>
                  <w:vAlign w:val="center"/>
                </w:tcPr>
                <w:p>
                  <w:pPr>
                    <w:pStyle w:val="70"/>
                    <w:rPr>
                      <w:color w:val="000000"/>
                    </w:rPr>
                  </w:pPr>
                  <w:r>
                    <w:rPr>
                      <w:rFonts w:hint="eastAsia"/>
                      <w:color w:val="000000"/>
                    </w:rPr>
                    <w:t>钻井固废处理</w:t>
                  </w:r>
                </w:p>
              </w:tc>
              <w:tc>
                <w:tcPr>
                  <w:tcW w:w="5669" w:type="dxa"/>
                  <w:shd w:val="clear" w:color="auto" w:fill="auto"/>
                  <w:vAlign w:val="center"/>
                </w:tcPr>
                <w:p>
                  <w:pPr>
                    <w:pStyle w:val="70"/>
                    <w:rPr>
                      <w:color w:val="000000"/>
                    </w:rPr>
                  </w:pPr>
                  <w:r>
                    <w:rPr>
                      <w:color w:val="000000"/>
                    </w:rPr>
                    <w:t>钻井固废经</w:t>
                  </w:r>
                  <w:r>
                    <w:rPr>
                      <w:rFonts w:hAnsi="宋体"/>
                      <w:color w:val="000000"/>
                    </w:rPr>
                    <w:t>“</w:t>
                  </w:r>
                  <w:r>
                    <w:rPr>
                      <w:rFonts w:hint="eastAsia" w:hAnsi="宋体"/>
                      <w:color w:val="000000"/>
                    </w:rPr>
                    <w:t>泥浆不落地</w:t>
                  </w:r>
                  <w:r>
                    <w:rPr>
                      <w:rFonts w:hAnsi="宋体"/>
                      <w:color w:val="000000"/>
                    </w:rPr>
                    <w:t>”</w:t>
                  </w:r>
                  <w:r>
                    <w:rPr>
                      <w:rFonts w:hint="eastAsia"/>
                      <w:color w:val="000000"/>
                    </w:rPr>
                    <w:t>设备分离后拉运至克拉玛依前山石油工程服务有限公司处理，处理后</w:t>
                  </w:r>
                  <w:r>
                    <w:rPr>
                      <w:color w:val="000000"/>
                    </w:rPr>
                    <w:t>检测达到《油气田钻井固体废物综合利用污染控制要求》（DB65/T 3997-2017）相关标准限值后用于铺路、铺垫井场综合利用，未达标的产物将进入处置系统再次进行处理，不得随意排放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504" w:type="dxa"/>
                  <w:vMerge w:val="continue"/>
                  <w:shd w:val="clear" w:color="auto" w:fill="auto"/>
                  <w:vAlign w:val="center"/>
                </w:tcPr>
                <w:p>
                  <w:pPr>
                    <w:pStyle w:val="70"/>
                    <w:rPr>
                      <w:snapToGrid w:val="0"/>
                      <w:color w:val="000000"/>
                    </w:rPr>
                  </w:pPr>
                </w:p>
              </w:tc>
              <w:tc>
                <w:tcPr>
                  <w:tcW w:w="1506" w:type="dxa"/>
                  <w:gridSpan w:val="2"/>
                  <w:shd w:val="clear" w:color="auto" w:fill="auto"/>
                  <w:vAlign w:val="center"/>
                </w:tcPr>
                <w:p>
                  <w:pPr>
                    <w:pStyle w:val="70"/>
                    <w:rPr>
                      <w:snapToGrid w:val="0"/>
                      <w:color w:val="000000"/>
                    </w:rPr>
                  </w:pPr>
                  <w:r>
                    <w:rPr>
                      <w:rFonts w:hint="eastAsia"/>
                      <w:color w:val="000000"/>
                    </w:rPr>
                    <w:t>生活污水处置</w:t>
                  </w:r>
                </w:p>
              </w:tc>
              <w:tc>
                <w:tcPr>
                  <w:tcW w:w="5669" w:type="dxa"/>
                  <w:shd w:val="clear" w:color="auto" w:fill="auto"/>
                  <w:vAlign w:val="center"/>
                </w:tcPr>
                <w:p>
                  <w:pPr>
                    <w:pStyle w:val="70"/>
                    <w:rPr>
                      <w:snapToGrid w:val="0"/>
                      <w:color w:val="000000"/>
                    </w:rPr>
                  </w:pPr>
                  <w:r>
                    <w:rPr>
                      <w:color w:val="000000"/>
                    </w:rPr>
                    <w:t>本项目不设生活营地，施工期职工生活依托周边村镇</w:t>
                  </w:r>
                  <w:r>
                    <w:rPr>
                      <w:rFonts w:hint="eastAsia"/>
                      <w:color w:val="000000"/>
                    </w:rPr>
                    <w:t>，生活污水排入旱厕由当地农户定期清理，用做农肥</w:t>
                  </w:r>
                </w:p>
              </w:tc>
            </w:tr>
          </w:tbl>
          <w:p>
            <w:pPr>
              <w:pStyle w:val="110"/>
              <w:rPr>
                <w:color w:val="000000"/>
              </w:rPr>
            </w:pPr>
          </w:p>
          <w:p>
            <w:pPr>
              <w:pStyle w:val="110"/>
              <w:rPr>
                <w:color w:val="000000"/>
              </w:rPr>
            </w:pPr>
            <w:r>
              <w:rPr>
                <w:color w:val="000000"/>
              </w:rPr>
              <w:t>3</w:t>
            </w:r>
            <w:r>
              <w:rPr>
                <w:rFonts w:hint="eastAsia"/>
                <w:color w:val="000000"/>
              </w:rPr>
              <w:t>、建设内容</w:t>
            </w:r>
          </w:p>
          <w:p>
            <w:pPr>
              <w:pStyle w:val="110"/>
              <w:rPr>
                <w:color w:val="000000"/>
              </w:rPr>
            </w:pPr>
            <w:r>
              <w:rPr>
                <w:rFonts w:hint="eastAsia"/>
                <w:color w:val="000000"/>
              </w:rPr>
              <w:t>新钻</w:t>
            </w:r>
            <w:r>
              <w:rPr>
                <w:rFonts w:hint="eastAsia"/>
              </w:rPr>
              <w:t>大龙口-浅1、大龙口-浅2、大龙口-浅3等3口探井</w:t>
            </w:r>
            <w:r>
              <w:rPr>
                <w:rFonts w:hint="eastAsia"/>
                <w:color w:val="000000"/>
              </w:rPr>
              <w:t>，设计总井深</w:t>
            </w:r>
            <w:r>
              <w:rPr>
                <w:rFonts w:hint="eastAsia"/>
              </w:rPr>
              <w:t>3750</w:t>
            </w:r>
            <w:r>
              <w:rPr>
                <w:color w:val="000000"/>
              </w:rPr>
              <w:t>m</w:t>
            </w:r>
            <w:r>
              <w:rPr>
                <w:rFonts w:hint="eastAsia"/>
                <w:color w:val="000000"/>
              </w:rPr>
              <w:t>。</w:t>
            </w:r>
          </w:p>
          <w:p>
            <w:pPr>
              <w:pStyle w:val="110"/>
              <w:rPr>
                <w:color w:val="000000"/>
              </w:rPr>
            </w:pPr>
            <w:r>
              <w:rPr>
                <w:rFonts w:hint="eastAsia"/>
                <w:color w:val="000000"/>
              </w:rPr>
              <w:t>完钻后进行取芯等任务，获取有关技术参数。</w:t>
            </w:r>
          </w:p>
          <w:p>
            <w:pPr>
              <w:pStyle w:val="110"/>
              <w:rPr>
                <w:color w:val="000000"/>
              </w:rPr>
            </w:pPr>
            <w:r>
              <w:rPr>
                <w:color w:val="000000"/>
              </w:rPr>
              <w:t>4</w:t>
            </w:r>
            <w:r>
              <w:rPr>
                <w:rFonts w:hint="eastAsia"/>
                <w:color w:val="000000"/>
              </w:rPr>
              <w:t>、井身结构</w:t>
            </w:r>
          </w:p>
          <w:p>
            <w:pPr>
              <w:pStyle w:val="110"/>
              <w:rPr>
                <w:color w:val="000000"/>
              </w:rPr>
            </w:pPr>
            <w:r>
              <w:rPr>
                <w:rFonts w:hint="eastAsia"/>
                <w:color w:val="000000"/>
              </w:rPr>
              <w:t xml:space="preserve">本项目采用二开制井身结构，井身结构见表 </w:t>
            </w:r>
            <w:r>
              <w:rPr>
                <w:color w:val="000000"/>
              </w:rPr>
              <w:t>7</w:t>
            </w:r>
            <w:r>
              <w:rPr>
                <w:rFonts w:hint="eastAsia"/>
                <w:color w:val="000000"/>
              </w:rPr>
              <w:t xml:space="preserve">及图 </w:t>
            </w:r>
            <w:r>
              <w:rPr>
                <w:color w:val="000000"/>
              </w:rPr>
              <w:t>1</w:t>
            </w:r>
            <w:r>
              <w:rPr>
                <w:rFonts w:hint="eastAsia"/>
                <w:color w:val="000000"/>
              </w:rPr>
              <w:t>。</w:t>
            </w:r>
          </w:p>
          <w:p>
            <w:pPr>
              <w:pStyle w:val="97"/>
              <w:spacing w:before="120" w:beforeLines="50" w:line="360" w:lineRule="auto"/>
              <w:rPr>
                <w:snapToGrid w:val="0"/>
                <w:color w:val="000000"/>
              </w:rPr>
            </w:pPr>
            <w:bookmarkStart w:id="11" w:name="_Ref38541693"/>
            <w:r>
              <w:rPr>
                <w:rFonts w:hint="eastAsia"/>
                <w:color w:val="000000"/>
              </w:rPr>
              <w:t xml:space="preserve">表 </w:t>
            </w:r>
            <w:r>
              <w:rPr>
                <w:color w:val="000000"/>
              </w:rPr>
              <w:t>7</w:t>
            </w:r>
            <w:bookmarkEnd w:id="11"/>
            <w:r>
              <w:rPr>
                <w:color w:val="000000"/>
              </w:rPr>
              <w:t xml:space="preserve">  </w:t>
            </w:r>
            <w:r>
              <w:rPr>
                <w:rFonts w:hint="eastAsia"/>
                <w:snapToGrid w:val="0"/>
                <w:color w:val="000000"/>
              </w:rPr>
              <w:t>井身结构情况一览表</w:t>
            </w:r>
          </w:p>
          <w:tbl>
            <w:tblPr>
              <w:tblStyle w:val="29"/>
              <w:tblW w:w="76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5"/>
              <w:gridCol w:w="834"/>
              <w:gridCol w:w="1571"/>
              <w:gridCol w:w="1018"/>
              <w:gridCol w:w="1571"/>
              <w:gridCol w:w="15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115" w:type="dxa"/>
                  <w:vAlign w:val="center"/>
                </w:tcPr>
                <w:p>
                  <w:pPr>
                    <w:pStyle w:val="70"/>
                    <w:rPr>
                      <w:color w:val="000000"/>
                    </w:rPr>
                  </w:pPr>
                  <w:r>
                    <w:rPr>
                      <w:rFonts w:hint="eastAsia"/>
                      <w:color w:val="000000"/>
                    </w:rPr>
                    <w:t>井号</w:t>
                  </w:r>
                </w:p>
              </w:tc>
              <w:tc>
                <w:tcPr>
                  <w:tcW w:w="834" w:type="dxa"/>
                  <w:tcMar>
                    <w:top w:w="0" w:type="dxa"/>
                    <w:left w:w="28" w:type="dxa"/>
                    <w:bottom w:w="0" w:type="dxa"/>
                    <w:right w:w="28" w:type="dxa"/>
                  </w:tcMar>
                  <w:vAlign w:val="center"/>
                </w:tcPr>
                <w:p>
                  <w:pPr>
                    <w:pStyle w:val="70"/>
                    <w:rPr>
                      <w:color w:val="000000"/>
                      <w:szCs w:val="20"/>
                    </w:rPr>
                  </w:pPr>
                  <w:r>
                    <w:rPr>
                      <w:rFonts w:hint="eastAsia"/>
                      <w:color w:val="000000"/>
                    </w:rPr>
                    <w:t>开钻</w:t>
                  </w:r>
                </w:p>
                <w:p>
                  <w:pPr>
                    <w:pStyle w:val="70"/>
                    <w:rPr>
                      <w:color w:val="000000"/>
                    </w:rPr>
                  </w:pPr>
                  <w:r>
                    <w:rPr>
                      <w:rFonts w:hint="eastAsia"/>
                      <w:color w:val="000000"/>
                    </w:rPr>
                    <w:t>顺序</w:t>
                  </w:r>
                </w:p>
              </w:tc>
              <w:tc>
                <w:tcPr>
                  <w:tcW w:w="1571" w:type="dxa"/>
                  <w:tcMar>
                    <w:top w:w="0" w:type="dxa"/>
                    <w:left w:w="28" w:type="dxa"/>
                    <w:bottom w:w="0" w:type="dxa"/>
                    <w:right w:w="28" w:type="dxa"/>
                  </w:tcMar>
                  <w:vAlign w:val="center"/>
                </w:tcPr>
                <w:p>
                  <w:pPr>
                    <w:pStyle w:val="70"/>
                    <w:rPr>
                      <w:color w:val="000000"/>
                    </w:rPr>
                  </w:pPr>
                  <w:r>
                    <w:rPr>
                      <w:rFonts w:hint="eastAsia"/>
                      <w:color w:val="000000"/>
                    </w:rPr>
                    <w:t>钻头尺寸</w:t>
                  </w:r>
                </w:p>
                <w:p>
                  <w:pPr>
                    <w:pStyle w:val="70"/>
                    <w:rPr>
                      <w:color w:val="000000"/>
                    </w:rPr>
                  </w:pPr>
                  <w:r>
                    <w:rPr>
                      <w:rFonts w:hint="eastAsia"/>
                      <w:color w:val="000000"/>
                    </w:rPr>
                    <w:t>（</w:t>
                  </w:r>
                  <w:r>
                    <w:rPr>
                      <w:color w:val="000000"/>
                    </w:rPr>
                    <w:t>mm</w:t>
                  </w:r>
                  <w:r>
                    <w:rPr>
                      <w:rFonts w:hint="eastAsia"/>
                      <w:color w:val="000000"/>
                    </w:rPr>
                    <w:t>）</w:t>
                  </w:r>
                </w:p>
              </w:tc>
              <w:tc>
                <w:tcPr>
                  <w:tcW w:w="1018" w:type="dxa"/>
                  <w:tcMar>
                    <w:top w:w="0" w:type="dxa"/>
                    <w:left w:w="28" w:type="dxa"/>
                    <w:bottom w:w="0" w:type="dxa"/>
                    <w:right w:w="28" w:type="dxa"/>
                  </w:tcMar>
                  <w:vAlign w:val="center"/>
                </w:tcPr>
                <w:p>
                  <w:pPr>
                    <w:pStyle w:val="70"/>
                    <w:rPr>
                      <w:color w:val="000000"/>
                    </w:rPr>
                  </w:pPr>
                  <w:r>
                    <w:rPr>
                      <w:rFonts w:hint="eastAsia"/>
                      <w:color w:val="000000"/>
                    </w:rPr>
                    <w:t>井深</w:t>
                  </w:r>
                </w:p>
                <w:p>
                  <w:pPr>
                    <w:pStyle w:val="70"/>
                    <w:rPr>
                      <w:color w:val="000000"/>
                    </w:rPr>
                  </w:pPr>
                  <w:r>
                    <w:rPr>
                      <w:rFonts w:hint="eastAsia"/>
                      <w:color w:val="000000"/>
                    </w:rPr>
                    <w:t>（</w:t>
                  </w:r>
                  <w:r>
                    <w:rPr>
                      <w:color w:val="000000"/>
                    </w:rPr>
                    <w:t>m</w:t>
                  </w:r>
                  <w:r>
                    <w:rPr>
                      <w:rFonts w:hint="eastAsia"/>
                      <w:color w:val="000000"/>
                    </w:rPr>
                    <w:t>）</w:t>
                  </w:r>
                </w:p>
              </w:tc>
              <w:tc>
                <w:tcPr>
                  <w:tcW w:w="1571" w:type="dxa"/>
                  <w:tcMar>
                    <w:top w:w="0" w:type="dxa"/>
                    <w:left w:w="28" w:type="dxa"/>
                    <w:bottom w:w="0" w:type="dxa"/>
                    <w:right w:w="28" w:type="dxa"/>
                  </w:tcMar>
                  <w:vAlign w:val="center"/>
                </w:tcPr>
                <w:p>
                  <w:pPr>
                    <w:pStyle w:val="70"/>
                    <w:rPr>
                      <w:color w:val="000000"/>
                    </w:rPr>
                  </w:pPr>
                  <w:r>
                    <w:rPr>
                      <w:rFonts w:hint="eastAsia"/>
                      <w:color w:val="000000"/>
                    </w:rPr>
                    <w:t>套管尺寸</w:t>
                  </w:r>
                </w:p>
                <w:p>
                  <w:pPr>
                    <w:pStyle w:val="70"/>
                    <w:rPr>
                      <w:color w:val="000000"/>
                    </w:rPr>
                  </w:pPr>
                  <w:r>
                    <w:rPr>
                      <w:rFonts w:hint="eastAsia"/>
                      <w:color w:val="000000"/>
                    </w:rPr>
                    <w:t>（</w:t>
                  </w:r>
                  <w:r>
                    <w:rPr>
                      <w:color w:val="000000"/>
                    </w:rPr>
                    <w:t>mm</w:t>
                  </w:r>
                  <w:r>
                    <w:rPr>
                      <w:rFonts w:hint="eastAsia"/>
                      <w:color w:val="000000"/>
                    </w:rPr>
                    <w:t>）</w:t>
                  </w:r>
                </w:p>
              </w:tc>
              <w:tc>
                <w:tcPr>
                  <w:tcW w:w="1570" w:type="dxa"/>
                  <w:tcMar>
                    <w:top w:w="0" w:type="dxa"/>
                    <w:left w:w="28" w:type="dxa"/>
                    <w:bottom w:w="0" w:type="dxa"/>
                    <w:right w:w="28" w:type="dxa"/>
                  </w:tcMar>
                  <w:vAlign w:val="center"/>
                </w:tcPr>
                <w:p>
                  <w:pPr>
                    <w:pStyle w:val="70"/>
                    <w:rPr>
                      <w:color w:val="000000"/>
                    </w:rPr>
                  </w:pPr>
                  <w:r>
                    <w:rPr>
                      <w:rFonts w:hint="eastAsia"/>
                      <w:color w:val="000000"/>
                    </w:rPr>
                    <w:t>套管下深</w:t>
                  </w:r>
                </w:p>
                <w:p>
                  <w:pPr>
                    <w:pStyle w:val="70"/>
                    <w:rPr>
                      <w:color w:val="000000"/>
                    </w:rPr>
                  </w:pPr>
                  <w:r>
                    <w:rPr>
                      <w:rFonts w:hint="eastAsia"/>
                      <w:color w:val="000000"/>
                    </w:rPr>
                    <w:t>（</w:t>
                  </w:r>
                  <w:r>
                    <w:rPr>
                      <w:color w:val="000000"/>
                    </w:rPr>
                    <w:t>m</w:t>
                  </w:r>
                  <w:r>
                    <w:rPr>
                      <w:rFonts w:hint="eastAsia"/>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115" w:type="dxa"/>
                  <w:vMerge w:val="restart"/>
                  <w:vAlign w:val="center"/>
                </w:tcPr>
                <w:p>
                  <w:pPr>
                    <w:pStyle w:val="70"/>
                    <w:rPr>
                      <w:color w:val="000000"/>
                    </w:rPr>
                  </w:pPr>
                  <w:r>
                    <w:rPr>
                      <w:rFonts w:hint="eastAsia"/>
                      <w:color w:val="000000"/>
                    </w:rPr>
                    <w:t>大龙口-浅1</w:t>
                  </w:r>
                </w:p>
              </w:tc>
              <w:tc>
                <w:tcPr>
                  <w:tcW w:w="834" w:type="dxa"/>
                  <w:tcMar>
                    <w:top w:w="0" w:type="dxa"/>
                    <w:left w:w="28" w:type="dxa"/>
                    <w:bottom w:w="0" w:type="dxa"/>
                    <w:right w:w="28" w:type="dxa"/>
                  </w:tcMar>
                  <w:vAlign w:val="center"/>
                </w:tcPr>
                <w:p>
                  <w:pPr>
                    <w:pStyle w:val="70"/>
                    <w:rPr>
                      <w:color w:val="000000"/>
                    </w:rPr>
                  </w:pPr>
                  <w:r>
                    <w:rPr>
                      <w:rFonts w:hint="eastAsia"/>
                      <w:color w:val="000000"/>
                    </w:rPr>
                    <w:t>一开</w:t>
                  </w:r>
                </w:p>
              </w:tc>
              <w:tc>
                <w:tcPr>
                  <w:tcW w:w="1571" w:type="dxa"/>
                  <w:tcMar>
                    <w:top w:w="0" w:type="dxa"/>
                    <w:left w:w="28" w:type="dxa"/>
                    <w:bottom w:w="0" w:type="dxa"/>
                    <w:right w:w="28" w:type="dxa"/>
                  </w:tcMar>
                  <w:vAlign w:val="center"/>
                </w:tcPr>
                <w:p>
                  <w:pPr>
                    <w:pStyle w:val="70"/>
                    <w:rPr>
                      <w:color w:val="000000"/>
                    </w:rPr>
                  </w:pPr>
                  <w:r>
                    <w:rPr>
                      <w:color w:val="000000"/>
                    </w:rPr>
                    <w:t>311.2</w:t>
                  </w:r>
                </w:p>
              </w:tc>
              <w:tc>
                <w:tcPr>
                  <w:tcW w:w="1018" w:type="dxa"/>
                  <w:tcMar>
                    <w:top w:w="0" w:type="dxa"/>
                    <w:left w:w="28" w:type="dxa"/>
                    <w:bottom w:w="0" w:type="dxa"/>
                    <w:right w:w="28" w:type="dxa"/>
                  </w:tcMar>
                  <w:vAlign w:val="center"/>
                </w:tcPr>
                <w:p>
                  <w:pPr>
                    <w:pStyle w:val="70"/>
                    <w:rPr>
                      <w:color w:val="000000"/>
                    </w:rPr>
                  </w:pPr>
                  <w:r>
                    <w:rPr>
                      <w:color w:val="000000"/>
                    </w:rPr>
                    <w:t>6</w:t>
                  </w:r>
                </w:p>
              </w:tc>
              <w:tc>
                <w:tcPr>
                  <w:tcW w:w="1571" w:type="dxa"/>
                  <w:tcMar>
                    <w:top w:w="0" w:type="dxa"/>
                    <w:left w:w="28" w:type="dxa"/>
                    <w:bottom w:w="0" w:type="dxa"/>
                    <w:right w:w="28" w:type="dxa"/>
                  </w:tcMar>
                  <w:vAlign w:val="center"/>
                </w:tcPr>
                <w:p>
                  <w:pPr>
                    <w:pStyle w:val="70"/>
                    <w:rPr>
                      <w:color w:val="000000"/>
                    </w:rPr>
                  </w:pPr>
                  <w:r>
                    <w:rPr>
                      <w:color w:val="000000"/>
                    </w:rPr>
                    <w:t>244.5</w:t>
                  </w:r>
                </w:p>
              </w:tc>
              <w:tc>
                <w:tcPr>
                  <w:tcW w:w="1570" w:type="dxa"/>
                  <w:tcMar>
                    <w:top w:w="0" w:type="dxa"/>
                    <w:left w:w="28" w:type="dxa"/>
                    <w:bottom w:w="0" w:type="dxa"/>
                    <w:right w:w="28" w:type="dxa"/>
                  </w:tcMar>
                  <w:vAlign w:val="center"/>
                </w:tcPr>
                <w:p>
                  <w:pPr>
                    <w:pStyle w:val="70"/>
                    <w:rPr>
                      <w:color w:val="000000"/>
                    </w:rPr>
                  </w:pPr>
                  <w:r>
                    <w:rPr>
                      <w:color w:val="000000"/>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115" w:type="dxa"/>
                  <w:vMerge w:val="continue"/>
                  <w:vAlign w:val="center"/>
                </w:tcPr>
                <w:p>
                  <w:pPr>
                    <w:pStyle w:val="70"/>
                    <w:rPr>
                      <w:color w:val="000000"/>
                    </w:rPr>
                  </w:pPr>
                </w:p>
              </w:tc>
              <w:tc>
                <w:tcPr>
                  <w:tcW w:w="834" w:type="dxa"/>
                  <w:tcMar>
                    <w:top w:w="0" w:type="dxa"/>
                    <w:left w:w="28" w:type="dxa"/>
                    <w:bottom w:w="0" w:type="dxa"/>
                    <w:right w:w="28" w:type="dxa"/>
                  </w:tcMar>
                  <w:vAlign w:val="center"/>
                </w:tcPr>
                <w:p>
                  <w:pPr>
                    <w:pStyle w:val="70"/>
                    <w:rPr>
                      <w:color w:val="000000"/>
                    </w:rPr>
                  </w:pPr>
                  <w:r>
                    <w:rPr>
                      <w:rFonts w:hint="eastAsia"/>
                      <w:color w:val="000000"/>
                    </w:rPr>
                    <w:t>二开</w:t>
                  </w:r>
                </w:p>
              </w:tc>
              <w:tc>
                <w:tcPr>
                  <w:tcW w:w="1571" w:type="dxa"/>
                  <w:tcMar>
                    <w:top w:w="0" w:type="dxa"/>
                    <w:left w:w="28" w:type="dxa"/>
                    <w:bottom w:w="0" w:type="dxa"/>
                    <w:right w:w="28" w:type="dxa"/>
                  </w:tcMar>
                  <w:vAlign w:val="center"/>
                </w:tcPr>
                <w:p>
                  <w:pPr>
                    <w:pStyle w:val="70"/>
                    <w:rPr>
                      <w:color w:val="000000"/>
                    </w:rPr>
                  </w:pPr>
                  <w:r>
                    <w:rPr>
                      <w:color w:val="000000"/>
                    </w:rPr>
                    <w:t>215.9</w:t>
                  </w:r>
                </w:p>
              </w:tc>
              <w:tc>
                <w:tcPr>
                  <w:tcW w:w="1018" w:type="dxa"/>
                  <w:tcMar>
                    <w:top w:w="0" w:type="dxa"/>
                    <w:left w:w="28" w:type="dxa"/>
                    <w:bottom w:w="0" w:type="dxa"/>
                    <w:right w:w="28" w:type="dxa"/>
                  </w:tcMar>
                  <w:vAlign w:val="center"/>
                </w:tcPr>
                <w:p>
                  <w:pPr>
                    <w:pStyle w:val="70"/>
                    <w:rPr>
                      <w:color w:val="000000"/>
                    </w:rPr>
                  </w:pPr>
                  <w:r>
                    <w:rPr>
                      <w:color w:val="000000"/>
                    </w:rPr>
                    <w:t>1250</w:t>
                  </w:r>
                </w:p>
              </w:tc>
              <w:tc>
                <w:tcPr>
                  <w:tcW w:w="1571" w:type="dxa"/>
                  <w:tcMar>
                    <w:top w:w="0" w:type="dxa"/>
                    <w:left w:w="28" w:type="dxa"/>
                    <w:bottom w:w="0" w:type="dxa"/>
                    <w:right w:w="28" w:type="dxa"/>
                  </w:tcMar>
                  <w:vAlign w:val="center"/>
                </w:tcPr>
                <w:p>
                  <w:pPr>
                    <w:pStyle w:val="70"/>
                    <w:rPr>
                      <w:color w:val="000000"/>
                    </w:rPr>
                  </w:pPr>
                  <w:r>
                    <w:rPr>
                      <w:color w:val="000000"/>
                    </w:rPr>
                    <w:t>——</w:t>
                  </w:r>
                </w:p>
              </w:tc>
              <w:tc>
                <w:tcPr>
                  <w:tcW w:w="1570" w:type="dxa"/>
                  <w:tcMar>
                    <w:top w:w="0" w:type="dxa"/>
                    <w:left w:w="28" w:type="dxa"/>
                    <w:bottom w:w="0" w:type="dxa"/>
                    <w:right w:w="28" w:type="dxa"/>
                  </w:tcMar>
                  <w:vAlign w:val="center"/>
                </w:tcPr>
                <w:p>
                  <w:pPr>
                    <w:pStyle w:val="70"/>
                    <w:rPr>
                      <w:color w:val="000000"/>
                    </w:rPr>
                  </w:pPr>
                  <w:r>
                    <w:rPr>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115" w:type="dxa"/>
                  <w:vMerge w:val="restart"/>
                  <w:vAlign w:val="center"/>
                </w:tcPr>
                <w:p>
                  <w:pPr>
                    <w:pStyle w:val="70"/>
                    <w:rPr>
                      <w:color w:val="000000"/>
                    </w:rPr>
                  </w:pPr>
                  <w:r>
                    <w:rPr>
                      <w:rFonts w:hint="eastAsia"/>
                      <w:color w:val="000000"/>
                    </w:rPr>
                    <w:t>大龙口-浅</w:t>
                  </w:r>
                  <w:r>
                    <w:rPr>
                      <w:color w:val="000000"/>
                    </w:rPr>
                    <w:t>2</w:t>
                  </w:r>
                </w:p>
              </w:tc>
              <w:tc>
                <w:tcPr>
                  <w:tcW w:w="834" w:type="dxa"/>
                  <w:tcMar>
                    <w:top w:w="0" w:type="dxa"/>
                    <w:left w:w="28" w:type="dxa"/>
                    <w:bottom w:w="0" w:type="dxa"/>
                    <w:right w:w="28" w:type="dxa"/>
                  </w:tcMar>
                  <w:vAlign w:val="center"/>
                </w:tcPr>
                <w:p>
                  <w:pPr>
                    <w:pStyle w:val="70"/>
                    <w:rPr>
                      <w:color w:val="000000"/>
                    </w:rPr>
                  </w:pPr>
                  <w:r>
                    <w:rPr>
                      <w:rFonts w:hint="eastAsia"/>
                      <w:color w:val="000000"/>
                    </w:rPr>
                    <w:t>一开</w:t>
                  </w:r>
                </w:p>
              </w:tc>
              <w:tc>
                <w:tcPr>
                  <w:tcW w:w="1571" w:type="dxa"/>
                  <w:tcMar>
                    <w:top w:w="0" w:type="dxa"/>
                    <w:left w:w="28" w:type="dxa"/>
                    <w:bottom w:w="0" w:type="dxa"/>
                    <w:right w:w="28" w:type="dxa"/>
                  </w:tcMar>
                  <w:vAlign w:val="center"/>
                </w:tcPr>
                <w:p>
                  <w:pPr>
                    <w:pStyle w:val="70"/>
                    <w:rPr>
                      <w:color w:val="000000"/>
                    </w:rPr>
                  </w:pPr>
                  <w:r>
                    <w:rPr>
                      <w:color w:val="000000"/>
                    </w:rPr>
                    <w:t>311.2</w:t>
                  </w:r>
                </w:p>
              </w:tc>
              <w:tc>
                <w:tcPr>
                  <w:tcW w:w="1018" w:type="dxa"/>
                  <w:tcMar>
                    <w:top w:w="0" w:type="dxa"/>
                    <w:left w:w="28" w:type="dxa"/>
                    <w:bottom w:w="0" w:type="dxa"/>
                    <w:right w:w="28" w:type="dxa"/>
                  </w:tcMar>
                  <w:vAlign w:val="center"/>
                </w:tcPr>
                <w:p>
                  <w:pPr>
                    <w:pStyle w:val="70"/>
                    <w:rPr>
                      <w:color w:val="000000"/>
                    </w:rPr>
                  </w:pPr>
                  <w:r>
                    <w:rPr>
                      <w:color w:val="000000"/>
                    </w:rPr>
                    <w:t>6</w:t>
                  </w:r>
                </w:p>
              </w:tc>
              <w:tc>
                <w:tcPr>
                  <w:tcW w:w="1571" w:type="dxa"/>
                  <w:tcMar>
                    <w:top w:w="0" w:type="dxa"/>
                    <w:left w:w="28" w:type="dxa"/>
                    <w:bottom w:w="0" w:type="dxa"/>
                    <w:right w:w="28" w:type="dxa"/>
                  </w:tcMar>
                  <w:vAlign w:val="center"/>
                </w:tcPr>
                <w:p>
                  <w:pPr>
                    <w:pStyle w:val="70"/>
                    <w:rPr>
                      <w:color w:val="000000"/>
                    </w:rPr>
                  </w:pPr>
                  <w:r>
                    <w:rPr>
                      <w:color w:val="000000"/>
                    </w:rPr>
                    <w:t>244.5</w:t>
                  </w:r>
                </w:p>
              </w:tc>
              <w:tc>
                <w:tcPr>
                  <w:tcW w:w="1570" w:type="dxa"/>
                  <w:tcMar>
                    <w:top w:w="0" w:type="dxa"/>
                    <w:left w:w="28" w:type="dxa"/>
                    <w:bottom w:w="0" w:type="dxa"/>
                    <w:right w:w="28" w:type="dxa"/>
                  </w:tcMar>
                  <w:vAlign w:val="center"/>
                </w:tcPr>
                <w:p>
                  <w:pPr>
                    <w:pStyle w:val="70"/>
                    <w:rPr>
                      <w:color w:val="000000"/>
                    </w:rPr>
                  </w:pPr>
                  <w:r>
                    <w:rPr>
                      <w:color w:val="000000"/>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115" w:type="dxa"/>
                  <w:vMerge w:val="continue"/>
                  <w:vAlign w:val="center"/>
                </w:tcPr>
                <w:p>
                  <w:pPr>
                    <w:pStyle w:val="70"/>
                    <w:rPr>
                      <w:color w:val="000000"/>
                    </w:rPr>
                  </w:pPr>
                </w:p>
              </w:tc>
              <w:tc>
                <w:tcPr>
                  <w:tcW w:w="834" w:type="dxa"/>
                  <w:tcMar>
                    <w:top w:w="0" w:type="dxa"/>
                    <w:left w:w="28" w:type="dxa"/>
                    <w:bottom w:w="0" w:type="dxa"/>
                    <w:right w:w="28" w:type="dxa"/>
                  </w:tcMar>
                  <w:vAlign w:val="center"/>
                </w:tcPr>
                <w:p>
                  <w:pPr>
                    <w:pStyle w:val="70"/>
                    <w:rPr>
                      <w:color w:val="000000"/>
                    </w:rPr>
                  </w:pPr>
                  <w:r>
                    <w:rPr>
                      <w:rFonts w:hint="eastAsia"/>
                      <w:color w:val="000000"/>
                    </w:rPr>
                    <w:t>二开</w:t>
                  </w:r>
                </w:p>
              </w:tc>
              <w:tc>
                <w:tcPr>
                  <w:tcW w:w="1571" w:type="dxa"/>
                  <w:tcMar>
                    <w:top w:w="0" w:type="dxa"/>
                    <w:left w:w="28" w:type="dxa"/>
                    <w:bottom w:w="0" w:type="dxa"/>
                    <w:right w:w="28" w:type="dxa"/>
                  </w:tcMar>
                  <w:vAlign w:val="center"/>
                </w:tcPr>
                <w:p>
                  <w:pPr>
                    <w:pStyle w:val="70"/>
                    <w:rPr>
                      <w:color w:val="000000"/>
                    </w:rPr>
                  </w:pPr>
                  <w:r>
                    <w:rPr>
                      <w:color w:val="000000"/>
                    </w:rPr>
                    <w:t>215.9</w:t>
                  </w:r>
                </w:p>
              </w:tc>
              <w:tc>
                <w:tcPr>
                  <w:tcW w:w="1018" w:type="dxa"/>
                  <w:tcMar>
                    <w:top w:w="0" w:type="dxa"/>
                    <w:left w:w="28" w:type="dxa"/>
                    <w:bottom w:w="0" w:type="dxa"/>
                    <w:right w:w="28" w:type="dxa"/>
                  </w:tcMar>
                  <w:vAlign w:val="center"/>
                </w:tcPr>
                <w:p>
                  <w:pPr>
                    <w:pStyle w:val="70"/>
                    <w:rPr>
                      <w:color w:val="000000"/>
                    </w:rPr>
                  </w:pPr>
                  <w:r>
                    <w:rPr>
                      <w:color w:val="000000"/>
                    </w:rPr>
                    <w:t>1500</w:t>
                  </w:r>
                </w:p>
              </w:tc>
              <w:tc>
                <w:tcPr>
                  <w:tcW w:w="1571" w:type="dxa"/>
                  <w:tcMar>
                    <w:top w:w="0" w:type="dxa"/>
                    <w:left w:w="28" w:type="dxa"/>
                    <w:bottom w:w="0" w:type="dxa"/>
                    <w:right w:w="28" w:type="dxa"/>
                  </w:tcMar>
                  <w:vAlign w:val="center"/>
                </w:tcPr>
                <w:p>
                  <w:pPr>
                    <w:pStyle w:val="70"/>
                    <w:rPr>
                      <w:color w:val="000000"/>
                    </w:rPr>
                  </w:pPr>
                  <w:r>
                    <w:rPr>
                      <w:color w:val="000000"/>
                    </w:rPr>
                    <w:t>——</w:t>
                  </w:r>
                </w:p>
              </w:tc>
              <w:tc>
                <w:tcPr>
                  <w:tcW w:w="1570" w:type="dxa"/>
                  <w:tcMar>
                    <w:top w:w="0" w:type="dxa"/>
                    <w:left w:w="28" w:type="dxa"/>
                    <w:bottom w:w="0" w:type="dxa"/>
                    <w:right w:w="28" w:type="dxa"/>
                  </w:tcMar>
                  <w:vAlign w:val="center"/>
                </w:tcPr>
                <w:p>
                  <w:pPr>
                    <w:pStyle w:val="70"/>
                    <w:rPr>
                      <w:color w:val="000000"/>
                    </w:rPr>
                  </w:pPr>
                  <w:r>
                    <w:rPr>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115" w:type="dxa"/>
                  <w:vMerge w:val="restart"/>
                  <w:vAlign w:val="center"/>
                </w:tcPr>
                <w:p>
                  <w:pPr>
                    <w:pStyle w:val="70"/>
                    <w:rPr>
                      <w:color w:val="000000"/>
                    </w:rPr>
                  </w:pPr>
                  <w:r>
                    <w:rPr>
                      <w:rFonts w:hint="eastAsia"/>
                      <w:color w:val="000000"/>
                    </w:rPr>
                    <w:t>大龙口-浅</w:t>
                  </w:r>
                  <w:r>
                    <w:rPr>
                      <w:color w:val="000000"/>
                    </w:rPr>
                    <w:t>3</w:t>
                  </w:r>
                </w:p>
              </w:tc>
              <w:tc>
                <w:tcPr>
                  <w:tcW w:w="834" w:type="dxa"/>
                  <w:tcMar>
                    <w:top w:w="0" w:type="dxa"/>
                    <w:left w:w="28" w:type="dxa"/>
                    <w:bottom w:w="0" w:type="dxa"/>
                    <w:right w:w="28" w:type="dxa"/>
                  </w:tcMar>
                  <w:vAlign w:val="center"/>
                </w:tcPr>
                <w:p>
                  <w:pPr>
                    <w:pStyle w:val="70"/>
                    <w:rPr>
                      <w:color w:val="000000"/>
                    </w:rPr>
                  </w:pPr>
                  <w:r>
                    <w:rPr>
                      <w:rFonts w:hint="eastAsia"/>
                      <w:color w:val="000000"/>
                    </w:rPr>
                    <w:t>一开</w:t>
                  </w:r>
                </w:p>
              </w:tc>
              <w:tc>
                <w:tcPr>
                  <w:tcW w:w="1571" w:type="dxa"/>
                  <w:tcMar>
                    <w:top w:w="0" w:type="dxa"/>
                    <w:left w:w="28" w:type="dxa"/>
                    <w:bottom w:w="0" w:type="dxa"/>
                    <w:right w:w="28" w:type="dxa"/>
                  </w:tcMar>
                  <w:vAlign w:val="center"/>
                </w:tcPr>
                <w:p>
                  <w:pPr>
                    <w:pStyle w:val="70"/>
                    <w:rPr>
                      <w:color w:val="000000"/>
                    </w:rPr>
                  </w:pPr>
                  <w:r>
                    <w:rPr>
                      <w:color w:val="000000"/>
                    </w:rPr>
                    <w:t>311.2</w:t>
                  </w:r>
                </w:p>
              </w:tc>
              <w:tc>
                <w:tcPr>
                  <w:tcW w:w="1018" w:type="dxa"/>
                  <w:tcMar>
                    <w:top w:w="0" w:type="dxa"/>
                    <w:left w:w="28" w:type="dxa"/>
                    <w:bottom w:w="0" w:type="dxa"/>
                    <w:right w:w="28" w:type="dxa"/>
                  </w:tcMar>
                  <w:vAlign w:val="center"/>
                </w:tcPr>
                <w:p>
                  <w:pPr>
                    <w:pStyle w:val="70"/>
                    <w:rPr>
                      <w:color w:val="000000"/>
                    </w:rPr>
                  </w:pPr>
                  <w:r>
                    <w:rPr>
                      <w:color w:val="000000"/>
                    </w:rPr>
                    <w:t>6</w:t>
                  </w:r>
                </w:p>
              </w:tc>
              <w:tc>
                <w:tcPr>
                  <w:tcW w:w="1571" w:type="dxa"/>
                  <w:tcMar>
                    <w:top w:w="0" w:type="dxa"/>
                    <w:left w:w="28" w:type="dxa"/>
                    <w:bottom w:w="0" w:type="dxa"/>
                    <w:right w:w="28" w:type="dxa"/>
                  </w:tcMar>
                  <w:vAlign w:val="center"/>
                </w:tcPr>
                <w:p>
                  <w:pPr>
                    <w:pStyle w:val="70"/>
                    <w:rPr>
                      <w:color w:val="000000"/>
                    </w:rPr>
                  </w:pPr>
                  <w:r>
                    <w:rPr>
                      <w:color w:val="000000"/>
                    </w:rPr>
                    <w:t>244.5</w:t>
                  </w:r>
                </w:p>
              </w:tc>
              <w:tc>
                <w:tcPr>
                  <w:tcW w:w="1570" w:type="dxa"/>
                  <w:tcMar>
                    <w:top w:w="0" w:type="dxa"/>
                    <w:left w:w="28" w:type="dxa"/>
                    <w:bottom w:w="0" w:type="dxa"/>
                    <w:right w:w="28" w:type="dxa"/>
                  </w:tcMar>
                  <w:vAlign w:val="center"/>
                </w:tcPr>
                <w:p>
                  <w:pPr>
                    <w:pStyle w:val="70"/>
                    <w:rPr>
                      <w:color w:val="000000"/>
                    </w:rPr>
                  </w:pPr>
                  <w:r>
                    <w:rPr>
                      <w:color w:val="000000"/>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115" w:type="dxa"/>
                  <w:vMerge w:val="continue"/>
                  <w:vAlign w:val="center"/>
                </w:tcPr>
                <w:p>
                  <w:pPr>
                    <w:pStyle w:val="70"/>
                    <w:rPr>
                      <w:color w:val="000000"/>
                    </w:rPr>
                  </w:pPr>
                </w:p>
              </w:tc>
              <w:tc>
                <w:tcPr>
                  <w:tcW w:w="834" w:type="dxa"/>
                  <w:tcMar>
                    <w:top w:w="0" w:type="dxa"/>
                    <w:left w:w="28" w:type="dxa"/>
                    <w:bottom w:w="0" w:type="dxa"/>
                    <w:right w:w="28" w:type="dxa"/>
                  </w:tcMar>
                  <w:vAlign w:val="center"/>
                </w:tcPr>
                <w:p>
                  <w:pPr>
                    <w:pStyle w:val="70"/>
                    <w:rPr>
                      <w:color w:val="000000"/>
                    </w:rPr>
                  </w:pPr>
                  <w:r>
                    <w:rPr>
                      <w:rFonts w:hint="eastAsia"/>
                      <w:color w:val="000000"/>
                    </w:rPr>
                    <w:t>二开</w:t>
                  </w:r>
                </w:p>
              </w:tc>
              <w:tc>
                <w:tcPr>
                  <w:tcW w:w="1571" w:type="dxa"/>
                  <w:tcMar>
                    <w:top w:w="0" w:type="dxa"/>
                    <w:left w:w="28" w:type="dxa"/>
                    <w:bottom w:w="0" w:type="dxa"/>
                    <w:right w:w="28" w:type="dxa"/>
                  </w:tcMar>
                  <w:vAlign w:val="center"/>
                </w:tcPr>
                <w:p>
                  <w:pPr>
                    <w:pStyle w:val="70"/>
                    <w:rPr>
                      <w:color w:val="000000"/>
                    </w:rPr>
                  </w:pPr>
                  <w:r>
                    <w:rPr>
                      <w:color w:val="000000"/>
                    </w:rPr>
                    <w:t>215.9</w:t>
                  </w:r>
                </w:p>
              </w:tc>
              <w:tc>
                <w:tcPr>
                  <w:tcW w:w="1018" w:type="dxa"/>
                  <w:tcMar>
                    <w:top w:w="0" w:type="dxa"/>
                    <w:left w:w="28" w:type="dxa"/>
                    <w:bottom w:w="0" w:type="dxa"/>
                    <w:right w:w="28" w:type="dxa"/>
                  </w:tcMar>
                  <w:vAlign w:val="center"/>
                </w:tcPr>
                <w:p>
                  <w:pPr>
                    <w:pStyle w:val="70"/>
                    <w:rPr>
                      <w:color w:val="000000"/>
                    </w:rPr>
                  </w:pPr>
                  <w:r>
                    <w:rPr>
                      <w:color w:val="000000"/>
                    </w:rPr>
                    <w:t>1000</w:t>
                  </w:r>
                </w:p>
              </w:tc>
              <w:tc>
                <w:tcPr>
                  <w:tcW w:w="1571" w:type="dxa"/>
                  <w:tcMar>
                    <w:top w:w="0" w:type="dxa"/>
                    <w:left w:w="28" w:type="dxa"/>
                    <w:bottom w:w="0" w:type="dxa"/>
                    <w:right w:w="28" w:type="dxa"/>
                  </w:tcMar>
                  <w:vAlign w:val="center"/>
                </w:tcPr>
                <w:p>
                  <w:pPr>
                    <w:pStyle w:val="70"/>
                    <w:rPr>
                      <w:color w:val="000000"/>
                    </w:rPr>
                  </w:pPr>
                  <w:r>
                    <w:rPr>
                      <w:color w:val="000000"/>
                    </w:rPr>
                    <w:t>——</w:t>
                  </w:r>
                </w:p>
              </w:tc>
              <w:tc>
                <w:tcPr>
                  <w:tcW w:w="1570" w:type="dxa"/>
                  <w:tcMar>
                    <w:top w:w="0" w:type="dxa"/>
                    <w:left w:w="28" w:type="dxa"/>
                    <w:bottom w:w="0" w:type="dxa"/>
                    <w:right w:w="28" w:type="dxa"/>
                  </w:tcMar>
                  <w:vAlign w:val="center"/>
                </w:tcPr>
                <w:p>
                  <w:pPr>
                    <w:pStyle w:val="70"/>
                    <w:rPr>
                      <w:color w:val="000000"/>
                    </w:rPr>
                  </w:pPr>
                  <w:r>
                    <w:rPr>
                      <w:color w:val="000000"/>
                    </w:rPr>
                    <w:t>——</w:t>
                  </w:r>
                </w:p>
              </w:tc>
            </w:tr>
          </w:tbl>
          <w:p>
            <w:pPr>
              <w:pStyle w:val="99"/>
              <w:ind w:firstLine="0" w:firstLineChars="0"/>
              <w:rPr>
                <w:color w:val="000000"/>
              </w:rPr>
            </w:pPr>
          </w:p>
          <w:p>
            <w:pPr>
              <w:pStyle w:val="12"/>
              <w:spacing w:before="120"/>
              <w:rPr>
                <w:rFonts w:hAnsi="宋体"/>
                <w:color w:val="000000"/>
                <w:sz w:val="24"/>
              </w:rPr>
            </w:pPr>
            <w:r>
              <w:rPr>
                <w:rFonts w:hAnsi="宋体" w:cs="宋体"/>
                <w:color w:val="000000"/>
                <w:sz w:val="24"/>
              </w:rPr>
              <w:drawing>
                <wp:inline distT="0" distB="0" distL="0" distR="0">
                  <wp:extent cx="5125085" cy="6570980"/>
                  <wp:effectExtent l="0" t="0" r="0" b="1270"/>
                  <wp:docPr id="6" name="图片 1" descr="大龙口浅1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大龙口浅1井"/>
                          <pic:cNvPicPr>
                            <a:picLocks noChangeAspect="1" noChangeArrowheads="1"/>
                          </pic:cNvPicPr>
                        </pic:nvPicPr>
                        <pic:blipFill>
                          <a:blip r:embed="rId10" cstate="print">
                            <a:extLst>
                              <a:ext uri="{28A0092B-C50C-407E-A947-70E740481C1C}">
                                <a14:useLocalDpi xmlns:a14="http://schemas.microsoft.com/office/drawing/2010/main" val="0"/>
                              </a:ext>
                            </a:extLst>
                          </a:blip>
                          <a:srcRect t="6715"/>
                          <a:stretch>
                            <a:fillRect/>
                          </a:stretch>
                        </pic:blipFill>
                        <pic:spPr>
                          <a:xfrm>
                            <a:off x="0" y="0"/>
                            <a:ext cx="5125085" cy="6570980"/>
                          </a:xfrm>
                          <a:prstGeom prst="rect">
                            <a:avLst/>
                          </a:prstGeom>
                          <a:noFill/>
                          <a:ln>
                            <a:noFill/>
                          </a:ln>
                        </pic:spPr>
                      </pic:pic>
                    </a:graphicData>
                  </a:graphic>
                </wp:inline>
              </w:drawing>
            </w:r>
          </w:p>
          <w:p>
            <w:pPr>
              <w:pStyle w:val="12"/>
              <w:spacing w:before="120"/>
              <w:rPr>
                <w:rFonts w:hAnsi="宋体"/>
                <w:snapToGrid w:val="0"/>
                <w:color w:val="000000"/>
                <w:kern w:val="0"/>
                <w:szCs w:val="21"/>
              </w:rPr>
            </w:pPr>
            <w:bookmarkStart w:id="12" w:name="_Ref38541967"/>
            <w:r>
              <w:rPr>
                <w:rFonts w:hint="eastAsia"/>
                <w:color w:val="000000"/>
              </w:rPr>
              <w:t xml:space="preserve">图 </w:t>
            </w:r>
            <w:r>
              <w:rPr>
                <w:color w:val="000000"/>
              </w:rPr>
              <w:t>1</w:t>
            </w:r>
            <w:bookmarkEnd w:id="12"/>
            <w:r>
              <w:rPr>
                <w:color w:val="000000"/>
              </w:rPr>
              <w:t xml:space="preserve">  </w:t>
            </w:r>
            <w:r>
              <w:rPr>
                <w:rFonts w:hAnsi="宋体"/>
                <w:snapToGrid w:val="0"/>
                <w:color w:val="000000"/>
                <w:kern w:val="0"/>
                <w:szCs w:val="21"/>
              </w:rPr>
              <w:t>钻井井</w:t>
            </w:r>
            <w:r>
              <w:rPr>
                <w:rFonts w:hint="eastAsia" w:hAnsi="宋体"/>
                <w:snapToGrid w:val="0"/>
                <w:color w:val="000000"/>
                <w:kern w:val="0"/>
                <w:szCs w:val="21"/>
              </w:rPr>
              <w:t>身结构图（以大龙口-浅1井为例）</w:t>
            </w:r>
          </w:p>
          <w:p>
            <w:pPr>
              <w:pStyle w:val="110"/>
              <w:rPr>
                <w:color w:val="000000"/>
              </w:rPr>
            </w:pPr>
          </w:p>
          <w:p>
            <w:pPr>
              <w:pStyle w:val="110"/>
              <w:rPr>
                <w:color w:val="000000"/>
              </w:rPr>
            </w:pPr>
            <w:r>
              <w:rPr>
                <w:color w:val="000000"/>
              </w:rPr>
              <w:t>5</w:t>
            </w:r>
            <w:r>
              <w:rPr>
                <w:rFonts w:hint="eastAsia"/>
                <w:color w:val="000000"/>
              </w:rPr>
              <w:t>、钻井主要设备</w:t>
            </w:r>
          </w:p>
          <w:p>
            <w:pPr>
              <w:pStyle w:val="110"/>
              <w:rPr>
                <w:color w:val="000000"/>
              </w:rPr>
            </w:pPr>
            <w:r>
              <w:rPr>
                <w:rFonts w:hint="eastAsia"/>
                <w:color w:val="000000"/>
              </w:rPr>
              <w:t xml:space="preserve">钻井主要设备见表 </w:t>
            </w:r>
            <w:r>
              <w:rPr>
                <w:color w:val="000000"/>
              </w:rPr>
              <w:t>8</w:t>
            </w:r>
            <w:r>
              <w:rPr>
                <w:rFonts w:hint="eastAsia"/>
                <w:color w:val="000000"/>
              </w:rPr>
              <w:t>。</w:t>
            </w:r>
          </w:p>
          <w:p>
            <w:pPr>
              <w:pStyle w:val="12"/>
              <w:spacing w:before="120"/>
              <w:rPr>
                <w:color w:val="000000"/>
                <w:szCs w:val="21"/>
              </w:rPr>
            </w:pPr>
            <w:bookmarkStart w:id="13" w:name="_Ref38542112"/>
            <w:r>
              <w:rPr>
                <w:rFonts w:hint="eastAsia"/>
                <w:color w:val="000000"/>
              </w:rPr>
              <w:t xml:space="preserve">表 </w:t>
            </w:r>
            <w:r>
              <w:rPr>
                <w:color w:val="000000"/>
              </w:rPr>
              <w:t>8</w:t>
            </w:r>
            <w:bookmarkEnd w:id="13"/>
            <w:r>
              <w:rPr>
                <w:color w:val="000000"/>
              </w:rPr>
              <w:t xml:space="preserve">  </w:t>
            </w:r>
            <w:r>
              <w:rPr>
                <w:rFonts w:hint="eastAsia"/>
                <w:snapToGrid w:val="0"/>
                <w:color w:val="000000"/>
              </w:rPr>
              <w:t>钻井期主要设备统计表</w:t>
            </w:r>
          </w:p>
          <w:tbl>
            <w:tblPr>
              <w:tblStyle w:val="29"/>
              <w:tblW w:w="767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1"/>
              <w:gridCol w:w="1310"/>
              <w:gridCol w:w="4270"/>
              <w:gridCol w:w="826"/>
              <w:gridCol w:w="7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511" w:type="dxa"/>
                  <w:shd w:val="clear" w:color="auto" w:fill="auto"/>
                  <w:vAlign w:val="center"/>
                </w:tcPr>
                <w:p>
                  <w:pPr>
                    <w:pStyle w:val="70"/>
                    <w:rPr>
                      <w:rFonts w:hAnsi="宋体" w:cs="宋体"/>
                      <w:color w:val="000000"/>
                    </w:rPr>
                  </w:pPr>
                  <w:r>
                    <w:rPr>
                      <w:rFonts w:hint="eastAsia" w:hAnsi="宋体" w:cs="宋体"/>
                      <w:color w:val="000000"/>
                    </w:rPr>
                    <w:t>序号</w:t>
                  </w:r>
                </w:p>
              </w:tc>
              <w:tc>
                <w:tcPr>
                  <w:tcW w:w="1310" w:type="dxa"/>
                  <w:shd w:val="clear" w:color="auto" w:fill="auto"/>
                  <w:vAlign w:val="center"/>
                </w:tcPr>
                <w:p>
                  <w:pPr>
                    <w:pStyle w:val="70"/>
                    <w:rPr>
                      <w:rFonts w:hAnsi="宋体" w:cs="宋体"/>
                      <w:color w:val="000000"/>
                    </w:rPr>
                  </w:pPr>
                  <w:r>
                    <w:rPr>
                      <w:rFonts w:hint="eastAsia" w:hAnsi="宋体" w:cs="宋体"/>
                      <w:color w:val="000000"/>
                    </w:rPr>
                    <w:t>设备名称</w:t>
                  </w:r>
                </w:p>
              </w:tc>
              <w:tc>
                <w:tcPr>
                  <w:tcW w:w="4270" w:type="dxa"/>
                  <w:shd w:val="clear" w:color="auto" w:fill="auto"/>
                  <w:vAlign w:val="center"/>
                </w:tcPr>
                <w:p>
                  <w:pPr>
                    <w:pStyle w:val="70"/>
                    <w:rPr>
                      <w:rFonts w:hAnsi="宋体" w:cs="宋体"/>
                      <w:color w:val="000000"/>
                    </w:rPr>
                  </w:pPr>
                  <w:r>
                    <w:rPr>
                      <w:rFonts w:hint="eastAsia" w:hAnsi="宋体" w:cs="宋体"/>
                      <w:color w:val="000000"/>
                    </w:rPr>
                    <w:t>主要技术参数</w:t>
                  </w:r>
                </w:p>
              </w:tc>
              <w:tc>
                <w:tcPr>
                  <w:tcW w:w="826" w:type="dxa"/>
                  <w:shd w:val="clear" w:color="auto" w:fill="auto"/>
                  <w:vAlign w:val="center"/>
                </w:tcPr>
                <w:p>
                  <w:pPr>
                    <w:pStyle w:val="70"/>
                    <w:rPr>
                      <w:rFonts w:hAnsi="宋体" w:cs="宋体"/>
                      <w:color w:val="000000"/>
                    </w:rPr>
                  </w:pPr>
                  <w:r>
                    <w:rPr>
                      <w:rFonts w:hint="eastAsia" w:hAnsi="宋体" w:cs="宋体"/>
                      <w:color w:val="000000"/>
                    </w:rPr>
                    <w:t>单位</w:t>
                  </w:r>
                </w:p>
              </w:tc>
              <w:tc>
                <w:tcPr>
                  <w:tcW w:w="762" w:type="dxa"/>
                  <w:shd w:val="clear" w:color="auto" w:fill="auto"/>
                  <w:vAlign w:val="center"/>
                </w:tcPr>
                <w:p>
                  <w:pPr>
                    <w:pStyle w:val="70"/>
                    <w:rPr>
                      <w:rFonts w:hAnsi="宋体" w:cs="宋体"/>
                      <w:color w:val="000000"/>
                    </w:rPr>
                  </w:pPr>
                  <w:r>
                    <w:rPr>
                      <w:rFonts w:hint="eastAsia" w:hAnsi="宋体" w:cs="宋体"/>
                      <w:color w:val="000000"/>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11" w:type="dxa"/>
                  <w:shd w:val="clear" w:color="auto" w:fill="auto"/>
                  <w:vAlign w:val="center"/>
                </w:tcPr>
                <w:p>
                  <w:pPr>
                    <w:pStyle w:val="70"/>
                    <w:rPr>
                      <w:rFonts w:hAnsi="宋体" w:cs="宋体"/>
                      <w:color w:val="000000"/>
                    </w:rPr>
                  </w:pPr>
                  <w:r>
                    <w:rPr>
                      <w:rFonts w:hAnsi="宋体" w:cs="宋体"/>
                      <w:color w:val="000000"/>
                    </w:rPr>
                    <w:t>1</w:t>
                  </w:r>
                </w:p>
              </w:tc>
              <w:tc>
                <w:tcPr>
                  <w:tcW w:w="1310" w:type="dxa"/>
                  <w:shd w:val="clear" w:color="auto" w:fill="auto"/>
                  <w:vAlign w:val="center"/>
                </w:tcPr>
                <w:p>
                  <w:pPr>
                    <w:pStyle w:val="70"/>
                    <w:rPr>
                      <w:rFonts w:hAnsi="宋体" w:cs="宋体"/>
                      <w:color w:val="000000"/>
                    </w:rPr>
                  </w:pPr>
                  <w:r>
                    <w:rPr>
                      <w:rFonts w:hint="eastAsia" w:hAnsi="宋体" w:cs="宋体"/>
                      <w:color w:val="000000"/>
                    </w:rPr>
                    <w:t>天车</w:t>
                  </w:r>
                </w:p>
              </w:tc>
              <w:tc>
                <w:tcPr>
                  <w:tcW w:w="4270" w:type="dxa"/>
                  <w:shd w:val="clear" w:color="auto" w:fill="auto"/>
                  <w:vAlign w:val="center"/>
                </w:tcPr>
                <w:p>
                  <w:pPr>
                    <w:pStyle w:val="70"/>
                    <w:rPr>
                      <w:rFonts w:hAnsi="宋体" w:cs="宋体"/>
                      <w:color w:val="000000"/>
                    </w:rPr>
                  </w:pPr>
                  <w:r>
                    <w:rPr>
                      <w:rFonts w:hint="eastAsia" w:hAnsi="宋体" w:cs="宋体"/>
                      <w:color w:val="000000"/>
                    </w:rPr>
                    <w:t>最大静负荷</w:t>
                  </w:r>
                  <w:r>
                    <w:rPr>
                      <w:rFonts w:hAnsi="宋体" w:cs="宋体"/>
                      <w:color w:val="000000"/>
                    </w:rPr>
                    <w:t>1700kN</w:t>
                  </w:r>
                </w:p>
              </w:tc>
              <w:tc>
                <w:tcPr>
                  <w:tcW w:w="826" w:type="dxa"/>
                  <w:shd w:val="clear" w:color="auto" w:fill="auto"/>
                  <w:vAlign w:val="center"/>
                </w:tcPr>
                <w:p>
                  <w:pPr>
                    <w:pStyle w:val="70"/>
                    <w:rPr>
                      <w:rFonts w:hAnsi="宋体" w:cs="宋体"/>
                      <w:color w:val="000000"/>
                    </w:rPr>
                  </w:pPr>
                  <w:r>
                    <w:rPr>
                      <w:rFonts w:hint="eastAsia" w:hAnsi="宋体" w:cs="宋体"/>
                      <w:color w:val="000000"/>
                    </w:rPr>
                    <w:t>台</w:t>
                  </w:r>
                </w:p>
              </w:tc>
              <w:tc>
                <w:tcPr>
                  <w:tcW w:w="762" w:type="dxa"/>
                  <w:shd w:val="clear" w:color="auto" w:fill="auto"/>
                  <w:vAlign w:val="center"/>
                </w:tcPr>
                <w:p>
                  <w:pPr>
                    <w:pStyle w:val="70"/>
                    <w:rPr>
                      <w:rFonts w:hAnsi="宋体" w:cs="宋体"/>
                      <w:color w:val="000000"/>
                    </w:rPr>
                  </w:pPr>
                  <w:r>
                    <w:rPr>
                      <w:rFonts w:hAnsi="宋体" w:cs="宋体"/>
                      <w:color w:val="00000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11" w:type="dxa"/>
                  <w:shd w:val="clear" w:color="auto" w:fill="auto"/>
                  <w:vAlign w:val="center"/>
                </w:tcPr>
                <w:p>
                  <w:pPr>
                    <w:pStyle w:val="70"/>
                    <w:rPr>
                      <w:rFonts w:hAnsi="宋体" w:cs="宋体"/>
                      <w:color w:val="000000"/>
                    </w:rPr>
                  </w:pPr>
                  <w:r>
                    <w:rPr>
                      <w:rFonts w:hAnsi="宋体" w:cs="宋体"/>
                      <w:color w:val="000000"/>
                    </w:rPr>
                    <w:t>2</w:t>
                  </w:r>
                </w:p>
              </w:tc>
              <w:tc>
                <w:tcPr>
                  <w:tcW w:w="1310" w:type="dxa"/>
                  <w:shd w:val="clear" w:color="auto" w:fill="auto"/>
                  <w:vAlign w:val="center"/>
                </w:tcPr>
                <w:p>
                  <w:pPr>
                    <w:pStyle w:val="70"/>
                    <w:rPr>
                      <w:rFonts w:hAnsi="宋体" w:cs="宋体"/>
                      <w:color w:val="000000"/>
                    </w:rPr>
                  </w:pPr>
                  <w:r>
                    <w:rPr>
                      <w:rFonts w:hint="eastAsia" w:hAnsi="宋体" w:cs="宋体"/>
                      <w:color w:val="000000"/>
                    </w:rPr>
                    <w:t>游车大钩</w:t>
                  </w:r>
                </w:p>
              </w:tc>
              <w:tc>
                <w:tcPr>
                  <w:tcW w:w="4270" w:type="dxa"/>
                  <w:shd w:val="clear" w:color="auto" w:fill="auto"/>
                  <w:vAlign w:val="center"/>
                </w:tcPr>
                <w:p>
                  <w:pPr>
                    <w:pStyle w:val="70"/>
                    <w:rPr>
                      <w:rFonts w:hAnsi="宋体" w:cs="宋体"/>
                      <w:color w:val="000000"/>
                    </w:rPr>
                  </w:pPr>
                  <w:r>
                    <w:rPr>
                      <w:rFonts w:hint="eastAsia" w:hAnsi="宋体" w:cs="宋体"/>
                      <w:color w:val="000000"/>
                    </w:rPr>
                    <w:t>最大钩载</w:t>
                  </w:r>
                  <w:r>
                    <w:rPr>
                      <w:rFonts w:hAnsi="宋体" w:cs="宋体"/>
                      <w:color w:val="000000"/>
                    </w:rPr>
                    <w:t>1700kN</w:t>
                  </w:r>
                </w:p>
              </w:tc>
              <w:tc>
                <w:tcPr>
                  <w:tcW w:w="826" w:type="dxa"/>
                  <w:shd w:val="clear" w:color="auto" w:fill="auto"/>
                  <w:vAlign w:val="center"/>
                </w:tcPr>
                <w:p>
                  <w:pPr>
                    <w:pStyle w:val="70"/>
                    <w:rPr>
                      <w:rFonts w:hAnsi="宋体" w:cs="宋体"/>
                      <w:color w:val="000000"/>
                    </w:rPr>
                  </w:pPr>
                  <w:r>
                    <w:rPr>
                      <w:rFonts w:hint="eastAsia" w:hAnsi="宋体" w:cs="宋体"/>
                      <w:color w:val="000000"/>
                    </w:rPr>
                    <w:t>台</w:t>
                  </w:r>
                </w:p>
              </w:tc>
              <w:tc>
                <w:tcPr>
                  <w:tcW w:w="762" w:type="dxa"/>
                  <w:shd w:val="clear" w:color="auto" w:fill="auto"/>
                  <w:vAlign w:val="center"/>
                </w:tcPr>
                <w:p>
                  <w:pPr>
                    <w:pStyle w:val="70"/>
                    <w:rPr>
                      <w:rFonts w:hAnsi="宋体" w:cs="宋体"/>
                      <w:color w:val="000000"/>
                    </w:rPr>
                  </w:pPr>
                  <w:r>
                    <w:rPr>
                      <w:rFonts w:hAnsi="宋体" w:cs="宋体"/>
                      <w:color w:val="00000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11" w:type="dxa"/>
                  <w:shd w:val="clear" w:color="auto" w:fill="auto"/>
                  <w:vAlign w:val="center"/>
                </w:tcPr>
                <w:p>
                  <w:pPr>
                    <w:pStyle w:val="70"/>
                    <w:rPr>
                      <w:rFonts w:hAnsi="宋体" w:cs="宋体"/>
                      <w:color w:val="000000"/>
                    </w:rPr>
                  </w:pPr>
                  <w:r>
                    <w:rPr>
                      <w:rFonts w:hAnsi="宋体" w:cs="宋体"/>
                      <w:color w:val="000000"/>
                    </w:rPr>
                    <w:t>3</w:t>
                  </w:r>
                </w:p>
              </w:tc>
              <w:tc>
                <w:tcPr>
                  <w:tcW w:w="1310" w:type="dxa"/>
                  <w:shd w:val="clear" w:color="auto" w:fill="auto"/>
                  <w:vAlign w:val="center"/>
                </w:tcPr>
                <w:p>
                  <w:pPr>
                    <w:pStyle w:val="70"/>
                    <w:rPr>
                      <w:rFonts w:hAnsi="宋体" w:cs="宋体"/>
                      <w:color w:val="000000"/>
                    </w:rPr>
                  </w:pPr>
                  <w:r>
                    <w:rPr>
                      <w:rFonts w:hint="eastAsia" w:hAnsi="宋体" w:cs="宋体"/>
                      <w:color w:val="000000"/>
                    </w:rPr>
                    <w:t>水龙头</w:t>
                  </w:r>
                </w:p>
              </w:tc>
              <w:tc>
                <w:tcPr>
                  <w:tcW w:w="4270" w:type="dxa"/>
                  <w:shd w:val="clear" w:color="auto" w:fill="auto"/>
                  <w:vAlign w:val="center"/>
                </w:tcPr>
                <w:p>
                  <w:pPr>
                    <w:pStyle w:val="70"/>
                    <w:rPr>
                      <w:rFonts w:hAnsi="宋体" w:cs="宋体"/>
                      <w:color w:val="000000"/>
                    </w:rPr>
                  </w:pPr>
                  <w:r>
                    <w:rPr>
                      <w:rFonts w:hint="eastAsia" w:hAnsi="宋体" w:cs="宋体"/>
                      <w:color w:val="000000"/>
                    </w:rPr>
                    <w:t>最大静负荷2250kN，最高工作压力34MPa，中心管内径75mm</w:t>
                  </w:r>
                </w:p>
              </w:tc>
              <w:tc>
                <w:tcPr>
                  <w:tcW w:w="826" w:type="dxa"/>
                  <w:shd w:val="clear" w:color="auto" w:fill="auto"/>
                  <w:vAlign w:val="center"/>
                </w:tcPr>
                <w:p>
                  <w:pPr>
                    <w:pStyle w:val="70"/>
                    <w:rPr>
                      <w:rFonts w:hAnsi="宋体" w:cs="宋体"/>
                      <w:color w:val="000000"/>
                    </w:rPr>
                  </w:pPr>
                  <w:r>
                    <w:rPr>
                      <w:rFonts w:hint="eastAsia" w:hAnsi="宋体" w:cs="宋体"/>
                      <w:color w:val="000000"/>
                    </w:rPr>
                    <w:t>台</w:t>
                  </w:r>
                </w:p>
              </w:tc>
              <w:tc>
                <w:tcPr>
                  <w:tcW w:w="762" w:type="dxa"/>
                  <w:shd w:val="clear" w:color="auto" w:fill="auto"/>
                  <w:vAlign w:val="center"/>
                </w:tcPr>
                <w:p>
                  <w:pPr>
                    <w:pStyle w:val="70"/>
                    <w:rPr>
                      <w:rFonts w:hAnsi="宋体" w:cs="宋体"/>
                      <w:color w:val="000000"/>
                    </w:rPr>
                  </w:pPr>
                  <w:r>
                    <w:rPr>
                      <w:rFonts w:hAnsi="宋体" w:cs="宋体"/>
                      <w:color w:val="00000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11" w:type="dxa"/>
                  <w:shd w:val="clear" w:color="auto" w:fill="auto"/>
                  <w:vAlign w:val="center"/>
                </w:tcPr>
                <w:p>
                  <w:pPr>
                    <w:pStyle w:val="70"/>
                    <w:rPr>
                      <w:rFonts w:hAnsi="宋体" w:cs="宋体"/>
                      <w:color w:val="000000"/>
                    </w:rPr>
                  </w:pPr>
                  <w:r>
                    <w:rPr>
                      <w:rFonts w:hAnsi="宋体" w:cs="宋体"/>
                      <w:color w:val="000000"/>
                    </w:rPr>
                    <w:t>4</w:t>
                  </w:r>
                </w:p>
              </w:tc>
              <w:tc>
                <w:tcPr>
                  <w:tcW w:w="1310" w:type="dxa"/>
                  <w:shd w:val="clear" w:color="auto" w:fill="auto"/>
                  <w:vAlign w:val="center"/>
                </w:tcPr>
                <w:p>
                  <w:pPr>
                    <w:pStyle w:val="70"/>
                    <w:rPr>
                      <w:rFonts w:hAnsi="宋体" w:cs="宋体"/>
                      <w:color w:val="000000"/>
                    </w:rPr>
                  </w:pPr>
                  <w:r>
                    <w:rPr>
                      <w:rFonts w:hint="eastAsia" w:hAnsi="宋体" w:cs="宋体"/>
                      <w:color w:val="000000"/>
                    </w:rPr>
                    <w:t>转盘</w:t>
                  </w:r>
                </w:p>
              </w:tc>
              <w:tc>
                <w:tcPr>
                  <w:tcW w:w="4270" w:type="dxa"/>
                  <w:shd w:val="clear" w:color="auto" w:fill="auto"/>
                  <w:vAlign w:val="center"/>
                </w:tcPr>
                <w:p>
                  <w:pPr>
                    <w:pStyle w:val="70"/>
                    <w:rPr>
                      <w:rFonts w:hAnsi="宋体" w:cs="宋体"/>
                      <w:color w:val="000000"/>
                    </w:rPr>
                  </w:pPr>
                  <w:r>
                    <w:rPr>
                      <w:rFonts w:hint="eastAsia" w:hAnsi="宋体" w:cs="宋体"/>
                      <w:color w:val="000000"/>
                    </w:rPr>
                    <w:t>最大静负荷3150kN，开孔直径520mm</w:t>
                  </w:r>
                </w:p>
              </w:tc>
              <w:tc>
                <w:tcPr>
                  <w:tcW w:w="826" w:type="dxa"/>
                  <w:shd w:val="clear" w:color="auto" w:fill="auto"/>
                  <w:vAlign w:val="center"/>
                </w:tcPr>
                <w:p>
                  <w:pPr>
                    <w:pStyle w:val="70"/>
                    <w:rPr>
                      <w:rFonts w:hAnsi="宋体" w:cs="宋体"/>
                      <w:color w:val="000000"/>
                    </w:rPr>
                  </w:pPr>
                  <w:r>
                    <w:rPr>
                      <w:rFonts w:hint="eastAsia" w:hAnsi="宋体" w:cs="宋体"/>
                      <w:color w:val="000000"/>
                    </w:rPr>
                    <w:t>台</w:t>
                  </w:r>
                </w:p>
              </w:tc>
              <w:tc>
                <w:tcPr>
                  <w:tcW w:w="762" w:type="dxa"/>
                  <w:shd w:val="clear" w:color="auto" w:fill="auto"/>
                  <w:vAlign w:val="center"/>
                </w:tcPr>
                <w:p>
                  <w:pPr>
                    <w:pStyle w:val="70"/>
                    <w:rPr>
                      <w:rFonts w:hAnsi="宋体" w:cs="宋体"/>
                      <w:color w:val="000000"/>
                    </w:rPr>
                  </w:pPr>
                  <w:r>
                    <w:rPr>
                      <w:rFonts w:hAnsi="宋体" w:cs="宋体"/>
                      <w:color w:val="00000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11" w:type="dxa"/>
                  <w:shd w:val="clear" w:color="auto" w:fill="auto"/>
                  <w:vAlign w:val="center"/>
                </w:tcPr>
                <w:p>
                  <w:pPr>
                    <w:pStyle w:val="70"/>
                    <w:rPr>
                      <w:rFonts w:hAnsi="宋体" w:cs="宋体"/>
                      <w:color w:val="000000"/>
                    </w:rPr>
                  </w:pPr>
                  <w:r>
                    <w:rPr>
                      <w:rFonts w:hAnsi="宋体" w:cs="宋体"/>
                      <w:color w:val="000000"/>
                    </w:rPr>
                    <w:t>5</w:t>
                  </w:r>
                </w:p>
              </w:tc>
              <w:tc>
                <w:tcPr>
                  <w:tcW w:w="1310" w:type="dxa"/>
                  <w:shd w:val="clear" w:color="auto" w:fill="auto"/>
                  <w:vAlign w:val="center"/>
                </w:tcPr>
                <w:p>
                  <w:pPr>
                    <w:pStyle w:val="70"/>
                    <w:rPr>
                      <w:rFonts w:hAnsi="宋体" w:cs="宋体"/>
                      <w:color w:val="000000"/>
                    </w:rPr>
                  </w:pPr>
                  <w:r>
                    <w:rPr>
                      <w:rFonts w:hint="eastAsia" w:hAnsi="宋体" w:cs="宋体"/>
                      <w:color w:val="000000"/>
                    </w:rPr>
                    <w:t>井架</w:t>
                  </w:r>
                </w:p>
              </w:tc>
              <w:tc>
                <w:tcPr>
                  <w:tcW w:w="4270" w:type="dxa"/>
                  <w:shd w:val="clear" w:color="auto" w:fill="auto"/>
                  <w:vAlign w:val="center"/>
                </w:tcPr>
                <w:p>
                  <w:pPr>
                    <w:pStyle w:val="70"/>
                    <w:rPr>
                      <w:rFonts w:hAnsi="宋体" w:cs="宋体"/>
                      <w:color w:val="000000"/>
                    </w:rPr>
                  </w:pPr>
                  <w:r>
                    <w:rPr>
                      <w:rFonts w:hint="eastAsia" w:hAnsi="宋体" w:cs="宋体"/>
                      <w:color w:val="000000"/>
                    </w:rPr>
                    <w:t>最大静负荷</w:t>
                  </w:r>
                  <w:r>
                    <w:rPr>
                      <w:rFonts w:hAnsi="宋体" w:cs="宋体"/>
                      <w:color w:val="000000"/>
                    </w:rPr>
                    <w:t>1700kN</w:t>
                  </w:r>
                </w:p>
              </w:tc>
              <w:tc>
                <w:tcPr>
                  <w:tcW w:w="826" w:type="dxa"/>
                  <w:shd w:val="clear" w:color="auto" w:fill="auto"/>
                  <w:vAlign w:val="center"/>
                </w:tcPr>
                <w:p>
                  <w:pPr>
                    <w:pStyle w:val="70"/>
                    <w:rPr>
                      <w:rFonts w:hAnsi="宋体" w:cs="宋体"/>
                      <w:color w:val="000000"/>
                    </w:rPr>
                  </w:pPr>
                  <w:r>
                    <w:rPr>
                      <w:rFonts w:hint="eastAsia" w:hAnsi="宋体" w:cs="宋体"/>
                      <w:color w:val="000000"/>
                    </w:rPr>
                    <w:t>套</w:t>
                  </w:r>
                </w:p>
              </w:tc>
              <w:tc>
                <w:tcPr>
                  <w:tcW w:w="762" w:type="dxa"/>
                  <w:shd w:val="clear" w:color="auto" w:fill="auto"/>
                  <w:vAlign w:val="center"/>
                </w:tcPr>
                <w:p>
                  <w:pPr>
                    <w:pStyle w:val="70"/>
                    <w:rPr>
                      <w:rFonts w:hAnsi="宋体" w:cs="宋体"/>
                      <w:color w:val="000000"/>
                    </w:rPr>
                  </w:pPr>
                  <w:r>
                    <w:rPr>
                      <w:rFonts w:hAnsi="宋体" w:cs="宋体"/>
                      <w:color w:val="00000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11" w:type="dxa"/>
                  <w:shd w:val="clear" w:color="auto" w:fill="auto"/>
                  <w:vAlign w:val="center"/>
                </w:tcPr>
                <w:p>
                  <w:pPr>
                    <w:pStyle w:val="70"/>
                    <w:rPr>
                      <w:rFonts w:hAnsi="宋体" w:cs="宋体"/>
                      <w:color w:val="000000"/>
                    </w:rPr>
                  </w:pPr>
                  <w:r>
                    <w:rPr>
                      <w:rFonts w:hAnsi="宋体" w:cs="宋体"/>
                      <w:color w:val="000000"/>
                    </w:rPr>
                    <w:t>6</w:t>
                  </w:r>
                </w:p>
              </w:tc>
              <w:tc>
                <w:tcPr>
                  <w:tcW w:w="1310" w:type="dxa"/>
                  <w:shd w:val="clear" w:color="auto" w:fill="auto"/>
                  <w:vAlign w:val="center"/>
                </w:tcPr>
                <w:p>
                  <w:pPr>
                    <w:pStyle w:val="70"/>
                    <w:rPr>
                      <w:rFonts w:hAnsi="宋体" w:cs="宋体"/>
                      <w:color w:val="000000"/>
                    </w:rPr>
                  </w:pPr>
                  <w:r>
                    <w:rPr>
                      <w:rFonts w:hint="eastAsia" w:hAnsi="宋体" w:cs="宋体"/>
                      <w:color w:val="000000"/>
                    </w:rPr>
                    <w:t>井架底座</w:t>
                  </w:r>
                </w:p>
              </w:tc>
              <w:tc>
                <w:tcPr>
                  <w:tcW w:w="4270" w:type="dxa"/>
                  <w:shd w:val="clear" w:color="auto" w:fill="auto"/>
                  <w:vAlign w:val="center"/>
                </w:tcPr>
                <w:p>
                  <w:pPr>
                    <w:pStyle w:val="70"/>
                    <w:rPr>
                      <w:rFonts w:hAnsi="宋体" w:cs="宋体"/>
                      <w:color w:val="000000"/>
                    </w:rPr>
                  </w:pPr>
                  <w:r>
                    <w:rPr>
                      <w:rFonts w:hint="eastAsia" w:hAnsi="宋体" w:cs="宋体"/>
                      <w:color w:val="000000"/>
                    </w:rPr>
                    <w:t>钻台面高度≥5m，转盘梁最大静载荷1700kN，立根盒容量（直径114mm钻杆,28m立根）3000m</w:t>
                  </w:r>
                </w:p>
              </w:tc>
              <w:tc>
                <w:tcPr>
                  <w:tcW w:w="826" w:type="dxa"/>
                  <w:shd w:val="clear" w:color="auto" w:fill="auto"/>
                  <w:vAlign w:val="center"/>
                </w:tcPr>
                <w:p>
                  <w:pPr>
                    <w:pStyle w:val="70"/>
                    <w:rPr>
                      <w:rFonts w:hAnsi="宋体" w:cs="宋体"/>
                      <w:color w:val="000000"/>
                    </w:rPr>
                  </w:pPr>
                  <w:r>
                    <w:rPr>
                      <w:rFonts w:hint="eastAsia" w:hAnsi="宋体" w:cs="宋体"/>
                      <w:color w:val="000000"/>
                    </w:rPr>
                    <w:t>套</w:t>
                  </w:r>
                </w:p>
              </w:tc>
              <w:tc>
                <w:tcPr>
                  <w:tcW w:w="762" w:type="dxa"/>
                  <w:shd w:val="clear" w:color="auto" w:fill="auto"/>
                  <w:vAlign w:val="center"/>
                </w:tcPr>
                <w:p>
                  <w:pPr>
                    <w:pStyle w:val="70"/>
                    <w:rPr>
                      <w:rFonts w:hAnsi="宋体" w:cs="宋体"/>
                      <w:color w:val="000000"/>
                    </w:rPr>
                  </w:pPr>
                  <w:r>
                    <w:rPr>
                      <w:rFonts w:hAnsi="宋体" w:cs="宋体"/>
                      <w:color w:val="00000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11" w:type="dxa"/>
                  <w:shd w:val="clear" w:color="auto" w:fill="auto"/>
                  <w:vAlign w:val="center"/>
                </w:tcPr>
                <w:p>
                  <w:pPr>
                    <w:pStyle w:val="70"/>
                    <w:rPr>
                      <w:rFonts w:hAnsi="宋体" w:cs="宋体"/>
                      <w:color w:val="000000"/>
                    </w:rPr>
                  </w:pPr>
                  <w:r>
                    <w:rPr>
                      <w:rFonts w:hAnsi="宋体" w:cs="宋体"/>
                      <w:color w:val="000000"/>
                    </w:rPr>
                    <w:t>7</w:t>
                  </w:r>
                </w:p>
              </w:tc>
              <w:tc>
                <w:tcPr>
                  <w:tcW w:w="1310" w:type="dxa"/>
                  <w:shd w:val="clear" w:color="auto" w:fill="auto"/>
                  <w:vAlign w:val="center"/>
                </w:tcPr>
                <w:p>
                  <w:pPr>
                    <w:pStyle w:val="70"/>
                    <w:rPr>
                      <w:rFonts w:hAnsi="宋体" w:cs="宋体"/>
                      <w:color w:val="000000"/>
                    </w:rPr>
                  </w:pPr>
                  <w:r>
                    <w:rPr>
                      <w:rFonts w:hint="eastAsia" w:hAnsi="宋体" w:cs="宋体"/>
                      <w:color w:val="000000"/>
                    </w:rPr>
                    <w:t>动力系统</w:t>
                  </w:r>
                </w:p>
              </w:tc>
              <w:tc>
                <w:tcPr>
                  <w:tcW w:w="4270" w:type="dxa"/>
                  <w:shd w:val="clear" w:color="auto" w:fill="auto"/>
                  <w:vAlign w:val="center"/>
                </w:tcPr>
                <w:p>
                  <w:pPr>
                    <w:pStyle w:val="70"/>
                    <w:rPr>
                      <w:rFonts w:hAnsi="宋体" w:cs="宋体"/>
                      <w:color w:val="000000"/>
                    </w:rPr>
                  </w:pPr>
                  <w:r>
                    <w:rPr>
                      <w:rFonts w:hint="eastAsia" w:hAnsi="宋体" w:cs="宋体"/>
                      <w:color w:val="000000"/>
                    </w:rPr>
                    <w:t>柴油机2台（单台功率不小于810kW）或主柴油发电机组总机功率≥1000</w:t>
                  </w:r>
                  <w:r>
                    <w:rPr>
                      <w:rFonts w:hAnsi="宋体" w:cs="宋体"/>
                      <w:color w:val="000000"/>
                    </w:rPr>
                    <w:t>kW</w:t>
                  </w:r>
                </w:p>
              </w:tc>
              <w:tc>
                <w:tcPr>
                  <w:tcW w:w="826" w:type="dxa"/>
                  <w:shd w:val="clear" w:color="auto" w:fill="auto"/>
                  <w:vAlign w:val="center"/>
                </w:tcPr>
                <w:p>
                  <w:pPr>
                    <w:pStyle w:val="70"/>
                    <w:rPr>
                      <w:rFonts w:hAnsi="宋体" w:cs="宋体"/>
                      <w:color w:val="000000"/>
                    </w:rPr>
                  </w:pPr>
                  <w:r>
                    <w:rPr>
                      <w:rFonts w:hint="eastAsia" w:hAnsi="宋体" w:cs="宋体"/>
                      <w:color w:val="000000"/>
                    </w:rPr>
                    <w:t>台</w:t>
                  </w:r>
                </w:p>
              </w:tc>
              <w:tc>
                <w:tcPr>
                  <w:tcW w:w="762" w:type="dxa"/>
                  <w:shd w:val="clear" w:color="auto" w:fill="auto"/>
                  <w:vAlign w:val="center"/>
                </w:tcPr>
                <w:p>
                  <w:pPr>
                    <w:pStyle w:val="70"/>
                    <w:rPr>
                      <w:rFonts w:hAnsi="宋体" w:cs="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11" w:type="dxa"/>
                  <w:shd w:val="clear" w:color="auto" w:fill="auto"/>
                  <w:vAlign w:val="center"/>
                </w:tcPr>
                <w:p>
                  <w:pPr>
                    <w:pStyle w:val="70"/>
                    <w:rPr>
                      <w:rFonts w:hAnsi="宋体" w:cs="宋体"/>
                      <w:color w:val="000000"/>
                    </w:rPr>
                  </w:pPr>
                  <w:r>
                    <w:rPr>
                      <w:rFonts w:hAnsi="宋体" w:cs="宋体"/>
                      <w:color w:val="000000"/>
                    </w:rPr>
                    <w:t>8</w:t>
                  </w:r>
                </w:p>
              </w:tc>
              <w:tc>
                <w:tcPr>
                  <w:tcW w:w="1310" w:type="dxa"/>
                  <w:shd w:val="clear" w:color="auto" w:fill="auto"/>
                  <w:vAlign w:val="center"/>
                </w:tcPr>
                <w:p>
                  <w:pPr>
                    <w:pStyle w:val="70"/>
                    <w:rPr>
                      <w:rFonts w:hAnsi="宋体" w:cs="宋体"/>
                      <w:color w:val="000000"/>
                    </w:rPr>
                  </w:pPr>
                  <w:r>
                    <w:rPr>
                      <w:rFonts w:hint="eastAsia" w:hAnsi="宋体" w:cs="宋体"/>
                      <w:color w:val="000000"/>
                    </w:rPr>
                    <w:t>钻井泵</w:t>
                  </w:r>
                </w:p>
              </w:tc>
              <w:tc>
                <w:tcPr>
                  <w:tcW w:w="4270" w:type="dxa"/>
                  <w:shd w:val="clear" w:color="auto" w:fill="auto"/>
                  <w:vAlign w:val="center"/>
                </w:tcPr>
                <w:p>
                  <w:pPr>
                    <w:pStyle w:val="70"/>
                    <w:rPr>
                      <w:rFonts w:hAnsi="宋体" w:cs="宋体"/>
                      <w:color w:val="000000"/>
                    </w:rPr>
                  </w:pPr>
                  <w:r>
                    <w:rPr>
                      <w:rFonts w:hint="eastAsia" w:hAnsi="宋体" w:cs="宋体"/>
                      <w:color w:val="000000"/>
                    </w:rPr>
                    <w:t>单台功率不小于</w:t>
                  </w:r>
                  <w:r>
                    <w:rPr>
                      <w:rFonts w:hAnsi="宋体" w:cs="宋体"/>
                      <w:color w:val="000000"/>
                    </w:rPr>
                    <w:t>735</w:t>
                  </w:r>
                  <w:r>
                    <w:rPr>
                      <w:rFonts w:hint="eastAsia" w:hAnsi="宋体" w:cs="宋体"/>
                      <w:color w:val="000000"/>
                    </w:rPr>
                    <w:t>kW（1000HP）</w:t>
                  </w:r>
                </w:p>
              </w:tc>
              <w:tc>
                <w:tcPr>
                  <w:tcW w:w="826" w:type="dxa"/>
                  <w:shd w:val="clear" w:color="auto" w:fill="auto"/>
                  <w:vAlign w:val="center"/>
                </w:tcPr>
                <w:p>
                  <w:pPr>
                    <w:pStyle w:val="70"/>
                    <w:rPr>
                      <w:rFonts w:hAnsi="宋体" w:cs="宋体"/>
                      <w:color w:val="000000"/>
                    </w:rPr>
                  </w:pPr>
                  <w:r>
                    <w:rPr>
                      <w:rFonts w:hint="eastAsia" w:hAnsi="宋体" w:cs="宋体"/>
                      <w:color w:val="000000"/>
                    </w:rPr>
                    <w:t>套</w:t>
                  </w:r>
                </w:p>
              </w:tc>
              <w:tc>
                <w:tcPr>
                  <w:tcW w:w="762" w:type="dxa"/>
                  <w:shd w:val="clear" w:color="auto" w:fill="auto"/>
                  <w:vAlign w:val="center"/>
                </w:tcPr>
                <w:p>
                  <w:pPr>
                    <w:pStyle w:val="70"/>
                    <w:rPr>
                      <w:rFonts w:hAnsi="宋体" w:cs="宋体"/>
                      <w:color w:val="000000"/>
                    </w:rPr>
                  </w:pPr>
                  <w:r>
                    <w:rPr>
                      <w:rFonts w:hint="eastAsia" w:hAnsi="宋体" w:cs="宋体"/>
                      <w:color w:val="000000"/>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11" w:type="dxa"/>
                  <w:shd w:val="clear" w:color="auto" w:fill="auto"/>
                  <w:vAlign w:val="center"/>
                </w:tcPr>
                <w:p>
                  <w:pPr>
                    <w:pStyle w:val="70"/>
                    <w:rPr>
                      <w:rFonts w:hAnsi="宋体" w:cs="宋体"/>
                      <w:color w:val="000000"/>
                    </w:rPr>
                  </w:pPr>
                  <w:r>
                    <w:rPr>
                      <w:rFonts w:hAnsi="宋体" w:cs="宋体"/>
                      <w:color w:val="000000"/>
                    </w:rPr>
                    <w:t>9</w:t>
                  </w:r>
                </w:p>
              </w:tc>
              <w:tc>
                <w:tcPr>
                  <w:tcW w:w="1310" w:type="dxa"/>
                  <w:shd w:val="clear" w:color="auto" w:fill="auto"/>
                  <w:vAlign w:val="center"/>
                </w:tcPr>
                <w:p>
                  <w:pPr>
                    <w:pStyle w:val="70"/>
                    <w:rPr>
                      <w:rFonts w:hAnsi="宋体" w:cs="宋体"/>
                      <w:color w:val="000000"/>
                    </w:rPr>
                  </w:pPr>
                  <w:r>
                    <w:rPr>
                      <w:rFonts w:hint="eastAsia" w:hAnsi="宋体" w:cs="宋体"/>
                      <w:color w:val="000000"/>
                    </w:rPr>
                    <w:t>钻井液</w:t>
                  </w:r>
                </w:p>
                <w:p>
                  <w:pPr>
                    <w:pStyle w:val="70"/>
                    <w:rPr>
                      <w:rFonts w:hAnsi="宋体" w:cs="宋体"/>
                      <w:color w:val="000000"/>
                    </w:rPr>
                  </w:pPr>
                  <w:r>
                    <w:rPr>
                      <w:rFonts w:hint="eastAsia" w:hAnsi="宋体" w:cs="宋体"/>
                      <w:color w:val="000000"/>
                    </w:rPr>
                    <w:t>循环罐</w:t>
                  </w:r>
                </w:p>
              </w:tc>
              <w:tc>
                <w:tcPr>
                  <w:tcW w:w="4270" w:type="dxa"/>
                  <w:shd w:val="clear" w:color="auto" w:fill="auto"/>
                  <w:vAlign w:val="center"/>
                </w:tcPr>
                <w:p>
                  <w:pPr>
                    <w:pStyle w:val="70"/>
                    <w:rPr>
                      <w:rFonts w:hAnsi="宋体" w:cs="宋体"/>
                      <w:color w:val="000000"/>
                    </w:rPr>
                  </w:pPr>
                  <w:r>
                    <w:rPr>
                      <w:rFonts w:hint="eastAsia" w:hAnsi="宋体" w:cs="宋体"/>
                      <w:color w:val="000000"/>
                      <w:w w:val="101"/>
                    </w:rPr>
                    <w:t>含搅拌机，单罐有效容积不小于30</w:t>
                  </w:r>
                  <w:r>
                    <w:rPr>
                      <w:rFonts w:hAnsi="宋体" w:cs="宋体"/>
                      <w:color w:val="000000"/>
                      <w:spacing w:val="-16"/>
                      <w:w w:val="101"/>
                    </w:rPr>
                    <w:t>m</w:t>
                  </w:r>
                  <w:r>
                    <w:rPr>
                      <w:rFonts w:hAnsi="宋体" w:cs="宋体"/>
                      <w:color w:val="000000"/>
                      <w:spacing w:val="-16"/>
                      <w:w w:val="101"/>
                      <w:vertAlign w:val="superscript"/>
                    </w:rPr>
                    <w:t>3</w:t>
                  </w:r>
                </w:p>
              </w:tc>
              <w:tc>
                <w:tcPr>
                  <w:tcW w:w="826" w:type="dxa"/>
                  <w:shd w:val="clear" w:color="auto" w:fill="auto"/>
                  <w:vAlign w:val="center"/>
                </w:tcPr>
                <w:p>
                  <w:pPr>
                    <w:pStyle w:val="70"/>
                    <w:rPr>
                      <w:rFonts w:hAnsi="宋体" w:cs="宋体"/>
                      <w:color w:val="000000"/>
                    </w:rPr>
                  </w:pPr>
                  <w:r>
                    <w:rPr>
                      <w:rFonts w:hint="eastAsia" w:hAnsi="宋体" w:cs="宋体"/>
                      <w:color w:val="000000"/>
                    </w:rPr>
                    <w:t>个</w:t>
                  </w:r>
                </w:p>
              </w:tc>
              <w:tc>
                <w:tcPr>
                  <w:tcW w:w="762" w:type="dxa"/>
                  <w:shd w:val="clear" w:color="auto" w:fill="auto"/>
                  <w:vAlign w:val="center"/>
                </w:tcPr>
                <w:p>
                  <w:pPr>
                    <w:pStyle w:val="70"/>
                    <w:rPr>
                      <w:rFonts w:hAnsi="宋体" w:cs="宋体"/>
                      <w:color w:val="000000"/>
                    </w:rPr>
                  </w:pPr>
                  <w:r>
                    <w:rPr>
                      <w:rFonts w:hAnsi="宋体" w:cs="宋体"/>
                      <w:color w:val="000000"/>
                      <w:w w:val="99"/>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11" w:type="dxa"/>
                  <w:shd w:val="clear" w:color="auto" w:fill="auto"/>
                  <w:vAlign w:val="center"/>
                </w:tcPr>
                <w:p>
                  <w:pPr>
                    <w:pStyle w:val="70"/>
                    <w:rPr>
                      <w:rFonts w:hAnsi="宋体" w:cs="宋体"/>
                      <w:color w:val="000000"/>
                    </w:rPr>
                  </w:pPr>
                  <w:r>
                    <w:rPr>
                      <w:rFonts w:hAnsi="宋体" w:cs="宋体"/>
                      <w:color w:val="000000"/>
                    </w:rPr>
                    <w:t>10</w:t>
                  </w:r>
                </w:p>
              </w:tc>
              <w:tc>
                <w:tcPr>
                  <w:tcW w:w="1310" w:type="dxa"/>
                  <w:shd w:val="clear" w:color="auto" w:fill="auto"/>
                  <w:vAlign w:val="center"/>
                </w:tcPr>
                <w:p>
                  <w:pPr>
                    <w:pStyle w:val="70"/>
                    <w:rPr>
                      <w:rFonts w:hAnsi="宋体" w:cs="宋体"/>
                      <w:color w:val="000000"/>
                    </w:rPr>
                  </w:pPr>
                  <w:r>
                    <w:rPr>
                      <w:rFonts w:hint="eastAsia" w:hAnsi="宋体" w:cs="宋体"/>
                      <w:color w:val="000000"/>
                    </w:rPr>
                    <w:t>振动筛</w:t>
                  </w:r>
                </w:p>
              </w:tc>
              <w:tc>
                <w:tcPr>
                  <w:tcW w:w="4270" w:type="dxa"/>
                  <w:shd w:val="clear" w:color="auto" w:fill="auto"/>
                  <w:vAlign w:val="center"/>
                </w:tcPr>
                <w:p>
                  <w:pPr>
                    <w:pStyle w:val="70"/>
                    <w:rPr>
                      <w:rFonts w:hAnsi="宋体" w:cs="宋体"/>
                      <w:color w:val="000000"/>
                    </w:rPr>
                  </w:pPr>
                </w:p>
              </w:tc>
              <w:tc>
                <w:tcPr>
                  <w:tcW w:w="826" w:type="dxa"/>
                  <w:shd w:val="clear" w:color="auto" w:fill="auto"/>
                  <w:vAlign w:val="center"/>
                </w:tcPr>
                <w:p>
                  <w:pPr>
                    <w:pStyle w:val="70"/>
                    <w:rPr>
                      <w:rFonts w:hAnsi="宋体" w:cs="宋体"/>
                      <w:color w:val="000000"/>
                    </w:rPr>
                  </w:pPr>
                  <w:r>
                    <w:rPr>
                      <w:rFonts w:hint="eastAsia" w:hAnsi="宋体" w:cs="宋体"/>
                      <w:color w:val="000000"/>
                    </w:rPr>
                    <w:t>套</w:t>
                  </w:r>
                </w:p>
              </w:tc>
              <w:tc>
                <w:tcPr>
                  <w:tcW w:w="762" w:type="dxa"/>
                  <w:shd w:val="clear" w:color="auto" w:fill="auto"/>
                  <w:vAlign w:val="center"/>
                </w:tcPr>
                <w:p>
                  <w:pPr>
                    <w:pStyle w:val="70"/>
                    <w:rPr>
                      <w:rFonts w:hAnsi="宋体" w:cs="宋体"/>
                      <w:color w:val="000000"/>
                    </w:rPr>
                  </w:pPr>
                  <w:r>
                    <w:rPr>
                      <w:rFonts w:hAnsi="宋体" w:cs="宋体"/>
                      <w:color w:val="000000"/>
                      <w:w w:val="99"/>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11" w:type="dxa"/>
                  <w:shd w:val="clear" w:color="auto" w:fill="auto"/>
                  <w:vAlign w:val="center"/>
                </w:tcPr>
                <w:p>
                  <w:pPr>
                    <w:pStyle w:val="70"/>
                    <w:rPr>
                      <w:rFonts w:hAnsi="宋体" w:cs="宋体"/>
                      <w:color w:val="000000"/>
                    </w:rPr>
                  </w:pPr>
                  <w:r>
                    <w:rPr>
                      <w:rFonts w:hAnsi="宋体" w:cs="宋体"/>
                      <w:color w:val="000000"/>
                    </w:rPr>
                    <w:t>11</w:t>
                  </w:r>
                </w:p>
              </w:tc>
              <w:tc>
                <w:tcPr>
                  <w:tcW w:w="1310" w:type="dxa"/>
                  <w:shd w:val="clear" w:color="auto" w:fill="auto"/>
                  <w:vAlign w:val="center"/>
                </w:tcPr>
                <w:p>
                  <w:pPr>
                    <w:pStyle w:val="70"/>
                    <w:rPr>
                      <w:rFonts w:hAnsi="宋体" w:cs="宋体"/>
                      <w:color w:val="000000"/>
                    </w:rPr>
                  </w:pPr>
                  <w:r>
                    <w:rPr>
                      <w:rFonts w:hint="eastAsia" w:hAnsi="宋体" w:cs="宋体"/>
                      <w:color w:val="000000"/>
                    </w:rPr>
                    <w:t>除砂器</w:t>
                  </w:r>
                </w:p>
              </w:tc>
              <w:tc>
                <w:tcPr>
                  <w:tcW w:w="4270" w:type="dxa"/>
                  <w:shd w:val="clear" w:color="auto" w:fill="auto"/>
                  <w:vAlign w:val="center"/>
                </w:tcPr>
                <w:p>
                  <w:pPr>
                    <w:pStyle w:val="70"/>
                    <w:rPr>
                      <w:rFonts w:hAnsi="宋体" w:cs="宋体"/>
                      <w:color w:val="000000"/>
                    </w:rPr>
                  </w:pPr>
                </w:p>
              </w:tc>
              <w:tc>
                <w:tcPr>
                  <w:tcW w:w="826" w:type="dxa"/>
                  <w:shd w:val="clear" w:color="auto" w:fill="auto"/>
                  <w:vAlign w:val="center"/>
                </w:tcPr>
                <w:p>
                  <w:pPr>
                    <w:pStyle w:val="70"/>
                    <w:rPr>
                      <w:rFonts w:hAnsi="宋体" w:cs="宋体"/>
                      <w:color w:val="000000"/>
                    </w:rPr>
                  </w:pPr>
                  <w:r>
                    <w:rPr>
                      <w:rFonts w:hint="eastAsia" w:hAnsi="宋体" w:cs="宋体"/>
                      <w:color w:val="000000"/>
                    </w:rPr>
                    <w:t>台</w:t>
                  </w:r>
                </w:p>
              </w:tc>
              <w:tc>
                <w:tcPr>
                  <w:tcW w:w="762" w:type="dxa"/>
                  <w:shd w:val="clear" w:color="auto" w:fill="auto"/>
                  <w:vAlign w:val="center"/>
                </w:tcPr>
                <w:p>
                  <w:pPr>
                    <w:pStyle w:val="70"/>
                    <w:rPr>
                      <w:rFonts w:hAnsi="宋体" w:cs="宋体"/>
                      <w:color w:val="000000"/>
                    </w:rPr>
                  </w:pPr>
                  <w:r>
                    <w:rPr>
                      <w:rFonts w:hAnsi="宋体" w:cs="宋体"/>
                      <w:color w:val="000000"/>
                      <w:w w:val="99"/>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11" w:type="dxa"/>
                  <w:shd w:val="clear" w:color="auto" w:fill="auto"/>
                  <w:vAlign w:val="center"/>
                </w:tcPr>
                <w:p>
                  <w:pPr>
                    <w:pStyle w:val="70"/>
                    <w:rPr>
                      <w:rFonts w:hAnsi="宋体" w:cs="宋体"/>
                      <w:color w:val="000000"/>
                    </w:rPr>
                  </w:pPr>
                  <w:r>
                    <w:rPr>
                      <w:rFonts w:hAnsi="宋体" w:cs="宋体"/>
                      <w:color w:val="000000"/>
                    </w:rPr>
                    <w:t>12</w:t>
                  </w:r>
                </w:p>
              </w:tc>
              <w:tc>
                <w:tcPr>
                  <w:tcW w:w="1310" w:type="dxa"/>
                  <w:shd w:val="clear" w:color="auto" w:fill="auto"/>
                  <w:vAlign w:val="center"/>
                </w:tcPr>
                <w:p>
                  <w:pPr>
                    <w:pStyle w:val="70"/>
                    <w:rPr>
                      <w:rFonts w:hAnsi="宋体" w:cs="宋体"/>
                      <w:color w:val="000000"/>
                    </w:rPr>
                  </w:pPr>
                  <w:r>
                    <w:rPr>
                      <w:rFonts w:hint="eastAsia" w:hAnsi="宋体" w:cs="宋体"/>
                      <w:color w:val="000000"/>
                    </w:rPr>
                    <w:t>离心机</w:t>
                  </w:r>
                </w:p>
              </w:tc>
              <w:tc>
                <w:tcPr>
                  <w:tcW w:w="4270" w:type="dxa"/>
                  <w:shd w:val="clear" w:color="auto" w:fill="auto"/>
                  <w:vAlign w:val="center"/>
                </w:tcPr>
                <w:p>
                  <w:pPr>
                    <w:pStyle w:val="70"/>
                    <w:rPr>
                      <w:rFonts w:hAnsi="宋体" w:cs="宋体"/>
                      <w:color w:val="000000"/>
                    </w:rPr>
                  </w:pPr>
                  <w:r>
                    <w:rPr>
                      <w:rFonts w:hint="eastAsia" w:hAnsi="宋体" w:cs="宋体"/>
                      <w:color w:val="000000"/>
                    </w:rPr>
                    <w:t>处理量≥</w:t>
                  </w:r>
                  <w:r>
                    <w:rPr>
                      <w:rFonts w:hAnsi="宋体" w:cs="宋体"/>
                      <w:color w:val="000000"/>
                    </w:rPr>
                    <w:t>40m</w:t>
                  </w:r>
                  <w:r>
                    <w:rPr>
                      <w:rFonts w:hAnsi="宋体" w:cs="宋体"/>
                      <w:color w:val="000000"/>
                      <w:vertAlign w:val="superscript"/>
                    </w:rPr>
                    <w:t>3</w:t>
                  </w:r>
                  <w:r>
                    <w:rPr>
                      <w:rFonts w:hAnsi="宋体" w:cs="宋体"/>
                      <w:color w:val="000000"/>
                    </w:rPr>
                    <w:t>/h</w:t>
                  </w:r>
                </w:p>
              </w:tc>
              <w:tc>
                <w:tcPr>
                  <w:tcW w:w="826" w:type="dxa"/>
                  <w:shd w:val="clear" w:color="auto" w:fill="auto"/>
                  <w:vAlign w:val="center"/>
                </w:tcPr>
                <w:p>
                  <w:pPr>
                    <w:pStyle w:val="70"/>
                    <w:rPr>
                      <w:rFonts w:hAnsi="宋体" w:cs="宋体"/>
                      <w:color w:val="000000"/>
                    </w:rPr>
                  </w:pPr>
                  <w:r>
                    <w:rPr>
                      <w:rFonts w:hint="eastAsia" w:hAnsi="宋体" w:cs="宋体"/>
                      <w:color w:val="000000"/>
                    </w:rPr>
                    <w:t>台</w:t>
                  </w:r>
                </w:p>
              </w:tc>
              <w:tc>
                <w:tcPr>
                  <w:tcW w:w="762" w:type="dxa"/>
                  <w:shd w:val="clear" w:color="auto" w:fill="auto"/>
                  <w:vAlign w:val="center"/>
                </w:tcPr>
                <w:p>
                  <w:pPr>
                    <w:pStyle w:val="70"/>
                    <w:rPr>
                      <w:rFonts w:hAnsi="宋体" w:cs="宋体"/>
                      <w:color w:val="000000"/>
                    </w:rPr>
                  </w:pPr>
                  <w:r>
                    <w:rPr>
                      <w:rFonts w:hint="eastAsia" w:hAnsi="宋体" w:cs="宋体"/>
                      <w:color w:val="000000"/>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11" w:type="dxa"/>
                  <w:shd w:val="clear" w:color="auto" w:fill="auto"/>
                  <w:vAlign w:val="center"/>
                </w:tcPr>
                <w:p>
                  <w:pPr>
                    <w:pStyle w:val="70"/>
                    <w:rPr>
                      <w:rFonts w:hAnsi="宋体" w:cs="宋体"/>
                      <w:color w:val="000000"/>
                    </w:rPr>
                  </w:pPr>
                  <w:r>
                    <w:rPr>
                      <w:rFonts w:hAnsi="宋体" w:cs="宋体"/>
                      <w:color w:val="000000"/>
                    </w:rPr>
                    <w:t>13</w:t>
                  </w:r>
                </w:p>
              </w:tc>
              <w:tc>
                <w:tcPr>
                  <w:tcW w:w="1310" w:type="dxa"/>
                  <w:shd w:val="clear" w:color="auto" w:fill="auto"/>
                  <w:vAlign w:val="center"/>
                </w:tcPr>
                <w:p>
                  <w:pPr>
                    <w:pStyle w:val="70"/>
                    <w:rPr>
                      <w:rFonts w:hAnsi="宋体" w:cs="宋体"/>
                      <w:color w:val="000000"/>
                    </w:rPr>
                  </w:pPr>
                  <w:r>
                    <w:rPr>
                      <w:rFonts w:hint="eastAsia" w:hAnsi="宋体" w:cs="宋体"/>
                      <w:color w:val="000000"/>
                    </w:rPr>
                    <w:t>钻井参数仪</w:t>
                  </w:r>
                </w:p>
              </w:tc>
              <w:tc>
                <w:tcPr>
                  <w:tcW w:w="4270" w:type="dxa"/>
                  <w:shd w:val="clear" w:color="auto" w:fill="auto"/>
                  <w:vAlign w:val="center"/>
                </w:tcPr>
                <w:p>
                  <w:pPr>
                    <w:pStyle w:val="70"/>
                    <w:rPr>
                      <w:rFonts w:hAnsi="宋体" w:cs="宋体"/>
                      <w:color w:val="000000"/>
                    </w:rPr>
                  </w:pPr>
                </w:p>
              </w:tc>
              <w:tc>
                <w:tcPr>
                  <w:tcW w:w="826" w:type="dxa"/>
                  <w:shd w:val="clear" w:color="auto" w:fill="auto"/>
                  <w:vAlign w:val="center"/>
                </w:tcPr>
                <w:p>
                  <w:pPr>
                    <w:pStyle w:val="70"/>
                    <w:rPr>
                      <w:rFonts w:hAnsi="宋体" w:cs="宋体"/>
                      <w:color w:val="000000"/>
                    </w:rPr>
                  </w:pPr>
                  <w:r>
                    <w:rPr>
                      <w:rFonts w:hint="eastAsia" w:hAnsi="宋体" w:cs="宋体"/>
                      <w:color w:val="000000"/>
                    </w:rPr>
                    <w:t>套</w:t>
                  </w:r>
                </w:p>
              </w:tc>
              <w:tc>
                <w:tcPr>
                  <w:tcW w:w="762" w:type="dxa"/>
                  <w:shd w:val="clear" w:color="auto" w:fill="auto"/>
                  <w:vAlign w:val="center"/>
                </w:tcPr>
                <w:p>
                  <w:pPr>
                    <w:pStyle w:val="70"/>
                    <w:rPr>
                      <w:rFonts w:hAnsi="宋体" w:cs="宋体"/>
                      <w:color w:val="000000"/>
                    </w:rPr>
                  </w:pPr>
                  <w:r>
                    <w:rPr>
                      <w:rFonts w:hAnsi="宋体" w:cs="宋体"/>
                      <w:color w:val="000000"/>
                      <w:w w:val="99"/>
                    </w:rPr>
                    <w:t>1</w:t>
                  </w:r>
                </w:p>
              </w:tc>
            </w:tr>
          </w:tbl>
          <w:p>
            <w:pPr>
              <w:pStyle w:val="110"/>
              <w:rPr>
                <w:color w:val="000000"/>
              </w:rPr>
            </w:pPr>
          </w:p>
          <w:p>
            <w:pPr>
              <w:pStyle w:val="110"/>
              <w:rPr>
                <w:color w:val="000000"/>
              </w:rPr>
            </w:pPr>
            <w:r>
              <w:rPr>
                <w:color w:val="000000"/>
              </w:rPr>
              <w:t>6</w:t>
            </w:r>
            <w:r>
              <w:rPr>
                <w:rFonts w:hint="eastAsia"/>
                <w:color w:val="000000"/>
              </w:rPr>
              <w:t>、公用工程</w:t>
            </w:r>
          </w:p>
          <w:p>
            <w:pPr>
              <w:pStyle w:val="110"/>
              <w:rPr>
                <w:color w:val="000000"/>
              </w:rPr>
            </w:pPr>
            <w:r>
              <w:rPr>
                <w:rFonts w:hint="eastAsia"/>
                <w:color w:val="000000"/>
              </w:rPr>
              <w:t>1）水用量</w:t>
            </w:r>
          </w:p>
          <w:p>
            <w:pPr>
              <w:pStyle w:val="110"/>
              <w:rPr>
                <w:color w:val="000000"/>
              </w:rPr>
            </w:pPr>
            <w:r>
              <w:rPr>
                <w:rFonts w:hint="eastAsia"/>
                <w:color w:val="000000"/>
              </w:rPr>
              <w:t>本项目用水主要</w:t>
            </w:r>
            <w:r>
              <w:rPr>
                <w:color w:val="000000"/>
              </w:rPr>
              <w:t>为</w:t>
            </w:r>
            <w:r>
              <w:rPr>
                <w:rFonts w:hint="eastAsia"/>
                <w:color w:val="000000"/>
              </w:rPr>
              <w:t>生产用水</w:t>
            </w:r>
            <w:r>
              <w:rPr>
                <w:color w:val="000000"/>
              </w:rPr>
              <w:t>和生活用水。</w:t>
            </w:r>
          </w:p>
          <w:p>
            <w:pPr>
              <w:pStyle w:val="110"/>
              <w:rPr>
                <w:color w:val="000000"/>
              </w:rPr>
            </w:pPr>
            <w:r>
              <w:rPr>
                <w:rFonts w:hint="eastAsia"/>
                <w:color w:val="000000"/>
              </w:rPr>
              <w:t>生产用水主要为泥浆配比用水，根据施工单位经验数据，整个钻井周期生产用水量约</w:t>
            </w:r>
            <w:r>
              <w:rPr>
                <w:rFonts w:hint="eastAsia"/>
              </w:rPr>
              <w:t>2500</w:t>
            </w:r>
            <w:r>
              <w:rPr>
                <w:rFonts w:hint="eastAsia"/>
                <w:color w:val="000000"/>
              </w:rPr>
              <w:t>m</w:t>
            </w:r>
            <w:r>
              <w:rPr>
                <w:rFonts w:hint="eastAsia"/>
                <w:color w:val="000000"/>
                <w:vertAlign w:val="superscript"/>
              </w:rPr>
              <w:t>3</w:t>
            </w:r>
            <w:r>
              <w:rPr>
                <w:rFonts w:hint="eastAsia"/>
                <w:color w:val="000000"/>
              </w:rPr>
              <w:t>，由车辆拉运。</w:t>
            </w:r>
          </w:p>
          <w:p>
            <w:pPr>
              <w:pStyle w:val="110"/>
              <w:rPr>
                <w:color w:val="000000"/>
              </w:rPr>
            </w:pPr>
            <w:r>
              <w:rPr>
                <w:rFonts w:hint="eastAsia"/>
                <w:color w:val="000000"/>
              </w:rPr>
              <w:t>本项目钻井周期</w:t>
            </w:r>
            <w:r>
              <w:rPr>
                <w:rFonts w:hint="eastAsia"/>
              </w:rPr>
              <w:t>50</w:t>
            </w:r>
            <w:r>
              <w:rPr>
                <w:rFonts w:hint="eastAsia"/>
                <w:color w:val="000000"/>
              </w:rPr>
              <w:t>d，钻井队劳动定员</w:t>
            </w:r>
            <w:r>
              <w:rPr>
                <w:rFonts w:hint="eastAsia"/>
              </w:rPr>
              <w:t>24</w:t>
            </w:r>
            <w:r>
              <w:rPr>
                <w:rFonts w:hint="eastAsia"/>
                <w:color w:val="000000"/>
              </w:rPr>
              <w:t>人，生活用水定额为</w:t>
            </w:r>
            <w:r>
              <w:rPr>
                <w:rFonts w:hint="eastAsia"/>
              </w:rPr>
              <w:t>50</w:t>
            </w:r>
            <w:r>
              <w:rPr>
                <w:rFonts w:hint="eastAsia"/>
                <w:color w:val="000000"/>
              </w:rPr>
              <w:t>L/人·d，整个钻井期生活用水量约</w:t>
            </w:r>
            <w:r>
              <w:rPr>
                <w:rFonts w:hint="eastAsia"/>
              </w:rPr>
              <w:t>60</w:t>
            </w:r>
            <w:r>
              <w:rPr>
                <w:rFonts w:hint="eastAsia"/>
                <w:color w:val="000000"/>
              </w:rPr>
              <w:t>m</w:t>
            </w:r>
            <w:r>
              <w:rPr>
                <w:rFonts w:hint="eastAsia"/>
                <w:color w:val="000000"/>
                <w:vertAlign w:val="superscript"/>
              </w:rPr>
              <w:t>3</w:t>
            </w:r>
            <w:r>
              <w:rPr>
                <w:rFonts w:hint="eastAsia"/>
                <w:color w:val="000000"/>
              </w:rPr>
              <w:t>；钻井期生活用水由车辆拉运。</w:t>
            </w:r>
          </w:p>
          <w:p>
            <w:pPr>
              <w:pStyle w:val="110"/>
              <w:rPr>
                <w:color w:val="000000"/>
              </w:rPr>
            </w:pPr>
            <w:r>
              <w:rPr>
                <w:rFonts w:hint="eastAsia"/>
                <w:color w:val="000000"/>
              </w:rPr>
              <w:t>2）供电工程</w:t>
            </w:r>
          </w:p>
          <w:p>
            <w:pPr>
              <w:pStyle w:val="110"/>
              <w:rPr>
                <w:color w:val="000000"/>
              </w:rPr>
            </w:pPr>
            <w:r>
              <w:rPr>
                <w:rFonts w:hint="eastAsia"/>
                <w:color w:val="000000"/>
              </w:rPr>
              <w:t>本项目钻井过程中采用</w:t>
            </w:r>
            <w:r>
              <w:rPr>
                <w:rFonts w:hint="eastAsia"/>
                <w:snapToGrid w:val="0"/>
                <w:color w:val="000000"/>
              </w:rPr>
              <w:t>柴油机发电，钻井期共计消耗柴油量</w:t>
            </w:r>
            <w:r>
              <w:rPr>
                <w:rFonts w:hint="eastAsia"/>
              </w:rPr>
              <w:t>130</w:t>
            </w:r>
            <w:r>
              <w:rPr>
                <w:snapToGrid w:val="0"/>
                <w:color w:val="000000"/>
              </w:rPr>
              <w:t>t</w:t>
            </w:r>
            <w:r>
              <w:rPr>
                <w:rFonts w:hint="eastAsia"/>
                <w:color w:val="000000"/>
              </w:rPr>
              <w:t>。</w:t>
            </w:r>
          </w:p>
          <w:p>
            <w:pPr>
              <w:pStyle w:val="110"/>
              <w:rPr>
                <w:bCs/>
                <w:color w:val="000000"/>
                <w:szCs w:val="21"/>
              </w:rPr>
            </w:pPr>
            <w:r>
              <w:rPr>
                <w:bCs/>
                <w:color w:val="000000"/>
                <w:szCs w:val="21"/>
              </w:rPr>
              <w:t>3</w:t>
            </w:r>
            <w:r>
              <w:rPr>
                <w:rFonts w:hint="eastAsia"/>
                <w:bCs/>
                <w:color w:val="000000"/>
                <w:szCs w:val="21"/>
              </w:rPr>
              <w:t>）供暖工程</w:t>
            </w:r>
          </w:p>
          <w:p>
            <w:pPr>
              <w:pStyle w:val="110"/>
              <w:rPr>
                <w:color w:val="000000"/>
              </w:rPr>
            </w:pPr>
            <w:r>
              <w:rPr>
                <w:rFonts w:hint="eastAsia"/>
                <w:bCs/>
                <w:color w:val="000000"/>
                <w:szCs w:val="21"/>
              </w:rPr>
              <w:t>本项目采用</w:t>
            </w:r>
            <w:r>
              <w:rPr>
                <w:rFonts w:hint="eastAsia"/>
                <w:snapToGrid w:val="0"/>
                <w:color w:val="000000"/>
              </w:rPr>
              <w:t>电采暖，不设锅炉等设备</w:t>
            </w:r>
            <w:r>
              <w:rPr>
                <w:rFonts w:hint="eastAsia"/>
                <w:bCs/>
                <w:color w:val="000000"/>
                <w:szCs w:val="21"/>
              </w:rPr>
              <w:t>。</w:t>
            </w:r>
          </w:p>
          <w:p>
            <w:pPr>
              <w:pStyle w:val="110"/>
              <w:rPr>
                <w:color w:val="000000"/>
              </w:rPr>
            </w:pPr>
            <w:r>
              <w:rPr>
                <w:color w:val="000000"/>
              </w:rPr>
              <w:t>7</w:t>
            </w:r>
            <w:r>
              <w:rPr>
                <w:rFonts w:hint="eastAsia"/>
                <w:color w:val="000000"/>
              </w:rPr>
              <w:t>、原辅材料</w:t>
            </w:r>
          </w:p>
          <w:p>
            <w:pPr>
              <w:pStyle w:val="110"/>
              <w:rPr>
                <w:color w:val="000000"/>
              </w:rPr>
            </w:pPr>
            <w:r>
              <w:rPr>
                <w:rFonts w:hint="eastAsia"/>
                <w:color w:val="000000"/>
              </w:rPr>
              <w:t>钻井过程中主要使用水基泥浆，根据井下实际情况按比例配比水基泥浆，泥浆主要成分为水和膨润土等，不含铬等有毒物质。整个钻井周期，钻井液循环利用率约为</w:t>
            </w:r>
            <w:r>
              <w:rPr>
                <w:color w:val="000000"/>
              </w:rPr>
              <w:t>95%</w:t>
            </w:r>
            <w:r>
              <w:rPr>
                <w:rFonts w:hint="eastAsia"/>
                <w:color w:val="000000"/>
              </w:rPr>
              <w:t>。</w:t>
            </w:r>
          </w:p>
          <w:p>
            <w:pPr>
              <w:pStyle w:val="97"/>
              <w:spacing w:before="120" w:beforeLines="50" w:line="360" w:lineRule="auto"/>
              <w:rPr>
                <w:color w:val="000000"/>
              </w:rPr>
            </w:pPr>
            <w:r>
              <w:rPr>
                <w:rFonts w:hint="eastAsia"/>
                <w:color w:val="000000"/>
              </w:rPr>
              <w:t xml:space="preserve">表 </w:t>
            </w:r>
            <w:r>
              <w:rPr>
                <w:color w:val="000000"/>
              </w:rPr>
              <w:t xml:space="preserve">9  </w:t>
            </w:r>
            <w:r>
              <w:rPr>
                <w:rFonts w:hint="eastAsia"/>
                <w:snapToGrid w:val="0"/>
                <w:color w:val="000000"/>
              </w:rPr>
              <w:t>钻井液材料一览表（单井用量）</w:t>
            </w:r>
          </w:p>
          <w:tbl>
            <w:tblPr>
              <w:tblStyle w:val="29"/>
              <w:tblW w:w="76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0"/>
              <w:gridCol w:w="2956"/>
              <w:gridCol w:w="1388"/>
              <w:gridCol w:w="1388"/>
              <w:gridCol w:w="13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trPr>
              <w:tc>
                <w:tcPr>
                  <w:tcW w:w="560" w:type="dxa"/>
                  <w:shd w:val="clear" w:color="auto" w:fill="auto"/>
                  <w:vAlign w:val="center"/>
                </w:tcPr>
                <w:p>
                  <w:pPr>
                    <w:pStyle w:val="70"/>
                    <w:rPr>
                      <w:color w:val="000000"/>
                    </w:rPr>
                  </w:pPr>
                  <w:r>
                    <w:rPr>
                      <w:color w:val="000000"/>
                    </w:rPr>
                    <w:t>序号</w:t>
                  </w:r>
                </w:p>
              </w:tc>
              <w:tc>
                <w:tcPr>
                  <w:tcW w:w="2956" w:type="dxa"/>
                  <w:shd w:val="clear" w:color="auto" w:fill="auto"/>
                  <w:vAlign w:val="center"/>
                </w:tcPr>
                <w:p>
                  <w:pPr>
                    <w:pStyle w:val="70"/>
                    <w:rPr>
                      <w:color w:val="000000"/>
                    </w:rPr>
                  </w:pPr>
                  <w:r>
                    <w:rPr>
                      <w:color w:val="000000"/>
                    </w:rPr>
                    <w:t>材料名称及代号</w:t>
                  </w:r>
                </w:p>
              </w:tc>
              <w:tc>
                <w:tcPr>
                  <w:tcW w:w="1388" w:type="dxa"/>
                  <w:shd w:val="clear" w:color="auto" w:fill="auto"/>
                  <w:vAlign w:val="center"/>
                </w:tcPr>
                <w:p>
                  <w:pPr>
                    <w:pStyle w:val="70"/>
                    <w:rPr>
                      <w:color w:val="000000"/>
                    </w:rPr>
                  </w:pPr>
                  <w:r>
                    <w:rPr>
                      <w:color w:val="000000"/>
                    </w:rPr>
                    <w:t>一开用量</w:t>
                  </w:r>
                  <w:r>
                    <w:rPr>
                      <w:rFonts w:hint="eastAsia"/>
                      <w:color w:val="000000"/>
                    </w:rPr>
                    <w:t>（</w:t>
                  </w:r>
                  <w:r>
                    <w:rPr>
                      <w:color w:val="000000"/>
                    </w:rPr>
                    <w:t>t）</w:t>
                  </w:r>
                </w:p>
              </w:tc>
              <w:tc>
                <w:tcPr>
                  <w:tcW w:w="1388" w:type="dxa"/>
                  <w:shd w:val="clear" w:color="auto" w:fill="auto"/>
                  <w:vAlign w:val="center"/>
                </w:tcPr>
                <w:p>
                  <w:pPr>
                    <w:pStyle w:val="70"/>
                    <w:rPr>
                      <w:color w:val="000000"/>
                    </w:rPr>
                  </w:pPr>
                  <w:r>
                    <w:rPr>
                      <w:color w:val="000000"/>
                    </w:rPr>
                    <w:t>二开用量</w:t>
                  </w:r>
                  <w:r>
                    <w:rPr>
                      <w:rFonts w:hint="eastAsia"/>
                      <w:color w:val="000000"/>
                    </w:rPr>
                    <w:t>（</w:t>
                  </w:r>
                  <w:r>
                    <w:rPr>
                      <w:color w:val="000000"/>
                    </w:rPr>
                    <w:t>t）</w:t>
                  </w:r>
                </w:p>
              </w:tc>
              <w:tc>
                <w:tcPr>
                  <w:tcW w:w="1387" w:type="dxa"/>
                  <w:shd w:val="clear" w:color="auto" w:fill="auto"/>
                  <w:vAlign w:val="center"/>
                </w:tcPr>
                <w:p>
                  <w:pPr>
                    <w:pStyle w:val="70"/>
                    <w:rPr>
                      <w:color w:val="000000"/>
                    </w:rPr>
                  </w:pPr>
                  <w:r>
                    <w:rPr>
                      <w:color w:val="000000"/>
                    </w:rPr>
                    <w:t>合计用量</w:t>
                  </w:r>
                  <w:r>
                    <w:rPr>
                      <w:rFonts w:hint="eastAsia"/>
                      <w:color w:val="000000"/>
                    </w:rPr>
                    <w:t>（</w:t>
                  </w:r>
                  <w:r>
                    <w:rPr>
                      <w:color w:val="000000"/>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560" w:type="dxa"/>
                  <w:shd w:val="clear" w:color="auto" w:fill="auto"/>
                  <w:vAlign w:val="center"/>
                </w:tcPr>
                <w:p>
                  <w:pPr>
                    <w:pStyle w:val="70"/>
                    <w:rPr>
                      <w:color w:val="000000"/>
                    </w:rPr>
                  </w:pPr>
                  <w:r>
                    <w:rPr>
                      <w:rFonts w:hint="eastAsia"/>
                      <w:color w:val="000000"/>
                    </w:rPr>
                    <w:t>1</w:t>
                  </w:r>
                </w:p>
              </w:tc>
              <w:tc>
                <w:tcPr>
                  <w:tcW w:w="2956" w:type="dxa"/>
                  <w:shd w:val="clear" w:color="auto" w:fill="auto"/>
                  <w:vAlign w:val="center"/>
                </w:tcPr>
                <w:p>
                  <w:pPr>
                    <w:pStyle w:val="70"/>
                    <w:rPr>
                      <w:color w:val="000000"/>
                    </w:rPr>
                  </w:pPr>
                  <w:r>
                    <w:rPr>
                      <w:color w:val="000000"/>
                    </w:rPr>
                    <w:t>膨润土</w:t>
                  </w:r>
                </w:p>
              </w:tc>
              <w:tc>
                <w:tcPr>
                  <w:tcW w:w="1388" w:type="dxa"/>
                  <w:shd w:val="clear" w:color="auto" w:fill="auto"/>
                  <w:vAlign w:val="center"/>
                </w:tcPr>
                <w:p>
                  <w:pPr>
                    <w:pStyle w:val="70"/>
                    <w:rPr>
                      <w:color w:val="000000"/>
                    </w:rPr>
                  </w:pPr>
                  <w:r>
                    <w:rPr>
                      <w:color w:val="000000"/>
                    </w:rPr>
                    <w:t>5</w:t>
                  </w:r>
                </w:p>
              </w:tc>
              <w:tc>
                <w:tcPr>
                  <w:tcW w:w="1388" w:type="dxa"/>
                  <w:shd w:val="clear" w:color="auto" w:fill="auto"/>
                  <w:vAlign w:val="center"/>
                </w:tcPr>
                <w:p>
                  <w:pPr>
                    <w:pStyle w:val="70"/>
                    <w:rPr>
                      <w:color w:val="000000"/>
                    </w:rPr>
                  </w:pPr>
                </w:p>
              </w:tc>
              <w:tc>
                <w:tcPr>
                  <w:tcW w:w="1387" w:type="dxa"/>
                  <w:shd w:val="clear" w:color="auto" w:fill="auto"/>
                  <w:vAlign w:val="center"/>
                </w:tcPr>
                <w:p>
                  <w:pPr>
                    <w:pStyle w:val="70"/>
                    <w:rPr>
                      <w:color w:val="000000"/>
                    </w:rPr>
                  </w:pPr>
                  <w:r>
                    <w:rPr>
                      <w:color w:val="000000"/>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560" w:type="dxa"/>
                  <w:shd w:val="clear" w:color="auto" w:fill="auto"/>
                  <w:vAlign w:val="center"/>
                </w:tcPr>
                <w:p>
                  <w:pPr>
                    <w:pStyle w:val="70"/>
                    <w:rPr>
                      <w:color w:val="000000"/>
                    </w:rPr>
                  </w:pPr>
                  <w:r>
                    <w:rPr>
                      <w:rFonts w:hint="eastAsia"/>
                      <w:color w:val="000000"/>
                    </w:rPr>
                    <w:t>2</w:t>
                  </w:r>
                </w:p>
              </w:tc>
              <w:tc>
                <w:tcPr>
                  <w:tcW w:w="2956" w:type="dxa"/>
                  <w:shd w:val="clear" w:color="auto" w:fill="auto"/>
                  <w:vAlign w:val="center"/>
                </w:tcPr>
                <w:p>
                  <w:pPr>
                    <w:pStyle w:val="70"/>
                    <w:rPr>
                      <w:color w:val="000000"/>
                    </w:rPr>
                  </w:pPr>
                  <w:r>
                    <w:rPr>
                      <w:color w:val="000000"/>
                    </w:rPr>
                    <w:t>碳酸钠</w:t>
                  </w:r>
                </w:p>
              </w:tc>
              <w:tc>
                <w:tcPr>
                  <w:tcW w:w="1388" w:type="dxa"/>
                  <w:shd w:val="clear" w:color="auto" w:fill="auto"/>
                  <w:vAlign w:val="center"/>
                </w:tcPr>
                <w:p>
                  <w:pPr>
                    <w:pStyle w:val="70"/>
                    <w:rPr>
                      <w:color w:val="000000"/>
                    </w:rPr>
                  </w:pPr>
                  <w:r>
                    <w:rPr>
                      <w:color w:val="000000"/>
                    </w:rPr>
                    <w:t>0.5</w:t>
                  </w:r>
                </w:p>
              </w:tc>
              <w:tc>
                <w:tcPr>
                  <w:tcW w:w="1388" w:type="dxa"/>
                  <w:shd w:val="clear" w:color="auto" w:fill="auto"/>
                  <w:vAlign w:val="center"/>
                </w:tcPr>
                <w:p>
                  <w:pPr>
                    <w:pStyle w:val="70"/>
                    <w:rPr>
                      <w:color w:val="000000"/>
                    </w:rPr>
                  </w:pPr>
                </w:p>
              </w:tc>
              <w:tc>
                <w:tcPr>
                  <w:tcW w:w="1387" w:type="dxa"/>
                  <w:shd w:val="clear" w:color="auto" w:fill="auto"/>
                  <w:vAlign w:val="center"/>
                </w:tcPr>
                <w:p>
                  <w:pPr>
                    <w:pStyle w:val="70"/>
                    <w:rPr>
                      <w:color w:val="000000"/>
                    </w:rPr>
                  </w:pPr>
                  <w:r>
                    <w:rPr>
                      <w:color w:val="000000"/>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560" w:type="dxa"/>
                  <w:shd w:val="clear" w:color="auto" w:fill="auto"/>
                  <w:vAlign w:val="center"/>
                </w:tcPr>
                <w:p>
                  <w:pPr>
                    <w:pStyle w:val="70"/>
                    <w:rPr>
                      <w:color w:val="000000"/>
                    </w:rPr>
                  </w:pPr>
                  <w:r>
                    <w:rPr>
                      <w:rFonts w:hint="eastAsia"/>
                      <w:color w:val="000000"/>
                    </w:rPr>
                    <w:t>3</w:t>
                  </w:r>
                </w:p>
              </w:tc>
              <w:tc>
                <w:tcPr>
                  <w:tcW w:w="2956" w:type="dxa"/>
                  <w:shd w:val="clear" w:color="auto" w:fill="auto"/>
                  <w:vAlign w:val="center"/>
                </w:tcPr>
                <w:p>
                  <w:pPr>
                    <w:pStyle w:val="70"/>
                    <w:rPr>
                      <w:color w:val="000000"/>
                    </w:rPr>
                  </w:pPr>
                  <w:r>
                    <w:rPr>
                      <w:color w:val="000000"/>
                    </w:rPr>
                    <w:t>工业用氢氧化钠</w:t>
                  </w:r>
                </w:p>
              </w:tc>
              <w:tc>
                <w:tcPr>
                  <w:tcW w:w="1388" w:type="dxa"/>
                  <w:shd w:val="clear" w:color="auto" w:fill="auto"/>
                  <w:vAlign w:val="center"/>
                </w:tcPr>
                <w:p>
                  <w:pPr>
                    <w:pStyle w:val="70"/>
                    <w:rPr>
                      <w:color w:val="000000"/>
                    </w:rPr>
                  </w:pPr>
                </w:p>
              </w:tc>
              <w:tc>
                <w:tcPr>
                  <w:tcW w:w="1388" w:type="dxa"/>
                  <w:shd w:val="clear" w:color="auto" w:fill="auto"/>
                  <w:vAlign w:val="center"/>
                </w:tcPr>
                <w:p>
                  <w:pPr>
                    <w:pStyle w:val="70"/>
                    <w:rPr>
                      <w:color w:val="000000"/>
                    </w:rPr>
                  </w:pPr>
                  <w:r>
                    <w:rPr>
                      <w:color w:val="000000"/>
                    </w:rPr>
                    <w:t>1</w:t>
                  </w:r>
                </w:p>
              </w:tc>
              <w:tc>
                <w:tcPr>
                  <w:tcW w:w="1387" w:type="dxa"/>
                  <w:shd w:val="clear" w:color="auto" w:fill="auto"/>
                  <w:vAlign w:val="center"/>
                </w:tcPr>
                <w:p>
                  <w:pPr>
                    <w:pStyle w:val="70"/>
                    <w:rPr>
                      <w:color w:val="000000"/>
                    </w:rPr>
                  </w:pPr>
                  <w:r>
                    <w:rPr>
                      <w:color w:val="00000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560" w:type="dxa"/>
                  <w:shd w:val="clear" w:color="auto" w:fill="auto"/>
                  <w:vAlign w:val="center"/>
                </w:tcPr>
                <w:p>
                  <w:pPr>
                    <w:pStyle w:val="70"/>
                    <w:rPr>
                      <w:color w:val="000000"/>
                    </w:rPr>
                  </w:pPr>
                  <w:r>
                    <w:rPr>
                      <w:rFonts w:hint="eastAsia"/>
                      <w:color w:val="000000"/>
                    </w:rPr>
                    <w:t>4</w:t>
                  </w:r>
                </w:p>
              </w:tc>
              <w:tc>
                <w:tcPr>
                  <w:tcW w:w="2956" w:type="dxa"/>
                  <w:shd w:val="clear" w:color="auto" w:fill="auto"/>
                  <w:vAlign w:val="center"/>
                </w:tcPr>
                <w:p>
                  <w:pPr>
                    <w:pStyle w:val="70"/>
                    <w:rPr>
                      <w:color w:val="000000"/>
                    </w:rPr>
                  </w:pPr>
                  <w:r>
                    <w:rPr>
                      <w:color w:val="000000"/>
                    </w:rPr>
                    <w:t>钻井液用聚丙烯酰胺干粉</w:t>
                  </w:r>
                </w:p>
              </w:tc>
              <w:tc>
                <w:tcPr>
                  <w:tcW w:w="1388" w:type="dxa"/>
                  <w:shd w:val="clear" w:color="auto" w:fill="auto"/>
                  <w:vAlign w:val="center"/>
                </w:tcPr>
                <w:p>
                  <w:pPr>
                    <w:pStyle w:val="70"/>
                    <w:rPr>
                      <w:color w:val="000000"/>
                    </w:rPr>
                  </w:pPr>
                </w:p>
              </w:tc>
              <w:tc>
                <w:tcPr>
                  <w:tcW w:w="1388" w:type="dxa"/>
                  <w:shd w:val="clear" w:color="auto" w:fill="auto"/>
                  <w:vAlign w:val="center"/>
                </w:tcPr>
                <w:p>
                  <w:pPr>
                    <w:pStyle w:val="70"/>
                    <w:rPr>
                      <w:color w:val="000000"/>
                    </w:rPr>
                  </w:pPr>
                  <w:r>
                    <w:rPr>
                      <w:color w:val="000000"/>
                    </w:rPr>
                    <w:t>1</w:t>
                  </w:r>
                </w:p>
              </w:tc>
              <w:tc>
                <w:tcPr>
                  <w:tcW w:w="1387" w:type="dxa"/>
                  <w:shd w:val="clear" w:color="auto" w:fill="auto"/>
                  <w:vAlign w:val="center"/>
                </w:tcPr>
                <w:p>
                  <w:pPr>
                    <w:pStyle w:val="70"/>
                    <w:rPr>
                      <w:color w:val="000000"/>
                    </w:rPr>
                  </w:pPr>
                  <w:r>
                    <w:rPr>
                      <w:color w:val="00000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560" w:type="dxa"/>
                  <w:shd w:val="clear" w:color="auto" w:fill="auto"/>
                  <w:vAlign w:val="center"/>
                </w:tcPr>
                <w:p>
                  <w:pPr>
                    <w:pStyle w:val="70"/>
                    <w:rPr>
                      <w:color w:val="000000"/>
                    </w:rPr>
                  </w:pPr>
                  <w:r>
                    <w:rPr>
                      <w:rFonts w:hint="eastAsia"/>
                      <w:color w:val="000000"/>
                    </w:rPr>
                    <w:t>5</w:t>
                  </w:r>
                </w:p>
              </w:tc>
              <w:tc>
                <w:tcPr>
                  <w:tcW w:w="2956" w:type="dxa"/>
                  <w:shd w:val="clear" w:color="auto" w:fill="auto"/>
                  <w:vAlign w:val="center"/>
                </w:tcPr>
                <w:p>
                  <w:pPr>
                    <w:pStyle w:val="70"/>
                    <w:rPr>
                      <w:color w:val="000000"/>
                    </w:rPr>
                  </w:pPr>
                  <w:r>
                    <w:rPr>
                      <w:color w:val="000000"/>
                    </w:rPr>
                    <w:t>钻井液用改性铵盐</w:t>
                  </w:r>
                </w:p>
              </w:tc>
              <w:tc>
                <w:tcPr>
                  <w:tcW w:w="1388" w:type="dxa"/>
                  <w:shd w:val="clear" w:color="auto" w:fill="auto"/>
                  <w:vAlign w:val="center"/>
                </w:tcPr>
                <w:p>
                  <w:pPr>
                    <w:pStyle w:val="70"/>
                    <w:rPr>
                      <w:color w:val="000000"/>
                    </w:rPr>
                  </w:pPr>
                </w:p>
              </w:tc>
              <w:tc>
                <w:tcPr>
                  <w:tcW w:w="1388" w:type="dxa"/>
                  <w:shd w:val="clear" w:color="auto" w:fill="auto"/>
                  <w:vAlign w:val="center"/>
                </w:tcPr>
                <w:p>
                  <w:pPr>
                    <w:pStyle w:val="70"/>
                    <w:rPr>
                      <w:color w:val="000000"/>
                    </w:rPr>
                  </w:pPr>
                  <w:r>
                    <w:rPr>
                      <w:color w:val="000000"/>
                    </w:rPr>
                    <w:t>1</w:t>
                  </w:r>
                </w:p>
              </w:tc>
              <w:tc>
                <w:tcPr>
                  <w:tcW w:w="1387" w:type="dxa"/>
                  <w:shd w:val="clear" w:color="auto" w:fill="auto"/>
                  <w:vAlign w:val="center"/>
                </w:tcPr>
                <w:p>
                  <w:pPr>
                    <w:pStyle w:val="70"/>
                    <w:rPr>
                      <w:color w:val="000000"/>
                    </w:rPr>
                  </w:pPr>
                  <w:r>
                    <w:rPr>
                      <w:color w:val="00000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560" w:type="dxa"/>
                  <w:shd w:val="clear" w:color="auto" w:fill="auto"/>
                  <w:vAlign w:val="center"/>
                </w:tcPr>
                <w:p>
                  <w:pPr>
                    <w:pStyle w:val="70"/>
                    <w:rPr>
                      <w:color w:val="000000"/>
                    </w:rPr>
                  </w:pPr>
                  <w:r>
                    <w:rPr>
                      <w:rFonts w:hint="eastAsia"/>
                      <w:color w:val="000000"/>
                    </w:rPr>
                    <w:t>6</w:t>
                  </w:r>
                </w:p>
              </w:tc>
              <w:tc>
                <w:tcPr>
                  <w:tcW w:w="2956" w:type="dxa"/>
                  <w:shd w:val="clear" w:color="auto" w:fill="auto"/>
                  <w:vAlign w:val="center"/>
                </w:tcPr>
                <w:p>
                  <w:pPr>
                    <w:pStyle w:val="70"/>
                    <w:rPr>
                      <w:color w:val="000000"/>
                    </w:rPr>
                  </w:pPr>
                  <w:r>
                    <w:rPr>
                      <w:color w:val="000000"/>
                    </w:rPr>
                    <w:t>钻井液用防塌降黏降滤失剂</w:t>
                  </w:r>
                </w:p>
              </w:tc>
              <w:tc>
                <w:tcPr>
                  <w:tcW w:w="1388" w:type="dxa"/>
                  <w:shd w:val="clear" w:color="auto" w:fill="auto"/>
                  <w:vAlign w:val="center"/>
                </w:tcPr>
                <w:p>
                  <w:pPr>
                    <w:pStyle w:val="70"/>
                    <w:rPr>
                      <w:color w:val="000000"/>
                    </w:rPr>
                  </w:pPr>
                </w:p>
              </w:tc>
              <w:tc>
                <w:tcPr>
                  <w:tcW w:w="1388" w:type="dxa"/>
                  <w:shd w:val="clear" w:color="auto" w:fill="auto"/>
                  <w:vAlign w:val="center"/>
                </w:tcPr>
                <w:p>
                  <w:pPr>
                    <w:pStyle w:val="70"/>
                    <w:rPr>
                      <w:color w:val="000000"/>
                    </w:rPr>
                  </w:pPr>
                  <w:r>
                    <w:rPr>
                      <w:color w:val="000000"/>
                    </w:rPr>
                    <w:t>5</w:t>
                  </w:r>
                </w:p>
              </w:tc>
              <w:tc>
                <w:tcPr>
                  <w:tcW w:w="1387" w:type="dxa"/>
                  <w:shd w:val="clear" w:color="auto" w:fill="auto"/>
                  <w:vAlign w:val="center"/>
                </w:tcPr>
                <w:p>
                  <w:pPr>
                    <w:pStyle w:val="70"/>
                    <w:rPr>
                      <w:color w:val="000000"/>
                    </w:rPr>
                  </w:pPr>
                  <w:r>
                    <w:rPr>
                      <w:color w:val="000000"/>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560" w:type="dxa"/>
                  <w:shd w:val="clear" w:color="auto" w:fill="auto"/>
                  <w:vAlign w:val="center"/>
                </w:tcPr>
                <w:p>
                  <w:pPr>
                    <w:pStyle w:val="70"/>
                    <w:rPr>
                      <w:color w:val="000000"/>
                    </w:rPr>
                  </w:pPr>
                  <w:r>
                    <w:rPr>
                      <w:rFonts w:hint="eastAsia"/>
                      <w:color w:val="000000"/>
                    </w:rPr>
                    <w:t>7</w:t>
                  </w:r>
                </w:p>
              </w:tc>
              <w:tc>
                <w:tcPr>
                  <w:tcW w:w="2956" w:type="dxa"/>
                  <w:shd w:val="clear" w:color="auto" w:fill="auto"/>
                  <w:vAlign w:val="center"/>
                </w:tcPr>
                <w:p>
                  <w:pPr>
                    <w:pStyle w:val="70"/>
                    <w:rPr>
                      <w:color w:val="000000"/>
                    </w:rPr>
                  </w:pPr>
                  <w:r>
                    <w:rPr>
                      <w:color w:val="000000"/>
                    </w:rPr>
                    <w:t>钻井液用</w:t>
                  </w:r>
                  <w:r>
                    <w:rPr>
                      <w:rFonts w:hint="eastAsia"/>
                      <w:color w:val="000000"/>
                    </w:rPr>
                    <w:t>胺基聚醇</w:t>
                  </w:r>
                </w:p>
              </w:tc>
              <w:tc>
                <w:tcPr>
                  <w:tcW w:w="1388" w:type="dxa"/>
                  <w:shd w:val="clear" w:color="auto" w:fill="auto"/>
                  <w:vAlign w:val="center"/>
                </w:tcPr>
                <w:p>
                  <w:pPr>
                    <w:pStyle w:val="70"/>
                    <w:rPr>
                      <w:color w:val="000000"/>
                    </w:rPr>
                  </w:pPr>
                </w:p>
              </w:tc>
              <w:tc>
                <w:tcPr>
                  <w:tcW w:w="1388" w:type="dxa"/>
                  <w:shd w:val="clear" w:color="auto" w:fill="auto"/>
                  <w:vAlign w:val="center"/>
                </w:tcPr>
                <w:p>
                  <w:pPr>
                    <w:pStyle w:val="70"/>
                    <w:rPr>
                      <w:color w:val="000000"/>
                    </w:rPr>
                  </w:pPr>
                  <w:r>
                    <w:rPr>
                      <w:color w:val="000000"/>
                    </w:rPr>
                    <w:t>1</w:t>
                  </w:r>
                </w:p>
              </w:tc>
              <w:tc>
                <w:tcPr>
                  <w:tcW w:w="1387" w:type="dxa"/>
                  <w:shd w:val="clear" w:color="auto" w:fill="auto"/>
                  <w:vAlign w:val="center"/>
                </w:tcPr>
                <w:p>
                  <w:pPr>
                    <w:pStyle w:val="70"/>
                    <w:rPr>
                      <w:color w:val="000000"/>
                    </w:rPr>
                  </w:pPr>
                  <w:r>
                    <w:rPr>
                      <w:color w:val="00000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560" w:type="dxa"/>
                  <w:shd w:val="clear" w:color="auto" w:fill="auto"/>
                  <w:vAlign w:val="center"/>
                </w:tcPr>
                <w:p>
                  <w:pPr>
                    <w:pStyle w:val="70"/>
                    <w:rPr>
                      <w:color w:val="000000"/>
                    </w:rPr>
                  </w:pPr>
                  <w:r>
                    <w:rPr>
                      <w:rFonts w:hint="eastAsia"/>
                      <w:color w:val="000000"/>
                    </w:rPr>
                    <w:t>8</w:t>
                  </w:r>
                </w:p>
              </w:tc>
              <w:tc>
                <w:tcPr>
                  <w:tcW w:w="2956" w:type="dxa"/>
                  <w:shd w:val="clear" w:color="auto" w:fill="auto"/>
                  <w:vAlign w:val="center"/>
                </w:tcPr>
                <w:p>
                  <w:pPr>
                    <w:pStyle w:val="70"/>
                    <w:rPr>
                      <w:color w:val="000000"/>
                    </w:rPr>
                  </w:pPr>
                  <w:r>
                    <w:rPr>
                      <w:color w:val="000000"/>
                    </w:rPr>
                    <w:t>钻井液用天然高分子降滤失剂</w:t>
                  </w:r>
                </w:p>
              </w:tc>
              <w:tc>
                <w:tcPr>
                  <w:tcW w:w="1388" w:type="dxa"/>
                  <w:shd w:val="clear" w:color="auto" w:fill="auto"/>
                  <w:vAlign w:val="center"/>
                </w:tcPr>
                <w:p>
                  <w:pPr>
                    <w:pStyle w:val="70"/>
                    <w:rPr>
                      <w:color w:val="000000"/>
                    </w:rPr>
                  </w:pPr>
                </w:p>
              </w:tc>
              <w:tc>
                <w:tcPr>
                  <w:tcW w:w="1388" w:type="dxa"/>
                  <w:shd w:val="clear" w:color="auto" w:fill="auto"/>
                  <w:vAlign w:val="center"/>
                </w:tcPr>
                <w:p>
                  <w:pPr>
                    <w:pStyle w:val="70"/>
                    <w:rPr>
                      <w:color w:val="000000"/>
                    </w:rPr>
                  </w:pPr>
                  <w:r>
                    <w:rPr>
                      <w:color w:val="000000"/>
                    </w:rPr>
                    <w:t>3</w:t>
                  </w:r>
                </w:p>
              </w:tc>
              <w:tc>
                <w:tcPr>
                  <w:tcW w:w="1387" w:type="dxa"/>
                  <w:shd w:val="clear" w:color="auto" w:fill="auto"/>
                  <w:vAlign w:val="center"/>
                </w:tcPr>
                <w:p>
                  <w:pPr>
                    <w:pStyle w:val="70"/>
                    <w:rPr>
                      <w:color w:val="000000"/>
                    </w:rPr>
                  </w:pPr>
                  <w:r>
                    <w:rPr>
                      <w:color w:val="00000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560" w:type="dxa"/>
                  <w:shd w:val="clear" w:color="auto" w:fill="auto"/>
                  <w:vAlign w:val="center"/>
                </w:tcPr>
                <w:p>
                  <w:pPr>
                    <w:pStyle w:val="70"/>
                    <w:rPr>
                      <w:color w:val="000000"/>
                    </w:rPr>
                  </w:pPr>
                  <w:r>
                    <w:rPr>
                      <w:rFonts w:hint="eastAsia"/>
                      <w:color w:val="000000"/>
                    </w:rPr>
                    <w:t>9</w:t>
                  </w:r>
                </w:p>
              </w:tc>
              <w:tc>
                <w:tcPr>
                  <w:tcW w:w="2956" w:type="dxa"/>
                  <w:shd w:val="clear" w:color="auto" w:fill="auto"/>
                  <w:vAlign w:val="center"/>
                </w:tcPr>
                <w:p>
                  <w:pPr>
                    <w:pStyle w:val="70"/>
                    <w:rPr>
                      <w:color w:val="000000"/>
                    </w:rPr>
                  </w:pPr>
                  <w:r>
                    <w:rPr>
                      <w:rFonts w:hint="eastAsia"/>
                      <w:color w:val="000000"/>
                    </w:rPr>
                    <w:t>钻井液用承压堵漏剂</w:t>
                  </w:r>
                </w:p>
              </w:tc>
              <w:tc>
                <w:tcPr>
                  <w:tcW w:w="1388" w:type="dxa"/>
                  <w:shd w:val="clear" w:color="auto" w:fill="auto"/>
                  <w:vAlign w:val="center"/>
                </w:tcPr>
                <w:p>
                  <w:pPr>
                    <w:pStyle w:val="70"/>
                    <w:rPr>
                      <w:color w:val="000000"/>
                    </w:rPr>
                  </w:pPr>
                </w:p>
              </w:tc>
              <w:tc>
                <w:tcPr>
                  <w:tcW w:w="1388" w:type="dxa"/>
                  <w:shd w:val="clear" w:color="auto" w:fill="auto"/>
                  <w:vAlign w:val="center"/>
                </w:tcPr>
                <w:p>
                  <w:pPr>
                    <w:pStyle w:val="70"/>
                    <w:rPr>
                      <w:color w:val="000000"/>
                    </w:rPr>
                  </w:pPr>
                  <w:r>
                    <w:rPr>
                      <w:rFonts w:hint="eastAsia"/>
                      <w:color w:val="000000"/>
                    </w:rPr>
                    <w:t>1.5</w:t>
                  </w:r>
                </w:p>
              </w:tc>
              <w:tc>
                <w:tcPr>
                  <w:tcW w:w="1387" w:type="dxa"/>
                  <w:shd w:val="clear" w:color="auto" w:fill="auto"/>
                  <w:vAlign w:val="center"/>
                </w:tcPr>
                <w:p>
                  <w:pPr>
                    <w:pStyle w:val="70"/>
                    <w:rPr>
                      <w:color w:val="000000"/>
                    </w:rPr>
                  </w:pPr>
                  <w:r>
                    <w:rPr>
                      <w:rFonts w:hint="eastAsia"/>
                      <w:color w:val="000000"/>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560" w:type="dxa"/>
                  <w:shd w:val="clear" w:color="auto" w:fill="auto"/>
                  <w:vAlign w:val="center"/>
                </w:tcPr>
                <w:p>
                  <w:pPr>
                    <w:pStyle w:val="70"/>
                    <w:rPr>
                      <w:color w:val="000000"/>
                    </w:rPr>
                  </w:pPr>
                  <w:r>
                    <w:rPr>
                      <w:rFonts w:hint="eastAsia"/>
                      <w:color w:val="000000"/>
                    </w:rPr>
                    <w:t>10</w:t>
                  </w:r>
                </w:p>
              </w:tc>
              <w:tc>
                <w:tcPr>
                  <w:tcW w:w="2956" w:type="dxa"/>
                  <w:shd w:val="clear" w:color="auto" w:fill="auto"/>
                  <w:vAlign w:val="center"/>
                </w:tcPr>
                <w:p>
                  <w:pPr>
                    <w:pStyle w:val="70"/>
                    <w:rPr>
                      <w:color w:val="000000"/>
                    </w:rPr>
                  </w:pPr>
                  <w:r>
                    <w:rPr>
                      <w:color w:val="000000"/>
                    </w:rPr>
                    <w:t>钻井液用重晶石粉</w:t>
                  </w:r>
                </w:p>
              </w:tc>
              <w:tc>
                <w:tcPr>
                  <w:tcW w:w="1388" w:type="dxa"/>
                  <w:shd w:val="clear" w:color="auto" w:fill="auto"/>
                  <w:vAlign w:val="center"/>
                </w:tcPr>
                <w:p>
                  <w:pPr>
                    <w:pStyle w:val="70"/>
                    <w:rPr>
                      <w:color w:val="000000"/>
                    </w:rPr>
                  </w:pPr>
                </w:p>
              </w:tc>
              <w:tc>
                <w:tcPr>
                  <w:tcW w:w="1388" w:type="dxa"/>
                  <w:shd w:val="clear" w:color="auto" w:fill="auto"/>
                  <w:vAlign w:val="center"/>
                </w:tcPr>
                <w:p>
                  <w:pPr>
                    <w:pStyle w:val="70"/>
                    <w:rPr>
                      <w:color w:val="000000"/>
                    </w:rPr>
                  </w:pPr>
                  <w:r>
                    <w:rPr>
                      <w:color w:val="000000"/>
                    </w:rPr>
                    <w:t>40</w:t>
                  </w:r>
                </w:p>
              </w:tc>
              <w:tc>
                <w:tcPr>
                  <w:tcW w:w="1387" w:type="dxa"/>
                  <w:shd w:val="clear" w:color="auto" w:fill="auto"/>
                  <w:vAlign w:val="center"/>
                </w:tcPr>
                <w:p>
                  <w:pPr>
                    <w:pStyle w:val="70"/>
                    <w:rPr>
                      <w:color w:val="000000"/>
                    </w:rPr>
                  </w:pPr>
                  <w:r>
                    <w:rPr>
                      <w:color w:val="000000"/>
                    </w:rPr>
                    <w:t>40</w:t>
                  </w:r>
                </w:p>
              </w:tc>
            </w:tr>
          </w:tbl>
          <w:p>
            <w:pPr>
              <w:rPr>
                <w:color w:val="000000"/>
              </w:rPr>
            </w:pPr>
          </w:p>
          <w:p>
            <w:pPr>
              <w:pStyle w:val="12"/>
              <w:spacing w:before="120"/>
              <w:rPr>
                <w:color w:val="000000"/>
              </w:rPr>
            </w:pPr>
            <w:r>
              <w:rPr>
                <w:rFonts w:hint="eastAsia"/>
                <w:color w:val="000000"/>
              </w:rPr>
              <w:t xml:space="preserve">表 </w:t>
            </w:r>
            <w:r>
              <w:rPr>
                <w:color w:val="000000"/>
              </w:rPr>
              <w:t xml:space="preserve">10  </w:t>
            </w:r>
            <w:r>
              <w:rPr>
                <w:rFonts w:hint="eastAsia" w:cs="Arial"/>
                <w:color w:val="000000"/>
                <w:szCs w:val="21"/>
              </w:rPr>
              <w:t>钻井液主要成分理化性质</w:t>
            </w:r>
          </w:p>
          <w:tbl>
            <w:tblPr>
              <w:tblStyle w:val="29"/>
              <w:tblW w:w="767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10"/>
              <w:gridCol w:w="1494"/>
              <w:gridCol w:w="53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810" w:type="dxa"/>
                  <w:vAlign w:val="center"/>
                </w:tcPr>
                <w:p>
                  <w:pPr>
                    <w:pStyle w:val="70"/>
                    <w:rPr>
                      <w:color w:val="000000"/>
                    </w:rPr>
                  </w:pPr>
                  <w:r>
                    <w:rPr>
                      <w:rFonts w:hint="eastAsia"/>
                      <w:color w:val="000000"/>
                    </w:rPr>
                    <w:t>成分</w:t>
                  </w:r>
                </w:p>
              </w:tc>
              <w:tc>
                <w:tcPr>
                  <w:tcW w:w="1494" w:type="dxa"/>
                  <w:vAlign w:val="center"/>
                </w:tcPr>
                <w:p>
                  <w:pPr>
                    <w:pStyle w:val="70"/>
                    <w:rPr>
                      <w:color w:val="000000"/>
                    </w:rPr>
                  </w:pPr>
                  <w:r>
                    <w:rPr>
                      <w:rFonts w:hint="eastAsia"/>
                      <w:color w:val="000000"/>
                    </w:rPr>
                    <w:t>作用</w:t>
                  </w:r>
                </w:p>
              </w:tc>
              <w:tc>
                <w:tcPr>
                  <w:tcW w:w="5375" w:type="dxa"/>
                  <w:noWrap/>
                  <w:tcMar>
                    <w:top w:w="15" w:type="dxa"/>
                    <w:left w:w="15" w:type="dxa"/>
                    <w:bottom w:w="0" w:type="dxa"/>
                    <w:right w:w="15" w:type="dxa"/>
                  </w:tcMar>
                  <w:vAlign w:val="center"/>
                </w:tcPr>
                <w:p>
                  <w:pPr>
                    <w:pStyle w:val="70"/>
                    <w:rPr>
                      <w:color w:val="000000"/>
                    </w:rPr>
                  </w:pPr>
                  <w:r>
                    <w:rPr>
                      <w:rFonts w:hint="eastAsia"/>
                      <w:color w:val="000000"/>
                    </w:rPr>
                    <w:t>理化性质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810" w:type="dxa"/>
                  <w:vAlign w:val="center"/>
                </w:tcPr>
                <w:p>
                  <w:pPr>
                    <w:pStyle w:val="70"/>
                    <w:rPr>
                      <w:color w:val="000000"/>
                    </w:rPr>
                  </w:pPr>
                  <w:r>
                    <w:rPr>
                      <w:rFonts w:hint="eastAsia"/>
                      <w:color w:val="000000"/>
                    </w:rPr>
                    <w:t>工业用氢氧化钠</w:t>
                  </w:r>
                </w:p>
              </w:tc>
              <w:tc>
                <w:tcPr>
                  <w:tcW w:w="1494" w:type="dxa"/>
                  <w:vAlign w:val="center"/>
                </w:tcPr>
                <w:p>
                  <w:pPr>
                    <w:pStyle w:val="70"/>
                    <w:rPr>
                      <w:color w:val="000000"/>
                    </w:rPr>
                  </w:pPr>
                  <w:r>
                    <w:rPr>
                      <w:rFonts w:hint="eastAsia"/>
                      <w:color w:val="000000"/>
                    </w:rPr>
                    <w:t>调节泥浆pH值，促使膨润土分散造浆</w:t>
                  </w:r>
                </w:p>
              </w:tc>
              <w:tc>
                <w:tcPr>
                  <w:tcW w:w="5375" w:type="dxa"/>
                  <w:noWrap/>
                  <w:tcMar>
                    <w:top w:w="15" w:type="dxa"/>
                    <w:left w:w="15" w:type="dxa"/>
                    <w:bottom w:w="0" w:type="dxa"/>
                    <w:right w:w="15" w:type="dxa"/>
                  </w:tcMar>
                  <w:vAlign w:val="center"/>
                </w:tcPr>
                <w:p>
                  <w:pPr>
                    <w:pStyle w:val="70"/>
                    <w:rPr>
                      <w:color w:val="000000"/>
                    </w:rPr>
                  </w:pPr>
                  <w:r>
                    <w:rPr>
                      <w:rFonts w:hint="eastAsia"/>
                      <w:color w:val="000000"/>
                    </w:rPr>
                    <w:t>氢氧化钠又称烧碱、火碱或苛性钠。白色结晶，有液体、固体片状三种产品，纯度从50%至99%不等，密度2g/cm</w:t>
                  </w:r>
                  <w:r>
                    <w:rPr>
                      <w:rFonts w:hint="eastAsia"/>
                      <w:color w:val="000000"/>
                      <w:vertAlign w:val="superscript"/>
                    </w:rPr>
                    <w:t>3</w:t>
                  </w:r>
                  <w:r>
                    <w:rPr>
                      <w:rFonts w:hint="eastAsia"/>
                      <w:color w:val="000000"/>
                    </w:rPr>
                    <w:t>～2.2g/cm</w:t>
                  </w:r>
                  <w:r>
                    <w:rPr>
                      <w:rFonts w:hint="eastAsia"/>
                      <w:color w:val="000000"/>
                      <w:vertAlign w:val="superscript"/>
                    </w:rPr>
                    <w:t>3</w:t>
                  </w:r>
                  <w:r>
                    <w:rPr>
                      <w:rFonts w:hint="eastAsia"/>
                      <w:color w:val="000000"/>
                    </w:rPr>
                    <w:t>，易吸潮，有强烈的腐蚀性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810" w:type="dxa"/>
                  <w:vAlign w:val="center"/>
                </w:tcPr>
                <w:p>
                  <w:pPr>
                    <w:pStyle w:val="70"/>
                    <w:rPr>
                      <w:color w:val="000000"/>
                    </w:rPr>
                  </w:pPr>
                  <w:r>
                    <w:rPr>
                      <w:rFonts w:hint="eastAsia"/>
                      <w:color w:val="000000"/>
                    </w:rPr>
                    <w:t>钻井液用聚丙烯酰胺干粉</w:t>
                  </w:r>
                </w:p>
              </w:tc>
              <w:tc>
                <w:tcPr>
                  <w:tcW w:w="1494" w:type="dxa"/>
                  <w:vAlign w:val="center"/>
                </w:tcPr>
                <w:p>
                  <w:pPr>
                    <w:pStyle w:val="70"/>
                    <w:rPr>
                      <w:color w:val="000000"/>
                    </w:rPr>
                  </w:pPr>
                  <w:r>
                    <w:rPr>
                      <w:rFonts w:hint="eastAsia"/>
                      <w:color w:val="000000"/>
                    </w:rPr>
                    <w:t>絮凝、润滑、堵漏、降滤失</w:t>
                  </w:r>
                </w:p>
              </w:tc>
              <w:tc>
                <w:tcPr>
                  <w:tcW w:w="5375" w:type="dxa"/>
                  <w:noWrap/>
                  <w:tcMar>
                    <w:top w:w="15" w:type="dxa"/>
                    <w:left w:w="15" w:type="dxa"/>
                    <w:bottom w:w="0" w:type="dxa"/>
                    <w:right w:w="15" w:type="dxa"/>
                  </w:tcMar>
                  <w:vAlign w:val="center"/>
                </w:tcPr>
                <w:p>
                  <w:pPr>
                    <w:pStyle w:val="70"/>
                    <w:rPr>
                      <w:color w:val="000000"/>
                    </w:rPr>
                  </w:pPr>
                  <w:r>
                    <w:rPr>
                      <w:rFonts w:hint="eastAsia"/>
                      <w:color w:val="000000"/>
                    </w:rPr>
                    <w:t>白色或微黄色粉末、无毒、无腐蚀、易溶于水，主要用于不分散低固相水基钻井液的选择性絮凝剂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810" w:type="dxa"/>
                  <w:vAlign w:val="center"/>
                </w:tcPr>
                <w:p>
                  <w:pPr>
                    <w:pStyle w:val="70"/>
                    <w:rPr>
                      <w:color w:val="000000"/>
                    </w:rPr>
                  </w:pPr>
                  <w:r>
                    <w:rPr>
                      <w:rFonts w:hint="eastAsia"/>
                      <w:color w:val="000000"/>
                    </w:rPr>
                    <w:t>碳酸钠</w:t>
                  </w:r>
                </w:p>
              </w:tc>
              <w:tc>
                <w:tcPr>
                  <w:tcW w:w="1494" w:type="dxa"/>
                  <w:vAlign w:val="center"/>
                </w:tcPr>
                <w:p>
                  <w:pPr>
                    <w:pStyle w:val="70"/>
                    <w:rPr>
                      <w:color w:val="000000"/>
                    </w:rPr>
                  </w:pPr>
                  <w:r>
                    <w:rPr>
                      <w:rFonts w:hint="eastAsia"/>
                      <w:color w:val="000000"/>
                    </w:rPr>
                    <w:t>促进水化，降低失水</w:t>
                  </w:r>
                </w:p>
              </w:tc>
              <w:tc>
                <w:tcPr>
                  <w:tcW w:w="5375" w:type="dxa"/>
                  <w:noWrap/>
                  <w:tcMar>
                    <w:top w:w="15" w:type="dxa"/>
                    <w:left w:w="15" w:type="dxa"/>
                    <w:bottom w:w="0" w:type="dxa"/>
                    <w:right w:w="15" w:type="dxa"/>
                  </w:tcMar>
                  <w:vAlign w:val="center"/>
                </w:tcPr>
                <w:p>
                  <w:pPr>
                    <w:pStyle w:val="70"/>
                    <w:rPr>
                      <w:color w:val="000000"/>
                    </w:rPr>
                  </w:pPr>
                  <w:r>
                    <w:rPr>
                      <w:rFonts w:hint="eastAsia"/>
                      <w:color w:val="000000"/>
                    </w:rPr>
                    <w:t>碳酸钠又称纯碱、苏打，白色粉末结晶，易溶于水，水溶液呈碱性，在空气中易吸潮结块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810" w:type="dxa"/>
                  <w:vAlign w:val="center"/>
                </w:tcPr>
                <w:p>
                  <w:pPr>
                    <w:pStyle w:val="70"/>
                    <w:rPr>
                      <w:color w:val="000000"/>
                    </w:rPr>
                  </w:pPr>
                  <w:r>
                    <w:rPr>
                      <w:rFonts w:hint="eastAsia"/>
                      <w:color w:val="000000"/>
                    </w:rPr>
                    <w:t>钻井液用改性铵盐</w:t>
                  </w:r>
                </w:p>
              </w:tc>
              <w:tc>
                <w:tcPr>
                  <w:tcW w:w="1494" w:type="dxa"/>
                  <w:vAlign w:val="center"/>
                </w:tcPr>
                <w:p>
                  <w:pPr>
                    <w:pStyle w:val="70"/>
                    <w:rPr>
                      <w:color w:val="000000"/>
                    </w:rPr>
                  </w:pPr>
                  <w:r>
                    <w:rPr>
                      <w:rFonts w:hint="eastAsia"/>
                      <w:color w:val="000000"/>
                    </w:rPr>
                    <w:t>降滤失</w:t>
                  </w:r>
                </w:p>
              </w:tc>
              <w:tc>
                <w:tcPr>
                  <w:tcW w:w="5375" w:type="dxa"/>
                  <w:noWrap/>
                  <w:tcMar>
                    <w:top w:w="15" w:type="dxa"/>
                    <w:left w:w="15" w:type="dxa"/>
                    <w:bottom w:w="0" w:type="dxa"/>
                    <w:right w:w="15" w:type="dxa"/>
                  </w:tcMar>
                  <w:vAlign w:val="center"/>
                </w:tcPr>
                <w:p>
                  <w:pPr>
                    <w:pStyle w:val="70"/>
                    <w:rPr>
                      <w:color w:val="000000"/>
                    </w:rPr>
                  </w:pPr>
                  <w:r>
                    <w:rPr>
                      <w:rFonts w:hint="eastAsia"/>
                      <w:color w:val="000000"/>
                    </w:rPr>
                    <w:t>淡黄色粉末，溶于水，含有-COOH、-COONH</w:t>
                  </w:r>
                  <w:r>
                    <w:rPr>
                      <w:rFonts w:hint="eastAsia"/>
                      <w:color w:val="000000"/>
                      <w:vertAlign w:val="subscript"/>
                    </w:rPr>
                    <w:t>4</w:t>
                  </w:r>
                  <w:r>
                    <w:rPr>
                      <w:rFonts w:hint="eastAsia"/>
                      <w:color w:val="000000"/>
                    </w:rPr>
                    <w:t>、-CONH</w:t>
                  </w:r>
                  <w:r>
                    <w:rPr>
                      <w:rFonts w:hint="eastAsia"/>
                      <w:color w:val="000000"/>
                      <w:vertAlign w:val="subscript"/>
                    </w:rPr>
                    <w:t>4</w:t>
                  </w:r>
                  <w:r>
                    <w:rPr>
                      <w:rFonts w:hint="eastAsia"/>
                      <w:color w:val="000000"/>
                    </w:rPr>
                    <w:t>、 -CONH</w:t>
                  </w:r>
                  <w:r>
                    <w:rPr>
                      <w:rFonts w:hint="eastAsia"/>
                      <w:color w:val="000000"/>
                      <w:vertAlign w:val="subscript"/>
                    </w:rPr>
                    <w:t>2</w:t>
                  </w:r>
                  <w:r>
                    <w:rPr>
                      <w:rFonts w:hint="eastAsia"/>
                      <w:color w:val="000000"/>
                    </w:rPr>
                    <w:t>、-CN等基团，分子量在10000～50000之间，有降低高压差失水的功能和良好的热稳定性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810" w:type="dxa"/>
                  <w:vAlign w:val="center"/>
                </w:tcPr>
                <w:p>
                  <w:pPr>
                    <w:pStyle w:val="70"/>
                    <w:rPr>
                      <w:color w:val="000000"/>
                    </w:rPr>
                  </w:pPr>
                  <w:r>
                    <w:rPr>
                      <w:rFonts w:hint="eastAsia"/>
                      <w:color w:val="000000"/>
                    </w:rPr>
                    <w:t>钻井液用防塌降粘降滤失剂</w:t>
                  </w:r>
                </w:p>
              </w:tc>
              <w:tc>
                <w:tcPr>
                  <w:tcW w:w="1494" w:type="dxa"/>
                  <w:vAlign w:val="center"/>
                </w:tcPr>
                <w:p>
                  <w:pPr>
                    <w:pStyle w:val="70"/>
                    <w:rPr>
                      <w:color w:val="000000"/>
                    </w:rPr>
                  </w:pPr>
                  <w:r>
                    <w:rPr>
                      <w:rFonts w:hint="eastAsia"/>
                      <w:color w:val="000000"/>
                    </w:rPr>
                    <w:t>降粘降滤失</w:t>
                  </w:r>
                </w:p>
              </w:tc>
              <w:tc>
                <w:tcPr>
                  <w:tcW w:w="5375" w:type="dxa"/>
                  <w:noWrap/>
                  <w:tcMar>
                    <w:top w:w="15" w:type="dxa"/>
                    <w:left w:w="15" w:type="dxa"/>
                    <w:bottom w:w="0" w:type="dxa"/>
                    <w:right w:w="15" w:type="dxa"/>
                  </w:tcMar>
                  <w:vAlign w:val="center"/>
                </w:tcPr>
                <w:p>
                  <w:pPr>
                    <w:pStyle w:val="70"/>
                    <w:rPr>
                      <w:color w:val="000000"/>
                    </w:rPr>
                  </w:pPr>
                  <w:r>
                    <w:rPr>
                      <w:rFonts w:hint="eastAsia"/>
                      <w:color w:val="000000"/>
                    </w:rPr>
                    <w:t>以褐煤为原料经多步接枝改性而成的多功能复合钻井液添加剂，抗温性能优异，可达150℃以上，具有良好的降粘降滤失性能，可直接加入各种水基钻井完井液中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810" w:type="dxa"/>
                  <w:vAlign w:val="center"/>
                </w:tcPr>
                <w:p>
                  <w:pPr>
                    <w:pStyle w:val="70"/>
                    <w:rPr>
                      <w:color w:val="000000"/>
                    </w:rPr>
                  </w:pPr>
                  <w:r>
                    <w:rPr>
                      <w:rFonts w:hint="eastAsia"/>
                      <w:color w:val="000000"/>
                    </w:rPr>
                    <w:t>膨润土</w:t>
                  </w:r>
                </w:p>
              </w:tc>
              <w:tc>
                <w:tcPr>
                  <w:tcW w:w="1494" w:type="dxa"/>
                  <w:vAlign w:val="center"/>
                </w:tcPr>
                <w:p>
                  <w:pPr>
                    <w:pStyle w:val="70"/>
                    <w:rPr>
                      <w:color w:val="000000"/>
                    </w:rPr>
                  </w:pPr>
                  <w:r>
                    <w:rPr>
                      <w:rFonts w:hint="eastAsia"/>
                      <w:color w:val="000000"/>
                    </w:rPr>
                    <w:t>增稠</w:t>
                  </w:r>
                </w:p>
              </w:tc>
              <w:tc>
                <w:tcPr>
                  <w:tcW w:w="5375" w:type="dxa"/>
                  <w:noWrap/>
                  <w:tcMar>
                    <w:top w:w="15" w:type="dxa"/>
                    <w:left w:w="15" w:type="dxa"/>
                    <w:bottom w:w="0" w:type="dxa"/>
                    <w:right w:w="15" w:type="dxa"/>
                  </w:tcMar>
                  <w:vAlign w:val="center"/>
                </w:tcPr>
                <w:p>
                  <w:pPr>
                    <w:pStyle w:val="70"/>
                    <w:rPr>
                      <w:color w:val="000000"/>
                    </w:rPr>
                  </w:pPr>
                  <w:r>
                    <w:rPr>
                      <w:rFonts w:hint="eastAsia"/>
                      <w:color w:val="000000"/>
                    </w:rPr>
                    <w:t>主要成分为蒙脱石，外观因含杂质的不同，有白色、灰色、灰黄色和紫红色等颜色，易吸潮，吸潮后结块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810" w:type="dxa"/>
                  <w:vAlign w:val="center"/>
                </w:tcPr>
                <w:p>
                  <w:pPr>
                    <w:pStyle w:val="70"/>
                    <w:rPr>
                      <w:color w:val="000000"/>
                    </w:rPr>
                  </w:pPr>
                  <w:r>
                    <w:rPr>
                      <w:rFonts w:hint="eastAsia"/>
                      <w:color w:val="000000"/>
                    </w:rPr>
                    <w:t>重晶石粉</w:t>
                  </w:r>
                </w:p>
              </w:tc>
              <w:tc>
                <w:tcPr>
                  <w:tcW w:w="1494" w:type="dxa"/>
                  <w:vAlign w:val="center"/>
                </w:tcPr>
                <w:p>
                  <w:pPr>
                    <w:pStyle w:val="70"/>
                    <w:rPr>
                      <w:color w:val="000000"/>
                    </w:rPr>
                  </w:pPr>
                  <w:r>
                    <w:rPr>
                      <w:rFonts w:hint="eastAsia"/>
                      <w:color w:val="000000"/>
                    </w:rPr>
                    <w:t>提高钻井液密度</w:t>
                  </w:r>
                </w:p>
              </w:tc>
              <w:tc>
                <w:tcPr>
                  <w:tcW w:w="5375" w:type="dxa"/>
                  <w:noWrap/>
                  <w:tcMar>
                    <w:top w:w="15" w:type="dxa"/>
                    <w:left w:w="15" w:type="dxa"/>
                    <w:bottom w:w="0" w:type="dxa"/>
                    <w:right w:w="15" w:type="dxa"/>
                  </w:tcMar>
                  <w:vAlign w:val="center"/>
                </w:tcPr>
                <w:p>
                  <w:pPr>
                    <w:pStyle w:val="70"/>
                    <w:rPr>
                      <w:color w:val="000000"/>
                    </w:rPr>
                  </w:pPr>
                  <w:r>
                    <w:rPr>
                      <w:rFonts w:hint="eastAsia"/>
                      <w:color w:val="000000"/>
                    </w:rPr>
                    <w:t>化学组成为BaSO</w:t>
                  </w:r>
                  <w:r>
                    <w:rPr>
                      <w:rFonts w:hint="eastAsia"/>
                      <w:color w:val="000000"/>
                      <w:vertAlign w:val="subscript"/>
                    </w:rPr>
                    <w:t>4</w:t>
                  </w:r>
                  <w:r>
                    <w:rPr>
                      <w:rFonts w:hint="eastAsia"/>
                      <w:color w:val="000000"/>
                    </w:rPr>
                    <w:t>，常呈厚板状或柱状晶体，多为致密块状、板状或粒状集合体。质纯时无色透明，含杂质时被染成各种颜色，条痕白色，玻璃光泽，透明至半透明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810" w:type="dxa"/>
                  <w:vAlign w:val="center"/>
                </w:tcPr>
                <w:p>
                  <w:pPr>
                    <w:pStyle w:val="70"/>
                    <w:rPr>
                      <w:color w:val="000000"/>
                    </w:rPr>
                  </w:pPr>
                  <w:r>
                    <w:rPr>
                      <w:rFonts w:hint="eastAsia"/>
                      <w:color w:val="000000"/>
                    </w:rPr>
                    <w:t>胺基聚醇</w:t>
                  </w:r>
                </w:p>
              </w:tc>
              <w:tc>
                <w:tcPr>
                  <w:tcW w:w="1494" w:type="dxa"/>
                  <w:vAlign w:val="center"/>
                </w:tcPr>
                <w:p>
                  <w:pPr>
                    <w:pStyle w:val="70"/>
                    <w:rPr>
                      <w:color w:val="000000"/>
                    </w:rPr>
                  </w:pPr>
                  <w:r>
                    <w:rPr>
                      <w:color w:val="000000"/>
                    </w:rPr>
                    <w:t>强抑制性</w:t>
                  </w:r>
                </w:p>
              </w:tc>
              <w:tc>
                <w:tcPr>
                  <w:tcW w:w="5375" w:type="dxa"/>
                  <w:noWrap/>
                  <w:tcMar>
                    <w:top w:w="15" w:type="dxa"/>
                    <w:left w:w="15" w:type="dxa"/>
                    <w:bottom w:w="0" w:type="dxa"/>
                    <w:right w:w="15" w:type="dxa"/>
                  </w:tcMar>
                  <w:vAlign w:val="center"/>
                </w:tcPr>
                <w:p>
                  <w:pPr>
                    <w:pStyle w:val="70"/>
                    <w:rPr>
                      <w:color w:val="000000"/>
                    </w:rPr>
                  </w:pPr>
                  <w:r>
                    <w:rPr>
                      <w:rFonts w:hint="eastAsia"/>
                      <w:color w:val="000000"/>
                    </w:rPr>
                    <w:t>外观粘稠液体，</w:t>
                  </w:r>
                  <w:r>
                    <w:rPr>
                      <w:color w:val="000000"/>
                    </w:rPr>
                    <w:t>由环氧乙烷、环氧丙烷、环氧丁烷和阳离子单体等在催化剂的作用下，经过起始剂活性基团单体引发、链增长、阳离子化缩聚、多步加聚等工艺反应制成</w:t>
                  </w:r>
                </w:p>
              </w:tc>
            </w:tr>
          </w:tbl>
          <w:p>
            <w:pPr>
              <w:rPr>
                <w:color w:val="000000"/>
              </w:rPr>
            </w:pPr>
          </w:p>
          <w:p>
            <w:pPr>
              <w:pStyle w:val="110"/>
              <w:rPr>
                <w:color w:val="000000"/>
              </w:rPr>
            </w:pPr>
            <w:r>
              <w:rPr>
                <w:rFonts w:hint="eastAsia"/>
                <w:color w:val="000000"/>
              </w:rPr>
              <w:t>8、辅助工程</w:t>
            </w:r>
          </w:p>
          <w:p>
            <w:pPr>
              <w:pStyle w:val="110"/>
              <w:rPr>
                <w:color w:val="000000"/>
              </w:rPr>
            </w:pPr>
            <w:r>
              <w:rPr>
                <w:rFonts w:hint="eastAsia"/>
                <w:color w:val="000000"/>
              </w:rPr>
              <w:t>1）生活区</w:t>
            </w:r>
          </w:p>
          <w:p>
            <w:pPr>
              <w:pStyle w:val="110"/>
              <w:rPr>
                <w:color w:val="000000"/>
              </w:rPr>
            </w:pPr>
            <w:r>
              <w:rPr>
                <w:rFonts w:hint="eastAsia"/>
                <w:snapToGrid w:val="0"/>
                <w:color w:val="000000"/>
              </w:rPr>
              <w:t>施工人员生活区域依托周边村庄。</w:t>
            </w:r>
          </w:p>
          <w:p>
            <w:pPr>
              <w:pStyle w:val="110"/>
              <w:rPr>
                <w:color w:val="000000"/>
              </w:rPr>
            </w:pPr>
            <w:r>
              <w:rPr>
                <w:rFonts w:hint="eastAsia"/>
                <w:color w:val="000000"/>
              </w:rPr>
              <w:t>2）简易道路</w:t>
            </w:r>
          </w:p>
          <w:p>
            <w:pPr>
              <w:pStyle w:val="110"/>
              <w:rPr>
                <w:color w:val="000000"/>
              </w:rPr>
            </w:pPr>
            <w:r>
              <w:rPr>
                <w:rFonts w:hint="eastAsia"/>
                <w:snapToGrid w:val="0"/>
                <w:color w:val="000000"/>
              </w:rPr>
              <w:t>新建路宽</w:t>
            </w:r>
            <w:r>
              <w:rPr>
                <w:rFonts w:hint="eastAsia"/>
              </w:rPr>
              <w:t>8</w:t>
            </w:r>
            <w:r>
              <w:rPr>
                <w:rFonts w:hint="eastAsia"/>
                <w:snapToGrid w:val="0"/>
                <w:color w:val="000000"/>
              </w:rPr>
              <w:t>m通井道路，合计长约</w:t>
            </w:r>
            <w:r>
              <w:rPr>
                <w:rFonts w:hint="eastAsia"/>
              </w:rPr>
              <w:t>74</w:t>
            </w:r>
            <w:r>
              <w:rPr>
                <w:rFonts w:hint="eastAsia"/>
                <w:snapToGrid w:val="0"/>
                <w:color w:val="000000"/>
              </w:rPr>
              <w:t>m，占地面积约为</w:t>
            </w:r>
            <w:r>
              <w:rPr>
                <w:rFonts w:hint="eastAsia"/>
              </w:rPr>
              <w:t>592</w:t>
            </w:r>
            <w:r>
              <w:rPr>
                <w:rFonts w:hint="eastAsia"/>
                <w:snapToGrid w:val="0"/>
                <w:color w:val="000000"/>
              </w:rPr>
              <w:t>m</w:t>
            </w:r>
            <w:r>
              <w:rPr>
                <w:rFonts w:hint="eastAsia"/>
                <w:snapToGrid w:val="0"/>
                <w:color w:val="000000"/>
                <w:vertAlign w:val="superscript"/>
              </w:rPr>
              <w:t>2</w:t>
            </w:r>
            <w:r>
              <w:rPr>
                <w:rFonts w:hint="eastAsia"/>
                <w:snapToGrid w:val="0"/>
                <w:color w:val="000000"/>
              </w:rPr>
              <w:t>。大龙口-浅1井道路路由为：起点为现有道路（E</w:t>
            </w:r>
            <w:r>
              <w:rPr>
                <w:snapToGrid w:val="0"/>
                <w:color w:val="000000"/>
              </w:rPr>
              <w:t xml:space="preserve"> </w:t>
            </w:r>
            <w:r>
              <w:rPr>
                <w:color w:val="000000"/>
              </w:rPr>
              <w:t>88.647802</w:t>
            </w:r>
            <w:r>
              <w:rPr>
                <w:rFonts w:hint="eastAsia"/>
                <w:color w:val="000000"/>
              </w:rPr>
              <w:t>°</w:t>
            </w:r>
            <w:r>
              <w:rPr>
                <w:color w:val="000000"/>
              </w:rPr>
              <w:t>，</w:t>
            </w:r>
            <w:r>
              <w:rPr>
                <w:rFonts w:hint="eastAsia"/>
                <w:color w:val="000000"/>
              </w:rPr>
              <w:t>N</w:t>
            </w:r>
            <w:r>
              <w:rPr>
                <w:color w:val="000000"/>
              </w:rPr>
              <w:t xml:space="preserve"> 43.986317</w:t>
            </w:r>
            <w:r>
              <w:rPr>
                <w:rFonts w:hint="eastAsia"/>
                <w:color w:val="000000"/>
              </w:rPr>
              <w:t>°</w:t>
            </w:r>
            <w:r>
              <w:rPr>
                <w:rFonts w:hint="eastAsia"/>
                <w:snapToGrid w:val="0"/>
                <w:color w:val="000000"/>
              </w:rPr>
              <w:t>）向西北修建约</w:t>
            </w:r>
            <w:r>
              <w:rPr>
                <w:snapToGrid w:val="0"/>
                <w:color w:val="000000"/>
              </w:rPr>
              <w:t>33</w:t>
            </w:r>
            <w:r>
              <w:rPr>
                <w:rFonts w:hint="eastAsia"/>
                <w:snapToGrid w:val="0"/>
                <w:color w:val="000000"/>
              </w:rPr>
              <w:t>m至井场；大龙口-浅</w:t>
            </w:r>
            <w:r>
              <w:rPr>
                <w:snapToGrid w:val="0"/>
                <w:color w:val="000000"/>
              </w:rPr>
              <w:t>2</w:t>
            </w:r>
            <w:r>
              <w:rPr>
                <w:rFonts w:hint="eastAsia"/>
                <w:snapToGrid w:val="0"/>
                <w:color w:val="000000"/>
              </w:rPr>
              <w:t>井道路路由为：起点为现有道路（E</w:t>
            </w:r>
            <w:r>
              <w:rPr>
                <w:snapToGrid w:val="0"/>
                <w:color w:val="000000"/>
              </w:rPr>
              <w:t xml:space="preserve"> </w:t>
            </w:r>
            <w:r>
              <w:rPr>
                <w:color w:val="000000"/>
              </w:rPr>
              <w:t>88.759433</w:t>
            </w:r>
            <w:r>
              <w:rPr>
                <w:rFonts w:hint="eastAsia"/>
                <w:color w:val="000000"/>
              </w:rPr>
              <w:t>°</w:t>
            </w:r>
            <w:r>
              <w:rPr>
                <w:color w:val="000000"/>
              </w:rPr>
              <w:t>，</w:t>
            </w:r>
            <w:r>
              <w:rPr>
                <w:rFonts w:hint="eastAsia"/>
                <w:color w:val="000000"/>
              </w:rPr>
              <w:t>N</w:t>
            </w:r>
            <w:r>
              <w:rPr>
                <w:color w:val="000000"/>
              </w:rPr>
              <w:t xml:space="preserve"> 43.990821</w:t>
            </w:r>
            <w:r>
              <w:rPr>
                <w:rFonts w:hint="eastAsia"/>
                <w:color w:val="000000"/>
              </w:rPr>
              <w:t>°</w:t>
            </w:r>
            <w:r>
              <w:rPr>
                <w:rFonts w:hint="eastAsia"/>
                <w:snapToGrid w:val="0"/>
                <w:color w:val="000000"/>
              </w:rPr>
              <w:t>）向西北修建约</w:t>
            </w:r>
            <w:r>
              <w:rPr>
                <w:snapToGrid w:val="0"/>
                <w:color w:val="000000"/>
              </w:rPr>
              <w:t>26</w:t>
            </w:r>
            <w:r>
              <w:rPr>
                <w:rFonts w:hint="eastAsia"/>
                <w:snapToGrid w:val="0"/>
                <w:color w:val="000000"/>
              </w:rPr>
              <w:t>m至井场；大龙口-浅</w:t>
            </w:r>
            <w:r>
              <w:rPr>
                <w:snapToGrid w:val="0"/>
                <w:color w:val="000000"/>
              </w:rPr>
              <w:t>3</w:t>
            </w:r>
            <w:r>
              <w:rPr>
                <w:rFonts w:hint="eastAsia"/>
                <w:snapToGrid w:val="0"/>
                <w:color w:val="000000"/>
              </w:rPr>
              <w:t>井道路路由为：起点为现有道路（E</w:t>
            </w:r>
            <w:r>
              <w:rPr>
                <w:snapToGrid w:val="0"/>
                <w:color w:val="000000"/>
              </w:rPr>
              <w:t xml:space="preserve"> </w:t>
            </w:r>
            <w:r>
              <w:rPr>
                <w:color w:val="000000"/>
              </w:rPr>
              <w:t>88.718827</w:t>
            </w:r>
            <w:r>
              <w:rPr>
                <w:rFonts w:hint="eastAsia"/>
                <w:color w:val="000000"/>
              </w:rPr>
              <w:t>°</w:t>
            </w:r>
            <w:r>
              <w:rPr>
                <w:color w:val="000000"/>
              </w:rPr>
              <w:t>，</w:t>
            </w:r>
            <w:r>
              <w:rPr>
                <w:rFonts w:hint="eastAsia"/>
                <w:color w:val="000000"/>
              </w:rPr>
              <w:t>N</w:t>
            </w:r>
            <w:r>
              <w:rPr>
                <w:color w:val="000000"/>
              </w:rPr>
              <w:t xml:space="preserve"> 43.964587</w:t>
            </w:r>
            <w:r>
              <w:rPr>
                <w:rFonts w:hint="eastAsia"/>
                <w:color w:val="000000"/>
              </w:rPr>
              <w:t>°</w:t>
            </w:r>
            <w:r>
              <w:rPr>
                <w:rFonts w:hint="eastAsia"/>
                <w:snapToGrid w:val="0"/>
                <w:color w:val="000000"/>
              </w:rPr>
              <w:t>）向西南修建约</w:t>
            </w:r>
            <w:r>
              <w:rPr>
                <w:snapToGrid w:val="0"/>
                <w:color w:val="000000"/>
              </w:rPr>
              <w:t>150</w:t>
            </w:r>
            <w:r>
              <w:rPr>
                <w:rFonts w:hint="eastAsia"/>
                <w:snapToGrid w:val="0"/>
                <w:color w:val="000000"/>
              </w:rPr>
              <w:t>m至井场。</w:t>
            </w:r>
          </w:p>
          <w:p>
            <w:pPr>
              <w:pStyle w:val="110"/>
              <w:rPr>
                <w:color w:val="000000"/>
              </w:rPr>
            </w:pPr>
            <w:r>
              <w:rPr>
                <w:color w:val="000000"/>
              </w:rPr>
              <w:t>9</w:t>
            </w:r>
            <w:r>
              <w:rPr>
                <w:rFonts w:hint="eastAsia"/>
                <w:color w:val="000000"/>
              </w:rPr>
              <w:t>、依托工程</w:t>
            </w:r>
          </w:p>
          <w:p>
            <w:pPr>
              <w:pStyle w:val="110"/>
              <w:rPr>
                <w:rFonts w:cs="Times New Roman"/>
                <w:color w:val="000000"/>
                <w:kern w:val="0"/>
                <w:szCs w:val="21"/>
              </w:rPr>
            </w:pPr>
            <w:r>
              <w:rPr>
                <w:rFonts w:hint="eastAsia"/>
                <w:color w:val="000000"/>
                <w:kern w:val="0"/>
              </w:rPr>
              <w:t>拟建项目钻井废水</w:t>
            </w:r>
            <w:r>
              <w:rPr>
                <w:rFonts w:hint="eastAsia" w:cs="Times New Roman"/>
                <w:color w:val="000000"/>
                <w:kern w:val="0"/>
                <w:szCs w:val="21"/>
              </w:rPr>
              <w:t>依托春风一号联合站处理。</w:t>
            </w:r>
          </w:p>
          <w:p>
            <w:pPr>
              <w:pStyle w:val="110"/>
              <w:rPr>
                <w:color w:val="000000"/>
                <w:kern w:val="0"/>
              </w:rPr>
            </w:pPr>
            <w:r>
              <w:rPr>
                <w:rFonts w:hint="eastAsia"/>
                <w:color w:val="000000"/>
                <w:kern w:val="0"/>
              </w:rPr>
              <w:t>春风一号联合站地理坐标为北纬45°6′36.00″，东经84°41′3.00″。目前设计规模为50×10</w:t>
            </w:r>
            <w:r>
              <w:rPr>
                <w:rFonts w:hint="eastAsia"/>
                <w:color w:val="000000"/>
                <w:kern w:val="0"/>
                <w:vertAlign w:val="superscript"/>
              </w:rPr>
              <w:t>4</w:t>
            </w:r>
            <w:r>
              <w:rPr>
                <w:rFonts w:hint="eastAsia"/>
                <w:color w:val="000000"/>
                <w:kern w:val="0"/>
              </w:rPr>
              <w:t>t/a，主要担负着排601北区、中区、排6南区、排601南区四个区块的原油处理任务。主要功能有：管输进站、汽车拉油卸车、掺蒸汽加热、加药、沉降分水、原油储存、计量、汽车装车外运、管输外运、站内循环、污油回收；站内同时具有水处理、污水回灌，配套消防、结构、建筑、供配电、暖通等功能。</w:t>
            </w:r>
          </w:p>
          <w:p>
            <w:pPr>
              <w:pStyle w:val="110"/>
              <w:rPr>
                <w:color w:val="000000"/>
                <w:kern w:val="0"/>
              </w:rPr>
            </w:pPr>
            <w:r>
              <w:rPr>
                <w:rFonts w:hint="eastAsia"/>
                <w:color w:val="000000"/>
                <w:kern w:val="0"/>
              </w:rPr>
              <w:t>1）原油处理工艺</w:t>
            </w:r>
          </w:p>
          <w:p>
            <w:pPr>
              <w:pStyle w:val="110"/>
              <w:rPr>
                <w:color w:val="000000"/>
                <w:kern w:val="0"/>
              </w:rPr>
            </w:pPr>
            <w:r>
              <w:rPr>
                <w:rFonts w:hint="eastAsia"/>
                <w:color w:val="000000"/>
                <w:kern w:val="0"/>
              </w:rPr>
              <w:t>其处理工艺采用化学沉降脱水工艺，一段动态沉降，二段浮动出油的方式。</w:t>
            </w:r>
          </w:p>
          <w:p>
            <w:pPr>
              <w:pStyle w:val="110"/>
              <w:rPr>
                <w:color w:val="000000"/>
                <w:kern w:val="0"/>
              </w:rPr>
            </w:pPr>
            <w:r>
              <w:rPr>
                <w:rFonts w:hint="eastAsia"/>
                <w:color w:val="000000"/>
                <w:kern w:val="0"/>
              </w:rPr>
              <w:t>工艺流程：破乳剂→站外来液→一次沉降罐→蒸汽混掺装置→二次沉降罐（浮动收油）→提升泵→净化油罐（浮动出油）→装车泵→装车鹤管。</w:t>
            </w:r>
          </w:p>
          <w:p>
            <w:pPr>
              <w:pStyle w:val="110"/>
              <w:rPr>
                <w:color w:val="000000"/>
                <w:kern w:val="0"/>
              </w:rPr>
            </w:pPr>
            <w:r>
              <w:rPr>
                <w:rFonts w:hint="eastAsia"/>
                <w:color w:val="000000"/>
              </w:rPr>
              <w:t>由于站外来液含水较高（≥58.7%），因此采用先分游离水后升温沉降的方式。一次沉降罐分出游离水和部分乳化水后，将来液升温至85℃以上，含水小于40%乳化油溢流进二次沉降缓冲罐，二次沉降缓冲罐采用浮动出油的方式经泵提升送入，收油至净化油罐储存，含水≤2%后的净化原油经装车泵加压后计量装车外运至炼油厂。</w:t>
            </w:r>
          </w:p>
          <w:p>
            <w:pPr>
              <w:pStyle w:val="70"/>
              <w:spacing w:line="331" w:lineRule="auto"/>
              <w:ind w:firstLine="420" w:firstLineChars="200"/>
              <w:jc w:val="left"/>
              <w:rPr>
                <w:rFonts w:hAnsi="宋体"/>
                <w:color w:val="000000"/>
              </w:rPr>
            </w:pPr>
            <w:r>
              <w:rPr>
                <w:rFonts w:hint="eastAsia" w:hAnsi="宋体"/>
                <w:color w:val="000000"/>
              </w:rPr>
              <w:t>2）污水处理工艺</w:t>
            </w:r>
          </w:p>
          <w:p>
            <w:pPr>
              <w:pStyle w:val="70"/>
              <w:spacing w:line="331" w:lineRule="auto"/>
              <w:ind w:firstLine="420" w:firstLineChars="200"/>
              <w:jc w:val="left"/>
              <w:rPr>
                <w:rFonts w:hAnsi="宋体"/>
                <w:color w:val="000000"/>
              </w:rPr>
            </w:pPr>
            <w:r>
              <w:rPr>
                <w:rFonts w:hint="eastAsia" w:hAnsi="宋体"/>
                <w:color w:val="000000"/>
              </w:rPr>
              <w:t>处理工艺采用混凝沉降+过滤工艺，即油系统来水→一次除油罐→二次沉降罐→缓冲罐→污水提升泵→多介质过滤器→回注系统。</w:t>
            </w:r>
          </w:p>
          <w:p>
            <w:pPr>
              <w:adjustRightInd w:val="0"/>
              <w:snapToGrid w:val="0"/>
              <w:spacing w:line="331" w:lineRule="auto"/>
              <w:ind w:firstLine="420" w:firstLineChars="200"/>
              <w:jc w:val="left"/>
              <w:rPr>
                <w:rFonts w:ascii="宋体" w:hAnsi="宋体"/>
                <w:color w:val="000000"/>
              </w:rPr>
            </w:pPr>
            <w:r>
              <w:rPr>
                <w:rFonts w:hint="eastAsia" w:ascii="宋体" w:hAnsi="宋体"/>
                <w:color w:val="000000"/>
              </w:rPr>
              <w:t>春风一号联合站</w:t>
            </w:r>
            <w:r>
              <w:rPr>
                <w:rFonts w:hint="eastAsia" w:ascii="宋体" w:hAnsi="宋体"/>
                <w:bCs/>
                <w:color w:val="000000"/>
              </w:rPr>
              <w:t>于</w:t>
            </w:r>
            <w:r>
              <w:rPr>
                <w:rFonts w:ascii="宋体" w:hAnsi="宋体"/>
                <w:bCs/>
                <w:color w:val="000000"/>
              </w:rPr>
              <w:t>2010</w:t>
            </w:r>
            <w:r>
              <w:rPr>
                <w:rFonts w:hint="eastAsia" w:ascii="宋体" w:hAnsi="宋体"/>
                <w:bCs/>
                <w:color w:val="000000"/>
              </w:rPr>
              <w:t>年取得环评批复，批复文号为新环评价函</w:t>
            </w:r>
            <w:r>
              <w:rPr>
                <w:rFonts w:ascii="宋体" w:hAnsi="宋体"/>
                <w:bCs/>
                <w:color w:val="000000"/>
              </w:rPr>
              <w:t>[2010]863</w:t>
            </w:r>
            <w:r>
              <w:rPr>
                <w:rFonts w:hint="eastAsia" w:ascii="宋体" w:hAnsi="宋体"/>
                <w:bCs/>
                <w:color w:val="000000"/>
              </w:rPr>
              <w:t>号；</w:t>
            </w:r>
            <w:r>
              <w:rPr>
                <w:rFonts w:ascii="宋体" w:hAnsi="宋体"/>
                <w:color w:val="000000"/>
              </w:rPr>
              <w:t>2011</w:t>
            </w:r>
            <w:r>
              <w:rPr>
                <w:rFonts w:hint="eastAsia" w:ascii="宋体" w:hAnsi="宋体"/>
                <w:color w:val="000000"/>
              </w:rPr>
              <w:t>年建成试运行，</w:t>
            </w:r>
            <w:r>
              <w:rPr>
                <w:rFonts w:hint="eastAsia" w:ascii="宋体" w:hAnsi="宋体"/>
                <w:bCs/>
                <w:color w:val="000000"/>
              </w:rPr>
              <w:t>于</w:t>
            </w:r>
            <w:r>
              <w:rPr>
                <w:rFonts w:ascii="宋体" w:hAnsi="宋体"/>
                <w:bCs/>
                <w:color w:val="000000"/>
              </w:rPr>
              <w:t>2012</w:t>
            </w:r>
            <w:r>
              <w:rPr>
                <w:rFonts w:hint="eastAsia" w:ascii="宋体" w:hAnsi="宋体"/>
                <w:bCs/>
                <w:color w:val="000000"/>
              </w:rPr>
              <w:t>年取得竣工验收批复，批复文号为</w:t>
            </w:r>
            <w:r>
              <w:rPr>
                <w:rFonts w:ascii="宋体" w:hAnsi="宋体"/>
                <w:bCs/>
                <w:color w:val="000000"/>
              </w:rPr>
              <w:t>[2012]939</w:t>
            </w:r>
            <w:r>
              <w:rPr>
                <w:rFonts w:hint="eastAsia" w:ascii="宋体" w:hAnsi="宋体"/>
                <w:bCs/>
                <w:color w:val="000000"/>
              </w:rPr>
              <w:t>号</w:t>
            </w:r>
            <w:r>
              <w:rPr>
                <w:rFonts w:hint="eastAsia" w:ascii="宋体" w:hAnsi="宋体"/>
                <w:color w:val="000000"/>
              </w:rPr>
              <w:t>（见附件</w:t>
            </w:r>
            <w:r>
              <w:rPr>
                <w:rFonts w:ascii="宋体" w:hAnsi="宋体"/>
                <w:color w:val="000000"/>
              </w:rPr>
              <w:t>3</w:t>
            </w:r>
            <w:r>
              <w:rPr>
                <w:rFonts w:hint="eastAsia" w:ascii="宋体" w:hAnsi="宋体"/>
                <w:color w:val="000000"/>
              </w:rPr>
              <w:t>）</w:t>
            </w:r>
            <w:r>
              <w:rPr>
                <w:rFonts w:hint="eastAsia" w:ascii="宋体" w:hAnsi="宋体"/>
                <w:bCs/>
                <w:color w:val="000000"/>
              </w:rPr>
              <w:t>。</w:t>
            </w:r>
            <w:r>
              <w:rPr>
                <w:rFonts w:hint="eastAsia" w:ascii="宋体" w:hAnsi="宋体"/>
                <w:color w:val="000000"/>
              </w:rPr>
              <w:t>春风一号联合站含油污水处理系统出水中的石油类可达到《碎屑岩油藏注水水质推荐指标及分析方法》（</w:t>
            </w:r>
            <w:r>
              <w:rPr>
                <w:rFonts w:ascii="宋体" w:hAnsi="宋体"/>
                <w:color w:val="000000"/>
              </w:rPr>
              <w:t>SY/T 5329-2012</w:t>
            </w:r>
            <w:r>
              <w:rPr>
                <w:rFonts w:hint="eastAsia" w:ascii="宋体" w:hAnsi="宋体"/>
                <w:color w:val="000000"/>
              </w:rPr>
              <w:t>）中的控制指标。本项目钻井废水产生量约为397.5</w:t>
            </w:r>
            <w:r>
              <w:rPr>
                <w:rFonts w:ascii="宋体" w:hAnsi="宋体"/>
                <w:color w:val="000000"/>
              </w:rPr>
              <w:t>m</w:t>
            </w:r>
            <w:r>
              <w:rPr>
                <w:rFonts w:ascii="宋体" w:hAnsi="宋体"/>
                <w:color w:val="000000"/>
                <w:vertAlign w:val="superscript"/>
              </w:rPr>
              <w:t>3</w:t>
            </w:r>
            <w:r>
              <w:rPr>
                <w:rFonts w:hint="eastAsia" w:ascii="宋体" w:hAnsi="宋体"/>
                <w:color w:val="000000"/>
              </w:rPr>
              <w:t>，含油污水处理系统</w:t>
            </w:r>
            <w:r>
              <w:rPr>
                <w:rFonts w:hint="eastAsia" w:ascii="宋体" w:hAnsi="宋体"/>
                <w:color w:val="000000"/>
              </w:rPr>
              <w:t>设计处理规模为</w:t>
            </w:r>
            <w:r>
              <w:rPr>
                <w:rFonts w:ascii="宋体" w:hAnsi="宋体"/>
                <w:color w:val="000000"/>
              </w:rPr>
              <w:t>5400m</w:t>
            </w:r>
            <w:r>
              <w:rPr>
                <w:rFonts w:ascii="宋体" w:hAnsi="宋体"/>
                <w:color w:val="000000"/>
                <w:vertAlign w:val="superscript"/>
              </w:rPr>
              <w:t>3</w:t>
            </w:r>
            <w:r>
              <w:rPr>
                <w:rFonts w:ascii="宋体" w:hAnsi="宋体"/>
                <w:color w:val="000000"/>
              </w:rPr>
              <w:t>/d</w:t>
            </w:r>
            <w:r>
              <w:rPr>
                <w:rFonts w:hint="eastAsia" w:ascii="宋体" w:hAnsi="宋体"/>
                <w:color w:val="000000"/>
              </w:rPr>
              <w:t>，目前实际处理量为</w:t>
            </w:r>
            <w:r>
              <w:rPr>
                <w:rFonts w:ascii="宋体" w:hAnsi="宋体"/>
                <w:color w:val="000000"/>
              </w:rPr>
              <w:t>3800m</w:t>
            </w:r>
            <w:r>
              <w:rPr>
                <w:rFonts w:ascii="宋体" w:hAnsi="宋体"/>
                <w:color w:val="000000"/>
                <w:vertAlign w:val="superscript"/>
              </w:rPr>
              <w:t>3</w:t>
            </w:r>
            <w:r>
              <w:rPr>
                <w:rFonts w:ascii="宋体" w:hAnsi="宋体"/>
                <w:color w:val="000000"/>
              </w:rPr>
              <w:t>/d</w:t>
            </w:r>
            <w:r>
              <w:rPr>
                <w:rFonts w:hint="eastAsia" w:ascii="宋体" w:hAnsi="宋体"/>
                <w:color w:val="000000"/>
              </w:rPr>
              <w:t>，故可满足本项目废水处理要求。</w:t>
            </w:r>
          </w:p>
          <w:p>
            <w:pPr>
              <w:adjustRightInd w:val="0"/>
              <w:snapToGrid w:val="0"/>
              <w:spacing w:line="331" w:lineRule="auto"/>
              <w:ind w:firstLine="420" w:firstLineChars="200"/>
              <w:jc w:val="center"/>
              <w:rPr>
                <w:rFonts w:ascii="宋体" w:hAnsi="宋体" w:cs="宋体"/>
                <w:color w:val="000000"/>
                <w:kern w:val="0"/>
                <w:szCs w:val="21"/>
              </w:rPr>
            </w:pPr>
          </w:p>
          <w:p>
            <w:pPr>
              <w:adjustRightInd w:val="0"/>
              <w:snapToGrid w:val="0"/>
              <w:spacing w:line="331" w:lineRule="auto"/>
              <w:ind w:firstLine="420" w:firstLineChars="200"/>
              <w:jc w:val="center"/>
              <w:rPr>
                <w:rFonts w:ascii="宋体" w:hAnsi="宋体" w:cs="宋体"/>
                <w:color w:val="000000"/>
                <w:kern w:val="0"/>
                <w:szCs w:val="21"/>
              </w:rPr>
            </w:pPr>
          </w:p>
          <w:p>
            <w:pPr>
              <w:adjustRightInd w:val="0"/>
              <w:snapToGrid w:val="0"/>
              <w:spacing w:line="331" w:lineRule="auto"/>
              <w:ind w:firstLine="420" w:firstLineChars="200"/>
              <w:jc w:val="center"/>
              <w:rPr>
                <w:rFonts w:ascii="宋体" w:hAnsi="宋体" w:cs="宋体"/>
                <w:color w:val="000000"/>
                <w:kern w:val="0"/>
                <w:szCs w:val="21"/>
              </w:rPr>
            </w:pPr>
          </w:p>
          <w:p>
            <w:pPr>
              <w:adjustRightInd w:val="0"/>
              <w:snapToGrid w:val="0"/>
              <w:spacing w:line="331" w:lineRule="auto"/>
              <w:ind w:firstLine="420" w:firstLineChars="200"/>
              <w:jc w:val="center"/>
              <w:rPr>
                <w:rFonts w:ascii="宋体" w:hAnsi="宋体" w:cs="宋体"/>
                <w:color w:val="000000"/>
                <w:kern w:val="0"/>
                <w:szCs w:val="21"/>
              </w:rPr>
            </w:pPr>
          </w:p>
          <w:p>
            <w:pPr>
              <w:adjustRightInd w:val="0"/>
              <w:snapToGrid w:val="0"/>
              <w:spacing w:line="331" w:lineRule="auto"/>
              <w:ind w:firstLine="420" w:firstLineChars="200"/>
              <w:jc w:val="center"/>
              <w:rPr>
                <w:rFonts w:ascii="宋体" w:hAnsi="宋体" w:cs="宋体"/>
                <w:color w:val="000000"/>
                <w:kern w:val="0"/>
                <w:szCs w:val="21"/>
              </w:rPr>
            </w:pPr>
          </w:p>
          <w:p>
            <w:pPr>
              <w:adjustRightInd w:val="0"/>
              <w:snapToGrid w:val="0"/>
              <w:spacing w:line="331" w:lineRule="auto"/>
              <w:ind w:firstLine="420" w:firstLineChars="200"/>
              <w:jc w:val="center"/>
              <w:rPr>
                <w:rFonts w:ascii="宋体" w:hAnsi="宋体" w:cs="宋体"/>
                <w:color w:val="000000"/>
                <w:kern w:val="0"/>
                <w:szCs w:val="21"/>
              </w:rPr>
            </w:pPr>
          </w:p>
          <w:p>
            <w:pPr>
              <w:adjustRightInd w:val="0"/>
              <w:snapToGrid w:val="0"/>
              <w:spacing w:line="331" w:lineRule="auto"/>
              <w:ind w:firstLine="420" w:firstLineChars="200"/>
              <w:jc w:val="center"/>
              <w:rPr>
                <w:rFonts w:ascii="宋体" w:hAnsi="宋体" w:cs="宋体"/>
                <w:color w:val="000000"/>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8205" w:hRule="atLeast"/>
          <w:jc w:val="center"/>
        </w:trPr>
        <w:tc>
          <w:tcPr>
            <w:tcW w:w="381" w:type="dxa"/>
            <w:vAlign w:val="center"/>
          </w:tcPr>
          <w:p>
            <w:pPr>
              <w:adjustRightInd w:val="0"/>
              <w:snapToGrid w:val="0"/>
              <w:jc w:val="center"/>
              <w:rPr>
                <w:rFonts w:ascii="宋体" w:hAnsi="宋体" w:cs="宋体"/>
                <w:color w:val="000000"/>
                <w:kern w:val="0"/>
                <w:szCs w:val="21"/>
              </w:rPr>
            </w:pPr>
            <w:r>
              <w:rPr>
                <w:rFonts w:hint="eastAsia" w:ascii="宋体" w:hAnsi="宋体" w:cs="宋体"/>
                <w:color w:val="000000"/>
                <w:kern w:val="0"/>
                <w:szCs w:val="21"/>
              </w:rPr>
              <w:t>总平面及现场布置</w:t>
            </w:r>
          </w:p>
        </w:tc>
        <w:tc>
          <w:tcPr>
            <w:tcW w:w="7905" w:type="dxa"/>
            <w:vAlign w:val="center"/>
          </w:tcPr>
          <w:p>
            <w:pPr>
              <w:pStyle w:val="110"/>
              <w:rPr>
                <w:color w:val="000000"/>
              </w:rPr>
            </w:pPr>
            <w:r>
              <w:rPr>
                <w:color w:val="000000"/>
              </w:rPr>
              <w:t>1</w:t>
            </w:r>
            <w:r>
              <w:rPr>
                <w:rFonts w:hint="eastAsia"/>
                <w:color w:val="000000"/>
              </w:rPr>
              <w:t>、总平面布置</w:t>
            </w:r>
          </w:p>
          <w:p>
            <w:pPr>
              <w:pStyle w:val="110"/>
              <w:rPr>
                <w:color w:val="000000"/>
              </w:rPr>
            </w:pPr>
            <w:r>
              <w:rPr>
                <w:color w:val="000000"/>
              </w:rPr>
              <w:t>本项目选用</w:t>
            </w:r>
            <w:r>
              <w:rPr>
                <w:rFonts w:hint="eastAsia"/>
              </w:rPr>
              <w:t>XY-6</w:t>
            </w:r>
            <w:r>
              <w:rPr>
                <w:color w:val="000000"/>
              </w:rPr>
              <w:t>型钻机，选用</w:t>
            </w:r>
            <w:r>
              <w:rPr>
                <w:rFonts w:hint="eastAsia"/>
              </w:rPr>
              <w:t>50m×70m</w:t>
            </w:r>
            <w:r>
              <w:rPr>
                <w:color w:val="000000"/>
              </w:rPr>
              <w:t>规格井场，井场是钻井工程的主要场地，</w:t>
            </w:r>
            <w:r>
              <w:rPr>
                <w:rFonts w:hint="eastAsia"/>
                <w:color w:val="000000"/>
              </w:rPr>
              <w:t>本项目的平面布置本着布局简单、流程合理的原则进行，围绕井口</w:t>
            </w:r>
            <w:r>
              <w:rPr>
                <w:rFonts w:hint="eastAsia"/>
                <w:snapToGrid w:val="0"/>
                <w:color w:val="000000"/>
              </w:rPr>
              <w:t>设有值班处、废料堆放区、泥浆不落地装置区、燃油区、发电机组、工具区、钻杆钻具摆放区、管材区、岩心摆放区等</w:t>
            </w:r>
            <w:r>
              <w:rPr>
                <w:rFonts w:hint="eastAsia"/>
                <w:color w:val="000000"/>
              </w:rPr>
              <w:t>，施工总布置图见附图</w:t>
            </w:r>
            <w:r>
              <w:rPr>
                <w:color w:val="000000"/>
              </w:rPr>
              <w:t>2</w:t>
            </w:r>
            <w:r>
              <w:rPr>
                <w:rFonts w:hint="eastAsia"/>
                <w:color w:val="000000"/>
              </w:rPr>
              <w:t>。各设施位置能够满足《钻井井场设备作业安全技术规程》（SY</w:t>
            </w:r>
            <w:r>
              <w:rPr>
                <w:color w:val="000000"/>
              </w:rPr>
              <w:t>/T</w:t>
            </w:r>
            <w:r>
              <w:rPr>
                <w:rFonts w:hint="eastAsia"/>
                <w:color w:val="000000"/>
              </w:rPr>
              <w:t xml:space="preserve"> 5974-2</w:t>
            </w:r>
            <w:r>
              <w:rPr>
                <w:color w:val="000000"/>
              </w:rPr>
              <w:t>020</w:t>
            </w:r>
            <w:r>
              <w:rPr>
                <w:rFonts w:hint="eastAsia"/>
                <w:color w:val="000000"/>
              </w:rPr>
              <w:t>）中的安全距离要求。因此，本项目井场平面布置合理。</w:t>
            </w:r>
          </w:p>
          <w:p>
            <w:pPr>
              <w:pStyle w:val="110"/>
              <w:rPr>
                <w:color w:val="000000"/>
              </w:rPr>
            </w:pPr>
            <w:r>
              <w:rPr>
                <w:color w:val="000000"/>
              </w:rPr>
              <w:t>2</w:t>
            </w:r>
            <w:r>
              <w:rPr>
                <w:rFonts w:hint="eastAsia"/>
                <w:color w:val="000000"/>
              </w:rPr>
              <w:t>、项目占地</w:t>
            </w:r>
          </w:p>
          <w:p>
            <w:pPr>
              <w:pStyle w:val="110"/>
              <w:rPr>
                <w:color w:val="000000"/>
              </w:rPr>
            </w:pPr>
            <w:r>
              <w:rPr>
                <w:rFonts w:hint="eastAsia"/>
                <w:color w:val="000000"/>
              </w:rPr>
              <w:t>本项目总占地面积为</w:t>
            </w:r>
            <w:r>
              <w:rPr>
                <w:rFonts w:hint="eastAsia"/>
              </w:rPr>
              <w:t>11092</w:t>
            </w:r>
            <w:r>
              <w:rPr>
                <w:rFonts w:hint="eastAsia"/>
                <w:color w:val="000000"/>
              </w:rPr>
              <w:t>m</w:t>
            </w:r>
            <w:r>
              <w:rPr>
                <w:rFonts w:hint="eastAsia"/>
                <w:color w:val="000000"/>
                <w:vertAlign w:val="superscript"/>
              </w:rPr>
              <w:t>2</w:t>
            </w:r>
            <w:r>
              <w:rPr>
                <w:rFonts w:hint="eastAsia"/>
                <w:color w:val="000000"/>
              </w:rPr>
              <w:t>，均为临时占地，根据查阅资料，项目区属于荒漠区域（见附图</w:t>
            </w:r>
            <w:r>
              <w:rPr>
                <w:color w:val="000000"/>
              </w:rPr>
              <w:t>4</w:t>
            </w:r>
            <w:r>
              <w:rPr>
                <w:rFonts w:hint="eastAsia"/>
                <w:color w:val="000000"/>
              </w:rPr>
              <w:t>），根据环境影响评价工程师对项目拟建区域的现场踏勘情况（现场照片见附图</w:t>
            </w:r>
            <w:r>
              <w:rPr>
                <w:color w:val="000000"/>
              </w:rPr>
              <w:t>3</w:t>
            </w:r>
            <w:r>
              <w:rPr>
                <w:rFonts w:hint="eastAsia"/>
                <w:color w:val="000000"/>
              </w:rPr>
              <w:t>），核实占地类型为林地、草地；其中林地（灌木林地）占地面积为</w:t>
            </w:r>
            <w:r>
              <w:rPr>
                <w:rFonts w:hint="eastAsia"/>
              </w:rPr>
              <w:t>2188</w:t>
            </w:r>
            <w:r>
              <w:rPr>
                <w:rFonts w:hint="eastAsia"/>
                <w:color w:val="000000"/>
              </w:rPr>
              <w:t>m</w:t>
            </w:r>
            <w:r>
              <w:rPr>
                <w:rFonts w:hint="eastAsia"/>
                <w:color w:val="000000"/>
                <w:vertAlign w:val="superscript"/>
              </w:rPr>
              <w:t>2</w:t>
            </w:r>
            <w:r>
              <w:rPr>
                <w:rFonts w:hint="eastAsia"/>
                <w:color w:val="000000"/>
              </w:rPr>
              <w:t>，草地（其他草地）占地面积为</w:t>
            </w:r>
            <w:r>
              <w:rPr>
                <w:rFonts w:hint="eastAsia"/>
              </w:rPr>
              <w:t>8904</w:t>
            </w:r>
            <w:r>
              <w:rPr>
                <w:rFonts w:hint="eastAsia"/>
                <w:color w:val="000000"/>
              </w:rPr>
              <w:t>m</w:t>
            </w:r>
            <w:r>
              <w:rPr>
                <w:rFonts w:hint="eastAsia"/>
                <w:color w:val="000000"/>
                <w:vertAlign w:val="superscript"/>
              </w:rPr>
              <w:t>2</w:t>
            </w:r>
            <w:r>
              <w:rPr>
                <w:rFonts w:hint="eastAsia"/>
                <w:color w:val="000000"/>
              </w:rPr>
              <w:t xml:space="preserve">。本项目占地情况见表 </w:t>
            </w:r>
            <w:r>
              <w:rPr>
                <w:color w:val="000000"/>
              </w:rPr>
              <w:t>11</w:t>
            </w:r>
            <w:r>
              <w:rPr>
                <w:rFonts w:hint="eastAsia"/>
                <w:color w:val="000000"/>
              </w:rPr>
              <w:t>。</w:t>
            </w:r>
          </w:p>
          <w:p>
            <w:pPr>
              <w:pStyle w:val="97"/>
              <w:spacing w:before="120" w:beforeLines="50" w:line="360" w:lineRule="auto"/>
              <w:rPr>
                <w:color w:val="000000"/>
              </w:rPr>
            </w:pPr>
            <w:bookmarkStart w:id="14" w:name="_Ref38542244"/>
            <w:r>
              <w:rPr>
                <w:rFonts w:hint="eastAsia"/>
                <w:color w:val="000000"/>
              </w:rPr>
              <w:t xml:space="preserve">表 </w:t>
            </w:r>
            <w:r>
              <w:rPr>
                <w:color w:val="000000"/>
              </w:rPr>
              <w:t>11</w:t>
            </w:r>
            <w:bookmarkEnd w:id="14"/>
            <w:r>
              <w:rPr>
                <w:color w:val="000000"/>
              </w:rPr>
              <w:t xml:space="preserve">  </w:t>
            </w:r>
            <w:r>
              <w:rPr>
                <w:rFonts w:hint="eastAsia"/>
                <w:color w:val="000000"/>
                <w:szCs w:val="21"/>
              </w:rPr>
              <w:t>本项目占地情况一览表</w:t>
            </w:r>
          </w:p>
          <w:tbl>
            <w:tblPr>
              <w:tblStyle w:val="29"/>
              <w:tblW w:w="767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1"/>
              <w:gridCol w:w="1210"/>
              <w:gridCol w:w="1210"/>
              <w:gridCol w:w="2173"/>
              <w:gridCol w:w="18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11" w:type="dxa"/>
                  <w:vMerge w:val="restart"/>
                  <w:vAlign w:val="center"/>
                </w:tcPr>
                <w:p>
                  <w:pPr>
                    <w:pStyle w:val="70"/>
                    <w:rPr>
                      <w:color w:val="000000"/>
                    </w:rPr>
                  </w:pPr>
                  <w:r>
                    <w:rPr>
                      <w:rFonts w:hint="eastAsia"/>
                      <w:color w:val="000000"/>
                    </w:rPr>
                    <w:t>建设项目</w:t>
                  </w:r>
                </w:p>
              </w:tc>
              <w:tc>
                <w:tcPr>
                  <w:tcW w:w="2420" w:type="dxa"/>
                  <w:gridSpan w:val="2"/>
                  <w:vAlign w:val="center"/>
                </w:tcPr>
                <w:p>
                  <w:pPr>
                    <w:pStyle w:val="70"/>
                    <w:rPr>
                      <w:color w:val="000000"/>
                    </w:rPr>
                  </w:pPr>
                  <w:r>
                    <w:rPr>
                      <w:rFonts w:hint="eastAsia"/>
                      <w:color w:val="000000"/>
                    </w:rPr>
                    <w:t>占地面积（m</w:t>
                  </w:r>
                  <w:r>
                    <w:rPr>
                      <w:rFonts w:hint="eastAsia"/>
                      <w:color w:val="000000"/>
                      <w:vertAlign w:val="superscript"/>
                    </w:rPr>
                    <w:t>2</w:t>
                  </w:r>
                  <w:r>
                    <w:rPr>
                      <w:rFonts w:hint="eastAsia"/>
                      <w:color w:val="000000"/>
                    </w:rPr>
                    <w:t>）</w:t>
                  </w:r>
                </w:p>
              </w:tc>
              <w:tc>
                <w:tcPr>
                  <w:tcW w:w="4048" w:type="dxa"/>
                  <w:gridSpan w:val="2"/>
                  <w:vAlign w:val="center"/>
                </w:tcPr>
                <w:p>
                  <w:pPr>
                    <w:pStyle w:val="70"/>
                    <w:rPr>
                      <w:color w:val="000000"/>
                    </w:rPr>
                  </w:pPr>
                  <w:r>
                    <w:rPr>
                      <w:rFonts w:hint="eastAsia"/>
                      <w:color w:val="000000"/>
                    </w:rPr>
                    <w:t>占地类型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11" w:type="dxa"/>
                  <w:vMerge w:val="continue"/>
                  <w:vAlign w:val="center"/>
                </w:tcPr>
                <w:p>
                  <w:pPr>
                    <w:pStyle w:val="70"/>
                    <w:rPr>
                      <w:color w:val="000000"/>
                    </w:rPr>
                  </w:pPr>
                </w:p>
              </w:tc>
              <w:tc>
                <w:tcPr>
                  <w:tcW w:w="1210" w:type="dxa"/>
                  <w:vAlign w:val="center"/>
                </w:tcPr>
                <w:p>
                  <w:pPr>
                    <w:pStyle w:val="70"/>
                    <w:rPr>
                      <w:color w:val="000000"/>
                    </w:rPr>
                  </w:pPr>
                  <w:r>
                    <w:rPr>
                      <w:rFonts w:hint="eastAsia"/>
                      <w:color w:val="000000"/>
                    </w:rPr>
                    <w:t>临时占地</w:t>
                  </w:r>
                </w:p>
              </w:tc>
              <w:tc>
                <w:tcPr>
                  <w:tcW w:w="1210" w:type="dxa"/>
                  <w:vAlign w:val="center"/>
                </w:tcPr>
                <w:p>
                  <w:pPr>
                    <w:pStyle w:val="70"/>
                    <w:rPr>
                      <w:color w:val="000000"/>
                    </w:rPr>
                  </w:pPr>
                  <w:r>
                    <w:rPr>
                      <w:rFonts w:hint="eastAsia"/>
                      <w:color w:val="000000"/>
                    </w:rPr>
                    <w:t>永久占地</w:t>
                  </w:r>
                </w:p>
              </w:tc>
              <w:tc>
                <w:tcPr>
                  <w:tcW w:w="2173" w:type="dxa"/>
                  <w:vAlign w:val="center"/>
                </w:tcPr>
                <w:p>
                  <w:pPr>
                    <w:pStyle w:val="70"/>
                    <w:rPr>
                      <w:color w:val="000000"/>
                    </w:rPr>
                  </w:pPr>
                  <w:r>
                    <w:rPr>
                      <w:rFonts w:hint="eastAsia"/>
                      <w:color w:val="000000"/>
                    </w:rPr>
                    <w:t>土地类型</w:t>
                  </w:r>
                </w:p>
              </w:tc>
              <w:tc>
                <w:tcPr>
                  <w:tcW w:w="1875" w:type="dxa"/>
                  <w:vAlign w:val="center"/>
                </w:tcPr>
                <w:p>
                  <w:pPr>
                    <w:pStyle w:val="70"/>
                    <w:rPr>
                      <w:color w:val="000000"/>
                    </w:rPr>
                  </w:pPr>
                  <w:r>
                    <w:rPr>
                      <w:rFonts w:hint="eastAsia"/>
                      <w:color w:val="000000"/>
                    </w:rPr>
                    <w:t>占地面积（m</w:t>
                  </w:r>
                  <w:r>
                    <w:rPr>
                      <w:rFonts w:hint="eastAsia"/>
                      <w:color w:val="000000"/>
                      <w:vertAlign w:val="superscript"/>
                    </w:rPr>
                    <w:t>2</w:t>
                  </w:r>
                  <w:r>
                    <w:rPr>
                      <w:rFonts w:hint="eastAsia"/>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11" w:type="dxa"/>
                  <w:vAlign w:val="center"/>
                </w:tcPr>
                <w:p>
                  <w:pPr>
                    <w:pStyle w:val="70"/>
                    <w:rPr>
                      <w:color w:val="000000"/>
                    </w:rPr>
                  </w:pPr>
                  <w:r>
                    <w:rPr>
                      <w:rFonts w:hint="eastAsia"/>
                      <w:color w:val="000000"/>
                    </w:rPr>
                    <w:t>进井道路</w:t>
                  </w:r>
                </w:p>
              </w:tc>
              <w:tc>
                <w:tcPr>
                  <w:tcW w:w="1210" w:type="dxa"/>
                  <w:vAlign w:val="center"/>
                </w:tcPr>
                <w:p>
                  <w:pPr>
                    <w:pStyle w:val="70"/>
                    <w:rPr>
                      <w:color w:val="000000"/>
                    </w:rPr>
                  </w:pPr>
                  <w:r>
                    <w:rPr>
                      <w:rFonts w:hint="eastAsia"/>
                    </w:rPr>
                    <w:t>592</w:t>
                  </w:r>
                </w:p>
              </w:tc>
              <w:tc>
                <w:tcPr>
                  <w:tcW w:w="1210" w:type="dxa"/>
                  <w:vAlign w:val="center"/>
                </w:tcPr>
                <w:p>
                  <w:pPr>
                    <w:pStyle w:val="70"/>
                    <w:rPr>
                      <w:color w:val="000000"/>
                    </w:rPr>
                  </w:pPr>
                  <w:r>
                    <w:rPr>
                      <w:rFonts w:hint="eastAsia"/>
                      <w:color w:val="000000"/>
                    </w:rPr>
                    <w:t>0</w:t>
                  </w:r>
                </w:p>
              </w:tc>
              <w:tc>
                <w:tcPr>
                  <w:tcW w:w="2173" w:type="dxa"/>
                  <w:vAlign w:val="center"/>
                </w:tcPr>
                <w:p>
                  <w:pPr>
                    <w:pStyle w:val="70"/>
                    <w:rPr>
                      <w:color w:val="000000"/>
                    </w:rPr>
                  </w:pPr>
                  <w:r>
                    <w:rPr>
                      <w:rFonts w:hint="eastAsia"/>
                      <w:color w:val="000000"/>
                    </w:rPr>
                    <w:t>草地（其他草地）</w:t>
                  </w:r>
                </w:p>
              </w:tc>
              <w:tc>
                <w:tcPr>
                  <w:tcW w:w="1875" w:type="dxa"/>
                  <w:vAlign w:val="center"/>
                </w:tcPr>
                <w:p>
                  <w:pPr>
                    <w:pStyle w:val="70"/>
                    <w:rPr>
                      <w:color w:val="000000"/>
                    </w:rPr>
                  </w:pPr>
                  <w:r>
                    <w:rPr>
                      <w:rFonts w:hint="eastAsia"/>
                    </w:rPr>
                    <w:t>592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11" w:type="dxa"/>
                  <w:vMerge w:val="restart"/>
                  <w:vAlign w:val="center"/>
                </w:tcPr>
                <w:p>
                  <w:pPr>
                    <w:pStyle w:val="70"/>
                    <w:rPr>
                      <w:color w:val="000000"/>
                    </w:rPr>
                  </w:pPr>
                  <w:r>
                    <w:rPr>
                      <w:rFonts w:hint="eastAsia"/>
                      <w:color w:val="000000"/>
                    </w:rPr>
                    <w:t>井场</w:t>
                  </w:r>
                </w:p>
              </w:tc>
              <w:tc>
                <w:tcPr>
                  <w:tcW w:w="1210" w:type="dxa"/>
                  <w:vMerge w:val="restart"/>
                  <w:vAlign w:val="center"/>
                </w:tcPr>
                <w:p>
                  <w:pPr>
                    <w:pStyle w:val="70"/>
                    <w:rPr>
                      <w:color w:val="000000"/>
                    </w:rPr>
                  </w:pPr>
                  <w:r>
                    <w:rPr>
                      <w:rFonts w:hint="eastAsia"/>
                    </w:rPr>
                    <w:t>10500</w:t>
                  </w:r>
                </w:p>
              </w:tc>
              <w:tc>
                <w:tcPr>
                  <w:tcW w:w="1210" w:type="dxa"/>
                  <w:vMerge w:val="restart"/>
                  <w:vAlign w:val="center"/>
                </w:tcPr>
                <w:p>
                  <w:pPr>
                    <w:pStyle w:val="70"/>
                    <w:rPr>
                      <w:color w:val="000000"/>
                    </w:rPr>
                  </w:pPr>
                  <w:r>
                    <w:rPr>
                      <w:rFonts w:hint="eastAsia"/>
                      <w:color w:val="000000"/>
                    </w:rPr>
                    <w:t>0</w:t>
                  </w:r>
                </w:p>
              </w:tc>
              <w:tc>
                <w:tcPr>
                  <w:tcW w:w="2173" w:type="dxa"/>
                  <w:vAlign w:val="center"/>
                </w:tcPr>
                <w:p>
                  <w:pPr>
                    <w:pStyle w:val="70"/>
                    <w:rPr>
                      <w:color w:val="000000"/>
                    </w:rPr>
                  </w:pPr>
                  <w:r>
                    <w:rPr>
                      <w:rFonts w:hint="eastAsia"/>
                      <w:color w:val="000000"/>
                    </w:rPr>
                    <w:t>林地（灌木林地）</w:t>
                  </w:r>
                </w:p>
              </w:tc>
              <w:tc>
                <w:tcPr>
                  <w:tcW w:w="1875" w:type="dxa"/>
                  <w:vAlign w:val="center"/>
                </w:tcPr>
                <w:p>
                  <w:pPr>
                    <w:pStyle w:val="70"/>
                    <w:rPr>
                      <w:color w:val="000000"/>
                    </w:rPr>
                  </w:pPr>
                  <w:r>
                    <w:rPr>
                      <w:rFonts w:hint="eastAsia"/>
                    </w:rPr>
                    <w:t>2188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11" w:type="dxa"/>
                  <w:vMerge w:val="continue"/>
                  <w:vAlign w:val="center"/>
                </w:tcPr>
                <w:p>
                  <w:pPr>
                    <w:pStyle w:val="70"/>
                    <w:rPr>
                      <w:color w:val="000000"/>
                    </w:rPr>
                  </w:pPr>
                </w:p>
              </w:tc>
              <w:tc>
                <w:tcPr>
                  <w:tcW w:w="1210" w:type="dxa"/>
                  <w:vMerge w:val="continue"/>
                  <w:vAlign w:val="center"/>
                </w:tcPr>
                <w:p>
                  <w:pPr>
                    <w:pStyle w:val="70"/>
                    <w:rPr>
                      <w:color w:val="000000"/>
                    </w:rPr>
                  </w:pPr>
                </w:p>
              </w:tc>
              <w:tc>
                <w:tcPr>
                  <w:tcW w:w="1210" w:type="dxa"/>
                  <w:vMerge w:val="continue"/>
                  <w:vAlign w:val="center"/>
                </w:tcPr>
                <w:p>
                  <w:pPr>
                    <w:pStyle w:val="70"/>
                    <w:rPr>
                      <w:color w:val="000000"/>
                    </w:rPr>
                  </w:pPr>
                </w:p>
              </w:tc>
              <w:tc>
                <w:tcPr>
                  <w:tcW w:w="2173" w:type="dxa"/>
                  <w:vAlign w:val="center"/>
                </w:tcPr>
                <w:p>
                  <w:pPr>
                    <w:pStyle w:val="70"/>
                    <w:rPr>
                      <w:color w:val="000000"/>
                    </w:rPr>
                  </w:pPr>
                  <w:r>
                    <w:rPr>
                      <w:rFonts w:hint="eastAsia"/>
                      <w:color w:val="000000"/>
                    </w:rPr>
                    <w:t>草地（其他草地）</w:t>
                  </w:r>
                </w:p>
              </w:tc>
              <w:tc>
                <w:tcPr>
                  <w:tcW w:w="1875" w:type="dxa"/>
                  <w:vAlign w:val="center"/>
                </w:tcPr>
                <w:p>
                  <w:pPr>
                    <w:pStyle w:val="70"/>
                    <w:rPr>
                      <w:color w:val="000000"/>
                    </w:rPr>
                  </w:pPr>
                  <w:r>
                    <w:rPr>
                      <w:rFonts w:hint="eastAsia"/>
                    </w:rPr>
                    <w:t>8312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11" w:type="dxa"/>
                  <w:vAlign w:val="center"/>
                </w:tcPr>
                <w:p>
                  <w:pPr>
                    <w:pStyle w:val="70"/>
                    <w:rPr>
                      <w:color w:val="000000"/>
                    </w:rPr>
                  </w:pPr>
                  <w:r>
                    <w:rPr>
                      <w:rFonts w:hint="eastAsia"/>
                      <w:color w:val="000000"/>
                    </w:rPr>
                    <w:t>小计</w:t>
                  </w:r>
                </w:p>
              </w:tc>
              <w:tc>
                <w:tcPr>
                  <w:tcW w:w="1210" w:type="dxa"/>
                  <w:vAlign w:val="center"/>
                </w:tcPr>
                <w:p>
                  <w:pPr>
                    <w:pStyle w:val="70"/>
                    <w:rPr>
                      <w:color w:val="000000"/>
                    </w:rPr>
                  </w:pPr>
                  <w:r>
                    <w:rPr>
                      <w:rFonts w:hint="eastAsia"/>
                    </w:rPr>
                    <w:t>11092</w:t>
                  </w:r>
                </w:p>
              </w:tc>
              <w:tc>
                <w:tcPr>
                  <w:tcW w:w="1210" w:type="dxa"/>
                  <w:vAlign w:val="center"/>
                </w:tcPr>
                <w:p>
                  <w:pPr>
                    <w:pStyle w:val="70"/>
                    <w:rPr>
                      <w:color w:val="000000"/>
                    </w:rPr>
                  </w:pPr>
                  <w:r>
                    <w:rPr>
                      <w:rFonts w:hint="eastAsia"/>
                      <w:color w:val="000000"/>
                    </w:rPr>
                    <w:t>0</w:t>
                  </w:r>
                </w:p>
              </w:tc>
              <w:tc>
                <w:tcPr>
                  <w:tcW w:w="2173" w:type="dxa"/>
                  <w:vAlign w:val="center"/>
                </w:tcPr>
                <w:p>
                  <w:pPr>
                    <w:pStyle w:val="70"/>
                    <w:rPr>
                      <w:color w:val="000000"/>
                    </w:rPr>
                  </w:pPr>
                  <w:r>
                    <w:rPr>
                      <w:rFonts w:hint="eastAsia"/>
                      <w:color w:val="000000"/>
                    </w:rPr>
                    <w:t>/</w:t>
                  </w:r>
                </w:p>
              </w:tc>
              <w:tc>
                <w:tcPr>
                  <w:tcW w:w="1875" w:type="dxa"/>
                  <w:vAlign w:val="center"/>
                </w:tcPr>
                <w:p>
                  <w:pPr>
                    <w:pStyle w:val="70"/>
                    <w:rPr>
                      <w:color w:val="000000"/>
                    </w:rPr>
                  </w:pPr>
                  <w:r>
                    <w:rPr>
                      <w:rFonts w:hint="eastAsia"/>
                    </w:rPr>
                    <w:t>11092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11" w:type="dxa"/>
                  <w:vAlign w:val="center"/>
                </w:tcPr>
                <w:p>
                  <w:pPr>
                    <w:pStyle w:val="70"/>
                    <w:rPr>
                      <w:color w:val="000000"/>
                    </w:rPr>
                  </w:pPr>
                  <w:r>
                    <w:rPr>
                      <w:rFonts w:hint="eastAsia"/>
                      <w:color w:val="000000"/>
                    </w:rPr>
                    <w:t>合计</w:t>
                  </w:r>
                </w:p>
              </w:tc>
              <w:tc>
                <w:tcPr>
                  <w:tcW w:w="2420" w:type="dxa"/>
                  <w:gridSpan w:val="2"/>
                  <w:vAlign w:val="center"/>
                </w:tcPr>
                <w:p>
                  <w:pPr>
                    <w:pStyle w:val="70"/>
                    <w:rPr>
                      <w:color w:val="000000"/>
                    </w:rPr>
                  </w:pPr>
                  <w:r>
                    <w:rPr>
                      <w:rFonts w:hint="eastAsia"/>
                    </w:rPr>
                    <w:t>11092</w:t>
                  </w:r>
                </w:p>
              </w:tc>
              <w:tc>
                <w:tcPr>
                  <w:tcW w:w="4048" w:type="dxa"/>
                  <w:gridSpan w:val="2"/>
                  <w:vAlign w:val="center"/>
                </w:tcPr>
                <w:p>
                  <w:pPr>
                    <w:pStyle w:val="70"/>
                    <w:rPr>
                      <w:color w:val="000000"/>
                    </w:rPr>
                  </w:pPr>
                  <w:r>
                    <w:rPr>
                      <w:rFonts w:hint="eastAsia"/>
                    </w:rPr>
                    <w:t>11092</w:t>
                  </w:r>
                </w:p>
              </w:tc>
            </w:tr>
          </w:tbl>
          <w:p>
            <w:pPr>
              <w:rPr>
                <w:color w:val="000000"/>
              </w:rPr>
            </w:pPr>
          </w:p>
          <w:p>
            <w:pPr>
              <w:pStyle w:val="110"/>
              <w:rPr>
                <w:color w:val="000000"/>
                <w:kern w:val="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81" w:type="dxa"/>
            <w:vAlign w:val="center"/>
          </w:tcPr>
          <w:p>
            <w:pPr>
              <w:adjustRightInd w:val="0"/>
              <w:snapToGrid w:val="0"/>
              <w:jc w:val="center"/>
              <w:rPr>
                <w:rFonts w:ascii="宋体" w:hAnsi="宋体" w:cs="宋体"/>
                <w:color w:val="000000"/>
                <w:kern w:val="0"/>
                <w:szCs w:val="21"/>
              </w:rPr>
            </w:pPr>
            <w:r>
              <w:rPr>
                <w:rFonts w:hint="eastAsia" w:ascii="宋体" w:hAnsi="宋体" w:cs="宋体"/>
                <w:color w:val="000000"/>
                <w:kern w:val="0"/>
                <w:szCs w:val="21"/>
              </w:rPr>
              <w:t>施工方案</w:t>
            </w:r>
          </w:p>
        </w:tc>
        <w:tc>
          <w:tcPr>
            <w:tcW w:w="7905" w:type="dxa"/>
            <w:vAlign w:val="center"/>
          </w:tcPr>
          <w:p>
            <w:pPr>
              <w:pStyle w:val="110"/>
              <w:rPr>
                <w:color w:val="000000"/>
              </w:rPr>
            </w:pPr>
            <w:r>
              <w:rPr>
                <w:rFonts w:hint="eastAsia"/>
                <w:color w:val="000000"/>
              </w:rPr>
              <w:t>本项目生产作业流程如下：</w:t>
            </w:r>
          </w:p>
          <w:p>
            <w:pPr>
              <w:pStyle w:val="110"/>
              <w:rPr>
                <w:color w:val="000000"/>
              </w:rPr>
            </w:pPr>
            <w:r>
              <w:rPr>
                <w:rFonts w:hint="eastAsia"/>
                <w:color w:val="000000"/>
              </w:rPr>
              <w:t>1、作业流程</w:t>
            </w:r>
          </w:p>
          <w:p>
            <w:pPr>
              <w:pStyle w:val="110"/>
              <w:rPr>
                <w:color w:val="000000"/>
              </w:rPr>
            </w:pPr>
            <w:r>
              <w:rPr>
                <w:rFonts w:hint="eastAsia"/>
                <w:color w:val="000000"/>
              </w:rPr>
              <w:t>钻井作业包括钻前工程、钻进和完井三部分。</w:t>
            </w:r>
          </w:p>
          <w:p>
            <w:pPr>
              <w:pStyle w:val="110"/>
              <w:rPr>
                <w:color w:val="000000"/>
              </w:rPr>
            </w:pPr>
            <w:r>
              <w:rPr>
                <w:rFonts w:hint="eastAsia"/>
                <w:color w:val="000000"/>
              </w:rPr>
              <w:t>钻前工程主要是为钻井作业开展的前期准备工作，包括修建进井简易道路、修筑井台、设备进场等。总占地面积为</w:t>
            </w:r>
            <w:r>
              <w:rPr>
                <w:rFonts w:hint="eastAsia"/>
              </w:rPr>
              <w:t>11092</w:t>
            </w:r>
            <w:r>
              <w:rPr>
                <w:rFonts w:hint="eastAsia"/>
                <w:color w:val="000000"/>
              </w:rPr>
              <w:t>m</w:t>
            </w:r>
            <w:r>
              <w:rPr>
                <w:rFonts w:hint="eastAsia"/>
                <w:color w:val="000000"/>
                <w:vertAlign w:val="superscript"/>
              </w:rPr>
              <w:t>2</w:t>
            </w:r>
            <w:r>
              <w:rPr>
                <w:rFonts w:hint="eastAsia"/>
                <w:color w:val="000000"/>
              </w:rPr>
              <w:t>，均为临时占地。</w:t>
            </w:r>
          </w:p>
          <w:p>
            <w:pPr>
              <w:pStyle w:val="110"/>
              <w:rPr>
                <w:color w:val="000000"/>
              </w:rPr>
            </w:pPr>
            <w:r>
              <w:rPr>
                <w:rFonts w:hint="eastAsia"/>
                <w:color w:val="000000"/>
              </w:rPr>
              <w:t>钻进是采用旋转的钻头给所钻的地层一定的压力，使钻头的牙齿嵌入地层，然后旋转钻头，利用旋转钻头的扭矩来切削地层，并用循环的钻井泥浆将钻屑带出井眼，以保证持续钻进。</w:t>
            </w:r>
          </w:p>
          <w:p>
            <w:pPr>
              <w:pStyle w:val="110"/>
              <w:rPr>
                <w:color w:val="000000"/>
              </w:rPr>
            </w:pPr>
            <w:r>
              <w:rPr>
                <w:rFonts w:hint="eastAsia"/>
                <w:color w:val="000000"/>
              </w:rPr>
              <w:t>钻完井是钻井作业的最后环节，即根据油气层的地质特性和开发开采的技术要求，在井底建立油气层与油气井井筒之间的合理连通渠道或连通方式。</w:t>
            </w:r>
          </w:p>
          <w:p>
            <w:pPr>
              <w:pStyle w:val="110"/>
              <w:rPr>
                <w:color w:val="000000"/>
              </w:rPr>
            </w:pPr>
          </w:p>
          <w:p>
            <w:pPr>
              <w:pStyle w:val="12"/>
              <w:spacing w:before="120"/>
              <w:rPr>
                <w:color w:val="000000"/>
                <w:szCs w:val="24"/>
              </w:rPr>
            </w:pPr>
            <w:r>
              <w:rPr>
                <w:color w:val="000000"/>
                <w:szCs w:val="24"/>
              </w:rPr>
              <w:drawing>
                <wp:inline distT="0" distB="0" distL="0" distR="0">
                  <wp:extent cx="4882515" cy="2988945"/>
                  <wp:effectExtent l="0" t="0" r="0" b="190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82515" cy="2988945"/>
                          </a:xfrm>
                          <a:prstGeom prst="rect">
                            <a:avLst/>
                          </a:prstGeom>
                        </pic:spPr>
                      </pic:pic>
                    </a:graphicData>
                  </a:graphic>
                </wp:inline>
              </w:drawing>
            </w:r>
          </w:p>
          <w:p>
            <w:pPr>
              <w:pStyle w:val="12"/>
              <w:spacing w:before="120"/>
              <w:rPr>
                <w:color w:val="000000"/>
                <w:szCs w:val="21"/>
              </w:rPr>
            </w:pPr>
            <w:r>
              <w:rPr>
                <w:rFonts w:hint="eastAsia"/>
                <w:color w:val="000000"/>
              </w:rPr>
              <w:t xml:space="preserve">图 </w:t>
            </w:r>
            <w:r>
              <w:rPr>
                <w:color w:val="000000"/>
              </w:rPr>
              <w:t xml:space="preserve">2  </w:t>
            </w:r>
            <w:r>
              <w:rPr>
                <w:rFonts w:hint="eastAsia"/>
                <w:color w:val="000000"/>
                <w:szCs w:val="21"/>
              </w:rPr>
              <w:t>作业流程</w:t>
            </w:r>
            <w:r>
              <w:rPr>
                <w:color w:val="000000"/>
                <w:szCs w:val="21"/>
              </w:rPr>
              <w:t>及产污节点图</w:t>
            </w:r>
          </w:p>
          <w:p>
            <w:pPr>
              <w:pStyle w:val="110"/>
              <w:rPr>
                <w:color w:val="000000"/>
              </w:rPr>
            </w:pPr>
          </w:p>
          <w:p>
            <w:pPr>
              <w:pStyle w:val="110"/>
              <w:rPr>
                <w:color w:val="000000"/>
              </w:rPr>
            </w:pPr>
            <w:r>
              <w:rPr>
                <w:color w:val="000000"/>
              </w:rPr>
              <w:t>2</w:t>
            </w:r>
            <w:r>
              <w:rPr>
                <w:rFonts w:hint="eastAsia"/>
                <w:color w:val="000000"/>
              </w:rPr>
              <w:t>、劳动定员和工作制度</w:t>
            </w:r>
          </w:p>
          <w:p>
            <w:pPr>
              <w:pStyle w:val="110"/>
              <w:rPr>
                <w:color w:val="000000"/>
              </w:rPr>
            </w:pPr>
            <w:r>
              <w:rPr>
                <w:rFonts w:hint="eastAsia"/>
                <w:color w:val="000000"/>
              </w:rPr>
              <w:t>1）劳动定员</w:t>
            </w:r>
          </w:p>
          <w:p>
            <w:pPr>
              <w:pStyle w:val="110"/>
              <w:rPr>
                <w:color w:val="000000"/>
              </w:rPr>
            </w:pPr>
            <w:r>
              <w:rPr>
                <w:rFonts w:hint="eastAsia"/>
                <w:color w:val="000000"/>
              </w:rPr>
              <w:t>钻井期，钻井队劳动定员</w:t>
            </w:r>
            <w:r>
              <w:rPr>
                <w:rFonts w:hint="eastAsia"/>
              </w:rPr>
              <w:t>24</w:t>
            </w:r>
            <w:r>
              <w:rPr>
                <w:rFonts w:hint="eastAsia"/>
                <w:color w:val="000000"/>
              </w:rPr>
              <w:t>人。</w:t>
            </w:r>
          </w:p>
          <w:p>
            <w:pPr>
              <w:pStyle w:val="110"/>
              <w:rPr>
                <w:color w:val="000000"/>
              </w:rPr>
            </w:pPr>
            <w:r>
              <w:rPr>
                <w:rFonts w:hint="eastAsia"/>
                <w:color w:val="000000"/>
              </w:rPr>
              <w:t>2）工作制度</w:t>
            </w:r>
          </w:p>
          <w:p>
            <w:pPr>
              <w:pStyle w:val="110"/>
              <w:rPr>
                <w:color w:val="000000"/>
                <w:kern w:val="0"/>
              </w:rPr>
            </w:pPr>
            <w:r>
              <w:rPr>
                <w:rFonts w:hint="eastAsia"/>
                <w:color w:val="000000"/>
              </w:rPr>
              <w:t>本项目钻井期按三班二倒制考虑，工作周期</w:t>
            </w:r>
            <w:r>
              <w:rPr>
                <w:rFonts w:hint="eastAsia"/>
              </w:rPr>
              <w:t>50</w:t>
            </w:r>
            <w:r>
              <w:rPr>
                <w:rFonts w:hint="eastAsia"/>
                <w:color w:val="000000"/>
              </w:rPr>
              <w:t>d。</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978" w:hRule="atLeast"/>
          <w:jc w:val="center"/>
        </w:trPr>
        <w:tc>
          <w:tcPr>
            <w:tcW w:w="381" w:type="dxa"/>
            <w:vAlign w:val="center"/>
          </w:tcPr>
          <w:p>
            <w:pPr>
              <w:adjustRightInd w:val="0"/>
              <w:snapToGrid w:val="0"/>
              <w:jc w:val="center"/>
              <w:rPr>
                <w:rFonts w:ascii="宋体" w:hAnsi="宋体" w:cs="宋体"/>
                <w:color w:val="000000"/>
                <w:kern w:val="0"/>
                <w:szCs w:val="21"/>
              </w:rPr>
            </w:pPr>
            <w:r>
              <w:rPr>
                <w:rFonts w:hint="eastAsia" w:ascii="宋体" w:hAnsi="宋体" w:cs="宋体"/>
                <w:color w:val="000000"/>
                <w:kern w:val="0"/>
                <w:szCs w:val="21"/>
              </w:rPr>
              <w:t>其他</w:t>
            </w:r>
          </w:p>
        </w:tc>
        <w:tc>
          <w:tcPr>
            <w:tcW w:w="7905" w:type="dxa"/>
            <w:vAlign w:val="center"/>
          </w:tcPr>
          <w:p>
            <w:pPr>
              <w:pStyle w:val="101"/>
              <w:ind w:firstLine="0" w:firstLineChars="0"/>
              <w:jc w:val="center"/>
              <w:rPr>
                <w:color w:val="000000"/>
              </w:rPr>
            </w:pPr>
            <w:r>
              <w:rPr>
                <w:rFonts w:hint="eastAsia"/>
                <w:color w:val="000000"/>
              </w:rPr>
              <w:t>无</w:t>
            </w:r>
          </w:p>
        </w:tc>
      </w:tr>
    </w:tbl>
    <w:p>
      <w:pPr>
        <w:pStyle w:val="26"/>
        <w:adjustRightInd w:val="0"/>
        <w:snapToGrid w:val="0"/>
        <w:spacing w:before="0" w:beforeAutospacing="0" w:after="0" w:afterAutospacing="0"/>
        <w:jc w:val="center"/>
        <w:outlineLvl w:val="0"/>
        <w:rPr>
          <w:rFonts w:ascii="黑体" w:hAnsi="黑体" w:eastAsia="黑体"/>
          <w:snapToGrid w:val="0"/>
          <w:color w:val="000000"/>
          <w:sz w:val="30"/>
          <w:szCs w:val="30"/>
        </w:rPr>
      </w:pPr>
      <w:r>
        <w:rPr>
          <w:rFonts w:eastAsia="仿宋_GB2312"/>
          <w:b/>
          <w:bCs/>
          <w:color w:val="000000"/>
        </w:rPr>
        <w:br w:type="page"/>
      </w:r>
      <w:bookmarkStart w:id="15" w:name="_Toc110934646"/>
      <w:r>
        <w:rPr>
          <w:rFonts w:hint="eastAsia" w:ascii="黑体" w:hAnsi="黑体" w:eastAsia="黑体"/>
          <w:snapToGrid w:val="0"/>
          <w:color w:val="000000"/>
          <w:sz w:val="30"/>
          <w:szCs w:val="30"/>
        </w:rPr>
        <w:t>三、生态环境现状、保护目标及评价标准</w:t>
      </w:r>
      <w:bookmarkEnd w:id="15"/>
    </w:p>
    <w:tbl>
      <w:tblPr>
        <w:tblStyle w:val="29"/>
        <w:tblW w:w="8286"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33"/>
        <w:gridCol w:w="735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493" w:hRule="atLeast"/>
          <w:jc w:val="center"/>
        </w:trPr>
        <w:tc>
          <w:tcPr>
            <w:tcW w:w="933" w:type="dxa"/>
            <w:vAlign w:val="center"/>
          </w:tcPr>
          <w:p>
            <w:pPr>
              <w:adjustRightInd w:val="0"/>
              <w:snapToGrid w:val="0"/>
              <w:jc w:val="center"/>
              <w:rPr>
                <w:rFonts w:ascii="宋体" w:hAnsi="宋体" w:cs="宋体"/>
                <w:color w:val="000000"/>
                <w:kern w:val="0"/>
                <w:szCs w:val="21"/>
              </w:rPr>
            </w:pPr>
            <w:r>
              <w:rPr>
                <w:rFonts w:hint="eastAsia" w:ascii="宋体" w:hAnsi="宋体" w:cs="宋体"/>
                <w:color w:val="000000"/>
                <w:kern w:val="0"/>
                <w:szCs w:val="21"/>
              </w:rPr>
              <w:t>生态环境现状</w:t>
            </w:r>
          </w:p>
        </w:tc>
        <w:tc>
          <w:tcPr>
            <w:tcW w:w="7353" w:type="dxa"/>
            <w:vAlign w:val="center"/>
          </w:tcPr>
          <w:p>
            <w:pPr>
              <w:pStyle w:val="110"/>
              <w:rPr>
                <w:color w:val="000000"/>
              </w:rPr>
            </w:pPr>
            <w:r>
              <w:rPr>
                <w:color w:val="000000"/>
              </w:rPr>
              <w:t>1</w:t>
            </w:r>
            <w:r>
              <w:rPr>
                <w:rFonts w:hint="eastAsia"/>
                <w:color w:val="000000"/>
              </w:rPr>
              <w:t>、生态环境质量现状</w:t>
            </w:r>
          </w:p>
          <w:p>
            <w:pPr>
              <w:pStyle w:val="110"/>
              <w:rPr>
                <w:color w:val="000000"/>
              </w:rPr>
            </w:pPr>
            <w:r>
              <w:rPr>
                <w:rFonts w:hint="eastAsia"/>
                <w:color w:val="000000"/>
              </w:rPr>
              <w:t>1）主体功能区划</w:t>
            </w:r>
          </w:p>
          <w:p>
            <w:pPr>
              <w:pStyle w:val="110"/>
              <w:rPr>
                <w:color w:val="000000"/>
              </w:rPr>
            </w:pPr>
            <w:r>
              <w:rPr>
                <w:rFonts w:hint="eastAsia"/>
                <w:color w:val="000000"/>
              </w:rPr>
              <w:t>根据《新疆维吾尔自治区主体功能区规划》</w:t>
            </w:r>
            <w:r>
              <w:rPr>
                <w:color w:val="000000"/>
              </w:rPr>
              <w:t>（2016年10月24日）</w:t>
            </w:r>
            <w:r>
              <w:rPr>
                <w:rFonts w:hint="eastAsia"/>
                <w:color w:val="000000"/>
              </w:rPr>
              <w:t>，将新疆分为以下主体功能区：按开发方式，分为优化开发区域、重点开发区域、限制开发区域和禁止开发区域四类；按开发内容，分为城市化地区、农产品主产区和重点生态功能区三类；按层级，分为国家和省级两个层面。</w:t>
            </w:r>
          </w:p>
          <w:p>
            <w:pPr>
              <w:pStyle w:val="110"/>
              <w:rPr>
                <w:color w:val="000000"/>
              </w:rPr>
            </w:pPr>
            <w:r>
              <w:rPr>
                <w:rFonts w:hint="eastAsia"/>
                <w:color w:val="000000"/>
              </w:rPr>
              <w:t>本项目建设地点位于</w:t>
            </w:r>
            <w:r>
              <w:rPr>
                <w:rFonts w:hint="eastAsia"/>
              </w:rPr>
              <w:t>新疆维吾尔自治区昌吉回族自治州阜康市、吉木萨尔县</w:t>
            </w:r>
            <w:r>
              <w:rPr>
                <w:rFonts w:hint="eastAsia"/>
                <w:color w:val="000000"/>
              </w:rPr>
              <w:t>，大龙口-浅1（位于阜康市）属于新疆国家级重点开发区（天山北坡地区），大龙口-浅2、大龙口</w:t>
            </w:r>
            <w:r>
              <w:rPr>
                <w:color w:val="000000"/>
              </w:rPr>
              <w:t>-浅</w:t>
            </w:r>
            <w:r>
              <w:rPr>
                <w:rFonts w:hint="eastAsia"/>
                <w:color w:val="000000"/>
              </w:rPr>
              <w:t>3（位于吉木萨尔县）属于</w:t>
            </w:r>
            <w:r>
              <w:rPr>
                <w:color w:val="000000"/>
              </w:rPr>
              <w:t>新疆国家级农产品主产区</w:t>
            </w:r>
            <w:r>
              <w:rPr>
                <w:rFonts w:hint="eastAsia"/>
                <w:color w:val="000000"/>
              </w:rPr>
              <w:t>（</w:t>
            </w:r>
            <w:r>
              <w:rPr>
                <w:color w:val="000000"/>
              </w:rPr>
              <w:t>天山</w:t>
            </w:r>
            <w:r>
              <w:rPr>
                <w:rFonts w:hint="eastAsia"/>
                <w:color w:val="000000"/>
              </w:rPr>
              <w:t>北</w:t>
            </w:r>
            <w:r>
              <w:rPr>
                <w:color w:val="000000"/>
              </w:rPr>
              <w:t>坡主产区</w:t>
            </w:r>
            <w:r>
              <w:rPr>
                <w:rFonts w:hint="eastAsia"/>
                <w:color w:val="000000"/>
              </w:rPr>
              <w:t>）；新疆国家级重点开发区（天山北坡地区）是《全国主体功能区规划》确定的国家层面重点开发区域。该区域位于全国“两横三纵”城市化战略格局中陆桥通道的西端，涉及23个县市；</w:t>
            </w:r>
            <w:r>
              <w:rPr>
                <w:color w:val="000000"/>
              </w:rPr>
              <w:t>新疆国家级农产品主产区</w:t>
            </w:r>
            <w:r>
              <w:rPr>
                <w:rFonts w:hint="eastAsia"/>
                <w:color w:val="000000"/>
              </w:rPr>
              <w:t>（</w:t>
            </w:r>
            <w:r>
              <w:rPr>
                <w:color w:val="000000"/>
              </w:rPr>
              <w:t>天山</w:t>
            </w:r>
            <w:r>
              <w:rPr>
                <w:rFonts w:hint="eastAsia"/>
                <w:color w:val="000000"/>
              </w:rPr>
              <w:t>北</w:t>
            </w:r>
            <w:r>
              <w:rPr>
                <w:color w:val="000000"/>
              </w:rPr>
              <w:t>坡主产区</w:t>
            </w:r>
            <w:r>
              <w:rPr>
                <w:rFonts w:hint="eastAsia"/>
                <w:color w:val="000000"/>
              </w:rPr>
              <w:t>）</w:t>
            </w:r>
            <w:r>
              <w:rPr>
                <w:color w:val="000000"/>
              </w:rPr>
              <w:t>涉及13个县市，这些农产品主产区县市的城区或城关镇及其境内的重要工业园区是国家级重点开发区域，但这些县市以享受国家农产品主产区的政策为主</w:t>
            </w:r>
            <w:r>
              <w:rPr>
                <w:rFonts w:hint="eastAsia"/>
                <w:color w:val="000000"/>
              </w:rPr>
              <w:t>。</w:t>
            </w:r>
          </w:p>
          <w:p>
            <w:pPr>
              <w:pStyle w:val="110"/>
              <w:rPr>
                <w:color w:val="000000"/>
              </w:rPr>
            </w:pPr>
            <w:r>
              <w:rPr>
                <w:rFonts w:hint="eastAsia"/>
                <w:color w:val="000000"/>
              </w:rPr>
              <w:t>重点开发区域的功能定位是：支撑新疆经济增长的重要增长极，落实区域发展总体战略、促进区域协调发展的重要支撑点，新疆重要的人口和经济密集区。</w:t>
            </w:r>
          </w:p>
          <w:p>
            <w:pPr>
              <w:pStyle w:val="110"/>
              <w:rPr>
                <w:color w:val="000000"/>
              </w:rPr>
            </w:pPr>
            <w:r>
              <w:rPr>
                <w:color w:val="000000"/>
              </w:rPr>
              <w:t>新疆农产品主产区的功能定位是：保障农牧产品供给安全的重要区域，农牧民安居乐业的美好家园，社会主义新农村建设的示范区</w:t>
            </w:r>
            <w:r>
              <w:rPr>
                <w:rFonts w:hint="eastAsia"/>
                <w:color w:val="000000"/>
              </w:rPr>
              <w:t>；</w:t>
            </w:r>
            <w:r>
              <w:rPr>
                <w:color w:val="000000"/>
              </w:rPr>
              <w:t>农产品主产区发展方向和开发原则</w:t>
            </w:r>
            <w:r>
              <w:rPr>
                <w:rFonts w:hint="eastAsia"/>
                <w:color w:val="000000"/>
              </w:rPr>
              <w:t>还包括：</w:t>
            </w:r>
            <w:r>
              <w:rPr>
                <w:color w:val="000000"/>
              </w:rPr>
              <w:t>位于农产品主产区的点状能源和矿产资源基地建设，必须进行生态环境影响评估，并尽可能减少对生态空间与农业空间的占用，同步修复生态环境。其中，在水资源严重短缺、环境容量很小、生态十分脆弱、地震和地质灾害频发的地区，要严格控制能源和矿产资源开发</w:t>
            </w:r>
            <w:r>
              <w:rPr>
                <w:rFonts w:hint="eastAsia"/>
                <w:color w:val="000000"/>
              </w:rPr>
              <w:t>。</w:t>
            </w:r>
          </w:p>
          <w:p>
            <w:pPr>
              <w:pStyle w:val="110"/>
              <w:rPr>
                <w:color w:val="000000"/>
              </w:rPr>
            </w:pPr>
            <w:r>
              <w:rPr>
                <w:rFonts w:hint="eastAsia"/>
                <w:color w:val="000000"/>
              </w:rPr>
              <w:t>本项目为油气资源勘探项目，项目的建设有利于提高油气资源的安全供应能力和开发利用水平，支撑地区经济，因此本项目符合自治区对该区域的功能定位要求。</w:t>
            </w:r>
          </w:p>
          <w:p>
            <w:pPr>
              <w:pStyle w:val="110"/>
              <w:rPr>
                <w:color w:val="000000"/>
              </w:rPr>
            </w:pPr>
            <w:r>
              <w:rPr>
                <w:color w:val="000000"/>
              </w:rPr>
              <w:t>2</w:t>
            </w:r>
            <w:r>
              <w:rPr>
                <w:rFonts w:hint="eastAsia"/>
                <w:color w:val="000000"/>
              </w:rPr>
              <w:t>）生态功能区划</w:t>
            </w:r>
          </w:p>
          <w:p>
            <w:pPr>
              <w:pStyle w:val="110"/>
              <w:rPr>
                <w:color w:val="000000"/>
              </w:rPr>
            </w:pPr>
            <w:r>
              <w:rPr>
                <w:rFonts w:hint="eastAsia"/>
                <w:color w:val="000000"/>
              </w:rPr>
              <w:t>本项目位于</w:t>
            </w:r>
            <w:r>
              <w:rPr>
                <w:rFonts w:hint="eastAsia"/>
              </w:rPr>
              <w:t>新疆维吾尔自治区昌吉回族自治州阜康市、吉木萨尔县</w:t>
            </w:r>
            <w:r>
              <w:rPr>
                <w:rFonts w:hint="eastAsia"/>
                <w:color w:val="000000"/>
              </w:rPr>
              <w:t>。</w:t>
            </w:r>
            <w:r>
              <w:rPr>
                <w:rFonts w:hint="eastAsia"/>
                <w:snapToGrid w:val="0"/>
                <w:color w:val="000000"/>
              </w:rPr>
              <w:t>根据《新疆生态功能区划》</w:t>
            </w:r>
            <w:r>
              <w:rPr>
                <w:color w:val="000000"/>
              </w:rPr>
              <w:t>（2005年12月21日）</w:t>
            </w:r>
            <w:r>
              <w:rPr>
                <w:rFonts w:hint="eastAsia"/>
                <w:snapToGrid w:val="0"/>
                <w:color w:val="000000"/>
              </w:rPr>
              <w:t>，本项目生态区属于Ⅱ准噶尔盆地温性荒漠与绿洲农业生态区，生态亚区属于Ⅱ</w:t>
            </w:r>
            <w:r>
              <w:rPr>
                <w:snapToGrid w:val="0"/>
                <w:color w:val="000000"/>
                <w:vertAlign w:val="subscript"/>
              </w:rPr>
              <w:t>5</w:t>
            </w:r>
            <w:r>
              <w:rPr>
                <w:rFonts w:hint="eastAsia"/>
                <w:snapToGrid w:val="0"/>
                <w:color w:val="000000"/>
              </w:rPr>
              <w:t>准噶尔盆地南部荒漠绿洲农业生态亚区，生态功能区属于阜康-木垒绿洲农业、荒漠草地保护生态功能区，主要生态服务功能为农牧业产品生产、人居环境、荒漠化控制，主要生态环境问题为地下水超采、荒漠植被退化、沙漠化威胁、局部土壤盐渍化、河流萎缩、滥开荒地，生态敏感性为生物多样性及其生境中度敏感，土壤侵蚀轻度敏感，土地沙漠化中度敏感，土壤盐渍化轻度敏感</w:t>
            </w:r>
            <w:r>
              <w:rPr>
                <w:rFonts w:hint="eastAsia"/>
                <w:color w:val="000000"/>
              </w:rPr>
              <w:t xml:space="preserve">，详见表 </w:t>
            </w:r>
            <w:r>
              <w:rPr>
                <w:color w:val="000000"/>
              </w:rPr>
              <w:t>12</w:t>
            </w:r>
            <w:r>
              <w:rPr>
                <w:rFonts w:hint="eastAsia"/>
                <w:color w:val="000000"/>
              </w:rPr>
              <w:t>。</w:t>
            </w:r>
          </w:p>
          <w:p>
            <w:pPr>
              <w:pStyle w:val="12"/>
              <w:spacing w:before="120"/>
              <w:rPr>
                <w:color w:val="000000"/>
                <w:szCs w:val="21"/>
              </w:rPr>
            </w:pPr>
            <w:bookmarkStart w:id="16" w:name="_Ref38546635"/>
            <w:r>
              <w:rPr>
                <w:rFonts w:hint="eastAsia"/>
                <w:color w:val="000000"/>
              </w:rPr>
              <w:t xml:space="preserve">表 </w:t>
            </w:r>
            <w:r>
              <w:rPr>
                <w:color w:val="000000"/>
              </w:rPr>
              <w:t>12</w:t>
            </w:r>
            <w:bookmarkEnd w:id="16"/>
            <w:r>
              <w:rPr>
                <w:color w:val="000000"/>
              </w:rPr>
              <w:t xml:space="preserve">  </w:t>
            </w:r>
            <w:r>
              <w:rPr>
                <w:rFonts w:hint="eastAsia"/>
                <w:color w:val="000000"/>
                <w:szCs w:val="21"/>
              </w:rPr>
              <w:t>生态功能区划简表</w:t>
            </w:r>
          </w:p>
          <w:tbl>
            <w:tblPr>
              <w:tblStyle w:val="29"/>
              <w:tblW w:w="71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3"/>
              <w:gridCol w:w="51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963" w:type="dxa"/>
                  <w:shd w:val="clear" w:color="auto" w:fill="auto"/>
                  <w:vAlign w:val="center"/>
                </w:tcPr>
                <w:p>
                  <w:pPr>
                    <w:pStyle w:val="115"/>
                    <w:rPr>
                      <w:color w:val="000000"/>
                    </w:rPr>
                  </w:pPr>
                  <w:r>
                    <w:rPr>
                      <w:rFonts w:hint="eastAsia"/>
                      <w:color w:val="000000"/>
                    </w:rPr>
                    <w:t>生态区</w:t>
                  </w:r>
                </w:p>
              </w:tc>
              <w:tc>
                <w:tcPr>
                  <w:tcW w:w="5164" w:type="dxa"/>
                  <w:shd w:val="clear" w:color="auto" w:fill="auto"/>
                  <w:vAlign w:val="center"/>
                </w:tcPr>
                <w:p>
                  <w:pPr>
                    <w:pStyle w:val="115"/>
                    <w:rPr>
                      <w:color w:val="000000"/>
                    </w:rPr>
                  </w:pPr>
                  <w:r>
                    <w:rPr>
                      <w:rFonts w:hint="eastAsia"/>
                      <w:color w:val="000000"/>
                    </w:rPr>
                    <w:t>Ⅱ 准噶尔盆地温性荒漠与绿洲农业生态区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963" w:type="dxa"/>
                  <w:shd w:val="clear" w:color="auto" w:fill="auto"/>
                  <w:vAlign w:val="center"/>
                </w:tcPr>
                <w:p>
                  <w:pPr>
                    <w:pStyle w:val="115"/>
                    <w:rPr>
                      <w:color w:val="000000"/>
                    </w:rPr>
                  </w:pPr>
                  <w:r>
                    <w:rPr>
                      <w:rFonts w:hint="eastAsia"/>
                      <w:color w:val="000000"/>
                    </w:rPr>
                    <w:t>生态亚区</w:t>
                  </w:r>
                </w:p>
              </w:tc>
              <w:tc>
                <w:tcPr>
                  <w:tcW w:w="5164" w:type="dxa"/>
                  <w:shd w:val="clear" w:color="auto" w:fill="auto"/>
                  <w:vAlign w:val="center"/>
                </w:tcPr>
                <w:p>
                  <w:pPr>
                    <w:pStyle w:val="115"/>
                    <w:rPr>
                      <w:color w:val="000000"/>
                    </w:rPr>
                  </w:pPr>
                  <w:r>
                    <w:rPr>
                      <w:rFonts w:hint="eastAsia"/>
                      <w:color w:val="000000"/>
                    </w:rPr>
                    <w:t>Ⅱ</w:t>
                  </w:r>
                  <w:r>
                    <w:rPr>
                      <w:rFonts w:hint="eastAsia"/>
                      <w:color w:val="000000"/>
                      <w:vertAlign w:val="subscript"/>
                    </w:rPr>
                    <w:t>5</w:t>
                  </w:r>
                  <w:r>
                    <w:rPr>
                      <w:rFonts w:hint="eastAsia"/>
                      <w:color w:val="000000"/>
                    </w:rPr>
                    <w:t xml:space="preserve"> 准噶尔盆地南部荒漠绿洲农业生态亚区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963" w:type="dxa"/>
                  <w:shd w:val="clear" w:color="auto" w:fill="auto"/>
                  <w:vAlign w:val="center"/>
                </w:tcPr>
                <w:p>
                  <w:pPr>
                    <w:pStyle w:val="115"/>
                    <w:rPr>
                      <w:color w:val="000000"/>
                    </w:rPr>
                  </w:pPr>
                  <w:r>
                    <w:rPr>
                      <w:rFonts w:hint="eastAsia"/>
                      <w:color w:val="000000"/>
                    </w:rPr>
                    <w:t>生态功能区</w:t>
                  </w:r>
                </w:p>
              </w:tc>
              <w:tc>
                <w:tcPr>
                  <w:tcW w:w="5164" w:type="dxa"/>
                  <w:shd w:val="clear" w:color="auto" w:fill="auto"/>
                  <w:vAlign w:val="center"/>
                </w:tcPr>
                <w:p>
                  <w:pPr>
                    <w:pStyle w:val="115"/>
                    <w:rPr>
                      <w:color w:val="000000"/>
                    </w:rPr>
                  </w:pPr>
                  <w:r>
                    <w:rPr>
                      <w:rFonts w:hint="eastAsia"/>
                      <w:color w:val="000000"/>
                    </w:rPr>
                    <w:t>2</w:t>
                  </w:r>
                  <w:r>
                    <w:rPr>
                      <w:color w:val="000000"/>
                    </w:rPr>
                    <w:t>8</w:t>
                  </w:r>
                  <w:r>
                    <w:rPr>
                      <w:rFonts w:hint="eastAsia"/>
                      <w:color w:val="000000"/>
                    </w:rPr>
                    <w:t>．</w:t>
                  </w:r>
                  <w:r>
                    <w:rPr>
                      <w:rFonts w:hint="eastAsia"/>
                      <w:snapToGrid w:val="0"/>
                      <w:color w:val="000000"/>
                    </w:rPr>
                    <w:t>阜康-木垒绿洲农业、荒漠草地保护生态功能区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963" w:type="dxa"/>
                  <w:shd w:val="clear" w:color="auto" w:fill="auto"/>
                  <w:vAlign w:val="center"/>
                </w:tcPr>
                <w:p>
                  <w:pPr>
                    <w:pStyle w:val="115"/>
                    <w:rPr>
                      <w:color w:val="000000"/>
                    </w:rPr>
                  </w:pPr>
                  <w:r>
                    <w:rPr>
                      <w:rFonts w:hint="eastAsia"/>
                      <w:color w:val="000000"/>
                    </w:rPr>
                    <w:t>隶属行政区</w:t>
                  </w:r>
                </w:p>
              </w:tc>
              <w:tc>
                <w:tcPr>
                  <w:tcW w:w="5164" w:type="dxa"/>
                  <w:shd w:val="clear" w:color="auto" w:fill="auto"/>
                  <w:vAlign w:val="center"/>
                </w:tcPr>
                <w:p>
                  <w:pPr>
                    <w:pStyle w:val="115"/>
                    <w:rPr>
                      <w:color w:val="000000"/>
                    </w:rPr>
                  </w:pPr>
                  <w:r>
                    <w:rPr>
                      <w:rFonts w:hint="eastAsia"/>
                      <w:color w:val="000000"/>
                    </w:rPr>
                    <w:t>阜康市、吉木萨尔县、奇台县、木垒县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963" w:type="dxa"/>
                  <w:shd w:val="clear" w:color="auto" w:fill="auto"/>
                  <w:vAlign w:val="center"/>
                </w:tcPr>
                <w:p>
                  <w:pPr>
                    <w:pStyle w:val="115"/>
                    <w:rPr>
                      <w:color w:val="000000"/>
                    </w:rPr>
                  </w:pPr>
                  <w:r>
                    <w:rPr>
                      <w:rFonts w:hint="eastAsia"/>
                      <w:color w:val="000000"/>
                    </w:rPr>
                    <w:t>主要生态服务功能</w:t>
                  </w:r>
                </w:p>
              </w:tc>
              <w:tc>
                <w:tcPr>
                  <w:tcW w:w="5164" w:type="dxa"/>
                  <w:shd w:val="clear" w:color="auto" w:fill="auto"/>
                  <w:vAlign w:val="center"/>
                </w:tcPr>
                <w:p>
                  <w:pPr>
                    <w:pStyle w:val="115"/>
                    <w:rPr>
                      <w:color w:val="000000"/>
                    </w:rPr>
                  </w:pPr>
                  <w:r>
                    <w:rPr>
                      <w:rFonts w:hint="eastAsia"/>
                      <w:snapToGrid w:val="0"/>
                      <w:color w:val="000000"/>
                    </w:rPr>
                    <w:t>农牧业产品生产、人居环境、荒漠化控制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963" w:type="dxa"/>
                  <w:shd w:val="clear" w:color="auto" w:fill="auto"/>
                  <w:vAlign w:val="center"/>
                </w:tcPr>
                <w:p>
                  <w:pPr>
                    <w:pStyle w:val="115"/>
                    <w:rPr>
                      <w:color w:val="000000"/>
                    </w:rPr>
                  </w:pPr>
                  <w:r>
                    <w:rPr>
                      <w:rFonts w:hint="eastAsia"/>
                      <w:color w:val="000000"/>
                    </w:rPr>
                    <w:t>主要生态环境问题</w:t>
                  </w:r>
                </w:p>
              </w:tc>
              <w:tc>
                <w:tcPr>
                  <w:tcW w:w="5164" w:type="dxa"/>
                  <w:shd w:val="clear" w:color="auto" w:fill="auto"/>
                  <w:vAlign w:val="center"/>
                </w:tcPr>
                <w:p>
                  <w:pPr>
                    <w:pStyle w:val="115"/>
                    <w:rPr>
                      <w:color w:val="000000"/>
                    </w:rPr>
                  </w:pPr>
                  <w:r>
                    <w:rPr>
                      <w:rFonts w:hint="eastAsia"/>
                      <w:snapToGrid w:val="0"/>
                      <w:color w:val="000000"/>
                    </w:rPr>
                    <w:t>地下水超采、荒漠植被退化、沙漠化威胁、局部土壤盐渍化、河流萎缩、滥开荒地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963" w:type="dxa"/>
                  <w:shd w:val="clear" w:color="auto" w:fill="auto"/>
                  <w:vAlign w:val="center"/>
                </w:tcPr>
                <w:p>
                  <w:pPr>
                    <w:pStyle w:val="115"/>
                    <w:rPr>
                      <w:color w:val="000000"/>
                    </w:rPr>
                  </w:pPr>
                  <w:r>
                    <w:rPr>
                      <w:rFonts w:hint="eastAsia"/>
                      <w:color w:val="000000"/>
                    </w:rPr>
                    <w:t>生态敏感因子</w:t>
                  </w:r>
                </w:p>
              </w:tc>
              <w:tc>
                <w:tcPr>
                  <w:tcW w:w="5164" w:type="dxa"/>
                  <w:shd w:val="clear" w:color="auto" w:fill="auto"/>
                  <w:vAlign w:val="center"/>
                </w:tcPr>
                <w:p>
                  <w:pPr>
                    <w:pStyle w:val="115"/>
                    <w:rPr>
                      <w:color w:val="000000"/>
                    </w:rPr>
                  </w:pPr>
                  <w:r>
                    <w:rPr>
                      <w:rFonts w:hint="eastAsia"/>
                      <w:snapToGrid w:val="0"/>
                      <w:color w:val="000000"/>
                    </w:rPr>
                    <w:t>生物多样性及其生境中度敏感，土壤侵蚀轻度敏感，土地沙漠化中度敏感，土壤盐渍化轻度敏感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963" w:type="dxa"/>
                  <w:shd w:val="clear" w:color="auto" w:fill="auto"/>
                  <w:vAlign w:val="center"/>
                </w:tcPr>
                <w:p>
                  <w:pPr>
                    <w:pStyle w:val="115"/>
                    <w:rPr>
                      <w:color w:val="000000"/>
                    </w:rPr>
                  </w:pPr>
                  <w:r>
                    <w:rPr>
                      <w:rFonts w:hint="eastAsia"/>
                      <w:color w:val="000000"/>
                    </w:rPr>
                    <w:t>保护目标</w:t>
                  </w:r>
                </w:p>
              </w:tc>
              <w:tc>
                <w:tcPr>
                  <w:tcW w:w="5164" w:type="dxa"/>
                  <w:shd w:val="clear" w:color="auto" w:fill="auto"/>
                  <w:vAlign w:val="center"/>
                </w:tcPr>
                <w:p>
                  <w:pPr>
                    <w:pStyle w:val="115"/>
                    <w:rPr>
                      <w:color w:val="000000"/>
                    </w:rPr>
                  </w:pPr>
                  <w:r>
                    <w:rPr>
                      <w:rFonts w:hint="eastAsia"/>
                      <w:color w:val="000000"/>
                    </w:rPr>
                    <w:t>保护基本农田、保护荒漠植被、</w:t>
                  </w:r>
                  <w:r>
                    <w:rPr>
                      <w:color w:val="000000"/>
                    </w:rPr>
                    <w:t>保护土壤环境质量</w:t>
                  </w:r>
                </w:p>
              </w:tc>
            </w:tr>
          </w:tbl>
          <w:p>
            <w:pPr>
              <w:pStyle w:val="110"/>
              <w:rPr>
                <w:color w:val="000000"/>
              </w:rPr>
            </w:pPr>
          </w:p>
          <w:p>
            <w:pPr>
              <w:pStyle w:val="110"/>
              <w:rPr>
                <w:color w:val="000000"/>
              </w:rPr>
            </w:pPr>
            <w:r>
              <w:rPr>
                <w:color w:val="000000"/>
              </w:rPr>
              <w:t>3）</w:t>
            </w:r>
            <w:r>
              <w:rPr>
                <w:rFonts w:hint="eastAsia"/>
                <w:color w:val="000000"/>
              </w:rPr>
              <w:t>植被现状</w:t>
            </w:r>
          </w:p>
          <w:p>
            <w:pPr>
              <w:pStyle w:val="110"/>
              <w:rPr>
                <w:color w:val="000000"/>
              </w:rPr>
            </w:pPr>
            <w:r>
              <w:rPr>
                <w:rFonts w:hint="eastAsia"/>
                <w:color w:val="000000"/>
              </w:rPr>
              <w:t>根据查阅资料，项目区属于荒漠地貌，根据环境影响评价工程师对项目拟建区域的现场踏勘情况（现场照片见附图3），核实占地类型为林地、草地。主要植被有白梭梭、梭梭、准噶尔琵琶柴等，优势植物为梭梭和白梭梭，伴生植物为准噶尔琵琶柴；其中白梭梭、梭梭为新疆维吾尔自治区一级保护植物。项目所在区域植被盖度约为30%，部分区域为祼地，总生物量约为2.5t/hm</w:t>
            </w:r>
            <w:r>
              <w:rPr>
                <w:rFonts w:hint="eastAsia"/>
                <w:color w:val="000000"/>
                <w:vertAlign w:val="superscript"/>
              </w:rPr>
              <w:t>2</w:t>
            </w:r>
            <w:r>
              <w:rPr>
                <w:rFonts w:hint="eastAsia"/>
                <w:color w:val="000000"/>
              </w:rPr>
              <w:t>。</w:t>
            </w:r>
          </w:p>
          <w:p>
            <w:pPr>
              <w:pStyle w:val="110"/>
              <w:rPr>
                <w:color w:val="000000"/>
              </w:rPr>
            </w:pPr>
            <w:r>
              <w:rPr>
                <w:rFonts w:hint="eastAsia"/>
                <w:color w:val="000000"/>
              </w:rPr>
              <w:t>本项目总占地面积为</w:t>
            </w:r>
            <w:r>
              <w:rPr>
                <w:rFonts w:hint="eastAsia"/>
              </w:rPr>
              <w:t>11092</w:t>
            </w:r>
            <w:r>
              <w:rPr>
                <w:color w:val="000000"/>
              </w:rPr>
              <w:t>m</w:t>
            </w:r>
            <w:r>
              <w:rPr>
                <w:color w:val="000000"/>
                <w:vertAlign w:val="superscript"/>
              </w:rPr>
              <w:t>2</w:t>
            </w:r>
            <w:r>
              <w:rPr>
                <w:rFonts w:hint="eastAsia"/>
                <w:color w:val="000000"/>
              </w:rPr>
              <w:t>，均为临时占地，建设占地中会平整地面，</w:t>
            </w:r>
            <w:r>
              <w:rPr>
                <w:color w:val="000000"/>
              </w:rPr>
              <w:t>临时用地总生物量损失约为</w:t>
            </w:r>
            <w:r>
              <w:rPr>
                <w:rFonts w:hint="eastAsia"/>
              </w:rPr>
              <w:t>2.77</w:t>
            </w:r>
            <w:r>
              <w:rPr>
                <w:color w:val="000000"/>
              </w:rPr>
              <w:t>t</w:t>
            </w:r>
            <w:r>
              <w:rPr>
                <w:rFonts w:hint="eastAsia"/>
                <w:color w:val="000000"/>
              </w:rPr>
              <w:t>，在占地选址过程中尽量避免对植被的砍伐及避让。现场踏勘照片见附图</w:t>
            </w:r>
            <w:r>
              <w:rPr>
                <w:color w:val="000000"/>
              </w:rPr>
              <w:t>3</w:t>
            </w:r>
            <w:r>
              <w:rPr>
                <w:rFonts w:hint="eastAsia"/>
                <w:color w:val="000000"/>
              </w:rPr>
              <w:t>，项目所在地植被类型分布见附图</w:t>
            </w:r>
            <w:r>
              <w:rPr>
                <w:color w:val="000000"/>
              </w:rPr>
              <w:t>4</w:t>
            </w:r>
            <w:r>
              <w:rPr>
                <w:rFonts w:hint="eastAsia"/>
                <w:color w:val="000000"/>
              </w:rPr>
              <w:t>。</w:t>
            </w:r>
          </w:p>
          <w:p>
            <w:pPr>
              <w:pStyle w:val="110"/>
              <w:rPr>
                <w:color w:val="000000"/>
              </w:rPr>
            </w:pPr>
            <w:r>
              <w:rPr>
                <w:color w:val="000000"/>
              </w:rPr>
              <w:t>4</w:t>
            </w:r>
            <w:r>
              <w:rPr>
                <w:rFonts w:hint="eastAsia"/>
                <w:color w:val="000000"/>
              </w:rPr>
              <w:t>）野生动物现状</w:t>
            </w:r>
          </w:p>
          <w:p>
            <w:pPr>
              <w:pStyle w:val="110"/>
              <w:rPr>
                <w:color w:val="000000"/>
              </w:rPr>
            </w:pPr>
            <w:r>
              <w:rPr>
                <w:rFonts w:hint="eastAsia"/>
                <w:color w:val="000000"/>
              </w:rPr>
              <w:t>阜康市、吉木萨尔县境内的野生动物种类较少，各种类在数量上也有很大的差异，分布地区也不一致。有在全境范围内分布的，也有仅在一定区域内分布的。主要有兽类37种，隶属4目12科；鸟类94种，隶属16目33科；两栖爬行类6种，隶属3目5科；鱼类7种，隶属1目2科。雪鸡、旱獭、马鹿、狼、鹰、棕熊等51种动物被列入国家级保护动物；现场踏勘期间，本项目评价范围内未见国家及自治区野生保护动物，本项目区域受人为活动影响，大型兽类活动较少，区域内仅有少量小型野生动物栖息，包括小家鼠、田鼠、沙鼠等，鸟类有麻雀、百灵、乌鸦、掠鸟等，数量不多。</w:t>
            </w:r>
          </w:p>
          <w:p>
            <w:pPr>
              <w:pStyle w:val="110"/>
              <w:rPr>
                <w:color w:val="000000"/>
                <w:sz w:val="28"/>
              </w:rPr>
            </w:pPr>
            <w:r>
              <w:rPr>
                <w:color w:val="000000"/>
              </w:rPr>
              <w:t>5</w:t>
            </w:r>
            <w:r>
              <w:rPr>
                <w:rFonts w:hint="eastAsia"/>
                <w:color w:val="000000"/>
              </w:rPr>
              <w:t>）</w:t>
            </w:r>
            <w:bookmarkStart w:id="17" w:name="_Toc49863985"/>
            <w:r>
              <w:rPr>
                <w:rFonts w:hint="eastAsia"/>
                <w:color w:val="000000"/>
              </w:rPr>
              <w:t>生态系统类型与特点</w:t>
            </w:r>
            <w:bookmarkEnd w:id="17"/>
          </w:p>
          <w:p>
            <w:pPr>
              <w:pStyle w:val="110"/>
              <w:rPr>
                <w:color w:val="000000"/>
              </w:rPr>
            </w:pPr>
            <w:r>
              <w:rPr>
                <w:rFonts w:hint="eastAsia"/>
                <w:color w:val="000000"/>
              </w:rPr>
              <w:t>经现场调查，评价范围生态系统类型主要为林地、草地生态系统，主要为荒漠景观和荒漠植被景观，其特点是植被稀疏，有大片的裸露土地，植物种类单调，生物生产量很低，主要植被有白梭梭、梭梭、准噶尔琵琶柴等，优势植物为梭梭和白梭梭，伴生植物为准噶尔琵琶柴；其中白梭梭、梭梭为新疆维吾尔自治区一级保护植物。</w:t>
            </w:r>
          </w:p>
          <w:p>
            <w:pPr>
              <w:pStyle w:val="110"/>
              <w:rPr>
                <w:color w:val="000000"/>
              </w:rPr>
            </w:pPr>
            <w:r>
              <w:rPr>
                <w:color w:val="000000"/>
              </w:rPr>
              <w:t>6）土壤</w:t>
            </w:r>
            <w:r>
              <w:rPr>
                <w:rFonts w:hint="eastAsia"/>
                <w:color w:val="000000"/>
              </w:rPr>
              <w:t>现状</w:t>
            </w:r>
          </w:p>
          <w:p>
            <w:pPr>
              <w:pStyle w:val="110"/>
              <w:rPr>
                <w:color w:val="000000"/>
              </w:rPr>
            </w:pPr>
            <w:r>
              <w:rPr>
                <w:rFonts w:hint="eastAsia"/>
                <w:color w:val="000000"/>
              </w:rPr>
              <w:t>项目所在区域分布的土壤类型为黑钙土、栗钙土。</w:t>
            </w:r>
          </w:p>
          <w:p>
            <w:pPr>
              <w:pStyle w:val="110"/>
              <w:rPr>
                <w:color w:val="000000"/>
              </w:rPr>
            </w:pPr>
            <w:r>
              <w:rPr>
                <w:rFonts w:hint="eastAsia"/>
                <w:color w:val="000000"/>
              </w:rPr>
              <w:t>黑钙土特征：</w:t>
            </w:r>
            <w:r>
              <w:rPr>
                <w:color w:val="000000"/>
              </w:rPr>
              <w:t>其质地一般介于黑土和板栗钙质土之间。大部分为粉质壤土至粘土壤土，其中粉土占30%～60%，粘土占10%～30%。芯层高于表层和底层，石灰淋溶沉积更为活跃。</w:t>
            </w:r>
          </w:p>
          <w:p>
            <w:pPr>
              <w:pStyle w:val="110"/>
              <w:rPr>
                <w:color w:val="000000"/>
              </w:rPr>
            </w:pPr>
            <w:r>
              <w:rPr>
                <w:rFonts w:hint="eastAsia"/>
                <w:color w:val="000000"/>
              </w:rPr>
              <w:t>栗钙土特征：</w:t>
            </w:r>
            <w:r>
              <w:rPr>
                <w:color w:val="000000"/>
              </w:rPr>
              <w:t>栗钙土中腐殖质和过渡层中的有机质总贮量为每公顷37.5</w:t>
            </w:r>
            <w:r>
              <w:rPr>
                <w:rFonts w:hint="eastAsia"/>
                <w:color w:val="000000"/>
              </w:rPr>
              <w:t>t</w:t>
            </w:r>
            <w:r>
              <w:rPr>
                <w:color w:val="000000"/>
              </w:rPr>
              <w:t>～127.5</w:t>
            </w:r>
            <w:r>
              <w:rPr>
                <w:rFonts w:hint="eastAsia"/>
                <w:color w:val="000000"/>
              </w:rPr>
              <w:t>t</w:t>
            </w:r>
            <w:r>
              <w:rPr>
                <w:color w:val="000000"/>
              </w:rPr>
              <w:t>，且含氮量高，一般占干物质的0.5%～0.8%，最高可达2.2%，灰分元素达6%～16%，以钾、钙为主。一般栗钙土钙积层深而厚，石灰含量多达10%～30%，高者可达40%，低者小于5%。土壤呈碱性反应，质地较轻。土壤母质为黄土、玄武岩等</w:t>
            </w:r>
            <w:r>
              <w:rPr>
                <w:rFonts w:hint="eastAsia"/>
                <w:color w:val="000000"/>
              </w:rPr>
              <w:t>。</w:t>
            </w:r>
          </w:p>
          <w:p>
            <w:pPr>
              <w:pStyle w:val="110"/>
              <w:rPr>
                <w:color w:val="000000"/>
              </w:rPr>
            </w:pPr>
            <w:r>
              <w:rPr>
                <w:rFonts w:hint="eastAsia"/>
                <w:color w:val="000000"/>
              </w:rPr>
              <w:t>项目区土壤类型见附图</w:t>
            </w:r>
            <w:r>
              <w:rPr>
                <w:color w:val="000000"/>
              </w:rPr>
              <w:t>5</w:t>
            </w:r>
            <w:r>
              <w:rPr>
                <w:rFonts w:hint="eastAsia"/>
                <w:color w:val="000000"/>
              </w:rPr>
              <w:t>。</w:t>
            </w:r>
          </w:p>
          <w:p>
            <w:pPr>
              <w:pStyle w:val="110"/>
              <w:rPr>
                <w:color w:val="000000"/>
              </w:rPr>
            </w:pPr>
            <w:r>
              <w:rPr>
                <w:rFonts w:hint="eastAsia"/>
                <w:color w:val="000000"/>
              </w:rPr>
              <w:t>根据调查，阜康市、吉木萨尔县</w:t>
            </w:r>
            <w:r>
              <w:rPr>
                <w:color w:val="000000"/>
              </w:rPr>
              <w:t>属中温带大陆性干旱半干旱气候，冬季严寒，夏季酷热，干燥少雨，日照充足，蒸发量大，降水少</w:t>
            </w:r>
            <w:r>
              <w:rPr>
                <w:rFonts w:hint="eastAsia"/>
                <w:color w:val="000000"/>
              </w:rPr>
              <w:t>，项目区生态环境比较脆弱，植被比较稀少，且常年干旱少雨，常见的自然灾害有大风，沙尘暴等，土地沙漠化情况严重。</w:t>
            </w:r>
          </w:p>
          <w:p>
            <w:pPr>
              <w:pStyle w:val="110"/>
              <w:rPr>
                <w:color w:val="000000"/>
              </w:rPr>
            </w:pPr>
            <w:r>
              <w:rPr>
                <w:color w:val="000000"/>
              </w:rPr>
              <w:t>7</w:t>
            </w:r>
            <w:r>
              <w:rPr>
                <w:rFonts w:hint="eastAsia"/>
                <w:color w:val="000000"/>
              </w:rPr>
              <w:t>）土地利用类型</w:t>
            </w:r>
          </w:p>
          <w:p>
            <w:pPr>
              <w:pStyle w:val="110"/>
              <w:rPr>
                <w:color w:val="000000"/>
              </w:rPr>
            </w:pPr>
            <w:r>
              <w:rPr>
                <w:rFonts w:hint="eastAsia"/>
                <w:color w:val="000000"/>
              </w:rPr>
              <w:t>本项目临时占用林地、草地，不在自然保护区范围内，不在湿地公园、风景名胜区范围内</w:t>
            </w:r>
            <w:r>
              <w:rPr>
                <w:rFonts w:hint="eastAsia"/>
                <w:snapToGrid w:val="0"/>
                <w:color w:val="000000"/>
              </w:rPr>
              <w:t>。</w:t>
            </w:r>
          </w:p>
          <w:p>
            <w:pPr>
              <w:pStyle w:val="110"/>
              <w:rPr>
                <w:color w:val="000000"/>
              </w:rPr>
            </w:pPr>
            <w:r>
              <w:rPr>
                <w:rFonts w:hint="eastAsia"/>
                <w:color w:val="000000"/>
              </w:rPr>
              <w:t>2</w:t>
            </w:r>
            <w:r>
              <w:rPr>
                <w:color w:val="000000"/>
              </w:rPr>
              <w:t>、环境空气质量</w:t>
            </w:r>
          </w:p>
          <w:p>
            <w:pPr>
              <w:pStyle w:val="110"/>
              <w:rPr>
                <w:color w:val="000000"/>
              </w:rPr>
            </w:pPr>
            <w:r>
              <w:rPr>
                <w:rFonts w:hint="eastAsia"/>
                <w:color w:val="000000"/>
              </w:rPr>
              <w:t>由本工程建设特点可知，本项目施工期短暂且无运营期，钻井活动结束后大气环境影响即消失，大气环境影响评价等级确定为三级。根据《环境影响评价技术导则 大气环境》（HJ</w:t>
            </w:r>
            <w:r>
              <w:rPr>
                <w:color w:val="000000"/>
              </w:rPr>
              <w:t xml:space="preserve"> </w:t>
            </w:r>
            <w:r>
              <w:rPr>
                <w:rFonts w:hint="eastAsia"/>
                <w:color w:val="000000"/>
              </w:rPr>
              <w:t>2.2-2018）“6.1.3，三级评价项目只调查项目所在区域环境质量达标情况”。</w:t>
            </w:r>
          </w:p>
          <w:p>
            <w:pPr>
              <w:pStyle w:val="110"/>
              <w:rPr>
                <w:color w:val="000000"/>
              </w:rPr>
            </w:pPr>
            <w:r>
              <w:rPr>
                <w:rFonts w:hint="eastAsia"/>
                <w:color w:val="000000"/>
              </w:rPr>
              <w:t>2</w:t>
            </w:r>
            <w:r>
              <w:rPr>
                <w:color w:val="000000"/>
              </w:rPr>
              <w:t>020年昌吉州区域</w:t>
            </w:r>
            <w:r>
              <w:rPr>
                <w:rFonts w:hint="eastAsia"/>
                <w:color w:val="000000"/>
              </w:rPr>
              <w:t>环境空气质量现状不满足《环境空气质量标准》（GB 3095-2012）及其修改单（生态环境部公告 2018年 第29号）中二级标准限值。因此项目所在昌吉州属于大气环境不达标区</w:t>
            </w:r>
            <w:r>
              <w:rPr>
                <w:color w:val="000000"/>
              </w:rPr>
              <w:t>。</w:t>
            </w:r>
            <w:r>
              <w:rPr>
                <w:rFonts w:hint="eastAsia"/>
                <w:color w:val="000000"/>
              </w:rPr>
              <w:t xml:space="preserve"> </w:t>
            </w:r>
          </w:p>
          <w:p>
            <w:pPr>
              <w:pStyle w:val="12"/>
              <w:spacing w:before="120"/>
              <w:rPr>
                <w:color w:val="000000"/>
              </w:rPr>
            </w:pPr>
            <w:r>
              <w:rPr>
                <w:rFonts w:hint="eastAsia"/>
                <w:color w:val="000000"/>
              </w:rPr>
              <w:t xml:space="preserve">表 </w:t>
            </w:r>
            <w:r>
              <w:rPr>
                <w:color w:val="000000"/>
              </w:rPr>
              <w:t xml:space="preserve">13 </w:t>
            </w:r>
            <w:r>
              <w:rPr>
                <w:rFonts w:hint="eastAsia"/>
                <w:color w:val="000000"/>
              </w:rPr>
              <w:t>2</w:t>
            </w:r>
            <w:r>
              <w:rPr>
                <w:color w:val="000000"/>
              </w:rPr>
              <w:t>020年昌吉州区域</w:t>
            </w:r>
            <w:r>
              <w:rPr>
                <w:rFonts w:hint="eastAsia"/>
                <w:color w:val="000000"/>
              </w:rPr>
              <w:t>基本污染物环境质量现状一览表</w:t>
            </w:r>
          </w:p>
          <w:tbl>
            <w:tblPr>
              <w:tblStyle w:val="29"/>
              <w:tblW w:w="7117"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Layout w:type="fixed"/>
              <w:tblCellMar>
                <w:top w:w="0" w:type="dxa"/>
                <w:left w:w="108" w:type="dxa"/>
                <w:bottom w:w="0" w:type="dxa"/>
                <w:right w:w="108" w:type="dxa"/>
              </w:tblCellMar>
            </w:tblPr>
            <w:tblGrid>
              <w:gridCol w:w="699"/>
              <w:gridCol w:w="3180"/>
              <w:gridCol w:w="1238"/>
              <w:gridCol w:w="1102"/>
              <w:gridCol w:w="89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Layout w:type="fixed"/>
                <w:tblCellMar>
                  <w:top w:w="0" w:type="dxa"/>
                  <w:left w:w="108" w:type="dxa"/>
                  <w:bottom w:w="0" w:type="dxa"/>
                  <w:right w:w="108" w:type="dxa"/>
                </w:tblCellMar>
              </w:tblPrEx>
              <w:trPr>
                <w:trHeight w:val="340" w:hRule="atLeast"/>
              </w:trPr>
              <w:tc>
                <w:tcPr>
                  <w:tcW w:w="699" w:type="dxa"/>
                  <w:vMerge w:val="restart"/>
                  <w:shd w:val="clear" w:color="000000" w:fill="FFFFFF"/>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污染物</w:t>
                  </w:r>
                </w:p>
              </w:tc>
              <w:tc>
                <w:tcPr>
                  <w:tcW w:w="3180" w:type="dxa"/>
                  <w:vMerge w:val="restart"/>
                  <w:shd w:val="clear" w:color="000000" w:fill="FFFFFF"/>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2020年平均质量浓度（μg/m</w:t>
                  </w:r>
                  <w:r>
                    <w:rPr>
                      <w:rFonts w:hint="eastAsia" w:ascii="宋体" w:hAnsi="宋体" w:cs="宋体"/>
                      <w:color w:val="000000"/>
                      <w:kern w:val="0"/>
                      <w:szCs w:val="21"/>
                      <w:vertAlign w:val="superscript"/>
                    </w:rPr>
                    <w:t>3</w:t>
                  </w:r>
                  <w:r>
                    <w:rPr>
                      <w:rFonts w:hint="eastAsia" w:ascii="宋体" w:hAnsi="宋体" w:cs="宋体"/>
                      <w:color w:val="000000"/>
                      <w:kern w:val="0"/>
                      <w:szCs w:val="21"/>
                    </w:rPr>
                    <w:t>）</w:t>
                  </w:r>
                </w:p>
              </w:tc>
              <w:tc>
                <w:tcPr>
                  <w:tcW w:w="1238" w:type="dxa"/>
                  <w:shd w:val="clear" w:color="000000" w:fill="FFFFFF"/>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标准值</w:t>
                  </w:r>
                </w:p>
              </w:tc>
              <w:tc>
                <w:tcPr>
                  <w:tcW w:w="1102" w:type="dxa"/>
                  <w:vMerge w:val="restart"/>
                  <w:shd w:val="clear" w:color="000000" w:fill="FFFFFF"/>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占标率（%）</w:t>
                  </w:r>
                </w:p>
              </w:tc>
              <w:tc>
                <w:tcPr>
                  <w:tcW w:w="898" w:type="dxa"/>
                  <w:vMerge w:val="restart"/>
                  <w:shd w:val="clear" w:color="000000" w:fill="FFFFFF"/>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达标情况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Layout w:type="fixed"/>
                <w:tblCellMar>
                  <w:top w:w="0" w:type="dxa"/>
                  <w:left w:w="108" w:type="dxa"/>
                  <w:bottom w:w="0" w:type="dxa"/>
                  <w:right w:w="108" w:type="dxa"/>
                </w:tblCellMar>
              </w:tblPrEx>
              <w:trPr>
                <w:trHeight w:val="340" w:hRule="atLeast"/>
              </w:trPr>
              <w:tc>
                <w:tcPr>
                  <w:tcW w:w="699" w:type="dxa"/>
                  <w:vMerge w:val="continue"/>
                  <w:vAlign w:val="center"/>
                </w:tcPr>
                <w:p>
                  <w:pPr>
                    <w:widowControl/>
                    <w:jc w:val="center"/>
                    <w:rPr>
                      <w:rFonts w:ascii="宋体" w:hAnsi="宋体" w:cs="宋体"/>
                      <w:color w:val="000000"/>
                      <w:kern w:val="0"/>
                      <w:szCs w:val="21"/>
                    </w:rPr>
                  </w:pPr>
                </w:p>
              </w:tc>
              <w:tc>
                <w:tcPr>
                  <w:tcW w:w="3180" w:type="dxa"/>
                  <w:vMerge w:val="continue"/>
                  <w:vAlign w:val="center"/>
                </w:tcPr>
                <w:p>
                  <w:pPr>
                    <w:widowControl/>
                    <w:jc w:val="center"/>
                    <w:rPr>
                      <w:rFonts w:ascii="宋体" w:hAnsi="宋体" w:cs="宋体"/>
                      <w:color w:val="000000"/>
                      <w:kern w:val="0"/>
                      <w:szCs w:val="21"/>
                    </w:rPr>
                  </w:pPr>
                </w:p>
              </w:tc>
              <w:tc>
                <w:tcPr>
                  <w:tcW w:w="1238" w:type="dxa"/>
                  <w:shd w:val="clear" w:color="000000" w:fill="FFFFFF"/>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（μg/m</w:t>
                  </w:r>
                  <w:r>
                    <w:rPr>
                      <w:rFonts w:hint="eastAsia" w:ascii="宋体" w:hAnsi="宋体" w:cs="宋体"/>
                      <w:color w:val="000000"/>
                      <w:kern w:val="0"/>
                      <w:szCs w:val="21"/>
                      <w:vertAlign w:val="superscript"/>
                    </w:rPr>
                    <w:t>3</w:t>
                  </w:r>
                  <w:r>
                    <w:rPr>
                      <w:rFonts w:hint="eastAsia" w:ascii="宋体" w:hAnsi="宋体" w:cs="宋体"/>
                      <w:color w:val="000000"/>
                      <w:kern w:val="0"/>
                      <w:szCs w:val="21"/>
                    </w:rPr>
                    <w:t>）</w:t>
                  </w:r>
                </w:p>
              </w:tc>
              <w:tc>
                <w:tcPr>
                  <w:tcW w:w="1102" w:type="dxa"/>
                  <w:vMerge w:val="continue"/>
                  <w:vAlign w:val="center"/>
                </w:tcPr>
                <w:p>
                  <w:pPr>
                    <w:widowControl/>
                    <w:jc w:val="center"/>
                    <w:rPr>
                      <w:rFonts w:ascii="宋体" w:hAnsi="宋体" w:cs="宋体"/>
                      <w:color w:val="000000"/>
                      <w:kern w:val="0"/>
                      <w:szCs w:val="21"/>
                    </w:rPr>
                  </w:pPr>
                </w:p>
              </w:tc>
              <w:tc>
                <w:tcPr>
                  <w:tcW w:w="898" w:type="dxa"/>
                  <w:vMerge w:val="continue"/>
                  <w:vAlign w:val="center"/>
                </w:tcPr>
                <w:p>
                  <w:pPr>
                    <w:widowControl/>
                    <w:jc w:val="center"/>
                    <w:rPr>
                      <w:rFonts w:ascii="宋体" w:hAnsi="宋体" w:cs="宋体"/>
                      <w:color w:val="000000"/>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Layout w:type="fixed"/>
                <w:tblCellMar>
                  <w:top w:w="0" w:type="dxa"/>
                  <w:left w:w="108" w:type="dxa"/>
                  <w:bottom w:w="0" w:type="dxa"/>
                  <w:right w:w="108" w:type="dxa"/>
                </w:tblCellMar>
              </w:tblPrEx>
              <w:trPr>
                <w:trHeight w:val="340" w:hRule="atLeast"/>
              </w:trPr>
              <w:tc>
                <w:tcPr>
                  <w:tcW w:w="699" w:type="dxa"/>
                  <w:shd w:val="clear" w:color="000000" w:fill="FFFFFF"/>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SO</w:t>
                  </w:r>
                  <w:r>
                    <w:rPr>
                      <w:rFonts w:hint="eastAsia" w:ascii="宋体" w:hAnsi="宋体" w:cs="宋体"/>
                      <w:color w:val="000000"/>
                      <w:kern w:val="0"/>
                      <w:szCs w:val="21"/>
                      <w:vertAlign w:val="subscript"/>
                    </w:rPr>
                    <w:t>2</w:t>
                  </w:r>
                </w:p>
              </w:tc>
              <w:tc>
                <w:tcPr>
                  <w:tcW w:w="3180" w:type="dxa"/>
                  <w:shd w:val="clear" w:color="000000" w:fill="FFFFFF"/>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8</w:t>
                  </w:r>
                </w:p>
              </w:tc>
              <w:tc>
                <w:tcPr>
                  <w:tcW w:w="1238" w:type="dxa"/>
                  <w:shd w:val="clear" w:color="000000" w:fill="FFFFFF"/>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60</w:t>
                  </w:r>
                </w:p>
              </w:tc>
              <w:tc>
                <w:tcPr>
                  <w:tcW w:w="1102" w:type="dxa"/>
                  <w:shd w:val="clear" w:color="000000" w:fill="FFFFFF"/>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13</w:t>
                  </w:r>
                </w:p>
              </w:tc>
              <w:tc>
                <w:tcPr>
                  <w:tcW w:w="898" w:type="dxa"/>
                  <w:shd w:val="clear" w:color="000000" w:fill="FFFFFF"/>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达标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Layout w:type="fixed"/>
                <w:tblCellMar>
                  <w:top w:w="0" w:type="dxa"/>
                  <w:left w:w="108" w:type="dxa"/>
                  <w:bottom w:w="0" w:type="dxa"/>
                  <w:right w:w="108" w:type="dxa"/>
                </w:tblCellMar>
              </w:tblPrEx>
              <w:trPr>
                <w:trHeight w:val="340" w:hRule="atLeast"/>
              </w:trPr>
              <w:tc>
                <w:tcPr>
                  <w:tcW w:w="699" w:type="dxa"/>
                  <w:shd w:val="clear" w:color="000000" w:fill="FFFFFF"/>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NO</w:t>
                  </w:r>
                  <w:r>
                    <w:rPr>
                      <w:rFonts w:hint="eastAsia" w:ascii="宋体" w:hAnsi="宋体" w:cs="宋体"/>
                      <w:color w:val="000000"/>
                      <w:kern w:val="0"/>
                      <w:szCs w:val="21"/>
                      <w:vertAlign w:val="subscript"/>
                    </w:rPr>
                    <w:t>2</w:t>
                  </w:r>
                </w:p>
              </w:tc>
              <w:tc>
                <w:tcPr>
                  <w:tcW w:w="3180" w:type="dxa"/>
                  <w:shd w:val="clear" w:color="000000" w:fill="FFFFFF"/>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33</w:t>
                  </w:r>
                </w:p>
              </w:tc>
              <w:tc>
                <w:tcPr>
                  <w:tcW w:w="1238" w:type="dxa"/>
                  <w:shd w:val="clear" w:color="000000" w:fill="FFFFFF"/>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40</w:t>
                  </w:r>
                </w:p>
              </w:tc>
              <w:tc>
                <w:tcPr>
                  <w:tcW w:w="1102" w:type="dxa"/>
                  <w:shd w:val="clear" w:color="000000" w:fill="FFFFFF"/>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83</w:t>
                  </w:r>
                </w:p>
              </w:tc>
              <w:tc>
                <w:tcPr>
                  <w:tcW w:w="898" w:type="dxa"/>
                  <w:shd w:val="clear" w:color="000000" w:fill="FFFFFF"/>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达标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Layout w:type="fixed"/>
                <w:tblCellMar>
                  <w:top w:w="0" w:type="dxa"/>
                  <w:left w:w="108" w:type="dxa"/>
                  <w:bottom w:w="0" w:type="dxa"/>
                  <w:right w:w="108" w:type="dxa"/>
                </w:tblCellMar>
              </w:tblPrEx>
              <w:trPr>
                <w:trHeight w:val="340" w:hRule="atLeast"/>
              </w:trPr>
              <w:tc>
                <w:tcPr>
                  <w:tcW w:w="699" w:type="dxa"/>
                  <w:shd w:val="clear" w:color="000000" w:fill="FFFFFF"/>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PM</w:t>
                  </w:r>
                  <w:r>
                    <w:rPr>
                      <w:rFonts w:hint="eastAsia" w:ascii="宋体" w:hAnsi="宋体" w:cs="宋体"/>
                      <w:color w:val="000000"/>
                      <w:kern w:val="0"/>
                      <w:szCs w:val="21"/>
                      <w:vertAlign w:val="subscript"/>
                    </w:rPr>
                    <w:t>10</w:t>
                  </w:r>
                </w:p>
              </w:tc>
              <w:tc>
                <w:tcPr>
                  <w:tcW w:w="3180" w:type="dxa"/>
                  <w:shd w:val="clear" w:color="000000" w:fill="FFFFFF"/>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88</w:t>
                  </w:r>
                </w:p>
              </w:tc>
              <w:tc>
                <w:tcPr>
                  <w:tcW w:w="1238" w:type="dxa"/>
                  <w:shd w:val="clear" w:color="000000" w:fill="FFFFFF"/>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70</w:t>
                  </w:r>
                </w:p>
              </w:tc>
              <w:tc>
                <w:tcPr>
                  <w:tcW w:w="1102" w:type="dxa"/>
                  <w:shd w:val="clear" w:color="000000" w:fill="FFFFFF"/>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126</w:t>
                  </w:r>
                </w:p>
              </w:tc>
              <w:tc>
                <w:tcPr>
                  <w:tcW w:w="898" w:type="dxa"/>
                  <w:shd w:val="clear" w:color="000000" w:fill="FFFFFF"/>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不达标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Layout w:type="fixed"/>
                <w:tblCellMar>
                  <w:top w:w="0" w:type="dxa"/>
                  <w:left w:w="108" w:type="dxa"/>
                  <w:bottom w:w="0" w:type="dxa"/>
                  <w:right w:w="108" w:type="dxa"/>
                </w:tblCellMar>
              </w:tblPrEx>
              <w:trPr>
                <w:trHeight w:val="340" w:hRule="atLeast"/>
              </w:trPr>
              <w:tc>
                <w:tcPr>
                  <w:tcW w:w="699" w:type="dxa"/>
                  <w:shd w:val="clear" w:color="000000" w:fill="FFFFFF"/>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PM</w:t>
                  </w:r>
                  <w:r>
                    <w:rPr>
                      <w:rFonts w:hint="eastAsia" w:ascii="宋体" w:hAnsi="宋体" w:cs="宋体"/>
                      <w:color w:val="000000"/>
                      <w:kern w:val="0"/>
                      <w:szCs w:val="21"/>
                      <w:vertAlign w:val="subscript"/>
                    </w:rPr>
                    <w:t>2.5</w:t>
                  </w:r>
                </w:p>
              </w:tc>
              <w:tc>
                <w:tcPr>
                  <w:tcW w:w="3180" w:type="dxa"/>
                  <w:shd w:val="clear" w:color="000000" w:fill="FFFFFF"/>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53</w:t>
                  </w:r>
                </w:p>
              </w:tc>
              <w:tc>
                <w:tcPr>
                  <w:tcW w:w="1238" w:type="dxa"/>
                  <w:shd w:val="clear" w:color="000000" w:fill="FFFFFF"/>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35</w:t>
                  </w:r>
                </w:p>
              </w:tc>
              <w:tc>
                <w:tcPr>
                  <w:tcW w:w="1102" w:type="dxa"/>
                  <w:shd w:val="clear" w:color="000000" w:fill="FFFFFF"/>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151</w:t>
                  </w:r>
                </w:p>
              </w:tc>
              <w:tc>
                <w:tcPr>
                  <w:tcW w:w="898" w:type="dxa"/>
                  <w:shd w:val="clear" w:color="000000" w:fill="FFFFFF"/>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不达标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Layout w:type="fixed"/>
                <w:tblCellMar>
                  <w:top w:w="0" w:type="dxa"/>
                  <w:left w:w="108" w:type="dxa"/>
                  <w:bottom w:w="0" w:type="dxa"/>
                  <w:right w:w="108" w:type="dxa"/>
                </w:tblCellMar>
              </w:tblPrEx>
              <w:trPr>
                <w:trHeight w:val="340" w:hRule="atLeast"/>
              </w:trPr>
              <w:tc>
                <w:tcPr>
                  <w:tcW w:w="699" w:type="dxa"/>
                  <w:vMerge w:val="restart"/>
                  <w:shd w:val="clear" w:color="000000" w:fill="FFFFFF"/>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污染物</w:t>
                  </w:r>
                </w:p>
              </w:tc>
              <w:tc>
                <w:tcPr>
                  <w:tcW w:w="3180" w:type="dxa"/>
                  <w:vMerge w:val="restart"/>
                  <w:shd w:val="clear" w:color="000000" w:fill="FFFFFF"/>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日最大8小时滑动平均值第90百分位质量浓度（μg/m</w:t>
                  </w:r>
                  <w:r>
                    <w:rPr>
                      <w:rFonts w:hint="eastAsia" w:ascii="宋体" w:hAnsi="宋体" w:cs="宋体"/>
                      <w:color w:val="000000"/>
                      <w:kern w:val="0"/>
                      <w:szCs w:val="21"/>
                      <w:vertAlign w:val="superscript"/>
                    </w:rPr>
                    <w:t>3</w:t>
                  </w:r>
                  <w:r>
                    <w:rPr>
                      <w:rFonts w:hint="eastAsia" w:ascii="宋体" w:hAnsi="宋体" w:cs="宋体"/>
                      <w:color w:val="000000"/>
                      <w:kern w:val="0"/>
                      <w:szCs w:val="21"/>
                    </w:rPr>
                    <w:t>）</w:t>
                  </w:r>
                </w:p>
              </w:tc>
              <w:tc>
                <w:tcPr>
                  <w:tcW w:w="1238" w:type="dxa"/>
                  <w:shd w:val="clear" w:color="000000" w:fill="FFFFFF"/>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标准值</w:t>
                  </w:r>
                </w:p>
              </w:tc>
              <w:tc>
                <w:tcPr>
                  <w:tcW w:w="1102" w:type="dxa"/>
                  <w:vMerge w:val="restart"/>
                  <w:shd w:val="clear" w:color="000000" w:fill="FFFFFF"/>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占标率（%）</w:t>
                  </w:r>
                </w:p>
              </w:tc>
              <w:tc>
                <w:tcPr>
                  <w:tcW w:w="898" w:type="dxa"/>
                  <w:vMerge w:val="restart"/>
                  <w:shd w:val="clear" w:color="000000" w:fill="FFFFFF"/>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达标情况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Layout w:type="fixed"/>
                <w:tblCellMar>
                  <w:top w:w="0" w:type="dxa"/>
                  <w:left w:w="108" w:type="dxa"/>
                  <w:bottom w:w="0" w:type="dxa"/>
                  <w:right w:w="108" w:type="dxa"/>
                </w:tblCellMar>
              </w:tblPrEx>
              <w:trPr>
                <w:trHeight w:val="340" w:hRule="atLeast"/>
              </w:trPr>
              <w:tc>
                <w:tcPr>
                  <w:tcW w:w="699" w:type="dxa"/>
                  <w:vMerge w:val="continue"/>
                  <w:vAlign w:val="center"/>
                </w:tcPr>
                <w:p>
                  <w:pPr>
                    <w:widowControl/>
                    <w:jc w:val="center"/>
                    <w:rPr>
                      <w:rFonts w:ascii="宋体" w:hAnsi="宋体" w:cs="宋体"/>
                      <w:color w:val="000000"/>
                      <w:kern w:val="0"/>
                      <w:szCs w:val="21"/>
                    </w:rPr>
                  </w:pPr>
                </w:p>
              </w:tc>
              <w:tc>
                <w:tcPr>
                  <w:tcW w:w="3180" w:type="dxa"/>
                  <w:vMerge w:val="continue"/>
                  <w:vAlign w:val="center"/>
                </w:tcPr>
                <w:p>
                  <w:pPr>
                    <w:widowControl/>
                    <w:jc w:val="center"/>
                    <w:rPr>
                      <w:rFonts w:ascii="宋体" w:hAnsi="宋体" w:cs="宋体"/>
                      <w:color w:val="000000"/>
                      <w:kern w:val="0"/>
                      <w:szCs w:val="21"/>
                    </w:rPr>
                  </w:pPr>
                </w:p>
              </w:tc>
              <w:tc>
                <w:tcPr>
                  <w:tcW w:w="1238" w:type="dxa"/>
                  <w:shd w:val="clear" w:color="000000" w:fill="FFFFFF"/>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（μg/m</w:t>
                  </w:r>
                  <w:r>
                    <w:rPr>
                      <w:rFonts w:hint="eastAsia" w:ascii="宋体" w:hAnsi="宋体" w:cs="宋体"/>
                      <w:color w:val="000000"/>
                      <w:kern w:val="0"/>
                      <w:szCs w:val="21"/>
                      <w:vertAlign w:val="superscript"/>
                    </w:rPr>
                    <w:t>3</w:t>
                  </w:r>
                  <w:r>
                    <w:rPr>
                      <w:rFonts w:hint="eastAsia" w:ascii="宋体" w:hAnsi="宋体" w:cs="宋体"/>
                      <w:color w:val="000000"/>
                      <w:kern w:val="0"/>
                      <w:szCs w:val="21"/>
                    </w:rPr>
                    <w:t>）</w:t>
                  </w:r>
                </w:p>
              </w:tc>
              <w:tc>
                <w:tcPr>
                  <w:tcW w:w="1102" w:type="dxa"/>
                  <w:vMerge w:val="continue"/>
                  <w:vAlign w:val="center"/>
                </w:tcPr>
                <w:p>
                  <w:pPr>
                    <w:widowControl/>
                    <w:jc w:val="center"/>
                    <w:rPr>
                      <w:rFonts w:ascii="宋体" w:hAnsi="宋体" w:cs="宋体"/>
                      <w:color w:val="000000"/>
                      <w:kern w:val="0"/>
                      <w:szCs w:val="21"/>
                    </w:rPr>
                  </w:pPr>
                </w:p>
              </w:tc>
              <w:tc>
                <w:tcPr>
                  <w:tcW w:w="898" w:type="dxa"/>
                  <w:vMerge w:val="continue"/>
                  <w:vAlign w:val="center"/>
                </w:tcPr>
                <w:p>
                  <w:pPr>
                    <w:widowControl/>
                    <w:jc w:val="center"/>
                    <w:rPr>
                      <w:rFonts w:ascii="宋体" w:hAnsi="宋体" w:cs="宋体"/>
                      <w:color w:val="000000"/>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Layout w:type="fixed"/>
                <w:tblCellMar>
                  <w:top w:w="0" w:type="dxa"/>
                  <w:left w:w="108" w:type="dxa"/>
                  <w:bottom w:w="0" w:type="dxa"/>
                  <w:right w:w="108" w:type="dxa"/>
                </w:tblCellMar>
              </w:tblPrEx>
              <w:trPr>
                <w:trHeight w:val="340" w:hRule="atLeast"/>
              </w:trPr>
              <w:tc>
                <w:tcPr>
                  <w:tcW w:w="699" w:type="dxa"/>
                  <w:shd w:val="clear" w:color="000000" w:fill="FFFFFF"/>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O</w:t>
                  </w:r>
                  <w:r>
                    <w:rPr>
                      <w:rFonts w:hint="eastAsia" w:ascii="宋体" w:hAnsi="宋体" w:cs="宋体"/>
                      <w:color w:val="000000"/>
                      <w:kern w:val="0"/>
                      <w:szCs w:val="21"/>
                      <w:vertAlign w:val="subscript"/>
                    </w:rPr>
                    <w:t>3</w:t>
                  </w:r>
                </w:p>
              </w:tc>
              <w:tc>
                <w:tcPr>
                  <w:tcW w:w="3180" w:type="dxa"/>
                  <w:shd w:val="clear" w:color="000000" w:fill="FFFFFF"/>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131</w:t>
                  </w:r>
                </w:p>
              </w:tc>
              <w:tc>
                <w:tcPr>
                  <w:tcW w:w="1238" w:type="dxa"/>
                  <w:shd w:val="clear" w:color="000000" w:fill="FFFFFF"/>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160</w:t>
                  </w:r>
                </w:p>
              </w:tc>
              <w:tc>
                <w:tcPr>
                  <w:tcW w:w="1102" w:type="dxa"/>
                  <w:shd w:val="clear" w:color="000000" w:fill="FFFFFF"/>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82</w:t>
                  </w:r>
                </w:p>
              </w:tc>
              <w:tc>
                <w:tcPr>
                  <w:tcW w:w="898" w:type="dxa"/>
                  <w:shd w:val="clear" w:color="000000" w:fill="FFFFFF"/>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达标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Layout w:type="fixed"/>
                <w:tblCellMar>
                  <w:top w:w="0" w:type="dxa"/>
                  <w:left w:w="108" w:type="dxa"/>
                  <w:bottom w:w="0" w:type="dxa"/>
                  <w:right w:w="108" w:type="dxa"/>
                </w:tblCellMar>
              </w:tblPrEx>
              <w:trPr>
                <w:trHeight w:val="340" w:hRule="atLeast"/>
              </w:trPr>
              <w:tc>
                <w:tcPr>
                  <w:tcW w:w="699" w:type="dxa"/>
                  <w:vMerge w:val="restart"/>
                  <w:shd w:val="clear" w:color="000000" w:fill="FFFFFF"/>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污染物</w:t>
                  </w:r>
                </w:p>
              </w:tc>
              <w:tc>
                <w:tcPr>
                  <w:tcW w:w="3180" w:type="dxa"/>
                  <w:shd w:val="clear" w:color="000000" w:fill="FFFFFF"/>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24小时平均第95百分位质量浓度</w:t>
                  </w:r>
                </w:p>
              </w:tc>
              <w:tc>
                <w:tcPr>
                  <w:tcW w:w="1238" w:type="dxa"/>
                  <w:vMerge w:val="restart"/>
                  <w:shd w:val="clear" w:color="000000" w:fill="FFFFFF"/>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标准值（mg/m</w:t>
                  </w:r>
                  <w:r>
                    <w:rPr>
                      <w:rFonts w:hint="eastAsia" w:ascii="宋体" w:hAnsi="宋体" w:cs="宋体"/>
                      <w:color w:val="000000"/>
                      <w:kern w:val="0"/>
                      <w:szCs w:val="21"/>
                      <w:vertAlign w:val="superscript"/>
                    </w:rPr>
                    <w:t>3</w:t>
                  </w:r>
                  <w:r>
                    <w:rPr>
                      <w:rFonts w:hint="eastAsia" w:ascii="宋体" w:hAnsi="宋体" w:cs="宋体"/>
                      <w:color w:val="000000"/>
                      <w:kern w:val="0"/>
                      <w:szCs w:val="21"/>
                    </w:rPr>
                    <w:t>）</w:t>
                  </w:r>
                </w:p>
              </w:tc>
              <w:tc>
                <w:tcPr>
                  <w:tcW w:w="1102" w:type="dxa"/>
                  <w:vMerge w:val="restart"/>
                  <w:shd w:val="clear" w:color="000000" w:fill="FFFFFF"/>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占标率（%）</w:t>
                  </w:r>
                </w:p>
              </w:tc>
              <w:tc>
                <w:tcPr>
                  <w:tcW w:w="898" w:type="dxa"/>
                  <w:vMerge w:val="restart"/>
                  <w:shd w:val="clear" w:color="000000" w:fill="FFFFFF"/>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达标情况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Layout w:type="fixed"/>
                <w:tblCellMar>
                  <w:top w:w="0" w:type="dxa"/>
                  <w:left w:w="108" w:type="dxa"/>
                  <w:bottom w:w="0" w:type="dxa"/>
                  <w:right w:w="108" w:type="dxa"/>
                </w:tblCellMar>
              </w:tblPrEx>
              <w:trPr>
                <w:trHeight w:val="340" w:hRule="atLeast"/>
              </w:trPr>
              <w:tc>
                <w:tcPr>
                  <w:tcW w:w="699" w:type="dxa"/>
                  <w:vMerge w:val="continue"/>
                  <w:vAlign w:val="center"/>
                </w:tcPr>
                <w:p>
                  <w:pPr>
                    <w:widowControl/>
                    <w:jc w:val="center"/>
                    <w:rPr>
                      <w:rFonts w:ascii="宋体" w:hAnsi="宋体" w:cs="宋体"/>
                      <w:color w:val="000000"/>
                      <w:kern w:val="0"/>
                      <w:szCs w:val="21"/>
                    </w:rPr>
                  </w:pPr>
                </w:p>
              </w:tc>
              <w:tc>
                <w:tcPr>
                  <w:tcW w:w="3180" w:type="dxa"/>
                  <w:shd w:val="clear" w:color="000000" w:fill="FFFFFF"/>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（mg/m</w:t>
                  </w:r>
                  <w:r>
                    <w:rPr>
                      <w:rFonts w:hint="eastAsia" w:ascii="宋体" w:hAnsi="宋体" w:cs="宋体"/>
                      <w:color w:val="000000"/>
                      <w:kern w:val="0"/>
                      <w:szCs w:val="21"/>
                      <w:vertAlign w:val="superscript"/>
                    </w:rPr>
                    <w:t>3</w:t>
                  </w:r>
                  <w:r>
                    <w:rPr>
                      <w:rFonts w:hint="eastAsia" w:ascii="宋体" w:hAnsi="宋体" w:cs="宋体"/>
                      <w:color w:val="000000"/>
                      <w:kern w:val="0"/>
                      <w:szCs w:val="21"/>
                    </w:rPr>
                    <w:t>）</w:t>
                  </w:r>
                </w:p>
              </w:tc>
              <w:tc>
                <w:tcPr>
                  <w:tcW w:w="1238" w:type="dxa"/>
                  <w:vMerge w:val="continue"/>
                  <w:vAlign w:val="center"/>
                </w:tcPr>
                <w:p>
                  <w:pPr>
                    <w:widowControl/>
                    <w:jc w:val="center"/>
                    <w:rPr>
                      <w:rFonts w:ascii="宋体" w:hAnsi="宋体" w:cs="宋体"/>
                      <w:color w:val="000000"/>
                      <w:kern w:val="0"/>
                      <w:szCs w:val="21"/>
                    </w:rPr>
                  </w:pPr>
                </w:p>
              </w:tc>
              <w:tc>
                <w:tcPr>
                  <w:tcW w:w="1102" w:type="dxa"/>
                  <w:vMerge w:val="continue"/>
                  <w:vAlign w:val="center"/>
                </w:tcPr>
                <w:p>
                  <w:pPr>
                    <w:widowControl/>
                    <w:jc w:val="center"/>
                    <w:rPr>
                      <w:rFonts w:ascii="宋体" w:hAnsi="宋体" w:cs="宋体"/>
                      <w:color w:val="000000"/>
                      <w:kern w:val="0"/>
                      <w:szCs w:val="21"/>
                    </w:rPr>
                  </w:pPr>
                </w:p>
              </w:tc>
              <w:tc>
                <w:tcPr>
                  <w:tcW w:w="898" w:type="dxa"/>
                  <w:vMerge w:val="continue"/>
                  <w:vAlign w:val="center"/>
                </w:tcPr>
                <w:p>
                  <w:pPr>
                    <w:widowControl/>
                    <w:jc w:val="center"/>
                    <w:rPr>
                      <w:rFonts w:ascii="宋体" w:hAnsi="宋体" w:cs="宋体"/>
                      <w:color w:val="000000"/>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Layout w:type="fixed"/>
                <w:tblCellMar>
                  <w:top w:w="0" w:type="dxa"/>
                  <w:left w:w="108" w:type="dxa"/>
                  <w:bottom w:w="0" w:type="dxa"/>
                  <w:right w:w="108" w:type="dxa"/>
                </w:tblCellMar>
              </w:tblPrEx>
              <w:trPr>
                <w:trHeight w:val="340" w:hRule="atLeast"/>
              </w:trPr>
              <w:tc>
                <w:tcPr>
                  <w:tcW w:w="699" w:type="dxa"/>
                  <w:shd w:val="clear" w:color="000000" w:fill="FFFFFF"/>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CO</w:t>
                  </w:r>
                </w:p>
              </w:tc>
              <w:tc>
                <w:tcPr>
                  <w:tcW w:w="3180" w:type="dxa"/>
                  <w:shd w:val="clear" w:color="000000" w:fill="FFFFFF"/>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2.5</w:t>
                  </w:r>
                </w:p>
              </w:tc>
              <w:tc>
                <w:tcPr>
                  <w:tcW w:w="1238" w:type="dxa"/>
                  <w:shd w:val="clear" w:color="000000" w:fill="FFFFFF"/>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4</w:t>
                  </w:r>
                </w:p>
              </w:tc>
              <w:tc>
                <w:tcPr>
                  <w:tcW w:w="1102" w:type="dxa"/>
                  <w:shd w:val="clear" w:color="000000" w:fill="FFFFFF"/>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63</w:t>
                  </w:r>
                </w:p>
              </w:tc>
              <w:tc>
                <w:tcPr>
                  <w:tcW w:w="898" w:type="dxa"/>
                  <w:shd w:val="clear" w:color="000000" w:fill="FFFFFF"/>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达标</w:t>
                  </w:r>
                </w:p>
              </w:tc>
            </w:tr>
          </w:tbl>
          <w:p>
            <w:pPr>
              <w:pStyle w:val="110"/>
              <w:rPr>
                <w:color w:val="000000"/>
                <w:lang w:bidi="ar"/>
              </w:rPr>
            </w:pPr>
          </w:p>
          <w:p>
            <w:pPr>
              <w:pStyle w:val="110"/>
              <w:rPr>
                <w:color w:val="000000"/>
              </w:rPr>
            </w:pPr>
            <w:r>
              <w:rPr>
                <w:color w:val="000000"/>
              </w:rPr>
              <w:t>3、水环境质量现状调查与评价</w:t>
            </w:r>
          </w:p>
          <w:p>
            <w:pPr>
              <w:pStyle w:val="110"/>
              <w:rPr>
                <w:color w:val="000000"/>
              </w:rPr>
            </w:pPr>
            <w:r>
              <w:rPr>
                <w:rFonts w:hint="eastAsia"/>
                <w:color w:val="000000"/>
              </w:rPr>
              <w:t>根据《</w:t>
            </w:r>
            <w:r>
              <w:rPr>
                <w:color w:val="000000"/>
              </w:rPr>
              <w:t>环境影响评价技术导则 地</w:t>
            </w:r>
            <w:r>
              <w:rPr>
                <w:rFonts w:hint="eastAsia"/>
                <w:color w:val="000000"/>
              </w:rPr>
              <w:t>表水</w:t>
            </w:r>
            <w:r>
              <w:rPr>
                <w:color w:val="000000"/>
              </w:rPr>
              <w:t>环境</w:t>
            </w:r>
            <w:r>
              <w:rPr>
                <w:rFonts w:hint="eastAsia"/>
                <w:color w:val="000000"/>
              </w:rPr>
              <w:t>》（</w:t>
            </w:r>
            <w:r>
              <w:rPr>
                <w:color w:val="000000"/>
              </w:rPr>
              <w:t>HJ 2.3-2018</w:t>
            </w:r>
            <w:r>
              <w:rPr>
                <w:rFonts w:hint="eastAsia"/>
                <w:color w:val="000000"/>
              </w:rPr>
              <w:t>）要求，“建设项目生产工艺中有废水产生，但作为回水利用，不排放到外环境的，按三级B评价。”本项目产生的钻井废水全部输送至“泥浆不落地”泥浆槽中循环利用，完井后废水运至春风一号联合站处理达标后用于产能开发回注地层，生活污水排入旱厕由当地农户定期清理，用做农肥；废水均不外排</w:t>
            </w:r>
            <w:r>
              <w:rPr>
                <w:rFonts w:hint="eastAsia"/>
                <w:color w:val="000000"/>
                <w:kern w:val="0"/>
              </w:rPr>
              <w:t>，因此地表水评价等级为三级B。</w:t>
            </w:r>
          </w:p>
          <w:p>
            <w:pPr>
              <w:pStyle w:val="110"/>
              <w:rPr>
                <w:color w:val="000000"/>
              </w:rPr>
            </w:pPr>
            <w:r>
              <w:rPr>
                <w:rFonts w:hint="eastAsia"/>
                <w:color w:val="000000"/>
              </w:rPr>
              <w:t>根据《</w:t>
            </w:r>
            <w:r>
              <w:rPr>
                <w:color w:val="000000"/>
              </w:rPr>
              <w:t>环境影响评价技术导则 地下水环境</w:t>
            </w:r>
            <w:r>
              <w:rPr>
                <w:rFonts w:hint="eastAsia"/>
                <w:color w:val="000000"/>
              </w:rPr>
              <w:t>》（</w:t>
            </w:r>
            <w:r>
              <w:rPr>
                <w:color w:val="000000"/>
              </w:rPr>
              <w:t>HJ 610-2016</w:t>
            </w:r>
            <w:r>
              <w:rPr>
                <w:rFonts w:hint="eastAsia"/>
                <w:color w:val="000000"/>
              </w:rPr>
              <w:t>）附录A 地下水环境影响评价行业分类表，本项目行业类别为：C 地质勘查，24、矿产资源地质勘查（包括勘探活动），地下水环境影响评价项目类别为Ⅳ类。根据《</w:t>
            </w:r>
            <w:r>
              <w:rPr>
                <w:color w:val="000000"/>
              </w:rPr>
              <w:t>环境影响评价技术导则 地下水环境</w:t>
            </w:r>
            <w:r>
              <w:rPr>
                <w:rFonts w:hint="eastAsia"/>
                <w:color w:val="000000"/>
              </w:rPr>
              <w:t>》（</w:t>
            </w:r>
            <w:r>
              <w:rPr>
                <w:color w:val="000000"/>
              </w:rPr>
              <w:t>HJ 610-2016</w:t>
            </w:r>
            <w:r>
              <w:rPr>
                <w:rFonts w:hint="eastAsia"/>
                <w:color w:val="000000"/>
              </w:rPr>
              <w:t>），Ⅳ类建设项目不开展地下水环境影响评价，故本项目不对地下水进行环境影响评价。</w:t>
            </w:r>
          </w:p>
          <w:p>
            <w:pPr>
              <w:pStyle w:val="110"/>
              <w:rPr>
                <w:color w:val="000000"/>
              </w:rPr>
            </w:pPr>
            <w:r>
              <w:rPr>
                <w:color w:val="000000"/>
              </w:rPr>
              <w:t>4</w:t>
            </w:r>
            <w:r>
              <w:rPr>
                <w:rFonts w:hint="eastAsia"/>
                <w:color w:val="000000"/>
              </w:rPr>
              <w:t>、声环境质量现状与评价</w:t>
            </w:r>
          </w:p>
          <w:p>
            <w:pPr>
              <w:pStyle w:val="110"/>
              <w:rPr>
                <w:color w:val="000000"/>
              </w:rPr>
            </w:pPr>
            <w:r>
              <w:rPr>
                <w:rFonts w:hint="eastAsia"/>
                <w:color w:val="000000"/>
                <w:kern w:val="0"/>
              </w:rPr>
              <w:t>新疆环疆绿源环保科技有限公司（</w:t>
            </w:r>
            <w:r>
              <w:rPr>
                <w:color w:val="000000"/>
                <w:kern w:val="0"/>
              </w:rPr>
              <w:t>CMA</w:t>
            </w:r>
            <w:r>
              <w:rPr>
                <w:rFonts w:hint="eastAsia"/>
                <w:color w:val="000000"/>
                <w:kern w:val="0"/>
              </w:rPr>
              <w:t>：</w:t>
            </w:r>
            <w:r>
              <w:rPr>
                <w:color w:val="000000"/>
                <w:kern w:val="0"/>
              </w:rPr>
              <w:t>193112050004</w:t>
            </w:r>
            <w:r>
              <w:rPr>
                <w:rFonts w:hint="eastAsia"/>
                <w:color w:val="000000"/>
                <w:kern w:val="0"/>
              </w:rPr>
              <w:t>）</w:t>
            </w:r>
            <w:r>
              <w:rPr>
                <w:rFonts w:hint="eastAsia"/>
                <w:color w:val="000000"/>
              </w:rPr>
              <w:t>于20</w:t>
            </w:r>
            <w:r>
              <w:rPr>
                <w:color w:val="000000"/>
              </w:rPr>
              <w:t>22</w:t>
            </w:r>
            <w:r>
              <w:rPr>
                <w:rFonts w:hint="eastAsia"/>
                <w:color w:val="000000"/>
              </w:rPr>
              <w:t>年</w:t>
            </w:r>
            <w:r>
              <w:rPr>
                <w:color w:val="000000"/>
              </w:rPr>
              <w:t>7</w:t>
            </w:r>
            <w:r>
              <w:rPr>
                <w:rFonts w:hint="eastAsia"/>
                <w:color w:val="000000"/>
              </w:rPr>
              <w:t>月</w:t>
            </w:r>
            <w:r>
              <w:rPr>
                <w:color w:val="000000"/>
              </w:rPr>
              <w:t>24</w:t>
            </w:r>
            <w:r>
              <w:rPr>
                <w:rFonts w:hint="eastAsia"/>
                <w:color w:val="000000"/>
              </w:rPr>
              <w:t>日对本项目所</w:t>
            </w:r>
            <w:r>
              <w:rPr>
                <w:rFonts w:hint="eastAsia"/>
                <w:snapToGrid w:val="0"/>
                <w:color w:val="000000"/>
              </w:rPr>
              <w:t>在区域声环境进行的现状监测</w:t>
            </w:r>
            <w:r>
              <w:rPr>
                <w:rFonts w:hint="eastAsia"/>
                <w:color w:val="000000"/>
              </w:rPr>
              <w:t>。</w:t>
            </w:r>
          </w:p>
          <w:p>
            <w:pPr>
              <w:pStyle w:val="110"/>
              <w:rPr>
                <w:color w:val="000000"/>
              </w:rPr>
            </w:pPr>
            <w:r>
              <w:rPr>
                <w:rFonts w:hint="eastAsia"/>
                <w:color w:val="000000"/>
              </w:rPr>
              <w:t>1）评价标准</w:t>
            </w:r>
          </w:p>
          <w:p>
            <w:pPr>
              <w:pStyle w:val="110"/>
              <w:rPr>
                <w:color w:val="000000"/>
              </w:rPr>
            </w:pPr>
            <w:r>
              <w:rPr>
                <w:rFonts w:hint="eastAsia"/>
                <w:color w:val="000000"/>
              </w:rPr>
              <w:t>执行《声环境质量标准》（GB 3096-2008）中的2类声环境功能区环境噪声限值。</w:t>
            </w:r>
          </w:p>
          <w:p>
            <w:pPr>
              <w:pStyle w:val="110"/>
              <w:rPr>
                <w:color w:val="000000"/>
              </w:rPr>
            </w:pPr>
            <w:r>
              <w:rPr>
                <w:rFonts w:hint="eastAsia"/>
                <w:color w:val="000000"/>
              </w:rPr>
              <w:t>2）现状布点</w:t>
            </w:r>
          </w:p>
          <w:p>
            <w:pPr>
              <w:pStyle w:val="110"/>
              <w:rPr>
                <w:color w:val="000000"/>
              </w:rPr>
            </w:pPr>
            <w:r>
              <w:rPr>
                <w:rFonts w:hint="eastAsia"/>
                <w:color w:val="000000"/>
              </w:rPr>
              <w:t>在各井场区域分别设置4个监测点。</w:t>
            </w:r>
          </w:p>
          <w:p>
            <w:pPr>
              <w:pStyle w:val="110"/>
              <w:rPr>
                <w:color w:val="000000"/>
              </w:rPr>
            </w:pPr>
            <w:r>
              <w:rPr>
                <w:rFonts w:hint="eastAsia"/>
                <w:color w:val="000000"/>
              </w:rPr>
              <w:t>3）监测方法</w:t>
            </w:r>
          </w:p>
          <w:p>
            <w:pPr>
              <w:pStyle w:val="110"/>
              <w:rPr>
                <w:color w:val="000000"/>
              </w:rPr>
            </w:pPr>
            <w:r>
              <w:rPr>
                <w:rFonts w:hint="eastAsia"/>
                <w:color w:val="000000"/>
              </w:rPr>
              <w:t>按照《声环境质量标准》（GB 3096-2008）中的有关规定进行监测。</w:t>
            </w:r>
          </w:p>
          <w:p>
            <w:pPr>
              <w:pStyle w:val="110"/>
              <w:rPr>
                <w:color w:val="000000"/>
              </w:rPr>
            </w:pPr>
            <w:r>
              <w:rPr>
                <w:rFonts w:hint="eastAsia"/>
                <w:color w:val="000000"/>
              </w:rPr>
              <w:t>4）现状监测结果</w:t>
            </w:r>
          </w:p>
          <w:p>
            <w:pPr>
              <w:pStyle w:val="110"/>
              <w:rPr>
                <w:color w:val="000000"/>
              </w:rPr>
            </w:pPr>
            <w:r>
              <w:rPr>
                <w:rFonts w:hint="eastAsia"/>
                <w:color w:val="000000"/>
              </w:rPr>
              <w:t xml:space="preserve">监测及评价结果见表 </w:t>
            </w:r>
            <w:r>
              <w:rPr>
                <w:color w:val="000000"/>
              </w:rPr>
              <w:t>14</w:t>
            </w:r>
            <w:r>
              <w:rPr>
                <w:rFonts w:hint="eastAsia"/>
                <w:color w:val="000000"/>
              </w:rPr>
              <w:t>。</w:t>
            </w:r>
          </w:p>
          <w:p>
            <w:pPr>
              <w:pStyle w:val="12"/>
              <w:spacing w:before="120"/>
              <w:rPr>
                <w:rFonts w:hAnsi="宋体"/>
                <w:color w:val="000000"/>
                <w:szCs w:val="21"/>
              </w:rPr>
            </w:pPr>
            <w:bookmarkStart w:id="18" w:name="_Ref38543394"/>
            <w:r>
              <w:rPr>
                <w:rFonts w:hint="eastAsia"/>
                <w:color w:val="000000"/>
              </w:rPr>
              <w:t xml:space="preserve">表 </w:t>
            </w:r>
            <w:r>
              <w:rPr>
                <w:color w:val="000000"/>
              </w:rPr>
              <w:t>14</w:t>
            </w:r>
            <w:bookmarkEnd w:id="18"/>
            <w:r>
              <w:rPr>
                <w:color w:val="000000"/>
              </w:rPr>
              <w:t xml:space="preserve">  </w:t>
            </w:r>
            <w:r>
              <w:rPr>
                <w:rFonts w:hint="eastAsia" w:hAnsi="宋体"/>
                <w:color w:val="000000"/>
                <w:szCs w:val="21"/>
              </w:rPr>
              <w:t>噪声现状监测结果及评价标准（单位：dB（A））</w:t>
            </w:r>
          </w:p>
          <w:tbl>
            <w:tblPr>
              <w:tblStyle w:val="29"/>
              <w:tblW w:w="626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1"/>
              <w:gridCol w:w="1406"/>
              <w:gridCol w:w="864"/>
              <w:gridCol w:w="864"/>
              <w:gridCol w:w="864"/>
              <w:gridCol w:w="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blHeader/>
                <w:jc w:val="center"/>
              </w:trPr>
              <w:tc>
                <w:tcPr>
                  <w:tcW w:w="1411" w:type="dxa"/>
                  <w:vMerge w:val="restart"/>
                  <w:tcBorders>
                    <w:top w:val="single" w:color="auto" w:sz="4" w:space="0"/>
                    <w:left w:val="single" w:color="auto" w:sz="4" w:space="0"/>
                    <w:bottom w:val="single" w:color="auto" w:sz="4" w:space="0"/>
                    <w:right w:val="single" w:color="auto" w:sz="4" w:space="0"/>
                  </w:tcBorders>
                  <w:vAlign w:val="center"/>
                </w:tcPr>
                <w:p>
                  <w:pPr>
                    <w:pStyle w:val="70"/>
                    <w:rPr>
                      <w:color w:val="000000"/>
                    </w:rPr>
                  </w:pPr>
                  <w:r>
                    <w:rPr>
                      <w:rFonts w:hint="eastAsia"/>
                      <w:color w:val="000000"/>
                    </w:rPr>
                    <w:t>监测位置</w:t>
                  </w:r>
                </w:p>
              </w:tc>
              <w:tc>
                <w:tcPr>
                  <w:tcW w:w="1406" w:type="dxa"/>
                  <w:vMerge w:val="restart"/>
                  <w:tcBorders>
                    <w:top w:val="single" w:color="auto" w:sz="4" w:space="0"/>
                    <w:left w:val="single" w:color="auto" w:sz="4" w:space="0"/>
                    <w:bottom w:val="single" w:color="auto" w:sz="4" w:space="0"/>
                    <w:right w:val="single" w:color="auto" w:sz="4" w:space="0"/>
                  </w:tcBorders>
                  <w:vAlign w:val="center"/>
                </w:tcPr>
                <w:p>
                  <w:pPr>
                    <w:pStyle w:val="70"/>
                    <w:rPr>
                      <w:color w:val="000000"/>
                    </w:rPr>
                  </w:pPr>
                  <w:r>
                    <w:rPr>
                      <w:rFonts w:hint="eastAsia"/>
                      <w:color w:val="000000"/>
                    </w:rPr>
                    <w:t>监测时间</w:t>
                  </w:r>
                </w:p>
              </w:tc>
              <w:tc>
                <w:tcPr>
                  <w:tcW w:w="1728" w:type="dxa"/>
                  <w:gridSpan w:val="2"/>
                  <w:tcBorders>
                    <w:top w:val="single" w:color="auto" w:sz="4" w:space="0"/>
                    <w:left w:val="single" w:color="auto" w:sz="4" w:space="0"/>
                    <w:bottom w:val="single" w:color="auto" w:sz="4" w:space="0"/>
                    <w:right w:val="single" w:color="auto" w:sz="4" w:space="0"/>
                  </w:tcBorders>
                  <w:vAlign w:val="center"/>
                </w:tcPr>
                <w:p>
                  <w:pPr>
                    <w:pStyle w:val="70"/>
                    <w:rPr>
                      <w:color w:val="000000"/>
                    </w:rPr>
                  </w:pPr>
                  <w:r>
                    <w:rPr>
                      <w:rFonts w:hint="eastAsia"/>
                      <w:color w:val="000000"/>
                    </w:rPr>
                    <w:t>监测结果</w:t>
                  </w:r>
                </w:p>
              </w:tc>
              <w:tc>
                <w:tcPr>
                  <w:tcW w:w="1718" w:type="dxa"/>
                  <w:gridSpan w:val="2"/>
                  <w:tcBorders>
                    <w:top w:val="single" w:color="auto" w:sz="4" w:space="0"/>
                    <w:left w:val="single" w:color="auto" w:sz="4" w:space="0"/>
                    <w:bottom w:val="single" w:color="auto" w:sz="4" w:space="0"/>
                    <w:right w:val="single" w:color="auto" w:sz="4" w:space="0"/>
                  </w:tcBorders>
                  <w:vAlign w:val="center"/>
                </w:tcPr>
                <w:p>
                  <w:pPr>
                    <w:pStyle w:val="70"/>
                    <w:rPr>
                      <w:color w:val="000000"/>
                    </w:rPr>
                  </w:pPr>
                  <w:r>
                    <w:rPr>
                      <w:rFonts w:hint="eastAsia"/>
                      <w:color w:val="000000"/>
                    </w:rPr>
                    <w:t>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blHeader/>
                <w:jc w:val="center"/>
              </w:trPr>
              <w:tc>
                <w:tcPr>
                  <w:tcW w:w="1411" w:type="dxa"/>
                  <w:vMerge w:val="continue"/>
                  <w:tcBorders>
                    <w:top w:val="single" w:color="auto" w:sz="4" w:space="0"/>
                    <w:left w:val="single" w:color="auto" w:sz="4" w:space="0"/>
                    <w:bottom w:val="single" w:color="auto" w:sz="4" w:space="0"/>
                    <w:right w:val="single" w:color="auto" w:sz="4" w:space="0"/>
                  </w:tcBorders>
                  <w:vAlign w:val="center"/>
                </w:tcPr>
                <w:p>
                  <w:pPr>
                    <w:pStyle w:val="70"/>
                    <w:rPr>
                      <w:color w:val="000000"/>
                    </w:rPr>
                  </w:pPr>
                </w:p>
              </w:tc>
              <w:tc>
                <w:tcPr>
                  <w:tcW w:w="1406" w:type="dxa"/>
                  <w:vMerge w:val="continue"/>
                  <w:tcBorders>
                    <w:top w:val="single" w:color="auto" w:sz="4" w:space="0"/>
                    <w:left w:val="single" w:color="auto" w:sz="4" w:space="0"/>
                    <w:bottom w:val="single" w:color="auto" w:sz="4" w:space="0"/>
                    <w:right w:val="single" w:color="auto" w:sz="4" w:space="0"/>
                  </w:tcBorders>
                  <w:vAlign w:val="center"/>
                </w:tcPr>
                <w:p>
                  <w:pPr>
                    <w:pStyle w:val="70"/>
                    <w:rPr>
                      <w:color w:val="000000"/>
                    </w:rPr>
                  </w:pPr>
                </w:p>
              </w:tc>
              <w:tc>
                <w:tcPr>
                  <w:tcW w:w="864" w:type="dxa"/>
                  <w:tcBorders>
                    <w:top w:val="single" w:color="auto" w:sz="4" w:space="0"/>
                    <w:left w:val="single" w:color="auto" w:sz="4" w:space="0"/>
                    <w:bottom w:val="single" w:color="auto" w:sz="4" w:space="0"/>
                    <w:right w:val="single" w:color="auto" w:sz="4" w:space="0"/>
                  </w:tcBorders>
                  <w:vAlign w:val="center"/>
                </w:tcPr>
                <w:p>
                  <w:pPr>
                    <w:pStyle w:val="70"/>
                    <w:rPr>
                      <w:color w:val="000000"/>
                    </w:rPr>
                  </w:pPr>
                  <w:r>
                    <w:rPr>
                      <w:rFonts w:hint="eastAsia"/>
                      <w:color w:val="000000"/>
                    </w:rPr>
                    <w:t>昼间</w:t>
                  </w:r>
                </w:p>
              </w:tc>
              <w:tc>
                <w:tcPr>
                  <w:tcW w:w="864" w:type="dxa"/>
                  <w:tcBorders>
                    <w:top w:val="single" w:color="auto" w:sz="4" w:space="0"/>
                    <w:left w:val="single" w:color="auto" w:sz="4" w:space="0"/>
                    <w:bottom w:val="single" w:color="auto" w:sz="4" w:space="0"/>
                    <w:right w:val="single" w:color="auto" w:sz="4" w:space="0"/>
                  </w:tcBorders>
                  <w:vAlign w:val="center"/>
                </w:tcPr>
                <w:p>
                  <w:pPr>
                    <w:pStyle w:val="70"/>
                    <w:rPr>
                      <w:color w:val="000000"/>
                    </w:rPr>
                  </w:pPr>
                  <w:r>
                    <w:rPr>
                      <w:rFonts w:hint="eastAsia"/>
                      <w:color w:val="000000"/>
                    </w:rPr>
                    <w:t>夜间</w:t>
                  </w:r>
                </w:p>
              </w:tc>
              <w:tc>
                <w:tcPr>
                  <w:tcW w:w="864" w:type="dxa"/>
                  <w:tcBorders>
                    <w:top w:val="single" w:color="auto" w:sz="4" w:space="0"/>
                    <w:left w:val="single" w:color="auto" w:sz="4" w:space="0"/>
                    <w:bottom w:val="single" w:color="auto" w:sz="4" w:space="0"/>
                    <w:right w:val="single" w:color="auto" w:sz="4" w:space="0"/>
                  </w:tcBorders>
                  <w:vAlign w:val="center"/>
                </w:tcPr>
                <w:p>
                  <w:pPr>
                    <w:pStyle w:val="70"/>
                    <w:rPr>
                      <w:color w:val="000000"/>
                    </w:rPr>
                  </w:pPr>
                  <w:r>
                    <w:rPr>
                      <w:rFonts w:hint="eastAsia"/>
                      <w:color w:val="000000"/>
                    </w:rPr>
                    <w:t>昼间</w:t>
                  </w:r>
                </w:p>
              </w:tc>
              <w:tc>
                <w:tcPr>
                  <w:tcW w:w="854" w:type="dxa"/>
                  <w:tcBorders>
                    <w:top w:val="single" w:color="auto" w:sz="4" w:space="0"/>
                    <w:left w:val="single" w:color="auto" w:sz="4" w:space="0"/>
                    <w:bottom w:val="single" w:color="auto" w:sz="4" w:space="0"/>
                    <w:right w:val="single" w:color="auto" w:sz="4" w:space="0"/>
                  </w:tcBorders>
                  <w:vAlign w:val="center"/>
                </w:tcPr>
                <w:p>
                  <w:pPr>
                    <w:pStyle w:val="70"/>
                    <w:rPr>
                      <w:color w:val="000000"/>
                    </w:rPr>
                  </w:pPr>
                  <w:r>
                    <w:rPr>
                      <w:rFonts w:hint="eastAsia"/>
                      <w:color w:val="000000"/>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411" w:type="dxa"/>
                  <w:tcBorders>
                    <w:top w:val="single" w:color="auto" w:sz="4" w:space="0"/>
                    <w:left w:val="single" w:color="auto" w:sz="4" w:space="0"/>
                    <w:bottom w:val="single" w:color="auto" w:sz="4" w:space="0"/>
                    <w:right w:val="single" w:color="auto" w:sz="4" w:space="0"/>
                  </w:tcBorders>
                  <w:vAlign w:val="center"/>
                </w:tcPr>
                <w:p>
                  <w:pPr>
                    <w:pStyle w:val="70"/>
                    <w:rPr>
                      <w:color w:val="000000"/>
                    </w:rPr>
                  </w:pPr>
                  <w:r>
                    <w:rPr>
                      <w:rFonts w:hint="eastAsia"/>
                      <w:color w:val="000000"/>
                    </w:rPr>
                    <w:t>Z</w:t>
                  </w:r>
                  <w:r>
                    <w:rPr>
                      <w:color w:val="000000"/>
                    </w:rPr>
                    <w:t>1-1</w:t>
                  </w:r>
                </w:p>
              </w:tc>
              <w:tc>
                <w:tcPr>
                  <w:tcW w:w="1406" w:type="dxa"/>
                  <w:vMerge w:val="restart"/>
                  <w:tcBorders>
                    <w:top w:val="single" w:color="auto" w:sz="4" w:space="0"/>
                    <w:left w:val="single" w:color="auto" w:sz="4" w:space="0"/>
                    <w:right w:val="single" w:color="auto" w:sz="4" w:space="0"/>
                  </w:tcBorders>
                  <w:vAlign w:val="center"/>
                </w:tcPr>
                <w:p>
                  <w:pPr>
                    <w:pStyle w:val="70"/>
                    <w:rPr>
                      <w:color w:val="000000"/>
                    </w:rPr>
                  </w:pPr>
                  <w:r>
                    <w:rPr>
                      <w:color w:val="000000"/>
                    </w:rPr>
                    <w:t>7</w:t>
                  </w:r>
                  <w:r>
                    <w:rPr>
                      <w:rFonts w:hint="eastAsia"/>
                      <w:color w:val="000000"/>
                    </w:rPr>
                    <w:t>月2</w:t>
                  </w:r>
                  <w:r>
                    <w:rPr>
                      <w:color w:val="000000"/>
                    </w:rPr>
                    <w:t>4</w:t>
                  </w:r>
                  <w:r>
                    <w:rPr>
                      <w:rFonts w:hint="eastAsia"/>
                      <w:color w:val="000000"/>
                    </w:rPr>
                    <w:t>日</w:t>
                  </w:r>
                </w:p>
              </w:tc>
              <w:tc>
                <w:tcPr>
                  <w:tcW w:w="864" w:type="dxa"/>
                  <w:tcBorders>
                    <w:top w:val="single" w:color="auto" w:sz="4" w:space="0"/>
                    <w:left w:val="single" w:color="auto" w:sz="4" w:space="0"/>
                    <w:bottom w:val="single" w:color="auto" w:sz="4" w:space="0"/>
                    <w:right w:val="single" w:color="auto" w:sz="4" w:space="0"/>
                  </w:tcBorders>
                  <w:vAlign w:val="center"/>
                </w:tcPr>
                <w:p>
                  <w:pPr>
                    <w:pStyle w:val="70"/>
                    <w:rPr>
                      <w:color w:val="000000"/>
                    </w:rPr>
                  </w:pPr>
                  <w:r>
                    <w:rPr>
                      <w:rFonts w:hint="eastAsia"/>
                      <w:color w:val="000000"/>
                    </w:rPr>
                    <w:t>4</w:t>
                  </w:r>
                  <w:r>
                    <w:rPr>
                      <w:color w:val="000000"/>
                    </w:rPr>
                    <w:t>8</w:t>
                  </w:r>
                </w:p>
              </w:tc>
              <w:tc>
                <w:tcPr>
                  <w:tcW w:w="864" w:type="dxa"/>
                  <w:tcBorders>
                    <w:top w:val="single" w:color="auto" w:sz="4" w:space="0"/>
                    <w:left w:val="single" w:color="auto" w:sz="4" w:space="0"/>
                    <w:bottom w:val="single" w:color="auto" w:sz="4" w:space="0"/>
                    <w:right w:val="single" w:color="auto" w:sz="4" w:space="0"/>
                  </w:tcBorders>
                  <w:vAlign w:val="center"/>
                </w:tcPr>
                <w:p>
                  <w:pPr>
                    <w:pStyle w:val="70"/>
                    <w:rPr>
                      <w:color w:val="000000"/>
                    </w:rPr>
                  </w:pPr>
                  <w:r>
                    <w:rPr>
                      <w:rFonts w:hint="eastAsia"/>
                      <w:color w:val="000000"/>
                    </w:rPr>
                    <w:t>4</w:t>
                  </w:r>
                  <w:r>
                    <w:rPr>
                      <w:color w:val="000000"/>
                    </w:rPr>
                    <w:t>2</w:t>
                  </w:r>
                </w:p>
              </w:tc>
              <w:tc>
                <w:tcPr>
                  <w:tcW w:w="864" w:type="dxa"/>
                  <w:vMerge w:val="restart"/>
                  <w:tcBorders>
                    <w:top w:val="single" w:color="auto" w:sz="4" w:space="0"/>
                    <w:left w:val="single" w:color="auto" w:sz="4" w:space="0"/>
                    <w:right w:val="single" w:color="auto" w:sz="4" w:space="0"/>
                  </w:tcBorders>
                  <w:vAlign w:val="center"/>
                </w:tcPr>
                <w:p>
                  <w:pPr>
                    <w:pStyle w:val="70"/>
                    <w:rPr>
                      <w:color w:val="000000"/>
                    </w:rPr>
                  </w:pPr>
                  <w:r>
                    <w:rPr>
                      <w:rFonts w:hint="eastAsia"/>
                      <w:color w:val="000000"/>
                    </w:rPr>
                    <w:t>60</w:t>
                  </w:r>
                </w:p>
              </w:tc>
              <w:tc>
                <w:tcPr>
                  <w:tcW w:w="854" w:type="dxa"/>
                  <w:vMerge w:val="restart"/>
                  <w:tcBorders>
                    <w:top w:val="single" w:color="auto" w:sz="4" w:space="0"/>
                    <w:left w:val="single" w:color="auto" w:sz="4" w:space="0"/>
                    <w:right w:val="single" w:color="auto" w:sz="4" w:space="0"/>
                  </w:tcBorders>
                  <w:vAlign w:val="center"/>
                </w:tcPr>
                <w:p>
                  <w:pPr>
                    <w:pStyle w:val="70"/>
                    <w:rPr>
                      <w:color w:val="000000"/>
                    </w:rPr>
                  </w:pPr>
                  <w:r>
                    <w:rPr>
                      <w:rFonts w:hint="eastAsia"/>
                      <w:color w:val="000000"/>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411" w:type="dxa"/>
                  <w:tcBorders>
                    <w:top w:val="single" w:color="auto" w:sz="4" w:space="0"/>
                    <w:left w:val="single" w:color="auto" w:sz="4" w:space="0"/>
                    <w:bottom w:val="single" w:color="auto" w:sz="4" w:space="0"/>
                    <w:right w:val="single" w:color="auto" w:sz="4" w:space="0"/>
                  </w:tcBorders>
                  <w:vAlign w:val="center"/>
                </w:tcPr>
                <w:p>
                  <w:pPr>
                    <w:pStyle w:val="70"/>
                    <w:rPr>
                      <w:color w:val="000000"/>
                    </w:rPr>
                  </w:pPr>
                  <w:r>
                    <w:rPr>
                      <w:rFonts w:hint="eastAsia"/>
                      <w:color w:val="000000"/>
                    </w:rPr>
                    <w:t>Z</w:t>
                  </w:r>
                  <w:r>
                    <w:rPr>
                      <w:color w:val="000000"/>
                    </w:rPr>
                    <w:t>2-1</w:t>
                  </w:r>
                </w:p>
              </w:tc>
              <w:tc>
                <w:tcPr>
                  <w:tcW w:w="1406" w:type="dxa"/>
                  <w:vMerge w:val="continue"/>
                  <w:tcBorders>
                    <w:left w:val="single" w:color="auto" w:sz="4" w:space="0"/>
                    <w:right w:val="single" w:color="auto" w:sz="4" w:space="0"/>
                  </w:tcBorders>
                  <w:vAlign w:val="center"/>
                </w:tcPr>
                <w:p>
                  <w:pPr>
                    <w:pStyle w:val="70"/>
                    <w:rPr>
                      <w:color w:val="000000"/>
                    </w:rPr>
                  </w:pPr>
                </w:p>
              </w:tc>
              <w:tc>
                <w:tcPr>
                  <w:tcW w:w="864" w:type="dxa"/>
                  <w:tcBorders>
                    <w:top w:val="single" w:color="auto" w:sz="4" w:space="0"/>
                    <w:left w:val="single" w:color="auto" w:sz="4" w:space="0"/>
                    <w:bottom w:val="single" w:color="auto" w:sz="4" w:space="0"/>
                    <w:right w:val="single" w:color="auto" w:sz="4" w:space="0"/>
                  </w:tcBorders>
                  <w:vAlign w:val="center"/>
                </w:tcPr>
                <w:p>
                  <w:pPr>
                    <w:pStyle w:val="70"/>
                    <w:rPr>
                      <w:color w:val="000000"/>
                    </w:rPr>
                  </w:pPr>
                  <w:r>
                    <w:rPr>
                      <w:rFonts w:hint="eastAsia"/>
                      <w:color w:val="000000"/>
                    </w:rPr>
                    <w:t>4</w:t>
                  </w:r>
                  <w:r>
                    <w:rPr>
                      <w:color w:val="000000"/>
                    </w:rPr>
                    <w:t>9</w:t>
                  </w:r>
                </w:p>
              </w:tc>
              <w:tc>
                <w:tcPr>
                  <w:tcW w:w="864" w:type="dxa"/>
                  <w:tcBorders>
                    <w:top w:val="single" w:color="auto" w:sz="4" w:space="0"/>
                    <w:left w:val="single" w:color="auto" w:sz="4" w:space="0"/>
                    <w:bottom w:val="single" w:color="auto" w:sz="4" w:space="0"/>
                    <w:right w:val="single" w:color="auto" w:sz="4" w:space="0"/>
                  </w:tcBorders>
                  <w:vAlign w:val="center"/>
                </w:tcPr>
                <w:p>
                  <w:pPr>
                    <w:pStyle w:val="70"/>
                    <w:rPr>
                      <w:color w:val="000000"/>
                    </w:rPr>
                  </w:pPr>
                  <w:r>
                    <w:rPr>
                      <w:rFonts w:hint="eastAsia"/>
                      <w:color w:val="000000"/>
                    </w:rPr>
                    <w:t>4</w:t>
                  </w:r>
                  <w:r>
                    <w:rPr>
                      <w:color w:val="000000"/>
                    </w:rPr>
                    <w:t>1</w:t>
                  </w:r>
                </w:p>
              </w:tc>
              <w:tc>
                <w:tcPr>
                  <w:tcW w:w="864" w:type="dxa"/>
                  <w:vMerge w:val="continue"/>
                  <w:tcBorders>
                    <w:left w:val="single" w:color="auto" w:sz="4" w:space="0"/>
                    <w:right w:val="single" w:color="auto" w:sz="4" w:space="0"/>
                  </w:tcBorders>
                  <w:vAlign w:val="center"/>
                </w:tcPr>
                <w:p>
                  <w:pPr>
                    <w:pStyle w:val="70"/>
                    <w:rPr>
                      <w:color w:val="000000"/>
                    </w:rPr>
                  </w:pPr>
                </w:p>
              </w:tc>
              <w:tc>
                <w:tcPr>
                  <w:tcW w:w="854" w:type="dxa"/>
                  <w:vMerge w:val="continue"/>
                  <w:tcBorders>
                    <w:left w:val="single" w:color="auto" w:sz="4" w:space="0"/>
                    <w:right w:val="single" w:color="auto" w:sz="4" w:space="0"/>
                  </w:tcBorders>
                  <w:vAlign w:val="center"/>
                </w:tcPr>
                <w:p>
                  <w:pPr>
                    <w:pStyle w:val="70"/>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411" w:type="dxa"/>
                  <w:tcBorders>
                    <w:top w:val="single" w:color="auto" w:sz="4" w:space="0"/>
                    <w:left w:val="single" w:color="auto" w:sz="4" w:space="0"/>
                    <w:bottom w:val="single" w:color="auto" w:sz="4" w:space="0"/>
                    <w:right w:val="single" w:color="auto" w:sz="4" w:space="0"/>
                  </w:tcBorders>
                  <w:vAlign w:val="center"/>
                </w:tcPr>
                <w:p>
                  <w:pPr>
                    <w:pStyle w:val="70"/>
                    <w:rPr>
                      <w:color w:val="000000"/>
                    </w:rPr>
                  </w:pPr>
                  <w:r>
                    <w:rPr>
                      <w:rFonts w:hint="eastAsia"/>
                      <w:color w:val="000000"/>
                    </w:rPr>
                    <w:t>Z</w:t>
                  </w:r>
                  <w:r>
                    <w:rPr>
                      <w:color w:val="000000"/>
                    </w:rPr>
                    <w:t>3-1</w:t>
                  </w:r>
                </w:p>
              </w:tc>
              <w:tc>
                <w:tcPr>
                  <w:tcW w:w="1406" w:type="dxa"/>
                  <w:vMerge w:val="continue"/>
                  <w:tcBorders>
                    <w:left w:val="single" w:color="auto" w:sz="4" w:space="0"/>
                    <w:right w:val="single" w:color="auto" w:sz="4" w:space="0"/>
                  </w:tcBorders>
                  <w:vAlign w:val="center"/>
                </w:tcPr>
                <w:p>
                  <w:pPr>
                    <w:pStyle w:val="70"/>
                    <w:rPr>
                      <w:color w:val="000000"/>
                    </w:rPr>
                  </w:pPr>
                </w:p>
              </w:tc>
              <w:tc>
                <w:tcPr>
                  <w:tcW w:w="864" w:type="dxa"/>
                  <w:tcBorders>
                    <w:top w:val="single" w:color="auto" w:sz="4" w:space="0"/>
                    <w:left w:val="single" w:color="auto" w:sz="4" w:space="0"/>
                    <w:bottom w:val="single" w:color="auto" w:sz="4" w:space="0"/>
                    <w:right w:val="single" w:color="auto" w:sz="4" w:space="0"/>
                  </w:tcBorders>
                  <w:vAlign w:val="center"/>
                </w:tcPr>
                <w:p>
                  <w:pPr>
                    <w:pStyle w:val="70"/>
                    <w:rPr>
                      <w:color w:val="000000"/>
                    </w:rPr>
                  </w:pPr>
                  <w:r>
                    <w:rPr>
                      <w:rFonts w:hint="eastAsia"/>
                      <w:color w:val="000000"/>
                    </w:rPr>
                    <w:t>4</w:t>
                  </w:r>
                  <w:r>
                    <w:rPr>
                      <w:color w:val="000000"/>
                    </w:rPr>
                    <w:t>8</w:t>
                  </w:r>
                </w:p>
              </w:tc>
              <w:tc>
                <w:tcPr>
                  <w:tcW w:w="864" w:type="dxa"/>
                  <w:tcBorders>
                    <w:top w:val="single" w:color="auto" w:sz="4" w:space="0"/>
                    <w:left w:val="single" w:color="auto" w:sz="4" w:space="0"/>
                    <w:bottom w:val="single" w:color="auto" w:sz="4" w:space="0"/>
                    <w:right w:val="single" w:color="auto" w:sz="4" w:space="0"/>
                  </w:tcBorders>
                  <w:vAlign w:val="center"/>
                </w:tcPr>
                <w:p>
                  <w:pPr>
                    <w:pStyle w:val="70"/>
                    <w:rPr>
                      <w:color w:val="000000"/>
                    </w:rPr>
                  </w:pPr>
                  <w:r>
                    <w:rPr>
                      <w:rFonts w:hint="eastAsia"/>
                      <w:color w:val="000000"/>
                    </w:rPr>
                    <w:t>4</w:t>
                  </w:r>
                  <w:r>
                    <w:rPr>
                      <w:color w:val="000000"/>
                    </w:rPr>
                    <w:t>1</w:t>
                  </w:r>
                </w:p>
              </w:tc>
              <w:tc>
                <w:tcPr>
                  <w:tcW w:w="864" w:type="dxa"/>
                  <w:vMerge w:val="continue"/>
                  <w:tcBorders>
                    <w:left w:val="single" w:color="auto" w:sz="4" w:space="0"/>
                    <w:right w:val="single" w:color="auto" w:sz="4" w:space="0"/>
                  </w:tcBorders>
                  <w:vAlign w:val="center"/>
                </w:tcPr>
                <w:p>
                  <w:pPr>
                    <w:pStyle w:val="70"/>
                    <w:rPr>
                      <w:color w:val="000000"/>
                    </w:rPr>
                  </w:pPr>
                </w:p>
              </w:tc>
              <w:tc>
                <w:tcPr>
                  <w:tcW w:w="854" w:type="dxa"/>
                  <w:vMerge w:val="continue"/>
                  <w:tcBorders>
                    <w:left w:val="single" w:color="auto" w:sz="4" w:space="0"/>
                    <w:right w:val="single" w:color="auto" w:sz="4" w:space="0"/>
                  </w:tcBorders>
                  <w:vAlign w:val="center"/>
                </w:tcPr>
                <w:p>
                  <w:pPr>
                    <w:pStyle w:val="70"/>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411" w:type="dxa"/>
                  <w:tcBorders>
                    <w:top w:val="single" w:color="auto" w:sz="4" w:space="0"/>
                    <w:left w:val="single" w:color="auto" w:sz="4" w:space="0"/>
                    <w:bottom w:val="single" w:color="auto" w:sz="4" w:space="0"/>
                    <w:right w:val="single" w:color="auto" w:sz="4" w:space="0"/>
                  </w:tcBorders>
                  <w:vAlign w:val="center"/>
                </w:tcPr>
                <w:p>
                  <w:pPr>
                    <w:pStyle w:val="70"/>
                    <w:rPr>
                      <w:color w:val="000000"/>
                    </w:rPr>
                  </w:pPr>
                  <w:r>
                    <w:rPr>
                      <w:rFonts w:hint="eastAsia"/>
                      <w:color w:val="000000"/>
                    </w:rPr>
                    <w:t>Z</w:t>
                  </w:r>
                  <w:r>
                    <w:rPr>
                      <w:color w:val="000000"/>
                    </w:rPr>
                    <w:t>4-1</w:t>
                  </w:r>
                </w:p>
              </w:tc>
              <w:tc>
                <w:tcPr>
                  <w:tcW w:w="1406" w:type="dxa"/>
                  <w:vMerge w:val="continue"/>
                  <w:tcBorders>
                    <w:left w:val="single" w:color="auto" w:sz="4" w:space="0"/>
                    <w:right w:val="single" w:color="auto" w:sz="4" w:space="0"/>
                  </w:tcBorders>
                  <w:vAlign w:val="center"/>
                </w:tcPr>
                <w:p>
                  <w:pPr>
                    <w:pStyle w:val="70"/>
                    <w:rPr>
                      <w:color w:val="000000"/>
                    </w:rPr>
                  </w:pPr>
                </w:p>
              </w:tc>
              <w:tc>
                <w:tcPr>
                  <w:tcW w:w="864" w:type="dxa"/>
                  <w:tcBorders>
                    <w:top w:val="single" w:color="auto" w:sz="4" w:space="0"/>
                    <w:left w:val="single" w:color="auto" w:sz="4" w:space="0"/>
                    <w:bottom w:val="single" w:color="auto" w:sz="4" w:space="0"/>
                    <w:right w:val="single" w:color="auto" w:sz="4" w:space="0"/>
                  </w:tcBorders>
                  <w:vAlign w:val="center"/>
                </w:tcPr>
                <w:p>
                  <w:pPr>
                    <w:pStyle w:val="70"/>
                    <w:rPr>
                      <w:color w:val="000000"/>
                    </w:rPr>
                  </w:pPr>
                  <w:r>
                    <w:rPr>
                      <w:rFonts w:hint="eastAsia"/>
                      <w:color w:val="000000"/>
                    </w:rPr>
                    <w:t>4</w:t>
                  </w:r>
                  <w:r>
                    <w:rPr>
                      <w:color w:val="000000"/>
                    </w:rPr>
                    <w:t>7</w:t>
                  </w:r>
                </w:p>
              </w:tc>
              <w:tc>
                <w:tcPr>
                  <w:tcW w:w="864" w:type="dxa"/>
                  <w:tcBorders>
                    <w:top w:val="single" w:color="auto" w:sz="4" w:space="0"/>
                    <w:left w:val="single" w:color="auto" w:sz="4" w:space="0"/>
                    <w:bottom w:val="single" w:color="auto" w:sz="4" w:space="0"/>
                    <w:right w:val="single" w:color="auto" w:sz="4" w:space="0"/>
                  </w:tcBorders>
                  <w:vAlign w:val="center"/>
                </w:tcPr>
                <w:p>
                  <w:pPr>
                    <w:pStyle w:val="70"/>
                    <w:rPr>
                      <w:color w:val="000000"/>
                    </w:rPr>
                  </w:pPr>
                  <w:r>
                    <w:rPr>
                      <w:rFonts w:hint="eastAsia"/>
                      <w:color w:val="000000"/>
                    </w:rPr>
                    <w:t>4</w:t>
                  </w:r>
                  <w:r>
                    <w:rPr>
                      <w:color w:val="000000"/>
                    </w:rPr>
                    <w:t>2</w:t>
                  </w:r>
                </w:p>
              </w:tc>
              <w:tc>
                <w:tcPr>
                  <w:tcW w:w="864" w:type="dxa"/>
                  <w:vMerge w:val="continue"/>
                  <w:tcBorders>
                    <w:left w:val="single" w:color="auto" w:sz="4" w:space="0"/>
                    <w:right w:val="single" w:color="auto" w:sz="4" w:space="0"/>
                  </w:tcBorders>
                  <w:vAlign w:val="center"/>
                </w:tcPr>
                <w:p>
                  <w:pPr>
                    <w:pStyle w:val="70"/>
                    <w:rPr>
                      <w:color w:val="000000"/>
                    </w:rPr>
                  </w:pPr>
                </w:p>
              </w:tc>
              <w:tc>
                <w:tcPr>
                  <w:tcW w:w="854" w:type="dxa"/>
                  <w:vMerge w:val="continue"/>
                  <w:tcBorders>
                    <w:left w:val="single" w:color="auto" w:sz="4" w:space="0"/>
                    <w:right w:val="single" w:color="auto" w:sz="4" w:space="0"/>
                  </w:tcBorders>
                  <w:vAlign w:val="center"/>
                </w:tcPr>
                <w:p>
                  <w:pPr>
                    <w:pStyle w:val="70"/>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cantSplit/>
                <w:trHeight w:val="340" w:hRule="atLeast"/>
                <w:jc w:val="center"/>
              </w:trPr>
              <w:tc>
                <w:tcPr>
                  <w:tcW w:w="1411" w:type="dxa"/>
                  <w:tcBorders>
                    <w:top w:val="single" w:color="auto" w:sz="4" w:space="0"/>
                    <w:left w:val="single" w:color="auto" w:sz="4" w:space="0"/>
                    <w:bottom w:val="single" w:color="auto" w:sz="4" w:space="0"/>
                    <w:right w:val="single" w:color="auto" w:sz="4" w:space="0"/>
                  </w:tcBorders>
                  <w:vAlign w:val="center"/>
                </w:tcPr>
                <w:p>
                  <w:pPr>
                    <w:pStyle w:val="70"/>
                    <w:rPr>
                      <w:color w:val="000000"/>
                    </w:rPr>
                  </w:pPr>
                  <w:r>
                    <w:rPr>
                      <w:rFonts w:hint="eastAsia"/>
                      <w:color w:val="000000"/>
                    </w:rPr>
                    <w:t>Z</w:t>
                  </w:r>
                  <w:r>
                    <w:rPr>
                      <w:color w:val="000000"/>
                    </w:rPr>
                    <w:t>5-1</w:t>
                  </w:r>
                </w:p>
              </w:tc>
              <w:tc>
                <w:tcPr>
                  <w:tcW w:w="1406" w:type="dxa"/>
                  <w:vMerge w:val="continue"/>
                  <w:tcBorders>
                    <w:left w:val="single" w:color="auto" w:sz="4" w:space="0"/>
                    <w:right w:val="single" w:color="auto" w:sz="4" w:space="0"/>
                  </w:tcBorders>
                  <w:vAlign w:val="center"/>
                </w:tcPr>
                <w:p>
                  <w:pPr>
                    <w:pStyle w:val="70"/>
                    <w:rPr>
                      <w:color w:val="000000"/>
                    </w:rPr>
                  </w:pPr>
                </w:p>
              </w:tc>
              <w:tc>
                <w:tcPr>
                  <w:tcW w:w="864" w:type="dxa"/>
                  <w:tcBorders>
                    <w:top w:val="single" w:color="auto" w:sz="4" w:space="0"/>
                    <w:left w:val="single" w:color="auto" w:sz="4" w:space="0"/>
                    <w:bottom w:val="single" w:color="auto" w:sz="4" w:space="0"/>
                    <w:right w:val="single" w:color="auto" w:sz="4" w:space="0"/>
                  </w:tcBorders>
                  <w:vAlign w:val="center"/>
                </w:tcPr>
                <w:p>
                  <w:pPr>
                    <w:pStyle w:val="70"/>
                    <w:rPr>
                      <w:color w:val="000000"/>
                    </w:rPr>
                  </w:pPr>
                  <w:r>
                    <w:rPr>
                      <w:rFonts w:hint="eastAsia"/>
                      <w:color w:val="000000"/>
                    </w:rPr>
                    <w:t>4</w:t>
                  </w:r>
                  <w:r>
                    <w:rPr>
                      <w:color w:val="000000"/>
                    </w:rPr>
                    <w:t>9</w:t>
                  </w:r>
                </w:p>
              </w:tc>
              <w:tc>
                <w:tcPr>
                  <w:tcW w:w="864" w:type="dxa"/>
                  <w:tcBorders>
                    <w:top w:val="single" w:color="auto" w:sz="4" w:space="0"/>
                    <w:left w:val="single" w:color="auto" w:sz="4" w:space="0"/>
                    <w:bottom w:val="single" w:color="auto" w:sz="4" w:space="0"/>
                    <w:right w:val="single" w:color="auto" w:sz="4" w:space="0"/>
                  </w:tcBorders>
                  <w:vAlign w:val="center"/>
                </w:tcPr>
                <w:p>
                  <w:pPr>
                    <w:pStyle w:val="70"/>
                    <w:rPr>
                      <w:color w:val="000000"/>
                    </w:rPr>
                  </w:pPr>
                  <w:r>
                    <w:rPr>
                      <w:rFonts w:hint="eastAsia"/>
                      <w:color w:val="000000"/>
                    </w:rPr>
                    <w:t>4</w:t>
                  </w:r>
                  <w:r>
                    <w:rPr>
                      <w:color w:val="000000"/>
                    </w:rPr>
                    <w:t>3</w:t>
                  </w:r>
                </w:p>
              </w:tc>
              <w:tc>
                <w:tcPr>
                  <w:tcW w:w="864" w:type="dxa"/>
                  <w:vMerge w:val="continue"/>
                  <w:tcBorders>
                    <w:left w:val="single" w:color="auto" w:sz="4" w:space="0"/>
                    <w:right w:val="single" w:color="auto" w:sz="4" w:space="0"/>
                  </w:tcBorders>
                  <w:vAlign w:val="center"/>
                </w:tcPr>
                <w:p>
                  <w:pPr>
                    <w:pStyle w:val="70"/>
                    <w:rPr>
                      <w:color w:val="000000"/>
                    </w:rPr>
                  </w:pPr>
                </w:p>
              </w:tc>
              <w:tc>
                <w:tcPr>
                  <w:tcW w:w="854" w:type="dxa"/>
                  <w:vMerge w:val="continue"/>
                  <w:tcBorders>
                    <w:left w:val="single" w:color="auto" w:sz="4" w:space="0"/>
                    <w:right w:val="single" w:color="auto" w:sz="4" w:space="0"/>
                  </w:tcBorders>
                  <w:vAlign w:val="center"/>
                </w:tcPr>
                <w:p>
                  <w:pPr>
                    <w:pStyle w:val="70"/>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411" w:type="dxa"/>
                  <w:tcBorders>
                    <w:top w:val="single" w:color="auto" w:sz="4" w:space="0"/>
                    <w:left w:val="single" w:color="auto" w:sz="4" w:space="0"/>
                    <w:bottom w:val="single" w:color="auto" w:sz="4" w:space="0"/>
                    <w:right w:val="single" w:color="auto" w:sz="4" w:space="0"/>
                  </w:tcBorders>
                  <w:vAlign w:val="center"/>
                </w:tcPr>
                <w:p>
                  <w:pPr>
                    <w:pStyle w:val="70"/>
                    <w:rPr>
                      <w:color w:val="000000"/>
                    </w:rPr>
                  </w:pPr>
                  <w:r>
                    <w:rPr>
                      <w:rFonts w:hint="eastAsia"/>
                      <w:color w:val="000000"/>
                    </w:rPr>
                    <w:t>Z</w:t>
                  </w:r>
                  <w:r>
                    <w:rPr>
                      <w:color w:val="000000"/>
                    </w:rPr>
                    <w:t>6-1</w:t>
                  </w:r>
                </w:p>
              </w:tc>
              <w:tc>
                <w:tcPr>
                  <w:tcW w:w="1406" w:type="dxa"/>
                  <w:vMerge w:val="continue"/>
                  <w:tcBorders>
                    <w:left w:val="single" w:color="auto" w:sz="4" w:space="0"/>
                    <w:right w:val="single" w:color="auto" w:sz="4" w:space="0"/>
                  </w:tcBorders>
                  <w:vAlign w:val="center"/>
                </w:tcPr>
                <w:p>
                  <w:pPr>
                    <w:pStyle w:val="70"/>
                    <w:rPr>
                      <w:color w:val="000000"/>
                    </w:rPr>
                  </w:pPr>
                </w:p>
              </w:tc>
              <w:tc>
                <w:tcPr>
                  <w:tcW w:w="864" w:type="dxa"/>
                  <w:tcBorders>
                    <w:top w:val="single" w:color="auto" w:sz="4" w:space="0"/>
                    <w:left w:val="single" w:color="auto" w:sz="4" w:space="0"/>
                    <w:bottom w:val="single" w:color="auto" w:sz="4" w:space="0"/>
                    <w:right w:val="single" w:color="auto" w:sz="4" w:space="0"/>
                  </w:tcBorders>
                  <w:vAlign w:val="center"/>
                </w:tcPr>
                <w:p>
                  <w:pPr>
                    <w:pStyle w:val="70"/>
                    <w:rPr>
                      <w:color w:val="000000"/>
                    </w:rPr>
                  </w:pPr>
                  <w:r>
                    <w:rPr>
                      <w:rFonts w:hint="eastAsia"/>
                      <w:color w:val="000000"/>
                    </w:rPr>
                    <w:t>5</w:t>
                  </w:r>
                  <w:r>
                    <w:rPr>
                      <w:color w:val="000000"/>
                    </w:rPr>
                    <w:t>0</w:t>
                  </w:r>
                </w:p>
              </w:tc>
              <w:tc>
                <w:tcPr>
                  <w:tcW w:w="864" w:type="dxa"/>
                  <w:tcBorders>
                    <w:top w:val="single" w:color="auto" w:sz="4" w:space="0"/>
                    <w:left w:val="single" w:color="auto" w:sz="4" w:space="0"/>
                    <w:bottom w:val="single" w:color="auto" w:sz="4" w:space="0"/>
                    <w:right w:val="single" w:color="auto" w:sz="4" w:space="0"/>
                  </w:tcBorders>
                  <w:vAlign w:val="center"/>
                </w:tcPr>
                <w:p>
                  <w:pPr>
                    <w:pStyle w:val="70"/>
                    <w:rPr>
                      <w:color w:val="000000"/>
                    </w:rPr>
                  </w:pPr>
                  <w:r>
                    <w:rPr>
                      <w:rFonts w:hint="eastAsia"/>
                      <w:color w:val="000000"/>
                    </w:rPr>
                    <w:t>4</w:t>
                  </w:r>
                  <w:r>
                    <w:rPr>
                      <w:color w:val="000000"/>
                    </w:rPr>
                    <w:t>3</w:t>
                  </w:r>
                </w:p>
              </w:tc>
              <w:tc>
                <w:tcPr>
                  <w:tcW w:w="864" w:type="dxa"/>
                  <w:vMerge w:val="continue"/>
                  <w:tcBorders>
                    <w:left w:val="single" w:color="auto" w:sz="4" w:space="0"/>
                    <w:right w:val="single" w:color="auto" w:sz="4" w:space="0"/>
                  </w:tcBorders>
                  <w:vAlign w:val="center"/>
                </w:tcPr>
                <w:p>
                  <w:pPr>
                    <w:pStyle w:val="70"/>
                    <w:rPr>
                      <w:color w:val="000000"/>
                    </w:rPr>
                  </w:pPr>
                </w:p>
              </w:tc>
              <w:tc>
                <w:tcPr>
                  <w:tcW w:w="854" w:type="dxa"/>
                  <w:vMerge w:val="continue"/>
                  <w:tcBorders>
                    <w:left w:val="single" w:color="auto" w:sz="4" w:space="0"/>
                    <w:right w:val="single" w:color="auto" w:sz="4" w:space="0"/>
                  </w:tcBorders>
                  <w:vAlign w:val="center"/>
                </w:tcPr>
                <w:p>
                  <w:pPr>
                    <w:pStyle w:val="70"/>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411" w:type="dxa"/>
                  <w:tcBorders>
                    <w:top w:val="single" w:color="auto" w:sz="4" w:space="0"/>
                    <w:left w:val="single" w:color="auto" w:sz="4" w:space="0"/>
                    <w:bottom w:val="single" w:color="auto" w:sz="4" w:space="0"/>
                    <w:right w:val="single" w:color="auto" w:sz="4" w:space="0"/>
                  </w:tcBorders>
                  <w:vAlign w:val="center"/>
                </w:tcPr>
                <w:p>
                  <w:pPr>
                    <w:pStyle w:val="70"/>
                    <w:rPr>
                      <w:color w:val="000000"/>
                    </w:rPr>
                  </w:pPr>
                  <w:r>
                    <w:rPr>
                      <w:rFonts w:hint="eastAsia"/>
                      <w:color w:val="000000"/>
                    </w:rPr>
                    <w:t>Z</w:t>
                  </w:r>
                  <w:r>
                    <w:rPr>
                      <w:color w:val="000000"/>
                    </w:rPr>
                    <w:t>7-1</w:t>
                  </w:r>
                </w:p>
              </w:tc>
              <w:tc>
                <w:tcPr>
                  <w:tcW w:w="1406" w:type="dxa"/>
                  <w:vMerge w:val="continue"/>
                  <w:tcBorders>
                    <w:left w:val="single" w:color="auto" w:sz="4" w:space="0"/>
                    <w:right w:val="single" w:color="auto" w:sz="4" w:space="0"/>
                  </w:tcBorders>
                  <w:vAlign w:val="center"/>
                </w:tcPr>
                <w:p>
                  <w:pPr>
                    <w:pStyle w:val="70"/>
                    <w:rPr>
                      <w:color w:val="000000"/>
                    </w:rPr>
                  </w:pPr>
                </w:p>
              </w:tc>
              <w:tc>
                <w:tcPr>
                  <w:tcW w:w="864" w:type="dxa"/>
                  <w:tcBorders>
                    <w:top w:val="single" w:color="auto" w:sz="4" w:space="0"/>
                    <w:left w:val="single" w:color="auto" w:sz="4" w:space="0"/>
                    <w:bottom w:val="single" w:color="auto" w:sz="4" w:space="0"/>
                    <w:right w:val="single" w:color="auto" w:sz="4" w:space="0"/>
                  </w:tcBorders>
                  <w:vAlign w:val="center"/>
                </w:tcPr>
                <w:p>
                  <w:pPr>
                    <w:pStyle w:val="70"/>
                    <w:rPr>
                      <w:color w:val="000000"/>
                    </w:rPr>
                  </w:pPr>
                  <w:r>
                    <w:rPr>
                      <w:rFonts w:hint="eastAsia"/>
                      <w:color w:val="000000"/>
                    </w:rPr>
                    <w:t>5</w:t>
                  </w:r>
                  <w:r>
                    <w:rPr>
                      <w:color w:val="000000"/>
                    </w:rPr>
                    <w:t>0</w:t>
                  </w:r>
                </w:p>
              </w:tc>
              <w:tc>
                <w:tcPr>
                  <w:tcW w:w="864" w:type="dxa"/>
                  <w:tcBorders>
                    <w:top w:val="single" w:color="auto" w:sz="4" w:space="0"/>
                    <w:left w:val="single" w:color="auto" w:sz="4" w:space="0"/>
                    <w:bottom w:val="single" w:color="auto" w:sz="4" w:space="0"/>
                    <w:right w:val="single" w:color="auto" w:sz="4" w:space="0"/>
                  </w:tcBorders>
                  <w:vAlign w:val="center"/>
                </w:tcPr>
                <w:p>
                  <w:pPr>
                    <w:pStyle w:val="70"/>
                    <w:rPr>
                      <w:color w:val="000000"/>
                    </w:rPr>
                  </w:pPr>
                  <w:r>
                    <w:rPr>
                      <w:rFonts w:hint="eastAsia"/>
                      <w:color w:val="000000"/>
                    </w:rPr>
                    <w:t>4</w:t>
                  </w:r>
                  <w:r>
                    <w:rPr>
                      <w:color w:val="000000"/>
                    </w:rPr>
                    <w:t>2</w:t>
                  </w:r>
                </w:p>
              </w:tc>
              <w:tc>
                <w:tcPr>
                  <w:tcW w:w="864" w:type="dxa"/>
                  <w:vMerge w:val="continue"/>
                  <w:tcBorders>
                    <w:left w:val="single" w:color="auto" w:sz="4" w:space="0"/>
                    <w:right w:val="single" w:color="auto" w:sz="4" w:space="0"/>
                  </w:tcBorders>
                  <w:vAlign w:val="center"/>
                </w:tcPr>
                <w:p>
                  <w:pPr>
                    <w:pStyle w:val="70"/>
                    <w:rPr>
                      <w:color w:val="000000"/>
                    </w:rPr>
                  </w:pPr>
                </w:p>
              </w:tc>
              <w:tc>
                <w:tcPr>
                  <w:tcW w:w="854" w:type="dxa"/>
                  <w:vMerge w:val="continue"/>
                  <w:tcBorders>
                    <w:left w:val="single" w:color="auto" w:sz="4" w:space="0"/>
                    <w:right w:val="single" w:color="auto" w:sz="4" w:space="0"/>
                  </w:tcBorders>
                  <w:vAlign w:val="center"/>
                </w:tcPr>
                <w:p>
                  <w:pPr>
                    <w:pStyle w:val="70"/>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411" w:type="dxa"/>
                  <w:tcBorders>
                    <w:top w:val="single" w:color="auto" w:sz="4" w:space="0"/>
                    <w:left w:val="single" w:color="auto" w:sz="4" w:space="0"/>
                    <w:bottom w:val="single" w:color="auto" w:sz="4" w:space="0"/>
                    <w:right w:val="single" w:color="auto" w:sz="4" w:space="0"/>
                  </w:tcBorders>
                  <w:vAlign w:val="center"/>
                </w:tcPr>
                <w:p>
                  <w:pPr>
                    <w:pStyle w:val="70"/>
                    <w:rPr>
                      <w:color w:val="000000"/>
                    </w:rPr>
                  </w:pPr>
                  <w:r>
                    <w:rPr>
                      <w:rFonts w:hint="eastAsia"/>
                      <w:color w:val="000000"/>
                    </w:rPr>
                    <w:t>Z</w:t>
                  </w:r>
                  <w:r>
                    <w:rPr>
                      <w:color w:val="000000"/>
                    </w:rPr>
                    <w:t>8-1</w:t>
                  </w:r>
                </w:p>
              </w:tc>
              <w:tc>
                <w:tcPr>
                  <w:tcW w:w="1406" w:type="dxa"/>
                  <w:vMerge w:val="continue"/>
                  <w:tcBorders>
                    <w:left w:val="single" w:color="auto" w:sz="4" w:space="0"/>
                    <w:right w:val="single" w:color="auto" w:sz="4" w:space="0"/>
                  </w:tcBorders>
                  <w:vAlign w:val="center"/>
                </w:tcPr>
                <w:p>
                  <w:pPr>
                    <w:pStyle w:val="70"/>
                    <w:rPr>
                      <w:color w:val="000000"/>
                    </w:rPr>
                  </w:pPr>
                </w:p>
              </w:tc>
              <w:tc>
                <w:tcPr>
                  <w:tcW w:w="864" w:type="dxa"/>
                  <w:tcBorders>
                    <w:top w:val="single" w:color="auto" w:sz="4" w:space="0"/>
                    <w:left w:val="single" w:color="auto" w:sz="4" w:space="0"/>
                    <w:bottom w:val="single" w:color="auto" w:sz="4" w:space="0"/>
                    <w:right w:val="single" w:color="auto" w:sz="4" w:space="0"/>
                  </w:tcBorders>
                  <w:vAlign w:val="center"/>
                </w:tcPr>
                <w:p>
                  <w:pPr>
                    <w:pStyle w:val="70"/>
                    <w:rPr>
                      <w:color w:val="000000"/>
                    </w:rPr>
                  </w:pPr>
                  <w:r>
                    <w:rPr>
                      <w:rFonts w:hint="eastAsia"/>
                      <w:color w:val="000000"/>
                    </w:rPr>
                    <w:t>4</w:t>
                  </w:r>
                  <w:r>
                    <w:rPr>
                      <w:color w:val="000000"/>
                    </w:rPr>
                    <w:t>9</w:t>
                  </w:r>
                </w:p>
              </w:tc>
              <w:tc>
                <w:tcPr>
                  <w:tcW w:w="864" w:type="dxa"/>
                  <w:tcBorders>
                    <w:top w:val="single" w:color="auto" w:sz="4" w:space="0"/>
                    <w:left w:val="single" w:color="auto" w:sz="4" w:space="0"/>
                    <w:bottom w:val="single" w:color="auto" w:sz="4" w:space="0"/>
                    <w:right w:val="single" w:color="auto" w:sz="4" w:space="0"/>
                  </w:tcBorders>
                  <w:vAlign w:val="center"/>
                </w:tcPr>
                <w:p>
                  <w:pPr>
                    <w:pStyle w:val="70"/>
                    <w:rPr>
                      <w:color w:val="000000"/>
                    </w:rPr>
                  </w:pPr>
                  <w:r>
                    <w:rPr>
                      <w:rFonts w:hint="eastAsia"/>
                      <w:color w:val="000000"/>
                    </w:rPr>
                    <w:t>4</w:t>
                  </w:r>
                  <w:r>
                    <w:rPr>
                      <w:color w:val="000000"/>
                    </w:rPr>
                    <w:t>3</w:t>
                  </w:r>
                </w:p>
              </w:tc>
              <w:tc>
                <w:tcPr>
                  <w:tcW w:w="864" w:type="dxa"/>
                  <w:vMerge w:val="continue"/>
                  <w:tcBorders>
                    <w:left w:val="single" w:color="auto" w:sz="4" w:space="0"/>
                    <w:right w:val="single" w:color="auto" w:sz="4" w:space="0"/>
                  </w:tcBorders>
                  <w:vAlign w:val="center"/>
                </w:tcPr>
                <w:p>
                  <w:pPr>
                    <w:pStyle w:val="70"/>
                    <w:rPr>
                      <w:color w:val="000000"/>
                    </w:rPr>
                  </w:pPr>
                </w:p>
              </w:tc>
              <w:tc>
                <w:tcPr>
                  <w:tcW w:w="854" w:type="dxa"/>
                  <w:vMerge w:val="continue"/>
                  <w:tcBorders>
                    <w:left w:val="single" w:color="auto" w:sz="4" w:space="0"/>
                    <w:right w:val="single" w:color="auto" w:sz="4" w:space="0"/>
                  </w:tcBorders>
                  <w:vAlign w:val="center"/>
                </w:tcPr>
                <w:p>
                  <w:pPr>
                    <w:pStyle w:val="70"/>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411" w:type="dxa"/>
                  <w:tcBorders>
                    <w:top w:val="single" w:color="auto" w:sz="4" w:space="0"/>
                    <w:left w:val="single" w:color="auto" w:sz="4" w:space="0"/>
                    <w:bottom w:val="single" w:color="auto" w:sz="4" w:space="0"/>
                    <w:right w:val="single" w:color="auto" w:sz="4" w:space="0"/>
                  </w:tcBorders>
                  <w:vAlign w:val="center"/>
                </w:tcPr>
                <w:p>
                  <w:pPr>
                    <w:pStyle w:val="70"/>
                    <w:rPr>
                      <w:color w:val="000000"/>
                    </w:rPr>
                  </w:pPr>
                  <w:r>
                    <w:rPr>
                      <w:rFonts w:hint="eastAsia"/>
                      <w:color w:val="000000"/>
                    </w:rPr>
                    <w:t>Z</w:t>
                  </w:r>
                  <w:r>
                    <w:rPr>
                      <w:color w:val="000000"/>
                    </w:rPr>
                    <w:t>9-1</w:t>
                  </w:r>
                </w:p>
              </w:tc>
              <w:tc>
                <w:tcPr>
                  <w:tcW w:w="1406" w:type="dxa"/>
                  <w:vMerge w:val="continue"/>
                  <w:tcBorders>
                    <w:left w:val="single" w:color="auto" w:sz="4" w:space="0"/>
                    <w:right w:val="single" w:color="auto" w:sz="4" w:space="0"/>
                  </w:tcBorders>
                  <w:vAlign w:val="center"/>
                </w:tcPr>
                <w:p>
                  <w:pPr>
                    <w:pStyle w:val="70"/>
                    <w:rPr>
                      <w:color w:val="000000"/>
                    </w:rPr>
                  </w:pPr>
                </w:p>
              </w:tc>
              <w:tc>
                <w:tcPr>
                  <w:tcW w:w="864" w:type="dxa"/>
                  <w:tcBorders>
                    <w:top w:val="single" w:color="auto" w:sz="4" w:space="0"/>
                    <w:left w:val="single" w:color="auto" w:sz="4" w:space="0"/>
                    <w:bottom w:val="single" w:color="auto" w:sz="4" w:space="0"/>
                    <w:right w:val="single" w:color="auto" w:sz="4" w:space="0"/>
                  </w:tcBorders>
                  <w:vAlign w:val="center"/>
                </w:tcPr>
                <w:p>
                  <w:pPr>
                    <w:pStyle w:val="70"/>
                    <w:rPr>
                      <w:color w:val="000000"/>
                    </w:rPr>
                  </w:pPr>
                  <w:r>
                    <w:rPr>
                      <w:rFonts w:hint="eastAsia"/>
                      <w:color w:val="000000"/>
                    </w:rPr>
                    <w:t>4</w:t>
                  </w:r>
                  <w:r>
                    <w:rPr>
                      <w:color w:val="000000"/>
                    </w:rPr>
                    <w:t>7</w:t>
                  </w:r>
                </w:p>
              </w:tc>
              <w:tc>
                <w:tcPr>
                  <w:tcW w:w="864" w:type="dxa"/>
                  <w:tcBorders>
                    <w:top w:val="single" w:color="auto" w:sz="4" w:space="0"/>
                    <w:left w:val="single" w:color="auto" w:sz="4" w:space="0"/>
                    <w:bottom w:val="single" w:color="auto" w:sz="4" w:space="0"/>
                    <w:right w:val="single" w:color="auto" w:sz="4" w:space="0"/>
                  </w:tcBorders>
                  <w:vAlign w:val="center"/>
                </w:tcPr>
                <w:p>
                  <w:pPr>
                    <w:pStyle w:val="70"/>
                    <w:rPr>
                      <w:color w:val="000000"/>
                    </w:rPr>
                  </w:pPr>
                  <w:r>
                    <w:rPr>
                      <w:rFonts w:hint="eastAsia"/>
                      <w:color w:val="000000"/>
                    </w:rPr>
                    <w:t>4</w:t>
                  </w:r>
                  <w:r>
                    <w:rPr>
                      <w:color w:val="000000"/>
                    </w:rPr>
                    <w:t>1</w:t>
                  </w:r>
                </w:p>
              </w:tc>
              <w:tc>
                <w:tcPr>
                  <w:tcW w:w="864" w:type="dxa"/>
                  <w:vMerge w:val="continue"/>
                  <w:tcBorders>
                    <w:left w:val="single" w:color="auto" w:sz="4" w:space="0"/>
                    <w:right w:val="single" w:color="auto" w:sz="4" w:space="0"/>
                  </w:tcBorders>
                  <w:vAlign w:val="center"/>
                </w:tcPr>
                <w:p>
                  <w:pPr>
                    <w:pStyle w:val="70"/>
                    <w:rPr>
                      <w:color w:val="000000"/>
                    </w:rPr>
                  </w:pPr>
                </w:p>
              </w:tc>
              <w:tc>
                <w:tcPr>
                  <w:tcW w:w="854" w:type="dxa"/>
                  <w:vMerge w:val="continue"/>
                  <w:tcBorders>
                    <w:left w:val="single" w:color="auto" w:sz="4" w:space="0"/>
                    <w:right w:val="single" w:color="auto" w:sz="4" w:space="0"/>
                  </w:tcBorders>
                  <w:vAlign w:val="center"/>
                </w:tcPr>
                <w:p>
                  <w:pPr>
                    <w:pStyle w:val="70"/>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411" w:type="dxa"/>
                  <w:tcBorders>
                    <w:top w:val="single" w:color="auto" w:sz="4" w:space="0"/>
                    <w:left w:val="single" w:color="auto" w:sz="4" w:space="0"/>
                    <w:bottom w:val="single" w:color="auto" w:sz="4" w:space="0"/>
                    <w:right w:val="single" w:color="auto" w:sz="4" w:space="0"/>
                  </w:tcBorders>
                  <w:vAlign w:val="center"/>
                </w:tcPr>
                <w:p>
                  <w:pPr>
                    <w:pStyle w:val="70"/>
                    <w:rPr>
                      <w:color w:val="000000"/>
                    </w:rPr>
                  </w:pPr>
                  <w:r>
                    <w:rPr>
                      <w:rFonts w:hint="eastAsia"/>
                      <w:color w:val="000000"/>
                    </w:rPr>
                    <w:t>Z</w:t>
                  </w:r>
                  <w:r>
                    <w:rPr>
                      <w:color w:val="000000"/>
                    </w:rPr>
                    <w:t>10-1</w:t>
                  </w:r>
                </w:p>
              </w:tc>
              <w:tc>
                <w:tcPr>
                  <w:tcW w:w="1406" w:type="dxa"/>
                  <w:vMerge w:val="continue"/>
                  <w:tcBorders>
                    <w:left w:val="single" w:color="auto" w:sz="4" w:space="0"/>
                    <w:right w:val="single" w:color="auto" w:sz="4" w:space="0"/>
                  </w:tcBorders>
                  <w:vAlign w:val="center"/>
                </w:tcPr>
                <w:p>
                  <w:pPr>
                    <w:pStyle w:val="70"/>
                    <w:rPr>
                      <w:color w:val="000000"/>
                    </w:rPr>
                  </w:pPr>
                </w:p>
              </w:tc>
              <w:tc>
                <w:tcPr>
                  <w:tcW w:w="864" w:type="dxa"/>
                  <w:tcBorders>
                    <w:top w:val="single" w:color="auto" w:sz="4" w:space="0"/>
                    <w:left w:val="single" w:color="auto" w:sz="4" w:space="0"/>
                    <w:bottom w:val="single" w:color="auto" w:sz="4" w:space="0"/>
                    <w:right w:val="single" w:color="auto" w:sz="4" w:space="0"/>
                  </w:tcBorders>
                  <w:vAlign w:val="center"/>
                </w:tcPr>
                <w:p>
                  <w:pPr>
                    <w:pStyle w:val="70"/>
                    <w:rPr>
                      <w:color w:val="000000"/>
                    </w:rPr>
                  </w:pPr>
                  <w:r>
                    <w:rPr>
                      <w:rFonts w:hint="eastAsia"/>
                      <w:color w:val="000000"/>
                    </w:rPr>
                    <w:t>4</w:t>
                  </w:r>
                  <w:r>
                    <w:rPr>
                      <w:color w:val="000000"/>
                    </w:rPr>
                    <w:t>8</w:t>
                  </w:r>
                </w:p>
              </w:tc>
              <w:tc>
                <w:tcPr>
                  <w:tcW w:w="864" w:type="dxa"/>
                  <w:tcBorders>
                    <w:top w:val="single" w:color="auto" w:sz="4" w:space="0"/>
                    <w:left w:val="single" w:color="auto" w:sz="4" w:space="0"/>
                    <w:bottom w:val="single" w:color="auto" w:sz="4" w:space="0"/>
                    <w:right w:val="single" w:color="auto" w:sz="4" w:space="0"/>
                  </w:tcBorders>
                  <w:vAlign w:val="center"/>
                </w:tcPr>
                <w:p>
                  <w:pPr>
                    <w:pStyle w:val="70"/>
                    <w:rPr>
                      <w:color w:val="000000"/>
                    </w:rPr>
                  </w:pPr>
                  <w:r>
                    <w:rPr>
                      <w:rFonts w:hint="eastAsia"/>
                      <w:color w:val="000000"/>
                    </w:rPr>
                    <w:t>4</w:t>
                  </w:r>
                  <w:r>
                    <w:rPr>
                      <w:color w:val="000000"/>
                    </w:rPr>
                    <w:t>0</w:t>
                  </w:r>
                </w:p>
              </w:tc>
              <w:tc>
                <w:tcPr>
                  <w:tcW w:w="864" w:type="dxa"/>
                  <w:vMerge w:val="continue"/>
                  <w:tcBorders>
                    <w:left w:val="single" w:color="auto" w:sz="4" w:space="0"/>
                    <w:right w:val="single" w:color="auto" w:sz="4" w:space="0"/>
                  </w:tcBorders>
                  <w:vAlign w:val="center"/>
                </w:tcPr>
                <w:p>
                  <w:pPr>
                    <w:pStyle w:val="70"/>
                    <w:rPr>
                      <w:color w:val="000000"/>
                    </w:rPr>
                  </w:pPr>
                </w:p>
              </w:tc>
              <w:tc>
                <w:tcPr>
                  <w:tcW w:w="854" w:type="dxa"/>
                  <w:vMerge w:val="continue"/>
                  <w:tcBorders>
                    <w:left w:val="single" w:color="auto" w:sz="4" w:space="0"/>
                    <w:right w:val="single" w:color="auto" w:sz="4" w:space="0"/>
                  </w:tcBorders>
                  <w:vAlign w:val="center"/>
                </w:tcPr>
                <w:p>
                  <w:pPr>
                    <w:pStyle w:val="70"/>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411" w:type="dxa"/>
                  <w:tcBorders>
                    <w:top w:val="single" w:color="auto" w:sz="4" w:space="0"/>
                    <w:left w:val="single" w:color="auto" w:sz="4" w:space="0"/>
                    <w:bottom w:val="single" w:color="auto" w:sz="4" w:space="0"/>
                    <w:right w:val="single" w:color="auto" w:sz="4" w:space="0"/>
                  </w:tcBorders>
                  <w:vAlign w:val="center"/>
                </w:tcPr>
                <w:p>
                  <w:pPr>
                    <w:pStyle w:val="70"/>
                    <w:rPr>
                      <w:color w:val="000000"/>
                    </w:rPr>
                  </w:pPr>
                  <w:r>
                    <w:rPr>
                      <w:rFonts w:hint="eastAsia"/>
                      <w:color w:val="000000"/>
                    </w:rPr>
                    <w:t>Z</w:t>
                  </w:r>
                  <w:r>
                    <w:rPr>
                      <w:color w:val="000000"/>
                    </w:rPr>
                    <w:t>11-1</w:t>
                  </w:r>
                </w:p>
              </w:tc>
              <w:tc>
                <w:tcPr>
                  <w:tcW w:w="1406" w:type="dxa"/>
                  <w:vMerge w:val="continue"/>
                  <w:tcBorders>
                    <w:left w:val="single" w:color="auto" w:sz="4" w:space="0"/>
                    <w:right w:val="single" w:color="auto" w:sz="4" w:space="0"/>
                  </w:tcBorders>
                  <w:vAlign w:val="center"/>
                </w:tcPr>
                <w:p>
                  <w:pPr>
                    <w:pStyle w:val="70"/>
                    <w:rPr>
                      <w:color w:val="000000"/>
                    </w:rPr>
                  </w:pPr>
                </w:p>
              </w:tc>
              <w:tc>
                <w:tcPr>
                  <w:tcW w:w="864" w:type="dxa"/>
                  <w:tcBorders>
                    <w:top w:val="single" w:color="auto" w:sz="4" w:space="0"/>
                    <w:left w:val="single" w:color="auto" w:sz="4" w:space="0"/>
                    <w:bottom w:val="single" w:color="auto" w:sz="4" w:space="0"/>
                    <w:right w:val="single" w:color="auto" w:sz="4" w:space="0"/>
                  </w:tcBorders>
                  <w:vAlign w:val="center"/>
                </w:tcPr>
                <w:p>
                  <w:pPr>
                    <w:pStyle w:val="70"/>
                    <w:rPr>
                      <w:color w:val="000000"/>
                    </w:rPr>
                  </w:pPr>
                  <w:r>
                    <w:rPr>
                      <w:rFonts w:hint="eastAsia"/>
                      <w:color w:val="000000"/>
                    </w:rPr>
                    <w:t>4</w:t>
                  </w:r>
                  <w:r>
                    <w:rPr>
                      <w:color w:val="000000"/>
                    </w:rPr>
                    <w:t>8</w:t>
                  </w:r>
                </w:p>
              </w:tc>
              <w:tc>
                <w:tcPr>
                  <w:tcW w:w="864" w:type="dxa"/>
                  <w:tcBorders>
                    <w:top w:val="single" w:color="auto" w:sz="4" w:space="0"/>
                    <w:left w:val="single" w:color="auto" w:sz="4" w:space="0"/>
                    <w:bottom w:val="single" w:color="auto" w:sz="4" w:space="0"/>
                    <w:right w:val="single" w:color="auto" w:sz="4" w:space="0"/>
                  </w:tcBorders>
                  <w:vAlign w:val="center"/>
                </w:tcPr>
                <w:p>
                  <w:pPr>
                    <w:pStyle w:val="70"/>
                    <w:rPr>
                      <w:color w:val="000000"/>
                    </w:rPr>
                  </w:pPr>
                  <w:r>
                    <w:rPr>
                      <w:rFonts w:hint="eastAsia"/>
                      <w:color w:val="000000"/>
                    </w:rPr>
                    <w:t>4</w:t>
                  </w:r>
                  <w:r>
                    <w:rPr>
                      <w:color w:val="000000"/>
                    </w:rPr>
                    <w:t>0</w:t>
                  </w:r>
                </w:p>
              </w:tc>
              <w:tc>
                <w:tcPr>
                  <w:tcW w:w="864" w:type="dxa"/>
                  <w:vMerge w:val="continue"/>
                  <w:tcBorders>
                    <w:left w:val="single" w:color="auto" w:sz="4" w:space="0"/>
                    <w:right w:val="single" w:color="auto" w:sz="4" w:space="0"/>
                  </w:tcBorders>
                  <w:vAlign w:val="center"/>
                </w:tcPr>
                <w:p>
                  <w:pPr>
                    <w:pStyle w:val="70"/>
                    <w:rPr>
                      <w:color w:val="000000"/>
                    </w:rPr>
                  </w:pPr>
                </w:p>
              </w:tc>
              <w:tc>
                <w:tcPr>
                  <w:tcW w:w="854" w:type="dxa"/>
                  <w:vMerge w:val="continue"/>
                  <w:tcBorders>
                    <w:left w:val="single" w:color="auto" w:sz="4" w:space="0"/>
                    <w:right w:val="single" w:color="auto" w:sz="4" w:space="0"/>
                  </w:tcBorders>
                  <w:vAlign w:val="center"/>
                </w:tcPr>
                <w:p>
                  <w:pPr>
                    <w:pStyle w:val="70"/>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411" w:type="dxa"/>
                  <w:tcBorders>
                    <w:top w:val="single" w:color="auto" w:sz="4" w:space="0"/>
                    <w:left w:val="single" w:color="auto" w:sz="4" w:space="0"/>
                    <w:bottom w:val="single" w:color="auto" w:sz="4" w:space="0"/>
                    <w:right w:val="single" w:color="auto" w:sz="4" w:space="0"/>
                  </w:tcBorders>
                  <w:vAlign w:val="center"/>
                </w:tcPr>
                <w:p>
                  <w:pPr>
                    <w:pStyle w:val="70"/>
                    <w:rPr>
                      <w:color w:val="000000"/>
                    </w:rPr>
                  </w:pPr>
                  <w:r>
                    <w:rPr>
                      <w:rFonts w:hint="eastAsia"/>
                      <w:color w:val="000000"/>
                    </w:rPr>
                    <w:t>Z</w:t>
                  </w:r>
                  <w:r>
                    <w:rPr>
                      <w:color w:val="000000"/>
                    </w:rPr>
                    <w:t>12-1</w:t>
                  </w:r>
                </w:p>
              </w:tc>
              <w:tc>
                <w:tcPr>
                  <w:tcW w:w="1406" w:type="dxa"/>
                  <w:vMerge w:val="continue"/>
                  <w:tcBorders>
                    <w:left w:val="single" w:color="auto" w:sz="4" w:space="0"/>
                    <w:bottom w:val="single" w:color="auto" w:sz="4" w:space="0"/>
                    <w:right w:val="single" w:color="auto" w:sz="4" w:space="0"/>
                  </w:tcBorders>
                  <w:vAlign w:val="center"/>
                </w:tcPr>
                <w:p>
                  <w:pPr>
                    <w:pStyle w:val="70"/>
                    <w:rPr>
                      <w:color w:val="000000"/>
                    </w:rPr>
                  </w:pPr>
                </w:p>
              </w:tc>
              <w:tc>
                <w:tcPr>
                  <w:tcW w:w="864" w:type="dxa"/>
                  <w:tcBorders>
                    <w:top w:val="single" w:color="auto" w:sz="4" w:space="0"/>
                    <w:left w:val="single" w:color="auto" w:sz="4" w:space="0"/>
                    <w:bottom w:val="single" w:color="auto" w:sz="4" w:space="0"/>
                    <w:right w:val="single" w:color="auto" w:sz="4" w:space="0"/>
                  </w:tcBorders>
                  <w:vAlign w:val="center"/>
                </w:tcPr>
                <w:p>
                  <w:pPr>
                    <w:pStyle w:val="70"/>
                    <w:rPr>
                      <w:color w:val="000000"/>
                    </w:rPr>
                  </w:pPr>
                  <w:r>
                    <w:rPr>
                      <w:rFonts w:hint="eastAsia"/>
                      <w:color w:val="000000"/>
                    </w:rPr>
                    <w:t>4</w:t>
                  </w:r>
                  <w:r>
                    <w:rPr>
                      <w:color w:val="000000"/>
                    </w:rPr>
                    <w:t>8</w:t>
                  </w:r>
                </w:p>
              </w:tc>
              <w:tc>
                <w:tcPr>
                  <w:tcW w:w="864" w:type="dxa"/>
                  <w:tcBorders>
                    <w:top w:val="single" w:color="auto" w:sz="4" w:space="0"/>
                    <w:left w:val="single" w:color="auto" w:sz="4" w:space="0"/>
                    <w:bottom w:val="single" w:color="auto" w:sz="4" w:space="0"/>
                    <w:right w:val="single" w:color="auto" w:sz="4" w:space="0"/>
                  </w:tcBorders>
                  <w:vAlign w:val="center"/>
                </w:tcPr>
                <w:p>
                  <w:pPr>
                    <w:pStyle w:val="70"/>
                    <w:rPr>
                      <w:color w:val="000000"/>
                    </w:rPr>
                  </w:pPr>
                  <w:r>
                    <w:rPr>
                      <w:rFonts w:hint="eastAsia"/>
                      <w:color w:val="000000"/>
                    </w:rPr>
                    <w:t>4</w:t>
                  </w:r>
                  <w:r>
                    <w:rPr>
                      <w:color w:val="000000"/>
                    </w:rPr>
                    <w:t>1</w:t>
                  </w:r>
                </w:p>
              </w:tc>
              <w:tc>
                <w:tcPr>
                  <w:tcW w:w="864" w:type="dxa"/>
                  <w:vMerge w:val="continue"/>
                  <w:tcBorders>
                    <w:left w:val="single" w:color="auto" w:sz="4" w:space="0"/>
                    <w:bottom w:val="single" w:color="auto" w:sz="4" w:space="0"/>
                    <w:right w:val="single" w:color="auto" w:sz="4" w:space="0"/>
                  </w:tcBorders>
                  <w:vAlign w:val="center"/>
                </w:tcPr>
                <w:p>
                  <w:pPr>
                    <w:pStyle w:val="70"/>
                    <w:rPr>
                      <w:color w:val="000000"/>
                    </w:rPr>
                  </w:pPr>
                </w:p>
              </w:tc>
              <w:tc>
                <w:tcPr>
                  <w:tcW w:w="854" w:type="dxa"/>
                  <w:vMerge w:val="continue"/>
                  <w:tcBorders>
                    <w:left w:val="single" w:color="auto" w:sz="4" w:space="0"/>
                    <w:bottom w:val="single" w:color="auto" w:sz="4" w:space="0"/>
                    <w:right w:val="single" w:color="auto" w:sz="4" w:space="0"/>
                  </w:tcBorders>
                  <w:vAlign w:val="center"/>
                </w:tcPr>
                <w:p>
                  <w:pPr>
                    <w:pStyle w:val="70"/>
                    <w:rPr>
                      <w:color w:val="000000"/>
                    </w:rPr>
                  </w:pPr>
                </w:p>
              </w:tc>
            </w:tr>
          </w:tbl>
          <w:p>
            <w:pPr>
              <w:pStyle w:val="99"/>
              <w:ind w:firstLine="480"/>
              <w:rPr>
                <w:bCs/>
                <w:color w:val="000000"/>
              </w:rPr>
            </w:pPr>
          </w:p>
          <w:p>
            <w:pPr>
              <w:pStyle w:val="110"/>
              <w:rPr>
                <w:color w:val="000000"/>
              </w:rPr>
            </w:pPr>
            <w:r>
              <w:rPr>
                <w:rFonts w:hint="eastAsia"/>
                <w:color w:val="000000"/>
              </w:rPr>
              <w:t xml:space="preserve">监测点示意图见图 </w:t>
            </w:r>
            <w:r>
              <w:rPr>
                <w:color w:val="000000"/>
              </w:rPr>
              <w:t>3</w:t>
            </w:r>
            <w:r>
              <w:rPr>
                <w:rFonts w:hint="eastAsia"/>
                <w:color w:val="000000"/>
              </w:rPr>
              <w:t>。</w:t>
            </w:r>
          </w:p>
          <w:p>
            <w:pPr>
              <w:pStyle w:val="110"/>
              <w:rPr>
                <w:color w:val="000000"/>
              </w:rPr>
            </w:pPr>
          </w:p>
          <w:p>
            <w:pPr>
              <w:pStyle w:val="12"/>
              <w:spacing w:before="120"/>
              <w:rPr>
                <w:color w:val="000000"/>
              </w:rPr>
            </w:pPr>
            <w:r>
              <w:rPr>
                <w:color w:val="000000"/>
              </w:rPr>
              <w:drawing>
                <wp:inline distT="0" distB="0" distL="0" distR="0">
                  <wp:extent cx="4295775" cy="553402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4295775" cy="5534025"/>
                          </a:xfrm>
                          <a:prstGeom prst="rect">
                            <a:avLst/>
                          </a:prstGeom>
                        </pic:spPr>
                      </pic:pic>
                    </a:graphicData>
                  </a:graphic>
                </wp:inline>
              </w:drawing>
            </w:r>
          </w:p>
          <w:p>
            <w:pPr>
              <w:pStyle w:val="12"/>
              <w:spacing w:before="120"/>
              <w:rPr>
                <w:rFonts w:hAnsi="宋体"/>
                <w:color w:val="000000"/>
                <w:szCs w:val="21"/>
              </w:rPr>
            </w:pPr>
            <w:bookmarkStart w:id="19" w:name="_Ref38543323"/>
            <w:bookmarkStart w:id="20" w:name="_Ref38543320"/>
            <w:r>
              <w:rPr>
                <w:rFonts w:hint="eastAsia" w:hAnsi="宋体"/>
                <w:color w:val="000000"/>
              </w:rPr>
              <w:t xml:space="preserve">图 </w:t>
            </w:r>
            <w:r>
              <w:rPr>
                <w:rFonts w:hAnsi="宋体"/>
                <w:color w:val="000000"/>
              </w:rPr>
              <w:t>3</w:t>
            </w:r>
            <w:bookmarkEnd w:id="19"/>
            <w:r>
              <w:rPr>
                <w:rFonts w:hAnsi="宋体"/>
                <w:color w:val="000000"/>
              </w:rPr>
              <w:t xml:space="preserve">  </w:t>
            </w:r>
            <w:r>
              <w:rPr>
                <w:rFonts w:hint="eastAsia" w:hAnsi="宋体"/>
                <w:color w:val="000000"/>
                <w:szCs w:val="21"/>
              </w:rPr>
              <w:t>声环境监测布点示意图</w:t>
            </w:r>
            <w:bookmarkEnd w:id="20"/>
          </w:p>
          <w:p>
            <w:pPr>
              <w:pStyle w:val="99"/>
              <w:ind w:firstLine="480"/>
              <w:rPr>
                <w:bCs/>
                <w:color w:val="000000"/>
              </w:rPr>
            </w:pPr>
          </w:p>
          <w:p>
            <w:pPr>
              <w:pStyle w:val="110"/>
              <w:rPr>
                <w:color w:val="000000"/>
              </w:rPr>
            </w:pPr>
            <w:r>
              <w:rPr>
                <w:rFonts w:hint="eastAsia"/>
                <w:color w:val="000000"/>
              </w:rPr>
              <w:t xml:space="preserve">由表 </w:t>
            </w:r>
            <w:r>
              <w:rPr>
                <w:color w:val="000000"/>
              </w:rPr>
              <w:t>14</w:t>
            </w:r>
            <w:r>
              <w:rPr>
                <w:rFonts w:hint="eastAsia"/>
                <w:color w:val="000000"/>
              </w:rPr>
              <w:t>的噪声监测结果可以看出，各监测点的噪声值均符合</w:t>
            </w:r>
            <w:r>
              <w:rPr>
                <w:rFonts w:hint="eastAsia"/>
                <w:snapToGrid w:val="0"/>
                <w:color w:val="000000"/>
              </w:rPr>
              <w:t>《声环境质量标准》（</w:t>
            </w:r>
            <w:r>
              <w:rPr>
                <w:snapToGrid w:val="0"/>
                <w:color w:val="000000"/>
              </w:rPr>
              <w:t>GB 3096-2008</w:t>
            </w:r>
            <w:r>
              <w:rPr>
                <w:rFonts w:hint="eastAsia"/>
                <w:snapToGrid w:val="0"/>
                <w:color w:val="000000"/>
              </w:rPr>
              <w:t>）中的</w:t>
            </w:r>
            <w:r>
              <w:rPr>
                <w:snapToGrid w:val="0"/>
                <w:color w:val="000000"/>
              </w:rPr>
              <w:t>2</w:t>
            </w:r>
            <w:r>
              <w:rPr>
                <w:rFonts w:hint="eastAsia"/>
                <w:snapToGrid w:val="0"/>
                <w:color w:val="000000"/>
              </w:rPr>
              <w:t>类声环境功能区环境噪声限值</w:t>
            </w:r>
            <w:r>
              <w:rPr>
                <w:rFonts w:hint="eastAsia"/>
                <w:color w:val="000000"/>
              </w:rPr>
              <w:t>，项目区声环境质量现状较好</w:t>
            </w:r>
            <w:r>
              <w:rPr>
                <w:color w:val="000000"/>
              </w:rPr>
              <w:t>。</w:t>
            </w:r>
          </w:p>
          <w:p>
            <w:pPr>
              <w:pStyle w:val="110"/>
              <w:rPr>
                <w:color w:val="000000"/>
              </w:rPr>
            </w:pPr>
            <w:r>
              <w:rPr>
                <w:color w:val="000000"/>
              </w:rPr>
              <w:t>5、</w:t>
            </w:r>
            <w:r>
              <w:rPr>
                <w:rFonts w:hint="eastAsia"/>
                <w:color w:val="000000"/>
              </w:rPr>
              <w:t>土壤</w:t>
            </w:r>
            <w:r>
              <w:rPr>
                <w:color w:val="000000"/>
              </w:rPr>
              <w:t>环境质量现状调查与评价</w:t>
            </w:r>
          </w:p>
          <w:p>
            <w:pPr>
              <w:pStyle w:val="110"/>
              <w:rPr>
                <w:color w:val="000000"/>
                <w:kern w:val="0"/>
              </w:rPr>
            </w:pPr>
            <w:r>
              <w:rPr>
                <w:rFonts w:hint="eastAsia"/>
                <w:color w:val="000000"/>
              </w:rPr>
              <w:t>根据《环境影响评价技术导则 土壤环境（试行）》（</w:t>
            </w:r>
            <w:r>
              <w:rPr>
                <w:color w:val="000000"/>
              </w:rPr>
              <w:t xml:space="preserve">HJ </w:t>
            </w:r>
            <w:r>
              <w:rPr>
                <w:rFonts w:hint="eastAsia"/>
                <w:color w:val="000000"/>
              </w:rPr>
              <w:t>964</w:t>
            </w:r>
            <w:r>
              <w:rPr>
                <w:color w:val="000000"/>
              </w:rPr>
              <w:t>-201</w:t>
            </w:r>
            <w:r>
              <w:rPr>
                <w:rFonts w:hint="eastAsia"/>
                <w:color w:val="000000"/>
              </w:rPr>
              <w:t>8）附录A 土壤环境影响评价项目类别，本项目为矿产资源地质勘查，行业类别属于其他行业，土壤环境影响评价项目类别为Ⅳ类。根据《环境影响评价技术导则 土壤环境（试行）》（</w:t>
            </w:r>
            <w:r>
              <w:rPr>
                <w:color w:val="000000"/>
              </w:rPr>
              <w:t xml:space="preserve">HJ </w:t>
            </w:r>
            <w:r>
              <w:rPr>
                <w:rFonts w:hint="eastAsia"/>
                <w:color w:val="000000"/>
              </w:rPr>
              <w:t>964</w:t>
            </w:r>
            <w:r>
              <w:rPr>
                <w:color w:val="000000"/>
              </w:rPr>
              <w:t>-201</w:t>
            </w:r>
            <w:r>
              <w:rPr>
                <w:rFonts w:hint="eastAsia"/>
                <w:color w:val="000000"/>
              </w:rPr>
              <w:t>8），Ⅳ类建设项目不开展土壤环境影响评价，故本项目不对土壤进行环境影响评价。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33" w:type="dxa"/>
            <w:vAlign w:val="center"/>
          </w:tcPr>
          <w:p>
            <w:pPr>
              <w:adjustRightInd w:val="0"/>
              <w:snapToGrid w:val="0"/>
              <w:jc w:val="center"/>
              <w:rPr>
                <w:rFonts w:ascii="宋体" w:hAnsi="宋体" w:cs="宋体"/>
                <w:color w:val="000000"/>
                <w:kern w:val="0"/>
                <w:szCs w:val="21"/>
              </w:rPr>
            </w:pPr>
            <w:r>
              <w:rPr>
                <w:rFonts w:hint="eastAsia" w:ascii="宋体" w:hAnsi="宋体"/>
                <w:bCs/>
                <w:color w:val="000000"/>
                <w:szCs w:val="21"/>
              </w:rPr>
              <w:t>与项目有关的原有环境污染和生态破坏问题</w:t>
            </w:r>
          </w:p>
        </w:tc>
        <w:tc>
          <w:tcPr>
            <w:tcW w:w="7353" w:type="dxa"/>
            <w:vAlign w:val="center"/>
          </w:tcPr>
          <w:p>
            <w:pPr>
              <w:pStyle w:val="110"/>
              <w:rPr>
                <w:color w:val="000000"/>
              </w:rPr>
            </w:pPr>
            <w:r>
              <w:rPr>
                <w:rFonts w:hint="eastAsia"/>
                <w:color w:val="000000"/>
              </w:rPr>
              <w:t>本项目为新建项目，无原有环境污染和生态破坏问题。</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33" w:type="dxa"/>
            <w:vAlign w:val="center"/>
          </w:tcPr>
          <w:p>
            <w:pPr>
              <w:adjustRightInd w:val="0"/>
              <w:snapToGrid w:val="0"/>
              <w:jc w:val="center"/>
              <w:rPr>
                <w:rFonts w:ascii="宋体" w:hAnsi="宋体" w:cs="宋体"/>
                <w:color w:val="000000"/>
                <w:kern w:val="0"/>
                <w:szCs w:val="21"/>
              </w:rPr>
            </w:pPr>
            <w:r>
              <w:rPr>
                <w:rFonts w:hint="eastAsia" w:ascii="宋体" w:hAnsi="宋体" w:cs="宋体"/>
                <w:color w:val="000000"/>
                <w:kern w:val="0"/>
                <w:szCs w:val="21"/>
              </w:rPr>
              <w:t>生态环境保护目标</w:t>
            </w:r>
          </w:p>
        </w:tc>
        <w:tc>
          <w:tcPr>
            <w:tcW w:w="7353" w:type="dxa"/>
            <w:vAlign w:val="center"/>
          </w:tcPr>
          <w:p>
            <w:pPr>
              <w:pStyle w:val="110"/>
              <w:rPr>
                <w:color w:val="000000"/>
              </w:rPr>
            </w:pPr>
            <w:r>
              <w:rPr>
                <w:rFonts w:hint="eastAsia"/>
                <w:color w:val="000000"/>
                <w:kern w:val="0"/>
              </w:rPr>
              <w:t>根据《全国水土保持规划国家级水土流失重点预防区和重点治理区复核划分成果》（</w:t>
            </w:r>
            <w:r>
              <w:rPr>
                <w:color w:val="000000"/>
                <w:kern w:val="0"/>
              </w:rPr>
              <w:t>2013</w:t>
            </w:r>
            <w:r>
              <w:rPr>
                <w:rFonts w:hint="eastAsia"/>
                <w:color w:val="000000"/>
                <w:kern w:val="0"/>
              </w:rPr>
              <w:t>年</w:t>
            </w:r>
            <w:r>
              <w:rPr>
                <w:color w:val="000000"/>
                <w:kern w:val="0"/>
              </w:rPr>
              <w:t>8</w:t>
            </w:r>
            <w:r>
              <w:rPr>
                <w:rFonts w:hint="eastAsia"/>
                <w:color w:val="000000"/>
                <w:kern w:val="0"/>
              </w:rPr>
              <w:t>月</w:t>
            </w:r>
            <w:r>
              <w:rPr>
                <w:color w:val="000000"/>
                <w:kern w:val="0"/>
              </w:rPr>
              <w:t>12</w:t>
            </w:r>
            <w:r>
              <w:rPr>
                <w:rFonts w:hint="eastAsia"/>
                <w:color w:val="000000"/>
                <w:kern w:val="0"/>
              </w:rPr>
              <w:t>日）和《关于印发新疆自治区级水土流失重点预防区和重点治理区复核划分成果的通知》（新水水保</w:t>
            </w:r>
            <w:r>
              <w:rPr>
                <w:color w:val="000000"/>
                <w:kern w:val="0"/>
              </w:rPr>
              <w:t>[2019]4</w:t>
            </w:r>
            <w:r>
              <w:rPr>
                <w:rFonts w:hint="eastAsia"/>
                <w:color w:val="000000"/>
                <w:kern w:val="0"/>
              </w:rPr>
              <w:t>号），项目评价范围属于天山北坡诸小河流域重点治理区</w:t>
            </w:r>
            <w:r>
              <w:rPr>
                <w:rFonts w:hint="eastAsia"/>
                <w:color w:val="000000"/>
              </w:rPr>
              <w:t>。</w:t>
            </w:r>
          </w:p>
          <w:p>
            <w:pPr>
              <w:pStyle w:val="110"/>
              <w:rPr>
                <w:color w:val="000000"/>
              </w:rPr>
            </w:pPr>
            <w:r>
              <w:rPr>
                <w:rFonts w:hint="eastAsia"/>
                <w:color w:val="000000"/>
              </w:rPr>
              <w:t>根据《环境影响评价技术导则 陆地石油天然气</w:t>
            </w:r>
            <w:r>
              <w:rPr>
                <w:color w:val="000000"/>
              </w:rPr>
              <w:t>开发建设项目</w:t>
            </w:r>
            <w:r>
              <w:rPr>
                <w:rFonts w:hint="eastAsia"/>
                <w:color w:val="000000"/>
              </w:rPr>
              <w:t>》（HJ</w:t>
            </w:r>
            <w:r>
              <w:rPr>
                <w:color w:val="000000"/>
              </w:rPr>
              <w:t>/T 34</w:t>
            </w:r>
            <w:r>
              <w:rPr>
                <w:rFonts w:hint="eastAsia"/>
                <w:color w:val="000000"/>
              </w:rPr>
              <w:t>9-20</w:t>
            </w:r>
            <w:r>
              <w:rPr>
                <w:color w:val="000000"/>
              </w:rPr>
              <w:t>07</w:t>
            </w:r>
            <w:r>
              <w:rPr>
                <w:rFonts w:hint="eastAsia"/>
                <w:color w:val="000000"/>
              </w:rPr>
              <w:t>）、《环境影响评价技术导则 生态影响》（HJ</w:t>
            </w:r>
            <w:r>
              <w:rPr>
                <w:color w:val="000000"/>
              </w:rPr>
              <w:t xml:space="preserve"> 19-2022</w:t>
            </w:r>
            <w:r>
              <w:rPr>
                <w:rFonts w:hint="eastAsia"/>
                <w:color w:val="000000"/>
              </w:rPr>
              <w:t>）中关于生态影响评价范围的要求，区域</w:t>
            </w:r>
            <w:r>
              <w:rPr>
                <w:color w:val="000000"/>
              </w:rPr>
              <w:t>性建设项目以影响区范围向四周外扩原则确定评价范围</w:t>
            </w:r>
            <w:r>
              <w:rPr>
                <w:rFonts w:hint="eastAsia"/>
                <w:color w:val="000000"/>
              </w:rPr>
              <w:t>。因此</w:t>
            </w:r>
            <w:r>
              <w:rPr>
                <w:color w:val="000000"/>
              </w:rPr>
              <w:t>，本生态</w:t>
            </w:r>
            <w:r>
              <w:rPr>
                <w:rFonts w:hint="eastAsia"/>
                <w:color w:val="000000"/>
              </w:rPr>
              <w:t>环境</w:t>
            </w:r>
            <w:r>
              <w:rPr>
                <w:color w:val="000000"/>
              </w:rPr>
              <w:t>影响专题的评价范围为项目影响范围并外扩</w:t>
            </w:r>
            <w:r>
              <w:rPr>
                <w:rFonts w:hint="eastAsia"/>
                <w:color w:val="000000"/>
              </w:rPr>
              <w:t>1</w:t>
            </w:r>
            <w:r>
              <w:rPr>
                <w:color w:val="000000"/>
              </w:rPr>
              <w:t>km</w:t>
            </w:r>
            <w:r>
              <w:rPr>
                <w:rFonts w:hint="eastAsia"/>
                <w:color w:val="000000"/>
              </w:rPr>
              <w:t>。</w:t>
            </w:r>
          </w:p>
          <w:p>
            <w:pPr>
              <w:pStyle w:val="109"/>
              <w:ind w:firstLine="420"/>
              <w:rPr>
                <w:color w:val="000000"/>
              </w:rPr>
            </w:pPr>
            <w:r>
              <w:rPr>
                <w:rFonts w:hint="eastAsia"/>
                <w:color w:val="000000"/>
              </w:rPr>
              <w:t>根据现场调查，项目评价区内无名胜古迹、自然保护区、风景名胜区、疗养院、水源地等重点保护目标。勘探区占地类型为</w:t>
            </w:r>
            <w:r>
              <w:rPr>
                <w:rFonts w:hint="eastAsia"/>
                <w:bCs/>
                <w:color w:val="000000"/>
              </w:rPr>
              <w:t>林地、草地</w:t>
            </w:r>
            <w:r>
              <w:rPr>
                <w:rFonts w:hint="eastAsia"/>
                <w:color w:val="000000"/>
              </w:rPr>
              <w:t xml:space="preserve">。主要环境保护目标见表 </w:t>
            </w:r>
            <w:r>
              <w:rPr>
                <w:color w:val="000000"/>
              </w:rPr>
              <w:t>15</w:t>
            </w:r>
            <w:r>
              <w:rPr>
                <w:rFonts w:hint="eastAsia"/>
                <w:color w:val="000000"/>
              </w:rPr>
              <w:t>。</w:t>
            </w:r>
          </w:p>
          <w:p>
            <w:pPr>
              <w:adjustRightInd w:val="0"/>
              <w:snapToGrid w:val="0"/>
              <w:spacing w:before="100" w:beforeAutospacing="1" w:line="360" w:lineRule="auto"/>
              <w:jc w:val="center"/>
              <w:rPr>
                <w:rFonts w:ascii="宋体" w:hAnsi="宋体"/>
                <w:color w:val="000000"/>
                <w:szCs w:val="21"/>
              </w:rPr>
            </w:pPr>
            <w:bookmarkStart w:id="21" w:name="_Ref38547034"/>
            <w:bookmarkStart w:id="22" w:name="_Ref109140461"/>
            <w:r>
              <w:rPr>
                <w:rFonts w:hint="eastAsia" w:ascii="宋体" w:hAnsi="宋体"/>
                <w:color w:val="000000"/>
                <w:szCs w:val="21"/>
              </w:rPr>
              <w:t xml:space="preserve">表 </w:t>
            </w:r>
            <w:r>
              <w:rPr>
                <w:rFonts w:ascii="宋体" w:hAnsi="宋体"/>
                <w:color w:val="000000"/>
                <w:szCs w:val="21"/>
              </w:rPr>
              <w:t>15</w:t>
            </w:r>
            <w:bookmarkEnd w:id="21"/>
            <w:r>
              <w:rPr>
                <w:rFonts w:hint="eastAsia" w:ascii="宋体" w:hAnsi="宋体"/>
                <w:color w:val="000000"/>
                <w:szCs w:val="21"/>
              </w:rPr>
              <w:t xml:space="preserve">  区域环境保护目标一览表</w:t>
            </w:r>
            <w:bookmarkEnd w:id="22"/>
          </w:p>
          <w:tbl>
            <w:tblPr>
              <w:tblStyle w:val="29"/>
              <w:tblW w:w="71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89"/>
              <w:gridCol w:w="453"/>
              <w:gridCol w:w="760"/>
              <w:gridCol w:w="1035"/>
              <w:gridCol w:w="928"/>
              <w:gridCol w:w="801"/>
              <w:gridCol w:w="760"/>
              <w:gridCol w:w="726"/>
              <w:gridCol w:w="10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blHeader/>
              </w:trPr>
              <w:tc>
                <w:tcPr>
                  <w:tcW w:w="589" w:type="dxa"/>
                  <w:tcBorders>
                    <w:top w:val="single" w:color="auto" w:sz="4" w:space="0"/>
                    <w:left w:val="single" w:color="auto" w:sz="4" w:space="0"/>
                    <w:bottom w:val="single" w:color="auto" w:sz="4" w:space="0"/>
                    <w:right w:val="single" w:color="auto" w:sz="4" w:space="0"/>
                  </w:tcBorders>
                  <w:vAlign w:val="center"/>
                </w:tcPr>
                <w:p>
                  <w:pPr>
                    <w:pStyle w:val="70"/>
                    <w:rPr>
                      <w:rFonts w:hAnsi="宋体"/>
                      <w:color w:val="000000"/>
                      <w:kern w:val="0"/>
                    </w:rPr>
                  </w:pPr>
                  <w:r>
                    <w:rPr>
                      <w:rFonts w:hint="eastAsia" w:hAnsi="宋体"/>
                      <w:color w:val="000000"/>
                      <w:kern w:val="0"/>
                    </w:rPr>
                    <w:t>类型</w:t>
                  </w:r>
                </w:p>
              </w:tc>
              <w:tc>
                <w:tcPr>
                  <w:tcW w:w="453" w:type="dxa"/>
                  <w:tcBorders>
                    <w:top w:val="single" w:color="auto" w:sz="4" w:space="0"/>
                    <w:left w:val="single" w:color="auto" w:sz="4" w:space="0"/>
                    <w:bottom w:val="single" w:color="auto" w:sz="4" w:space="0"/>
                    <w:right w:val="single" w:color="auto" w:sz="4" w:space="0"/>
                  </w:tcBorders>
                  <w:vAlign w:val="center"/>
                </w:tcPr>
                <w:p>
                  <w:pPr>
                    <w:pStyle w:val="70"/>
                    <w:rPr>
                      <w:rFonts w:hAnsi="宋体"/>
                      <w:color w:val="000000"/>
                      <w:kern w:val="0"/>
                    </w:rPr>
                  </w:pPr>
                  <w:r>
                    <w:rPr>
                      <w:rFonts w:hint="eastAsia" w:hAnsi="宋体"/>
                      <w:color w:val="000000"/>
                      <w:kern w:val="0"/>
                    </w:rPr>
                    <w:t>序号</w:t>
                  </w:r>
                </w:p>
              </w:tc>
              <w:tc>
                <w:tcPr>
                  <w:tcW w:w="760" w:type="dxa"/>
                  <w:tcBorders>
                    <w:top w:val="single" w:color="auto" w:sz="4" w:space="0"/>
                    <w:left w:val="single" w:color="auto" w:sz="4" w:space="0"/>
                    <w:bottom w:val="single" w:color="auto" w:sz="4" w:space="0"/>
                    <w:right w:val="single" w:color="auto" w:sz="4" w:space="0"/>
                  </w:tcBorders>
                  <w:vAlign w:val="center"/>
                </w:tcPr>
                <w:p>
                  <w:pPr>
                    <w:pStyle w:val="70"/>
                    <w:rPr>
                      <w:rFonts w:hAnsi="宋体"/>
                      <w:color w:val="000000"/>
                      <w:kern w:val="0"/>
                    </w:rPr>
                  </w:pPr>
                  <w:r>
                    <w:rPr>
                      <w:rFonts w:hint="eastAsia" w:hAnsi="宋体"/>
                      <w:color w:val="000000"/>
                      <w:kern w:val="0"/>
                    </w:rPr>
                    <w:t>名称</w:t>
                  </w:r>
                </w:p>
              </w:tc>
              <w:tc>
                <w:tcPr>
                  <w:tcW w:w="1035" w:type="dxa"/>
                  <w:tcBorders>
                    <w:top w:val="single" w:color="auto" w:sz="4" w:space="0"/>
                    <w:left w:val="single" w:color="auto" w:sz="4" w:space="0"/>
                    <w:bottom w:val="single" w:color="auto" w:sz="4" w:space="0"/>
                    <w:right w:val="single" w:color="auto" w:sz="4" w:space="0"/>
                  </w:tcBorders>
                  <w:vAlign w:val="center"/>
                </w:tcPr>
                <w:p>
                  <w:pPr>
                    <w:pStyle w:val="70"/>
                    <w:rPr>
                      <w:rFonts w:hAnsi="宋体"/>
                      <w:color w:val="000000"/>
                      <w:kern w:val="0"/>
                    </w:rPr>
                  </w:pPr>
                  <w:r>
                    <w:rPr>
                      <w:rFonts w:hint="eastAsia" w:hAnsi="宋体"/>
                      <w:color w:val="000000"/>
                      <w:kern w:val="0"/>
                    </w:rPr>
                    <w:t>保护对象（人）</w:t>
                  </w:r>
                </w:p>
              </w:tc>
              <w:tc>
                <w:tcPr>
                  <w:tcW w:w="928" w:type="dxa"/>
                  <w:tcBorders>
                    <w:top w:val="single" w:color="auto" w:sz="4" w:space="0"/>
                    <w:left w:val="single" w:color="auto" w:sz="4" w:space="0"/>
                    <w:bottom w:val="single" w:color="auto" w:sz="4" w:space="0"/>
                    <w:right w:val="single" w:color="auto" w:sz="4" w:space="0"/>
                  </w:tcBorders>
                  <w:vAlign w:val="center"/>
                </w:tcPr>
                <w:p>
                  <w:pPr>
                    <w:pStyle w:val="70"/>
                    <w:rPr>
                      <w:rFonts w:hAnsi="宋体"/>
                      <w:color w:val="000000"/>
                      <w:kern w:val="0"/>
                    </w:rPr>
                  </w:pPr>
                  <w:r>
                    <w:rPr>
                      <w:rFonts w:hint="eastAsia" w:hAnsi="宋体"/>
                      <w:color w:val="000000"/>
                      <w:kern w:val="0"/>
                    </w:rPr>
                    <w:t>保护内容</w:t>
                  </w:r>
                </w:p>
              </w:tc>
              <w:tc>
                <w:tcPr>
                  <w:tcW w:w="80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Calibri" w:hAnsi="宋体"/>
                      <w:color w:val="000000"/>
                      <w:kern w:val="0"/>
                      <w:szCs w:val="21"/>
                    </w:rPr>
                  </w:pPr>
                  <w:r>
                    <w:rPr>
                      <w:rFonts w:hint="eastAsia" w:ascii="Calibri" w:hAnsi="宋体"/>
                      <w:color w:val="000000"/>
                      <w:kern w:val="0"/>
                      <w:szCs w:val="21"/>
                    </w:rPr>
                    <w:t>环境功能区</w:t>
                  </w:r>
                </w:p>
              </w:tc>
              <w:tc>
                <w:tcPr>
                  <w:tcW w:w="760" w:type="dxa"/>
                  <w:tcBorders>
                    <w:top w:val="single" w:color="auto" w:sz="4" w:space="0"/>
                    <w:left w:val="single" w:color="auto" w:sz="4" w:space="0"/>
                    <w:bottom w:val="single" w:color="auto" w:sz="4" w:space="0"/>
                    <w:right w:val="single" w:color="auto" w:sz="4" w:space="0"/>
                  </w:tcBorders>
                  <w:vAlign w:val="center"/>
                </w:tcPr>
                <w:p>
                  <w:pPr>
                    <w:pStyle w:val="70"/>
                    <w:rPr>
                      <w:rFonts w:hAnsi="宋体"/>
                      <w:color w:val="000000"/>
                      <w:kern w:val="0"/>
                    </w:rPr>
                  </w:pPr>
                  <w:r>
                    <w:rPr>
                      <w:rFonts w:hint="eastAsia" w:hAnsi="宋体"/>
                      <w:color w:val="000000"/>
                      <w:kern w:val="0"/>
                    </w:rPr>
                    <w:t>参照污染源</w:t>
                  </w:r>
                </w:p>
              </w:tc>
              <w:tc>
                <w:tcPr>
                  <w:tcW w:w="726" w:type="dxa"/>
                  <w:tcBorders>
                    <w:top w:val="single" w:color="auto" w:sz="4" w:space="0"/>
                    <w:left w:val="single" w:color="auto" w:sz="4" w:space="0"/>
                    <w:bottom w:val="single" w:color="auto" w:sz="4" w:space="0"/>
                    <w:right w:val="single" w:color="auto" w:sz="4" w:space="0"/>
                  </w:tcBorders>
                  <w:vAlign w:val="center"/>
                </w:tcPr>
                <w:p>
                  <w:pPr>
                    <w:pStyle w:val="70"/>
                    <w:rPr>
                      <w:rFonts w:hAnsi="宋体"/>
                      <w:color w:val="000000"/>
                      <w:kern w:val="0"/>
                    </w:rPr>
                  </w:pPr>
                  <w:r>
                    <w:rPr>
                      <w:rFonts w:hint="eastAsia" w:hAnsi="宋体"/>
                      <w:color w:val="000000"/>
                      <w:kern w:val="0"/>
                    </w:rPr>
                    <w:t>相对井场方位</w:t>
                  </w:r>
                </w:p>
              </w:tc>
              <w:tc>
                <w:tcPr>
                  <w:tcW w:w="1075" w:type="dxa"/>
                  <w:tcBorders>
                    <w:top w:val="single" w:color="auto" w:sz="4" w:space="0"/>
                    <w:left w:val="single" w:color="auto" w:sz="4" w:space="0"/>
                    <w:bottom w:val="single" w:color="auto" w:sz="4" w:space="0"/>
                    <w:right w:val="single" w:color="auto" w:sz="4" w:space="0"/>
                  </w:tcBorders>
                  <w:vAlign w:val="center"/>
                </w:tcPr>
                <w:p>
                  <w:pPr>
                    <w:pStyle w:val="70"/>
                    <w:rPr>
                      <w:rFonts w:hAnsi="宋体"/>
                      <w:color w:val="000000"/>
                      <w:kern w:val="0"/>
                    </w:rPr>
                  </w:pPr>
                  <w:r>
                    <w:rPr>
                      <w:rFonts w:hint="eastAsia" w:hAnsi="宋体"/>
                      <w:color w:val="000000"/>
                      <w:kern w:val="0"/>
                    </w:rPr>
                    <w:t>相对井场距离（m）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blHeader/>
              </w:trPr>
              <w:tc>
                <w:tcPr>
                  <w:tcW w:w="589" w:type="dxa"/>
                  <w:vMerge w:val="restart"/>
                  <w:tcBorders>
                    <w:top w:val="single" w:color="auto" w:sz="4" w:space="0"/>
                    <w:left w:val="single" w:color="auto" w:sz="4" w:space="0"/>
                    <w:right w:val="single" w:color="auto" w:sz="4" w:space="0"/>
                  </w:tcBorders>
                  <w:vAlign w:val="center"/>
                </w:tcPr>
                <w:p>
                  <w:pPr>
                    <w:pStyle w:val="70"/>
                    <w:rPr>
                      <w:rFonts w:hAnsi="宋体"/>
                      <w:color w:val="000000"/>
                      <w:kern w:val="0"/>
                    </w:rPr>
                  </w:pPr>
                  <w:r>
                    <w:rPr>
                      <w:rFonts w:hint="eastAsia" w:hAnsi="宋体"/>
                      <w:color w:val="000000"/>
                      <w:kern w:val="0"/>
                    </w:rPr>
                    <w:t>环境空气</w:t>
                  </w:r>
                </w:p>
              </w:tc>
              <w:tc>
                <w:tcPr>
                  <w:tcW w:w="453" w:type="dxa"/>
                  <w:tcBorders>
                    <w:top w:val="single" w:color="auto" w:sz="4" w:space="0"/>
                    <w:left w:val="single" w:color="auto" w:sz="4" w:space="0"/>
                    <w:bottom w:val="single" w:color="auto" w:sz="4" w:space="0"/>
                    <w:right w:val="single" w:color="auto" w:sz="4" w:space="0"/>
                  </w:tcBorders>
                  <w:vAlign w:val="center"/>
                </w:tcPr>
                <w:p>
                  <w:pPr>
                    <w:pStyle w:val="70"/>
                    <w:rPr>
                      <w:rFonts w:hAnsi="宋体"/>
                      <w:color w:val="000000"/>
                      <w:kern w:val="0"/>
                    </w:rPr>
                  </w:pPr>
                  <w:r>
                    <w:rPr>
                      <w:rFonts w:hint="eastAsia" w:hAnsi="宋体"/>
                      <w:color w:val="000000"/>
                      <w:kern w:val="0"/>
                    </w:rPr>
                    <w:t>1</w:t>
                  </w:r>
                </w:p>
              </w:tc>
              <w:tc>
                <w:tcPr>
                  <w:tcW w:w="760" w:type="dxa"/>
                  <w:tcBorders>
                    <w:top w:val="single" w:color="auto" w:sz="4" w:space="0"/>
                    <w:left w:val="single" w:color="auto" w:sz="4" w:space="0"/>
                    <w:bottom w:val="single" w:color="auto" w:sz="4" w:space="0"/>
                    <w:right w:val="single" w:color="auto" w:sz="4" w:space="0"/>
                  </w:tcBorders>
                  <w:vAlign w:val="center"/>
                </w:tcPr>
                <w:p>
                  <w:pPr>
                    <w:pStyle w:val="70"/>
                    <w:rPr>
                      <w:rFonts w:hAnsi="宋体"/>
                      <w:color w:val="000000"/>
                      <w:kern w:val="0"/>
                    </w:rPr>
                  </w:pPr>
                  <w:r>
                    <w:rPr>
                      <w:rFonts w:hint="eastAsia" w:hAnsi="宋体"/>
                      <w:color w:val="000000"/>
                      <w:kern w:val="0"/>
                    </w:rPr>
                    <w:t>零散户</w:t>
                  </w:r>
                </w:p>
              </w:tc>
              <w:tc>
                <w:tcPr>
                  <w:tcW w:w="1035" w:type="dxa"/>
                  <w:tcBorders>
                    <w:top w:val="single" w:color="auto" w:sz="4" w:space="0"/>
                    <w:left w:val="single" w:color="auto" w:sz="4" w:space="0"/>
                    <w:bottom w:val="single" w:color="auto" w:sz="4" w:space="0"/>
                    <w:right w:val="single" w:color="auto" w:sz="4" w:space="0"/>
                  </w:tcBorders>
                  <w:vAlign w:val="center"/>
                </w:tcPr>
                <w:p>
                  <w:pPr>
                    <w:pStyle w:val="70"/>
                    <w:rPr>
                      <w:rFonts w:hAnsi="宋体"/>
                      <w:color w:val="000000"/>
                      <w:kern w:val="0"/>
                    </w:rPr>
                  </w:pPr>
                  <w:r>
                    <w:rPr>
                      <w:rFonts w:hint="eastAsia" w:hAnsi="宋体"/>
                      <w:color w:val="000000"/>
                      <w:kern w:val="0"/>
                    </w:rPr>
                    <w:t>3</w:t>
                  </w:r>
                </w:p>
              </w:tc>
              <w:tc>
                <w:tcPr>
                  <w:tcW w:w="928" w:type="dxa"/>
                  <w:vMerge w:val="restart"/>
                  <w:tcBorders>
                    <w:top w:val="single" w:color="auto" w:sz="4" w:space="0"/>
                    <w:left w:val="single" w:color="auto" w:sz="4" w:space="0"/>
                    <w:right w:val="single" w:color="auto" w:sz="4" w:space="0"/>
                  </w:tcBorders>
                  <w:vAlign w:val="center"/>
                </w:tcPr>
                <w:p>
                  <w:pPr>
                    <w:pStyle w:val="70"/>
                    <w:rPr>
                      <w:rFonts w:hAnsi="宋体"/>
                      <w:color w:val="000000"/>
                      <w:kern w:val="0"/>
                    </w:rPr>
                  </w:pPr>
                  <w:r>
                    <w:rPr>
                      <w:rFonts w:hint="eastAsia" w:hAnsi="宋体"/>
                      <w:color w:val="000000"/>
                      <w:kern w:val="0"/>
                    </w:rPr>
                    <w:t>人群</w:t>
                  </w:r>
                </w:p>
              </w:tc>
              <w:tc>
                <w:tcPr>
                  <w:tcW w:w="80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Calibri" w:hAnsi="宋体"/>
                      <w:color w:val="000000"/>
                      <w:kern w:val="0"/>
                      <w:szCs w:val="21"/>
                    </w:rPr>
                  </w:pPr>
                  <w:r>
                    <w:rPr>
                      <w:rFonts w:hint="eastAsia" w:ascii="Calibri" w:hAnsi="宋体"/>
                      <w:color w:val="000000"/>
                      <w:kern w:val="0"/>
                      <w:szCs w:val="21"/>
                    </w:rPr>
                    <w:t>二类</w:t>
                  </w:r>
                </w:p>
              </w:tc>
              <w:tc>
                <w:tcPr>
                  <w:tcW w:w="760" w:type="dxa"/>
                  <w:tcBorders>
                    <w:top w:val="single" w:color="auto" w:sz="4" w:space="0"/>
                    <w:left w:val="single" w:color="auto" w:sz="4" w:space="0"/>
                    <w:bottom w:val="single" w:color="auto" w:sz="4" w:space="0"/>
                    <w:right w:val="single" w:color="auto" w:sz="4" w:space="0"/>
                  </w:tcBorders>
                  <w:vAlign w:val="center"/>
                </w:tcPr>
                <w:p>
                  <w:pPr>
                    <w:pStyle w:val="70"/>
                    <w:rPr>
                      <w:rFonts w:hAnsi="宋体"/>
                      <w:color w:val="000000"/>
                      <w:kern w:val="0"/>
                    </w:rPr>
                  </w:pPr>
                  <w:r>
                    <w:rPr>
                      <w:rFonts w:hint="eastAsia" w:hAnsi="宋体"/>
                      <w:color w:val="000000"/>
                      <w:kern w:val="0"/>
                    </w:rPr>
                    <w:t>大龙口-浅2</w:t>
                  </w:r>
                </w:p>
              </w:tc>
              <w:tc>
                <w:tcPr>
                  <w:tcW w:w="726" w:type="dxa"/>
                  <w:tcBorders>
                    <w:top w:val="single" w:color="auto" w:sz="4" w:space="0"/>
                    <w:left w:val="single" w:color="auto" w:sz="4" w:space="0"/>
                    <w:bottom w:val="single" w:color="auto" w:sz="4" w:space="0"/>
                    <w:right w:val="single" w:color="auto" w:sz="4" w:space="0"/>
                  </w:tcBorders>
                  <w:vAlign w:val="center"/>
                </w:tcPr>
                <w:p>
                  <w:pPr>
                    <w:pStyle w:val="70"/>
                    <w:rPr>
                      <w:rFonts w:hAnsi="宋体"/>
                      <w:color w:val="000000"/>
                      <w:kern w:val="0"/>
                    </w:rPr>
                  </w:pPr>
                  <w:r>
                    <w:rPr>
                      <w:rFonts w:hint="eastAsia" w:hAnsi="宋体"/>
                      <w:color w:val="000000"/>
                      <w:kern w:val="0"/>
                    </w:rPr>
                    <w:t>S</w:t>
                  </w:r>
                </w:p>
              </w:tc>
              <w:tc>
                <w:tcPr>
                  <w:tcW w:w="1075" w:type="dxa"/>
                  <w:tcBorders>
                    <w:top w:val="single" w:color="auto" w:sz="4" w:space="0"/>
                    <w:left w:val="single" w:color="auto" w:sz="4" w:space="0"/>
                    <w:bottom w:val="single" w:color="auto" w:sz="4" w:space="0"/>
                    <w:right w:val="single" w:color="auto" w:sz="4" w:space="0"/>
                  </w:tcBorders>
                  <w:vAlign w:val="center"/>
                </w:tcPr>
                <w:p>
                  <w:pPr>
                    <w:pStyle w:val="70"/>
                    <w:rPr>
                      <w:rFonts w:hAnsi="宋体"/>
                      <w:color w:val="000000"/>
                      <w:kern w:val="0"/>
                    </w:rPr>
                  </w:pPr>
                  <w:r>
                    <w:rPr>
                      <w:rFonts w:hint="eastAsia" w:hAnsi="宋体"/>
                      <w:color w:val="000000"/>
                      <w:kern w:val="0"/>
                    </w:rPr>
                    <w:t>8</w:t>
                  </w:r>
                  <w:r>
                    <w:rPr>
                      <w:rFonts w:hAnsi="宋体"/>
                      <w:color w:val="000000"/>
                      <w:kern w:val="0"/>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blHeader/>
              </w:trPr>
              <w:tc>
                <w:tcPr>
                  <w:tcW w:w="589" w:type="dxa"/>
                  <w:vMerge w:val="continue"/>
                  <w:tcBorders>
                    <w:top w:val="single" w:color="auto" w:sz="4" w:space="0"/>
                    <w:left w:val="single" w:color="auto" w:sz="4" w:space="0"/>
                    <w:right w:val="single" w:color="auto" w:sz="4" w:space="0"/>
                  </w:tcBorders>
                  <w:vAlign w:val="center"/>
                </w:tcPr>
                <w:p>
                  <w:pPr>
                    <w:pStyle w:val="70"/>
                    <w:rPr>
                      <w:rFonts w:hAnsi="宋体"/>
                      <w:color w:val="000000"/>
                      <w:kern w:val="0"/>
                    </w:rPr>
                  </w:pPr>
                </w:p>
              </w:tc>
              <w:tc>
                <w:tcPr>
                  <w:tcW w:w="453" w:type="dxa"/>
                  <w:tcBorders>
                    <w:top w:val="single" w:color="auto" w:sz="4" w:space="0"/>
                    <w:left w:val="single" w:color="auto" w:sz="4" w:space="0"/>
                    <w:bottom w:val="single" w:color="auto" w:sz="4" w:space="0"/>
                    <w:right w:val="single" w:color="auto" w:sz="4" w:space="0"/>
                  </w:tcBorders>
                  <w:vAlign w:val="center"/>
                </w:tcPr>
                <w:p>
                  <w:pPr>
                    <w:pStyle w:val="70"/>
                    <w:rPr>
                      <w:rFonts w:hAnsi="宋体"/>
                      <w:color w:val="000000"/>
                      <w:kern w:val="0"/>
                    </w:rPr>
                  </w:pPr>
                  <w:r>
                    <w:rPr>
                      <w:rFonts w:hint="eastAsia" w:hAnsi="宋体"/>
                      <w:color w:val="000000"/>
                      <w:kern w:val="0"/>
                    </w:rPr>
                    <w:t>2</w:t>
                  </w:r>
                </w:p>
              </w:tc>
              <w:tc>
                <w:tcPr>
                  <w:tcW w:w="760" w:type="dxa"/>
                  <w:tcBorders>
                    <w:top w:val="single" w:color="auto" w:sz="4" w:space="0"/>
                    <w:left w:val="single" w:color="auto" w:sz="4" w:space="0"/>
                    <w:bottom w:val="single" w:color="auto" w:sz="4" w:space="0"/>
                    <w:right w:val="single" w:color="auto" w:sz="4" w:space="0"/>
                  </w:tcBorders>
                  <w:vAlign w:val="center"/>
                </w:tcPr>
                <w:p>
                  <w:pPr>
                    <w:pStyle w:val="70"/>
                    <w:rPr>
                      <w:rFonts w:hAnsi="宋体"/>
                      <w:color w:val="000000"/>
                      <w:kern w:val="0"/>
                    </w:rPr>
                  </w:pPr>
                  <w:r>
                    <w:rPr>
                      <w:rFonts w:hint="eastAsia" w:hAnsi="宋体"/>
                      <w:color w:val="000000"/>
                      <w:kern w:val="0"/>
                    </w:rPr>
                    <w:t>零散户</w:t>
                  </w:r>
                </w:p>
              </w:tc>
              <w:tc>
                <w:tcPr>
                  <w:tcW w:w="1035" w:type="dxa"/>
                  <w:tcBorders>
                    <w:top w:val="single" w:color="auto" w:sz="4" w:space="0"/>
                    <w:left w:val="single" w:color="auto" w:sz="4" w:space="0"/>
                    <w:bottom w:val="single" w:color="auto" w:sz="4" w:space="0"/>
                    <w:right w:val="single" w:color="auto" w:sz="4" w:space="0"/>
                  </w:tcBorders>
                  <w:vAlign w:val="center"/>
                </w:tcPr>
                <w:p>
                  <w:pPr>
                    <w:pStyle w:val="70"/>
                    <w:rPr>
                      <w:rFonts w:hAnsi="宋体"/>
                      <w:color w:val="000000"/>
                      <w:kern w:val="0"/>
                    </w:rPr>
                  </w:pPr>
                  <w:r>
                    <w:rPr>
                      <w:rFonts w:hint="eastAsia" w:hAnsi="宋体"/>
                      <w:color w:val="000000"/>
                      <w:kern w:val="0"/>
                    </w:rPr>
                    <w:t>3</w:t>
                  </w:r>
                </w:p>
              </w:tc>
              <w:tc>
                <w:tcPr>
                  <w:tcW w:w="928" w:type="dxa"/>
                  <w:vMerge w:val="continue"/>
                  <w:tcBorders>
                    <w:left w:val="single" w:color="auto" w:sz="4" w:space="0"/>
                    <w:bottom w:val="single" w:color="auto" w:sz="4" w:space="0"/>
                    <w:right w:val="single" w:color="auto" w:sz="4" w:space="0"/>
                  </w:tcBorders>
                  <w:vAlign w:val="center"/>
                </w:tcPr>
                <w:p>
                  <w:pPr>
                    <w:pStyle w:val="70"/>
                    <w:rPr>
                      <w:rFonts w:hAnsi="宋体"/>
                      <w:color w:val="000000"/>
                      <w:kern w:val="0"/>
                    </w:rPr>
                  </w:pPr>
                </w:p>
              </w:tc>
              <w:tc>
                <w:tcPr>
                  <w:tcW w:w="80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Calibri" w:hAnsi="宋体"/>
                      <w:color w:val="000000"/>
                      <w:kern w:val="0"/>
                      <w:szCs w:val="21"/>
                    </w:rPr>
                  </w:pPr>
                  <w:r>
                    <w:rPr>
                      <w:rFonts w:hint="eastAsia" w:ascii="Calibri" w:hAnsi="宋体"/>
                      <w:color w:val="000000"/>
                      <w:kern w:val="0"/>
                      <w:szCs w:val="21"/>
                    </w:rPr>
                    <w:t>二类</w:t>
                  </w:r>
                </w:p>
              </w:tc>
              <w:tc>
                <w:tcPr>
                  <w:tcW w:w="760" w:type="dxa"/>
                  <w:tcBorders>
                    <w:top w:val="single" w:color="auto" w:sz="4" w:space="0"/>
                    <w:left w:val="single" w:color="auto" w:sz="4" w:space="0"/>
                    <w:bottom w:val="single" w:color="auto" w:sz="4" w:space="0"/>
                    <w:right w:val="single" w:color="auto" w:sz="4" w:space="0"/>
                  </w:tcBorders>
                  <w:vAlign w:val="center"/>
                </w:tcPr>
                <w:p>
                  <w:pPr>
                    <w:pStyle w:val="70"/>
                    <w:rPr>
                      <w:rFonts w:hAnsi="宋体"/>
                      <w:color w:val="000000"/>
                      <w:kern w:val="0"/>
                    </w:rPr>
                  </w:pPr>
                  <w:r>
                    <w:rPr>
                      <w:rFonts w:hint="eastAsia" w:hAnsi="宋体"/>
                      <w:color w:val="000000"/>
                      <w:kern w:val="0"/>
                    </w:rPr>
                    <w:t>大龙口-浅</w:t>
                  </w:r>
                  <w:r>
                    <w:rPr>
                      <w:rFonts w:hAnsi="宋体"/>
                      <w:color w:val="000000"/>
                      <w:kern w:val="0"/>
                    </w:rPr>
                    <w:t>3</w:t>
                  </w:r>
                </w:p>
              </w:tc>
              <w:tc>
                <w:tcPr>
                  <w:tcW w:w="726" w:type="dxa"/>
                  <w:tcBorders>
                    <w:top w:val="single" w:color="auto" w:sz="4" w:space="0"/>
                    <w:left w:val="single" w:color="auto" w:sz="4" w:space="0"/>
                    <w:bottom w:val="single" w:color="auto" w:sz="4" w:space="0"/>
                    <w:right w:val="single" w:color="auto" w:sz="4" w:space="0"/>
                  </w:tcBorders>
                  <w:vAlign w:val="center"/>
                </w:tcPr>
                <w:p>
                  <w:pPr>
                    <w:pStyle w:val="70"/>
                    <w:rPr>
                      <w:rFonts w:hAnsi="宋体"/>
                      <w:color w:val="000000"/>
                      <w:kern w:val="0"/>
                    </w:rPr>
                  </w:pPr>
                  <w:r>
                    <w:rPr>
                      <w:rFonts w:hint="eastAsia" w:hAnsi="宋体"/>
                      <w:color w:val="000000"/>
                      <w:kern w:val="0"/>
                    </w:rPr>
                    <w:t>NE</w:t>
                  </w:r>
                </w:p>
              </w:tc>
              <w:tc>
                <w:tcPr>
                  <w:tcW w:w="1075" w:type="dxa"/>
                  <w:tcBorders>
                    <w:top w:val="single" w:color="auto" w:sz="4" w:space="0"/>
                    <w:left w:val="single" w:color="auto" w:sz="4" w:space="0"/>
                    <w:bottom w:val="single" w:color="auto" w:sz="4" w:space="0"/>
                    <w:right w:val="single" w:color="auto" w:sz="4" w:space="0"/>
                  </w:tcBorders>
                  <w:vAlign w:val="center"/>
                </w:tcPr>
                <w:p>
                  <w:pPr>
                    <w:pStyle w:val="70"/>
                    <w:rPr>
                      <w:rFonts w:hAnsi="宋体"/>
                      <w:color w:val="000000"/>
                      <w:kern w:val="0"/>
                    </w:rPr>
                  </w:pPr>
                  <w:r>
                    <w:rPr>
                      <w:rFonts w:hAnsi="宋体"/>
                      <w:color w:val="000000"/>
                      <w:kern w:val="0"/>
                    </w:rPr>
                    <w:t>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blHeader/>
              </w:trPr>
              <w:tc>
                <w:tcPr>
                  <w:tcW w:w="589" w:type="dxa"/>
                  <w:vMerge w:val="continue"/>
                  <w:tcBorders>
                    <w:left w:val="single" w:color="auto" w:sz="4" w:space="0"/>
                    <w:right w:val="single" w:color="auto" w:sz="4" w:space="0"/>
                  </w:tcBorders>
                  <w:vAlign w:val="center"/>
                </w:tcPr>
                <w:p>
                  <w:pPr>
                    <w:pStyle w:val="70"/>
                    <w:rPr>
                      <w:rFonts w:hAnsi="宋体"/>
                      <w:color w:val="000000"/>
                      <w:kern w:val="0"/>
                    </w:rPr>
                  </w:pPr>
                </w:p>
              </w:tc>
              <w:tc>
                <w:tcPr>
                  <w:tcW w:w="453" w:type="dxa"/>
                  <w:tcBorders>
                    <w:top w:val="single" w:color="auto" w:sz="4" w:space="0"/>
                    <w:left w:val="single" w:color="auto" w:sz="4" w:space="0"/>
                    <w:bottom w:val="single" w:color="auto" w:sz="4" w:space="0"/>
                    <w:right w:val="single" w:color="auto" w:sz="4" w:space="0"/>
                  </w:tcBorders>
                  <w:vAlign w:val="center"/>
                </w:tcPr>
                <w:p>
                  <w:pPr>
                    <w:pStyle w:val="70"/>
                    <w:rPr>
                      <w:rFonts w:hAnsi="宋体"/>
                      <w:color w:val="000000"/>
                      <w:kern w:val="0"/>
                    </w:rPr>
                  </w:pPr>
                  <w:r>
                    <w:rPr>
                      <w:rFonts w:hAnsi="宋体"/>
                      <w:color w:val="000000"/>
                      <w:kern w:val="0"/>
                    </w:rPr>
                    <w:t>3</w:t>
                  </w:r>
                </w:p>
              </w:tc>
              <w:tc>
                <w:tcPr>
                  <w:tcW w:w="760" w:type="dxa"/>
                  <w:tcBorders>
                    <w:top w:val="single" w:color="auto" w:sz="4" w:space="0"/>
                    <w:left w:val="single" w:color="auto" w:sz="4" w:space="0"/>
                    <w:bottom w:val="single" w:color="auto" w:sz="4" w:space="0"/>
                    <w:right w:val="single" w:color="auto" w:sz="4" w:space="0"/>
                  </w:tcBorders>
                  <w:vAlign w:val="center"/>
                </w:tcPr>
                <w:p>
                  <w:pPr>
                    <w:pStyle w:val="70"/>
                    <w:rPr>
                      <w:rFonts w:hAnsi="宋体"/>
                      <w:color w:val="000000"/>
                      <w:kern w:val="0"/>
                    </w:rPr>
                  </w:pPr>
                  <w:r>
                    <w:rPr>
                      <w:rFonts w:hint="eastAsia" w:hAnsi="宋体"/>
                      <w:color w:val="000000"/>
                      <w:kern w:val="0"/>
                    </w:rPr>
                    <w:t>乏马塘村</w:t>
                  </w:r>
                </w:p>
              </w:tc>
              <w:tc>
                <w:tcPr>
                  <w:tcW w:w="1035" w:type="dxa"/>
                  <w:tcBorders>
                    <w:top w:val="single" w:color="auto" w:sz="4" w:space="0"/>
                    <w:left w:val="single" w:color="auto" w:sz="4" w:space="0"/>
                    <w:bottom w:val="single" w:color="auto" w:sz="4" w:space="0"/>
                    <w:right w:val="single" w:color="auto" w:sz="4" w:space="0"/>
                  </w:tcBorders>
                  <w:vAlign w:val="center"/>
                </w:tcPr>
                <w:p>
                  <w:pPr>
                    <w:pStyle w:val="70"/>
                    <w:rPr>
                      <w:rFonts w:hAnsi="宋体"/>
                      <w:color w:val="000000"/>
                      <w:kern w:val="0"/>
                    </w:rPr>
                  </w:pPr>
                  <w:r>
                    <w:rPr>
                      <w:rFonts w:hint="eastAsia" w:hAnsi="宋体"/>
                      <w:color w:val="000000"/>
                      <w:kern w:val="0"/>
                    </w:rPr>
                    <w:t>1</w:t>
                  </w:r>
                  <w:r>
                    <w:rPr>
                      <w:rFonts w:hAnsi="宋体"/>
                      <w:color w:val="000000"/>
                      <w:kern w:val="0"/>
                    </w:rPr>
                    <w:t>50</w:t>
                  </w:r>
                </w:p>
              </w:tc>
              <w:tc>
                <w:tcPr>
                  <w:tcW w:w="928" w:type="dxa"/>
                  <w:vMerge w:val="restart"/>
                  <w:tcBorders>
                    <w:top w:val="single" w:color="auto" w:sz="4" w:space="0"/>
                    <w:left w:val="single" w:color="auto" w:sz="4" w:space="0"/>
                    <w:right w:val="single" w:color="auto" w:sz="4" w:space="0"/>
                  </w:tcBorders>
                  <w:vAlign w:val="center"/>
                </w:tcPr>
                <w:p>
                  <w:pPr>
                    <w:pStyle w:val="70"/>
                    <w:rPr>
                      <w:rFonts w:hAnsi="宋体"/>
                      <w:color w:val="000000"/>
                      <w:kern w:val="0"/>
                    </w:rPr>
                  </w:pPr>
                  <w:r>
                    <w:rPr>
                      <w:rFonts w:hint="eastAsia" w:hAnsi="宋体"/>
                      <w:color w:val="000000"/>
                      <w:kern w:val="0"/>
                    </w:rPr>
                    <w:t>人群</w:t>
                  </w:r>
                </w:p>
              </w:tc>
              <w:tc>
                <w:tcPr>
                  <w:tcW w:w="80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Calibri" w:hAnsi="宋体"/>
                      <w:color w:val="000000"/>
                      <w:kern w:val="0"/>
                      <w:szCs w:val="21"/>
                    </w:rPr>
                  </w:pPr>
                  <w:r>
                    <w:rPr>
                      <w:rFonts w:hint="eastAsia" w:ascii="Calibri" w:hAnsi="宋体"/>
                      <w:color w:val="000000"/>
                      <w:kern w:val="0"/>
                      <w:szCs w:val="21"/>
                    </w:rPr>
                    <w:t>二类</w:t>
                  </w:r>
                </w:p>
              </w:tc>
              <w:tc>
                <w:tcPr>
                  <w:tcW w:w="760" w:type="dxa"/>
                  <w:tcBorders>
                    <w:top w:val="single" w:color="auto" w:sz="4" w:space="0"/>
                    <w:left w:val="single" w:color="auto" w:sz="4" w:space="0"/>
                    <w:bottom w:val="single" w:color="auto" w:sz="4" w:space="0"/>
                    <w:right w:val="single" w:color="auto" w:sz="4" w:space="0"/>
                  </w:tcBorders>
                  <w:vAlign w:val="center"/>
                </w:tcPr>
                <w:p>
                  <w:pPr>
                    <w:pStyle w:val="70"/>
                    <w:rPr>
                      <w:rFonts w:hAnsi="宋体"/>
                      <w:color w:val="000000"/>
                      <w:kern w:val="0"/>
                    </w:rPr>
                  </w:pPr>
                  <w:r>
                    <w:rPr>
                      <w:rFonts w:hint="eastAsia" w:hAnsi="宋体"/>
                      <w:color w:val="000000"/>
                      <w:kern w:val="0"/>
                    </w:rPr>
                    <w:t>大龙口-浅2</w:t>
                  </w:r>
                </w:p>
              </w:tc>
              <w:tc>
                <w:tcPr>
                  <w:tcW w:w="726" w:type="dxa"/>
                  <w:tcBorders>
                    <w:top w:val="single" w:color="auto" w:sz="4" w:space="0"/>
                    <w:left w:val="single" w:color="auto" w:sz="4" w:space="0"/>
                    <w:bottom w:val="single" w:color="auto" w:sz="4" w:space="0"/>
                    <w:right w:val="single" w:color="auto" w:sz="4" w:space="0"/>
                  </w:tcBorders>
                  <w:vAlign w:val="center"/>
                </w:tcPr>
                <w:p>
                  <w:pPr>
                    <w:pStyle w:val="70"/>
                    <w:rPr>
                      <w:rFonts w:hAnsi="宋体"/>
                      <w:color w:val="000000"/>
                      <w:kern w:val="0"/>
                    </w:rPr>
                  </w:pPr>
                  <w:r>
                    <w:rPr>
                      <w:rFonts w:hint="eastAsia" w:hAnsi="宋体"/>
                      <w:color w:val="000000"/>
                      <w:kern w:val="0"/>
                    </w:rPr>
                    <w:t>SE</w:t>
                  </w:r>
                </w:p>
              </w:tc>
              <w:tc>
                <w:tcPr>
                  <w:tcW w:w="1075" w:type="dxa"/>
                  <w:tcBorders>
                    <w:top w:val="single" w:color="auto" w:sz="4" w:space="0"/>
                    <w:left w:val="single" w:color="auto" w:sz="4" w:space="0"/>
                    <w:bottom w:val="single" w:color="auto" w:sz="4" w:space="0"/>
                    <w:right w:val="single" w:color="auto" w:sz="4" w:space="0"/>
                  </w:tcBorders>
                  <w:vAlign w:val="center"/>
                </w:tcPr>
                <w:p>
                  <w:pPr>
                    <w:pStyle w:val="70"/>
                    <w:rPr>
                      <w:rFonts w:hAnsi="宋体"/>
                      <w:color w:val="000000"/>
                      <w:kern w:val="0"/>
                    </w:rPr>
                  </w:pPr>
                  <w:r>
                    <w:rPr>
                      <w:rFonts w:hint="eastAsia" w:hAnsi="宋体"/>
                      <w:color w:val="000000"/>
                      <w:kern w:val="0"/>
                    </w:rPr>
                    <w:t>3</w:t>
                  </w:r>
                  <w:r>
                    <w:rPr>
                      <w:rFonts w:hAnsi="宋体"/>
                      <w:color w:val="000000"/>
                      <w:kern w:val="0"/>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blHeader/>
              </w:trPr>
              <w:tc>
                <w:tcPr>
                  <w:tcW w:w="589" w:type="dxa"/>
                  <w:vMerge w:val="continue"/>
                  <w:tcBorders>
                    <w:left w:val="single" w:color="auto" w:sz="4" w:space="0"/>
                    <w:right w:val="single" w:color="auto" w:sz="4" w:space="0"/>
                  </w:tcBorders>
                  <w:vAlign w:val="center"/>
                </w:tcPr>
                <w:p>
                  <w:pPr>
                    <w:pStyle w:val="70"/>
                    <w:rPr>
                      <w:rFonts w:hAnsi="宋体"/>
                      <w:color w:val="000000"/>
                      <w:kern w:val="0"/>
                    </w:rPr>
                  </w:pPr>
                </w:p>
              </w:tc>
              <w:tc>
                <w:tcPr>
                  <w:tcW w:w="453" w:type="dxa"/>
                  <w:tcBorders>
                    <w:top w:val="single" w:color="auto" w:sz="4" w:space="0"/>
                    <w:left w:val="single" w:color="auto" w:sz="4" w:space="0"/>
                    <w:bottom w:val="single" w:color="auto" w:sz="4" w:space="0"/>
                    <w:right w:val="single" w:color="auto" w:sz="4" w:space="0"/>
                  </w:tcBorders>
                  <w:vAlign w:val="center"/>
                </w:tcPr>
                <w:p>
                  <w:pPr>
                    <w:pStyle w:val="70"/>
                    <w:rPr>
                      <w:rFonts w:hAnsi="宋体"/>
                      <w:color w:val="000000"/>
                      <w:kern w:val="0"/>
                    </w:rPr>
                  </w:pPr>
                  <w:r>
                    <w:rPr>
                      <w:rFonts w:hAnsi="宋体"/>
                      <w:color w:val="000000"/>
                      <w:kern w:val="0"/>
                    </w:rPr>
                    <w:t>4</w:t>
                  </w:r>
                </w:p>
              </w:tc>
              <w:tc>
                <w:tcPr>
                  <w:tcW w:w="760" w:type="dxa"/>
                  <w:tcBorders>
                    <w:top w:val="single" w:color="auto" w:sz="4" w:space="0"/>
                    <w:left w:val="single" w:color="auto" w:sz="4" w:space="0"/>
                    <w:bottom w:val="single" w:color="auto" w:sz="4" w:space="0"/>
                    <w:right w:val="single" w:color="auto" w:sz="4" w:space="0"/>
                  </w:tcBorders>
                  <w:vAlign w:val="center"/>
                </w:tcPr>
                <w:p>
                  <w:pPr>
                    <w:pStyle w:val="70"/>
                    <w:rPr>
                      <w:rFonts w:hAnsi="宋体"/>
                      <w:color w:val="000000"/>
                      <w:kern w:val="0"/>
                    </w:rPr>
                  </w:pPr>
                  <w:r>
                    <w:rPr>
                      <w:rFonts w:hint="eastAsia" w:hAnsi="宋体" w:cs="宋体"/>
                      <w:color w:val="000000"/>
                    </w:rPr>
                    <w:t>西台子村</w:t>
                  </w:r>
                </w:p>
              </w:tc>
              <w:tc>
                <w:tcPr>
                  <w:tcW w:w="1035" w:type="dxa"/>
                  <w:tcBorders>
                    <w:top w:val="single" w:color="auto" w:sz="4" w:space="0"/>
                    <w:left w:val="single" w:color="auto" w:sz="4" w:space="0"/>
                    <w:bottom w:val="single" w:color="auto" w:sz="4" w:space="0"/>
                    <w:right w:val="single" w:color="auto" w:sz="4" w:space="0"/>
                  </w:tcBorders>
                  <w:vAlign w:val="center"/>
                </w:tcPr>
                <w:p>
                  <w:pPr>
                    <w:pStyle w:val="70"/>
                    <w:rPr>
                      <w:rFonts w:hAnsi="宋体"/>
                      <w:color w:val="000000"/>
                      <w:kern w:val="0"/>
                    </w:rPr>
                  </w:pPr>
                  <w:r>
                    <w:rPr>
                      <w:rFonts w:hint="eastAsia" w:hAnsi="宋体"/>
                      <w:color w:val="000000"/>
                      <w:kern w:val="0"/>
                    </w:rPr>
                    <w:t>2</w:t>
                  </w:r>
                  <w:r>
                    <w:rPr>
                      <w:rFonts w:hAnsi="宋体"/>
                      <w:color w:val="000000"/>
                      <w:kern w:val="0"/>
                    </w:rPr>
                    <w:t>00</w:t>
                  </w:r>
                </w:p>
              </w:tc>
              <w:tc>
                <w:tcPr>
                  <w:tcW w:w="928" w:type="dxa"/>
                  <w:vMerge w:val="continue"/>
                  <w:tcBorders>
                    <w:left w:val="single" w:color="auto" w:sz="4" w:space="0"/>
                    <w:bottom w:val="single" w:color="auto" w:sz="4" w:space="0"/>
                    <w:right w:val="single" w:color="auto" w:sz="4" w:space="0"/>
                  </w:tcBorders>
                  <w:vAlign w:val="center"/>
                </w:tcPr>
                <w:p>
                  <w:pPr>
                    <w:pStyle w:val="70"/>
                    <w:rPr>
                      <w:rFonts w:hAnsi="宋体"/>
                      <w:color w:val="000000"/>
                      <w:kern w:val="0"/>
                    </w:rPr>
                  </w:pPr>
                </w:p>
              </w:tc>
              <w:tc>
                <w:tcPr>
                  <w:tcW w:w="80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Calibri" w:hAnsi="宋体"/>
                      <w:color w:val="000000"/>
                      <w:kern w:val="0"/>
                      <w:szCs w:val="21"/>
                    </w:rPr>
                  </w:pPr>
                  <w:r>
                    <w:rPr>
                      <w:rFonts w:hint="eastAsia" w:ascii="Calibri" w:hAnsi="宋体"/>
                      <w:color w:val="000000"/>
                      <w:kern w:val="0"/>
                      <w:szCs w:val="21"/>
                    </w:rPr>
                    <w:t>二类</w:t>
                  </w:r>
                </w:p>
              </w:tc>
              <w:tc>
                <w:tcPr>
                  <w:tcW w:w="760" w:type="dxa"/>
                  <w:tcBorders>
                    <w:top w:val="single" w:color="auto" w:sz="4" w:space="0"/>
                    <w:left w:val="single" w:color="auto" w:sz="4" w:space="0"/>
                    <w:bottom w:val="single" w:color="auto" w:sz="4" w:space="0"/>
                    <w:right w:val="single" w:color="auto" w:sz="4" w:space="0"/>
                  </w:tcBorders>
                  <w:vAlign w:val="center"/>
                </w:tcPr>
                <w:p>
                  <w:pPr>
                    <w:pStyle w:val="70"/>
                    <w:rPr>
                      <w:rFonts w:hAnsi="宋体"/>
                      <w:color w:val="000000"/>
                      <w:kern w:val="0"/>
                    </w:rPr>
                  </w:pPr>
                  <w:r>
                    <w:rPr>
                      <w:rFonts w:hint="eastAsia" w:hAnsi="宋体"/>
                      <w:color w:val="000000"/>
                      <w:kern w:val="0"/>
                    </w:rPr>
                    <w:t>大龙口-浅</w:t>
                  </w:r>
                  <w:r>
                    <w:rPr>
                      <w:rFonts w:hAnsi="宋体"/>
                      <w:color w:val="000000"/>
                      <w:kern w:val="0"/>
                    </w:rPr>
                    <w:t>3</w:t>
                  </w:r>
                </w:p>
              </w:tc>
              <w:tc>
                <w:tcPr>
                  <w:tcW w:w="726" w:type="dxa"/>
                  <w:tcBorders>
                    <w:top w:val="single" w:color="auto" w:sz="4" w:space="0"/>
                    <w:left w:val="single" w:color="auto" w:sz="4" w:space="0"/>
                    <w:bottom w:val="single" w:color="auto" w:sz="4" w:space="0"/>
                    <w:right w:val="single" w:color="auto" w:sz="4" w:space="0"/>
                  </w:tcBorders>
                  <w:vAlign w:val="center"/>
                </w:tcPr>
                <w:p>
                  <w:pPr>
                    <w:pStyle w:val="70"/>
                    <w:rPr>
                      <w:rFonts w:hAnsi="宋体"/>
                      <w:color w:val="000000"/>
                      <w:kern w:val="0"/>
                    </w:rPr>
                  </w:pPr>
                  <w:r>
                    <w:rPr>
                      <w:rFonts w:hint="eastAsia" w:hAnsi="宋体"/>
                      <w:color w:val="000000"/>
                      <w:kern w:val="0"/>
                    </w:rPr>
                    <w:t>SE</w:t>
                  </w:r>
                </w:p>
              </w:tc>
              <w:tc>
                <w:tcPr>
                  <w:tcW w:w="1075" w:type="dxa"/>
                  <w:tcBorders>
                    <w:top w:val="single" w:color="auto" w:sz="4" w:space="0"/>
                    <w:left w:val="single" w:color="auto" w:sz="4" w:space="0"/>
                    <w:bottom w:val="single" w:color="auto" w:sz="4" w:space="0"/>
                    <w:right w:val="single" w:color="auto" w:sz="4" w:space="0"/>
                  </w:tcBorders>
                  <w:vAlign w:val="center"/>
                </w:tcPr>
                <w:p>
                  <w:pPr>
                    <w:pStyle w:val="70"/>
                    <w:rPr>
                      <w:rFonts w:hAnsi="宋体"/>
                      <w:color w:val="000000"/>
                      <w:kern w:val="0"/>
                    </w:rPr>
                  </w:pPr>
                  <w:r>
                    <w:rPr>
                      <w:rFonts w:hAnsi="宋体"/>
                      <w:color w:val="000000"/>
                      <w:kern w:val="0"/>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7127" w:type="dxa"/>
                  <w:gridSpan w:val="9"/>
                  <w:tcBorders>
                    <w:top w:val="single" w:color="auto" w:sz="4" w:space="0"/>
                    <w:left w:val="single" w:color="auto" w:sz="4" w:space="0"/>
                    <w:bottom w:val="single" w:color="auto" w:sz="4" w:space="0"/>
                    <w:right w:val="single" w:color="auto" w:sz="4" w:space="0"/>
                  </w:tcBorders>
                  <w:vAlign w:val="center"/>
                </w:tcPr>
                <w:p>
                  <w:pPr>
                    <w:pStyle w:val="70"/>
                    <w:rPr>
                      <w:rFonts w:hAnsi="宋体" w:cs="宋体"/>
                      <w:color w:val="000000"/>
                      <w:kern w:val="0"/>
                    </w:rPr>
                  </w:pPr>
                  <w:r>
                    <w:rPr>
                      <w:rFonts w:hint="eastAsia" w:hAnsi="Calibri"/>
                      <w:color w:val="000000"/>
                    </w:rPr>
                    <w:t>生态环境</w:t>
                  </w:r>
                  <w:r>
                    <w:rPr>
                      <w:rFonts w:hint="eastAsia" w:hAnsi="宋体" w:cs="宋体"/>
                      <w:color w:val="000000"/>
                      <w:kern w:val="0"/>
                    </w:rPr>
                    <w:t>敏感目标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589" w:type="dxa"/>
                  <w:vMerge w:val="restart"/>
                  <w:tcBorders>
                    <w:top w:val="single" w:color="auto" w:sz="4" w:space="0"/>
                    <w:left w:val="single" w:color="auto" w:sz="4" w:space="0"/>
                    <w:right w:val="single" w:color="auto" w:sz="4" w:space="0"/>
                  </w:tcBorders>
                  <w:vAlign w:val="center"/>
                </w:tcPr>
                <w:p>
                  <w:pPr>
                    <w:pStyle w:val="70"/>
                    <w:rPr>
                      <w:rFonts w:hAnsi="宋体"/>
                      <w:color w:val="000000"/>
                      <w:kern w:val="0"/>
                    </w:rPr>
                  </w:pPr>
                  <w:r>
                    <w:rPr>
                      <w:rFonts w:hint="eastAsia" w:hAnsi="Calibri"/>
                      <w:color w:val="000000"/>
                    </w:rPr>
                    <w:t>生态环境</w:t>
                  </w:r>
                </w:p>
              </w:tc>
              <w:tc>
                <w:tcPr>
                  <w:tcW w:w="453" w:type="dxa"/>
                  <w:tcBorders>
                    <w:top w:val="single" w:color="auto" w:sz="4" w:space="0"/>
                    <w:left w:val="single" w:color="auto" w:sz="4" w:space="0"/>
                    <w:bottom w:val="single" w:color="auto" w:sz="4" w:space="0"/>
                    <w:right w:val="single" w:color="auto" w:sz="4" w:space="0"/>
                  </w:tcBorders>
                  <w:vAlign w:val="center"/>
                </w:tcPr>
                <w:p>
                  <w:pPr>
                    <w:pStyle w:val="70"/>
                    <w:rPr>
                      <w:rFonts w:hAnsi="宋体" w:cs="宋体"/>
                      <w:color w:val="000000"/>
                      <w:kern w:val="0"/>
                    </w:rPr>
                  </w:pPr>
                  <w:r>
                    <w:rPr>
                      <w:rFonts w:hint="eastAsia" w:hAnsi="宋体" w:cs="宋体"/>
                      <w:color w:val="000000"/>
                      <w:kern w:val="0"/>
                    </w:rPr>
                    <w:t>1</w:t>
                  </w:r>
                </w:p>
              </w:tc>
              <w:tc>
                <w:tcPr>
                  <w:tcW w:w="2723" w:type="dxa"/>
                  <w:gridSpan w:val="3"/>
                  <w:tcBorders>
                    <w:top w:val="single" w:color="auto" w:sz="4" w:space="0"/>
                    <w:left w:val="single" w:color="auto" w:sz="4" w:space="0"/>
                    <w:bottom w:val="single" w:color="auto" w:sz="4" w:space="0"/>
                    <w:right w:val="single" w:color="auto" w:sz="4" w:space="0"/>
                  </w:tcBorders>
                  <w:vAlign w:val="center"/>
                </w:tcPr>
                <w:p>
                  <w:pPr>
                    <w:pStyle w:val="70"/>
                    <w:rPr>
                      <w:rFonts w:hAnsi="宋体"/>
                      <w:color w:val="000000"/>
                      <w:kern w:val="0"/>
                    </w:rPr>
                  </w:pPr>
                  <w:r>
                    <w:rPr>
                      <w:rFonts w:hint="eastAsia" w:hAnsi="Calibri"/>
                      <w:color w:val="000000"/>
                    </w:rPr>
                    <w:t>拟建井场周边土壤、植被、动物等</w:t>
                  </w:r>
                </w:p>
              </w:tc>
              <w:tc>
                <w:tcPr>
                  <w:tcW w:w="801" w:type="dxa"/>
                  <w:tcBorders>
                    <w:top w:val="single" w:color="auto" w:sz="4" w:space="0"/>
                    <w:left w:val="single" w:color="auto" w:sz="4" w:space="0"/>
                    <w:bottom w:val="single" w:color="auto" w:sz="4" w:space="0"/>
                    <w:right w:val="single" w:color="auto" w:sz="4" w:space="0"/>
                  </w:tcBorders>
                  <w:vAlign w:val="center"/>
                </w:tcPr>
                <w:p>
                  <w:pPr>
                    <w:pStyle w:val="70"/>
                    <w:rPr>
                      <w:rFonts w:hAnsi="宋体" w:cs="宋体"/>
                      <w:color w:val="000000"/>
                      <w:kern w:val="0"/>
                    </w:rPr>
                  </w:pPr>
                  <w:r>
                    <w:rPr>
                      <w:rFonts w:hint="eastAsia" w:hAnsi="Calibri"/>
                      <w:color w:val="000000"/>
                    </w:rPr>
                    <w:t>梭梭为自治区一级保护植物</w:t>
                  </w:r>
                </w:p>
              </w:tc>
              <w:tc>
                <w:tcPr>
                  <w:tcW w:w="760" w:type="dxa"/>
                  <w:tcBorders>
                    <w:top w:val="single" w:color="auto" w:sz="4" w:space="0"/>
                    <w:left w:val="single" w:color="auto" w:sz="4" w:space="0"/>
                    <w:bottom w:val="single" w:color="auto" w:sz="4" w:space="0"/>
                    <w:right w:val="single" w:color="auto" w:sz="4" w:space="0"/>
                  </w:tcBorders>
                  <w:vAlign w:val="center"/>
                </w:tcPr>
                <w:p>
                  <w:pPr>
                    <w:pStyle w:val="70"/>
                    <w:rPr>
                      <w:rFonts w:hAnsi="宋体"/>
                      <w:color w:val="000000"/>
                      <w:kern w:val="0"/>
                    </w:rPr>
                  </w:pPr>
                  <w:r>
                    <w:rPr>
                      <w:rFonts w:hint="eastAsia" w:hAnsi="宋体"/>
                      <w:color w:val="000000"/>
                      <w:kern w:val="0"/>
                    </w:rPr>
                    <w:t>——</w:t>
                  </w:r>
                </w:p>
              </w:tc>
              <w:tc>
                <w:tcPr>
                  <w:tcW w:w="726" w:type="dxa"/>
                  <w:tcBorders>
                    <w:top w:val="single" w:color="auto" w:sz="4" w:space="0"/>
                    <w:left w:val="single" w:color="auto" w:sz="4" w:space="0"/>
                    <w:bottom w:val="single" w:color="auto" w:sz="4" w:space="0"/>
                    <w:right w:val="single" w:color="auto" w:sz="4" w:space="0"/>
                  </w:tcBorders>
                  <w:vAlign w:val="center"/>
                </w:tcPr>
                <w:p>
                  <w:pPr>
                    <w:pStyle w:val="70"/>
                    <w:rPr>
                      <w:rFonts w:hAnsi="宋体"/>
                      <w:color w:val="000000"/>
                      <w:kern w:val="0"/>
                    </w:rPr>
                  </w:pPr>
                  <w:r>
                    <w:rPr>
                      <w:rFonts w:hint="eastAsia" w:hAnsi="宋体" w:cs="宋体"/>
                      <w:color w:val="000000"/>
                      <w:kern w:val="0"/>
                    </w:rPr>
                    <w:t>——</w:t>
                  </w:r>
                </w:p>
              </w:tc>
              <w:tc>
                <w:tcPr>
                  <w:tcW w:w="1075" w:type="dxa"/>
                  <w:tcBorders>
                    <w:top w:val="single" w:color="auto" w:sz="4" w:space="0"/>
                    <w:left w:val="single" w:color="auto" w:sz="4" w:space="0"/>
                    <w:bottom w:val="single" w:color="auto" w:sz="4" w:space="0"/>
                    <w:right w:val="single" w:color="auto" w:sz="4" w:space="0"/>
                  </w:tcBorders>
                  <w:vAlign w:val="center"/>
                </w:tcPr>
                <w:p>
                  <w:pPr>
                    <w:pStyle w:val="70"/>
                    <w:rPr>
                      <w:rFonts w:hAnsi="宋体"/>
                      <w:color w:val="000000"/>
                      <w:kern w:val="0"/>
                    </w:rPr>
                  </w:pPr>
                  <w:r>
                    <w:rPr>
                      <w:rFonts w:hint="eastAsia" w:hAnsi="宋体" w:cs="宋体"/>
                      <w:color w:val="000000"/>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589" w:type="dxa"/>
                  <w:vMerge w:val="continue"/>
                  <w:tcBorders>
                    <w:left w:val="single" w:color="auto" w:sz="4" w:space="0"/>
                    <w:bottom w:val="single" w:color="auto" w:sz="4" w:space="0"/>
                    <w:right w:val="single" w:color="auto" w:sz="4" w:space="0"/>
                  </w:tcBorders>
                  <w:vAlign w:val="center"/>
                </w:tcPr>
                <w:p>
                  <w:pPr>
                    <w:pStyle w:val="70"/>
                    <w:rPr>
                      <w:rFonts w:hAnsi="Calibri"/>
                      <w:color w:val="000000"/>
                    </w:rPr>
                  </w:pPr>
                </w:p>
              </w:tc>
              <w:tc>
                <w:tcPr>
                  <w:tcW w:w="453" w:type="dxa"/>
                  <w:tcBorders>
                    <w:top w:val="single" w:color="auto" w:sz="4" w:space="0"/>
                    <w:left w:val="single" w:color="auto" w:sz="4" w:space="0"/>
                    <w:bottom w:val="single" w:color="auto" w:sz="4" w:space="0"/>
                    <w:right w:val="single" w:color="auto" w:sz="4" w:space="0"/>
                  </w:tcBorders>
                  <w:vAlign w:val="center"/>
                </w:tcPr>
                <w:p>
                  <w:pPr>
                    <w:pStyle w:val="70"/>
                    <w:rPr>
                      <w:rFonts w:hAnsi="宋体" w:cs="宋体"/>
                      <w:color w:val="000000"/>
                      <w:kern w:val="0"/>
                    </w:rPr>
                  </w:pPr>
                  <w:r>
                    <w:rPr>
                      <w:rFonts w:hint="eastAsia" w:hAnsi="宋体" w:cs="宋体"/>
                      <w:color w:val="000000"/>
                      <w:kern w:val="0"/>
                    </w:rPr>
                    <w:t>2</w:t>
                  </w:r>
                </w:p>
              </w:tc>
              <w:tc>
                <w:tcPr>
                  <w:tcW w:w="2723" w:type="dxa"/>
                  <w:gridSpan w:val="3"/>
                  <w:tcBorders>
                    <w:top w:val="single" w:color="auto" w:sz="4" w:space="0"/>
                    <w:left w:val="single" w:color="auto" w:sz="4" w:space="0"/>
                    <w:bottom w:val="single" w:color="auto" w:sz="4" w:space="0"/>
                    <w:right w:val="single" w:color="auto" w:sz="4" w:space="0"/>
                  </w:tcBorders>
                  <w:vAlign w:val="center"/>
                </w:tcPr>
                <w:p>
                  <w:pPr>
                    <w:pStyle w:val="70"/>
                    <w:rPr>
                      <w:rFonts w:hAnsi="Calibri"/>
                      <w:color w:val="000000"/>
                    </w:rPr>
                  </w:pPr>
                  <w:r>
                    <w:rPr>
                      <w:rFonts w:hint="eastAsia"/>
                      <w:color w:val="000000"/>
                      <w:kern w:val="0"/>
                    </w:rPr>
                    <w:t>天山北坡诸小河流域重点治理区</w:t>
                  </w:r>
                </w:p>
              </w:tc>
              <w:tc>
                <w:tcPr>
                  <w:tcW w:w="801" w:type="dxa"/>
                  <w:tcBorders>
                    <w:top w:val="single" w:color="auto" w:sz="4" w:space="0"/>
                    <w:left w:val="single" w:color="auto" w:sz="4" w:space="0"/>
                    <w:bottom w:val="single" w:color="auto" w:sz="4" w:space="0"/>
                    <w:right w:val="single" w:color="auto" w:sz="4" w:space="0"/>
                  </w:tcBorders>
                  <w:vAlign w:val="center"/>
                </w:tcPr>
                <w:p>
                  <w:pPr>
                    <w:pStyle w:val="70"/>
                    <w:rPr>
                      <w:rFonts w:hAnsi="Calibri"/>
                      <w:color w:val="000000"/>
                    </w:rPr>
                  </w:pPr>
                  <w:r>
                    <w:rPr>
                      <w:rFonts w:hint="eastAsia" w:hAnsi="Calibri"/>
                      <w:color w:val="000000"/>
                    </w:rPr>
                    <w:t>自治区级水土流失重点治理区</w:t>
                  </w:r>
                </w:p>
              </w:tc>
              <w:tc>
                <w:tcPr>
                  <w:tcW w:w="760" w:type="dxa"/>
                  <w:tcBorders>
                    <w:top w:val="single" w:color="auto" w:sz="4" w:space="0"/>
                    <w:left w:val="single" w:color="auto" w:sz="4" w:space="0"/>
                    <w:bottom w:val="single" w:color="auto" w:sz="4" w:space="0"/>
                    <w:right w:val="single" w:color="auto" w:sz="4" w:space="0"/>
                  </w:tcBorders>
                  <w:vAlign w:val="center"/>
                </w:tcPr>
                <w:p>
                  <w:pPr>
                    <w:pStyle w:val="70"/>
                    <w:rPr>
                      <w:rFonts w:hAnsi="宋体"/>
                      <w:color w:val="000000"/>
                      <w:kern w:val="0"/>
                    </w:rPr>
                  </w:pPr>
                  <w:r>
                    <w:rPr>
                      <w:rFonts w:hint="eastAsia" w:hAnsi="宋体"/>
                      <w:color w:val="000000"/>
                      <w:kern w:val="0"/>
                    </w:rPr>
                    <w:t>——</w:t>
                  </w:r>
                </w:p>
              </w:tc>
              <w:tc>
                <w:tcPr>
                  <w:tcW w:w="726" w:type="dxa"/>
                  <w:tcBorders>
                    <w:top w:val="single" w:color="auto" w:sz="4" w:space="0"/>
                    <w:left w:val="single" w:color="auto" w:sz="4" w:space="0"/>
                    <w:bottom w:val="single" w:color="auto" w:sz="4" w:space="0"/>
                    <w:right w:val="single" w:color="auto" w:sz="4" w:space="0"/>
                  </w:tcBorders>
                  <w:vAlign w:val="center"/>
                </w:tcPr>
                <w:p>
                  <w:pPr>
                    <w:pStyle w:val="70"/>
                    <w:rPr>
                      <w:rFonts w:hAnsi="宋体"/>
                      <w:color w:val="000000"/>
                      <w:kern w:val="0"/>
                    </w:rPr>
                  </w:pPr>
                  <w:r>
                    <w:rPr>
                      <w:rFonts w:hint="eastAsia" w:hAnsi="宋体" w:cs="宋体"/>
                      <w:color w:val="000000"/>
                      <w:kern w:val="0"/>
                    </w:rPr>
                    <w:t>——</w:t>
                  </w:r>
                </w:p>
              </w:tc>
              <w:tc>
                <w:tcPr>
                  <w:tcW w:w="1075" w:type="dxa"/>
                  <w:tcBorders>
                    <w:top w:val="single" w:color="auto" w:sz="4" w:space="0"/>
                    <w:left w:val="single" w:color="auto" w:sz="4" w:space="0"/>
                    <w:bottom w:val="single" w:color="auto" w:sz="4" w:space="0"/>
                    <w:right w:val="single" w:color="auto" w:sz="4" w:space="0"/>
                  </w:tcBorders>
                  <w:vAlign w:val="center"/>
                </w:tcPr>
                <w:p>
                  <w:pPr>
                    <w:pStyle w:val="70"/>
                    <w:rPr>
                      <w:rFonts w:hAnsi="宋体"/>
                      <w:color w:val="000000"/>
                      <w:kern w:val="0"/>
                    </w:rPr>
                  </w:pPr>
                  <w:r>
                    <w:rPr>
                      <w:rFonts w:hint="eastAsia" w:hAnsi="宋体" w:cs="宋体"/>
                      <w:color w:val="000000"/>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7127" w:type="dxa"/>
                  <w:gridSpan w:val="9"/>
                  <w:tcBorders>
                    <w:top w:val="single" w:color="auto" w:sz="4" w:space="0"/>
                    <w:left w:val="single" w:color="auto" w:sz="4" w:space="0"/>
                    <w:bottom w:val="single" w:color="auto" w:sz="4" w:space="0"/>
                    <w:right w:val="single" w:color="auto" w:sz="4" w:space="0"/>
                  </w:tcBorders>
                  <w:vAlign w:val="center"/>
                </w:tcPr>
                <w:p>
                  <w:pPr>
                    <w:pStyle w:val="70"/>
                    <w:rPr>
                      <w:rFonts w:hAnsi="宋体"/>
                      <w:color w:val="000000"/>
                      <w:kern w:val="0"/>
                    </w:rPr>
                  </w:pPr>
                  <w:r>
                    <w:rPr>
                      <w:rFonts w:hint="eastAsia" w:hAnsi="宋体" w:cs="宋体"/>
                      <w:color w:val="000000"/>
                      <w:kern w:val="0"/>
                    </w:rPr>
                    <w:t>地下水环境敏感目标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589" w:type="dxa"/>
                  <w:tcBorders>
                    <w:top w:val="single" w:color="auto" w:sz="4" w:space="0"/>
                    <w:left w:val="single" w:color="auto" w:sz="4" w:space="0"/>
                    <w:bottom w:val="single" w:color="auto" w:sz="4" w:space="0"/>
                    <w:right w:val="single" w:color="auto" w:sz="4" w:space="0"/>
                  </w:tcBorders>
                  <w:vAlign w:val="center"/>
                </w:tcPr>
                <w:p>
                  <w:pPr>
                    <w:pStyle w:val="70"/>
                    <w:rPr>
                      <w:rFonts w:hAnsi="宋体" w:cs="宋体"/>
                      <w:color w:val="000000"/>
                      <w:kern w:val="0"/>
                    </w:rPr>
                  </w:pPr>
                  <w:r>
                    <w:rPr>
                      <w:rFonts w:hint="eastAsia" w:hAnsi="宋体" w:cs="宋体"/>
                      <w:color w:val="000000"/>
                      <w:kern w:val="0"/>
                    </w:rPr>
                    <w:t>地下水</w:t>
                  </w:r>
                </w:p>
              </w:tc>
              <w:tc>
                <w:tcPr>
                  <w:tcW w:w="453" w:type="dxa"/>
                  <w:tcBorders>
                    <w:top w:val="single" w:color="auto" w:sz="4" w:space="0"/>
                    <w:left w:val="single" w:color="auto" w:sz="4" w:space="0"/>
                    <w:bottom w:val="single" w:color="auto" w:sz="4" w:space="0"/>
                    <w:right w:val="single" w:color="auto" w:sz="4" w:space="0"/>
                  </w:tcBorders>
                  <w:vAlign w:val="center"/>
                </w:tcPr>
                <w:p>
                  <w:pPr>
                    <w:pStyle w:val="70"/>
                    <w:rPr>
                      <w:rFonts w:hAnsi="宋体" w:cs="宋体"/>
                      <w:color w:val="000000"/>
                      <w:kern w:val="0"/>
                    </w:rPr>
                  </w:pPr>
                  <w:r>
                    <w:rPr>
                      <w:rFonts w:hint="eastAsia" w:hAnsi="宋体" w:cs="宋体"/>
                      <w:color w:val="000000"/>
                      <w:kern w:val="0"/>
                    </w:rPr>
                    <w:t>1</w:t>
                  </w:r>
                </w:p>
              </w:tc>
              <w:tc>
                <w:tcPr>
                  <w:tcW w:w="2723" w:type="dxa"/>
                  <w:gridSpan w:val="3"/>
                  <w:tcBorders>
                    <w:top w:val="single" w:color="auto" w:sz="4" w:space="0"/>
                    <w:left w:val="single" w:color="auto" w:sz="4" w:space="0"/>
                    <w:bottom w:val="single" w:color="auto" w:sz="4" w:space="0"/>
                    <w:right w:val="single" w:color="auto" w:sz="4" w:space="0"/>
                  </w:tcBorders>
                  <w:vAlign w:val="center"/>
                </w:tcPr>
                <w:p>
                  <w:pPr>
                    <w:pStyle w:val="70"/>
                    <w:rPr>
                      <w:rFonts w:hAnsi="宋体" w:cs="宋体"/>
                      <w:color w:val="000000"/>
                      <w:kern w:val="0"/>
                    </w:rPr>
                  </w:pPr>
                  <w:r>
                    <w:rPr>
                      <w:rFonts w:hint="eastAsia" w:hAnsi="宋体" w:cs="宋体"/>
                      <w:color w:val="000000"/>
                      <w:kern w:val="0"/>
                    </w:rPr>
                    <w:t>周围地下水</w:t>
                  </w:r>
                </w:p>
              </w:tc>
              <w:tc>
                <w:tcPr>
                  <w:tcW w:w="801" w:type="dxa"/>
                  <w:tcBorders>
                    <w:top w:val="single" w:color="auto" w:sz="4" w:space="0"/>
                    <w:left w:val="single" w:color="auto" w:sz="4" w:space="0"/>
                    <w:bottom w:val="single" w:color="auto" w:sz="4" w:space="0"/>
                    <w:right w:val="single" w:color="auto" w:sz="4" w:space="0"/>
                  </w:tcBorders>
                  <w:vAlign w:val="center"/>
                </w:tcPr>
                <w:p>
                  <w:pPr>
                    <w:pStyle w:val="70"/>
                    <w:rPr>
                      <w:rFonts w:hAnsi="宋体" w:cs="宋体"/>
                      <w:color w:val="000000"/>
                      <w:kern w:val="0"/>
                    </w:rPr>
                  </w:pPr>
                  <w:r>
                    <w:rPr>
                      <w:rFonts w:hint="eastAsia" w:hAnsi="宋体" w:cs="宋体"/>
                      <w:color w:val="000000"/>
                      <w:kern w:val="0"/>
                    </w:rPr>
                    <w:t>Ⅲ类</w:t>
                  </w:r>
                </w:p>
              </w:tc>
              <w:tc>
                <w:tcPr>
                  <w:tcW w:w="760" w:type="dxa"/>
                  <w:tcBorders>
                    <w:top w:val="single" w:color="auto" w:sz="4" w:space="0"/>
                    <w:left w:val="single" w:color="auto" w:sz="4" w:space="0"/>
                    <w:bottom w:val="single" w:color="auto" w:sz="4" w:space="0"/>
                    <w:right w:val="single" w:color="auto" w:sz="4" w:space="0"/>
                  </w:tcBorders>
                  <w:vAlign w:val="center"/>
                </w:tcPr>
                <w:p>
                  <w:pPr>
                    <w:pStyle w:val="70"/>
                    <w:rPr>
                      <w:rFonts w:hAnsi="宋体"/>
                      <w:color w:val="000000"/>
                      <w:kern w:val="0"/>
                    </w:rPr>
                  </w:pPr>
                  <w:r>
                    <w:rPr>
                      <w:rFonts w:hint="eastAsia" w:hAnsi="宋体"/>
                      <w:color w:val="000000"/>
                      <w:kern w:val="0"/>
                    </w:rPr>
                    <w:t>——</w:t>
                  </w:r>
                </w:p>
              </w:tc>
              <w:tc>
                <w:tcPr>
                  <w:tcW w:w="726" w:type="dxa"/>
                  <w:tcBorders>
                    <w:top w:val="single" w:color="auto" w:sz="4" w:space="0"/>
                    <w:left w:val="single" w:color="auto" w:sz="4" w:space="0"/>
                    <w:bottom w:val="single" w:color="auto" w:sz="4" w:space="0"/>
                    <w:right w:val="single" w:color="auto" w:sz="4" w:space="0"/>
                  </w:tcBorders>
                  <w:vAlign w:val="center"/>
                </w:tcPr>
                <w:p>
                  <w:pPr>
                    <w:pStyle w:val="70"/>
                    <w:rPr>
                      <w:rFonts w:hAnsi="宋体"/>
                      <w:color w:val="000000"/>
                      <w:kern w:val="0"/>
                    </w:rPr>
                  </w:pPr>
                  <w:r>
                    <w:rPr>
                      <w:rFonts w:hint="eastAsia" w:hAnsi="宋体" w:cs="宋体"/>
                      <w:color w:val="000000"/>
                      <w:kern w:val="0"/>
                    </w:rPr>
                    <w:t>——</w:t>
                  </w:r>
                </w:p>
              </w:tc>
              <w:tc>
                <w:tcPr>
                  <w:tcW w:w="1075" w:type="dxa"/>
                  <w:tcBorders>
                    <w:top w:val="single" w:color="auto" w:sz="4" w:space="0"/>
                    <w:left w:val="single" w:color="auto" w:sz="4" w:space="0"/>
                    <w:bottom w:val="single" w:color="auto" w:sz="4" w:space="0"/>
                    <w:right w:val="single" w:color="auto" w:sz="4" w:space="0"/>
                  </w:tcBorders>
                  <w:vAlign w:val="center"/>
                </w:tcPr>
                <w:p>
                  <w:pPr>
                    <w:pStyle w:val="70"/>
                    <w:rPr>
                      <w:rFonts w:hAnsi="宋体"/>
                      <w:color w:val="000000"/>
                      <w:kern w:val="0"/>
                    </w:rPr>
                  </w:pPr>
                  <w:r>
                    <w:rPr>
                      <w:rFonts w:hint="eastAsia" w:hAnsi="宋体" w:cs="宋体"/>
                      <w:color w:val="000000"/>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7127" w:type="dxa"/>
                  <w:gridSpan w:val="9"/>
                  <w:tcBorders>
                    <w:top w:val="single" w:color="auto" w:sz="4" w:space="0"/>
                    <w:left w:val="single" w:color="auto" w:sz="4" w:space="0"/>
                    <w:bottom w:val="single" w:color="auto" w:sz="4" w:space="0"/>
                    <w:right w:val="single" w:color="auto" w:sz="4" w:space="0"/>
                  </w:tcBorders>
                  <w:vAlign w:val="center"/>
                </w:tcPr>
                <w:p>
                  <w:pPr>
                    <w:pStyle w:val="70"/>
                    <w:rPr>
                      <w:rFonts w:hAnsi="宋体" w:cs="宋体"/>
                      <w:color w:val="000000"/>
                      <w:kern w:val="0"/>
                    </w:rPr>
                  </w:pPr>
                  <w:r>
                    <w:rPr>
                      <w:rFonts w:hint="eastAsia" w:hAnsi="宋体" w:cs="宋体"/>
                      <w:color w:val="000000"/>
                      <w:kern w:val="0"/>
                    </w:rPr>
                    <w:t>地表水环境敏感目标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589" w:type="dxa"/>
                  <w:vMerge w:val="restart"/>
                  <w:tcBorders>
                    <w:top w:val="single" w:color="auto" w:sz="4" w:space="0"/>
                    <w:left w:val="single" w:color="auto" w:sz="4" w:space="0"/>
                    <w:right w:val="single" w:color="auto" w:sz="4" w:space="0"/>
                  </w:tcBorders>
                  <w:vAlign w:val="center"/>
                </w:tcPr>
                <w:p>
                  <w:pPr>
                    <w:pStyle w:val="70"/>
                    <w:rPr>
                      <w:rFonts w:hAnsi="宋体" w:cs="宋体"/>
                      <w:color w:val="000000"/>
                      <w:kern w:val="0"/>
                    </w:rPr>
                  </w:pPr>
                  <w:r>
                    <w:rPr>
                      <w:rFonts w:hint="eastAsia" w:hAnsi="宋体" w:cs="宋体"/>
                      <w:color w:val="000000"/>
                      <w:kern w:val="0"/>
                    </w:rPr>
                    <w:t>地表水</w:t>
                  </w:r>
                </w:p>
              </w:tc>
              <w:tc>
                <w:tcPr>
                  <w:tcW w:w="453" w:type="dxa"/>
                  <w:tcBorders>
                    <w:top w:val="single" w:color="auto" w:sz="4" w:space="0"/>
                    <w:left w:val="single" w:color="auto" w:sz="4" w:space="0"/>
                    <w:bottom w:val="single" w:color="auto" w:sz="4" w:space="0"/>
                    <w:right w:val="single" w:color="auto" w:sz="4" w:space="0"/>
                  </w:tcBorders>
                  <w:vAlign w:val="center"/>
                </w:tcPr>
                <w:p>
                  <w:pPr>
                    <w:pStyle w:val="70"/>
                    <w:rPr>
                      <w:rFonts w:hAnsi="宋体" w:cs="宋体"/>
                      <w:color w:val="000000"/>
                      <w:kern w:val="0"/>
                    </w:rPr>
                  </w:pPr>
                  <w:r>
                    <w:rPr>
                      <w:rFonts w:hint="eastAsia" w:hAnsi="宋体" w:cs="宋体"/>
                      <w:color w:val="000000"/>
                      <w:kern w:val="0"/>
                    </w:rPr>
                    <w:t>1</w:t>
                  </w:r>
                </w:p>
              </w:tc>
              <w:tc>
                <w:tcPr>
                  <w:tcW w:w="2723" w:type="dxa"/>
                  <w:gridSpan w:val="3"/>
                  <w:tcBorders>
                    <w:top w:val="single" w:color="auto" w:sz="4" w:space="0"/>
                    <w:left w:val="single" w:color="auto" w:sz="4" w:space="0"/>
                    <w:bottom w:val="single" w:color="auto" w:sz="4" w:space="0"/>
                    <w:right w:val="single" w:color="auto" w:sz="4" w:space="0"/>
                  </w:tcBorders>
                  <w:vAlign w:val="center"/>
                </w:tcPr>
                <w:p>
                  <w:pPr>
                    <w:pStyle w:val="70"/>
                    <w:rPr>
                      <w:rFonts w:hAnsi="宋体" w:cs="宋体"/>
                      <w:color w:val="000000"/>
                      <w:kern w:val="0"/>
                    </w:rPr>
                  </w:pPr>
                  <w:r>
                    <w:rPr>
                      <w:rFonts w:hint="eastAsia" w:hAnsi="宋体" w:cs="宋体"/>
                      <w:color w:val="000000"/>
                      <w:kern w:val="0"/>
                    </w:rPr>
                    <w:t>黄山河</w:t>
                  </w:r>
                </w:p>
              </w:tc>
              <w:tc>
                <w:tcPr>
                  <w:tcW w:w="801" w:type="dxa"/>
                  <w:tcBorders>
                    <w:top w:val="single" w:color="auto" w:sz="4" w:space="0"/>
                    <w:left w:val="single" w:color="auto" w:sz="4" w:space="0"/>
                    <w:bottom w:val="single" w:color="auto" w:sz="4" w:space="0"/>
                    <w:right w:val="single" w:color="auto" w:sz="4" w:space="0"/>
                  </w:tcBorders>
                  <w:vAlign w:val="center"/>
                </w:tcPr>
                <w:p>
                  <w:pPr>
                    <w:pStyle w:val="70"/>
                    <w:rPr>
                      <w:rFonts w:hAnsi="宋体" w:cs="宋体"/>
                      <w:color w:val="000000"/>
                      <w:kern w:val="0"/>
                    </w:rPr>
                  </w:pPr>
                  <w:r>
                    <w:rPr>
                      <w:rFonts w:hint="eastAsia" w:hAnsi="宋体" w:cs="宋体"/>
                      <w:color w:val="000000"/>
                      <w:kern w:val="0"/>
                    </w:rPr>
                    <w:t>Ⅲ类</w:t>
                  </w:r>
                </w:p>
              </w:tc>
              <w:tc>
                <w:tcPr>
                  <w:tcW w:w="760" w:type="dxa"/>
                  <w:tcBorders>
                    <w:top w:val="single" w:color="auto" w:sz="4" w:space="0"/>
                    <w:left w:val="single" w:color="auto" w:sz="4" w:space="0"/>
                    <w:bottom w:val="single" w:color="auto" w:sz="4" w:space="0"/>
                    <w:right w:val="single" w:color="auto" w:sz="4" w:space="0"/>
                  </w:tcBorders>
                  <w:vAlign w:val="center"/>
                </w:tcPr>
                <w:p>
                  <w:pPr>
                    <w:pStyle w:val="70"/>
                    <w:rPr>
                      <w:rFonts w:hAnsi="宋体"/>
                      <w:color w:val="000000"/>
                      <w:kern w:val="0"/>
                    </w:rPr>
                  </w:pPr>
                  <w:r>
                    <w:rPr>
                      <w:rFonts w:hint="eastAsia" w:hAnsi="宋体"/>
                      <w:color w:val="000000"/>
                      <w:kern w:val="0"/>
                    </w:rPr>
                    <w:t>大龙口-浅1</w:t>
                  </w:r>
                </w:p>
              </w:tc>
              <w:tc>
                <w:tcPr>
                  <w:tcW w:w="726" w:type="dxa"/>
                  <w:tcBorders>
                    <w:top w:val="single" w:color="auto" w:sz="4" w:space="0"/>
                    <w:left w:val="single" w:color="auto" w:sz="4" w:space="0"/>
                    <w:bottom w:val="single" w:color="auto" w:sz="4" w:space="0"/>
                    <w:right w:val="single" w:color="auto" w:sz="4" w:space="0"/>
                  </w:tcBorders>
                  <w:vAlign w:val="center"/>
                </w:tcPr>
                <w:p>
                  <w:pPr>
                    <w:pStyle w:val="70"/>
                    <w:rPr>
                      <w:rFonts w:hAnsi="宋体" w:cs="宋体"/>
                      <w:color w:val="000000"/>
                      <w:kern w:val="0"/>
                    </w:rPr>
                  </w:pPr>
                  <w:r>
                    <w:rPr>
                      <w:rFonts w:hint="eastAsia" w:hAnsi="宋体" w:cs="宋体"/>
                      <w:color w:val="000000"/>
                      <w:kern w:val="0"/>
                    </w:rPr>
                    <w:t>SE</w:t>
                  </w:r>
                </w:p>
              </w:tc>
              <w:tc>
                <w:tcPr>
                  <w:tcW w:w="1075" w:type="dxa"/>
                  <w:tcBorders>
                    <w:top w:val="single" w:color="auto" w:sz="4" w:space="0"/>
                    <w:left w:val="single" w:color="auto" w:sz="4" w:space="0"/>
                    <w:bottom w:val="single" w:color="auto" w:sz="4" w:space="0"/>
                    <w:right w:val="single" w:color="auto" w:sz="4" w:space="0"/>
                  </w:tcBorders>
                  <w:vAlign w:val="center"/>
                </w:tcPr>
                <w:p>
                  <w:pPr>
                    <w:pStyle w:val="70"/>
                    <w:rPr>
                      <w:rFonts w:hAnsi="宋体" w:cs="宋体"/>
                      <w:color w:val="000000"/>
                      <w:kern w:val="0"/>
                    </w:rPr>
                  </w:pPr>
                  <w:r>
                    <w:rPr>
                      <w:rFonts w:hint="eastAsia" w:hAnsi="宋体" w:cs="宋体"/>
                      <w:color w:val="000000"/>
                      <w:kern w:val="0"/>
                    </w:rPr>
                    <w:t>9</w:t>
                  </w:r>
                  <w:r>
                    <w:rPr>
                      <w:rFonts w:hAnsi="宋体" w:cs="宋体"/>
                      <w:color w:val="000000"/>
                      <w:kern w:val="0"/>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589" w:type="dxa"/>
                  <w:vMerge w:val="continue"/>
                  <w:tcBorders>
                    <w:left w:val="single" w:color="auto" w:sz="4" w:space="0"/>
                    <w:bottom w:val="single" w:color="auto" w:sz="4" w:space="0"/>
                    <w:right w:val="single" w:color="auto" w:sz="4" w:space="0"/>
                  </w:tcBorders>
                  <w:vAlign w:val="center"/>
                </w:tcPr>
                <w:p>
                  <w:pPr>
                    <w:pStyle w:val="70"/>
                    <w:rPr>
                      <w:rFonts w:hAnsi="宋体" w:cs="宋体"/>
                      <w:color w:val="000000"/>
                      <w:kern w:val="0"/>
                    </w:rPr>
                  </w:pPr>
                </w:p>
              </w:tc>
              <w:tc>
                <w:tcPr>
                  <w:tcW w:w="453" w:type="dxa"/>
                  <w:tcBorders>
                    <w:top w:val="single" w:color="auto" w:sz="4" w:space="0"/>
                    <w:left w:val="single" w:color="auto" w:sz="4" w:space="0"/>
                    <w:bottom w:val="single" w:color="auto" w:sz="4" w:space="0"/>
                    <w:right w:val="single" w:color="auto" w:sz="4" w:space="0"/>
                  </w:tcBorders>
                  <w:vAlign w:val="center"/>
                </w:tcPr>
                <w:p>
                  <w:pPr>
                    <w:pStyle w:val="70"/>
                    <w:rPr>
                      <w:rFonts w:hAnsi="宋体" w:cs="宋体"/>
                      <w:color w:val="000000"/>
                      <w:kern w:val="0"/>
                    </w:rPr>
                  </w:pPr>
                  <w:r>
                    <w:rPr>
                      <w:rFonts w:hint="eastAsia" w:hAnsi="宋体" w:cs="宋体"/>
                      <w:color w:val="000000"/>
                      <w:kern w:val="0"/>
                    </w:rPr>
                    <w:t>2</w:t>
                  </w:r>
                </w:p>
              </w:tc>
              <w:tc>
                <w:tcPr>
                  <w:tcW w:w="2723" w:type="dxa"/>
                  <w:gridSpan w:val="3"/>
                  <w:tcBorders>
                    <w:top w:val="single" w:color="auto" w:sz="4" w:space="0"/>
                    <w:left w:val="single" w:color="auto" w:sz="4" w:space="0"/>
                    <w:bottom w:val="single" w:color="auto" w:sz="4" w:space="0"/>
                    <w:right w:val="single" w:color="auto" w:sz="4" w:space="0"/>
                  </w:tcBorders>
                  <w:vAlign w:val="center"/>
                </w:tcPr>
                <w:p>
                  <w:pPr>
                    <w:pStyle w:val="70"/>
                    <w:rPr>
                      <w:rFonts w:hAnsi="宋体" w:cs="宋体"/>
                      <w:color w:val="000000"/>
                      <w:kern w:val="0"/>
                    </w:rPr>
                  </w:pPr>
                  <w:r>
                    <w:rPr>
                      <w:rFonts w:hint="eastAsia" w:hAnsi="宋体" w:cs="宋体"/>
                      <w:color w:val="000000"/>
                      <w:kern w:val="0"/>
                    </w:rPr>
                    <w:t>二工河</w:t>
                  </w:r>
                </w:p>
              </w:tc>
              <w:tc>
                <w:tcPr>
                  <w:tcW w:w="801" w:type="dxa"/>
                  <w:tcBorders>
                    <w:top w:val="single" w:color="auto" w:sz="4" w:space="0"/>
                    <w:left w:val="single" w:color="auto" w:sz="4" w:space="0"/>
                    <w:bottom w:val="single" w:color="auto" w:sz="4" w:space="0"/>
                    <w:right w:val="single" w:color="auto" w:sz="4" w:space="0"/>
                  </w:tcBorders>
                  <w:vAlign w:val="center"/>
                </w:tcPr>
                <w:p>
                  <w:pPr>
                    <w:pStyle w:val="70"/>
                    <w:rPr>
                      <w:rFonts w:hAnsi="宋体" w:cs="宋体"/>
                      <w:color w:val="000000"/>
                      <w:kern w:val="0"/>
                    </w:rPr>
                  </w:pPr>
                  <w:r>
                    <w:rPr>
                      <w:rFonts w:hint="eastAsia" w:hAnsi="宋体" w:cs="宋体"/>
                      <w:color w:val="000000"/>
                      <w:kern w:val="0"/>
                    </w:rPr>
                    <w:t>Ⅲ类</w:t>
                  </w:r>
                </w:p>
              </w:tc>
              <w:tc>
                <w:tcPr>
                  <w:tcW w:w="760" w:type="dxa"/>
                  <w:tcBorders>
                    <w:top w:val="single" w:color="auto" w:sz="4" w:space="0"/>
                    <w:left w:val="single" w:color="auto" w:sz="4" w:space="0"/>
                    <w:bottom w:val="single" w:color="auto" w:sz="4" w:space="0"/>
                    <w:right w:val="single" w:color="auto" w:sz="4" w:space="0"/>
                  </w:tcBorders>
                  <w:vAlign w:val="center"/>
                </w:tcPr>
                <w:p>
                  <w:pPr>
                    <w:pStyle w:val="70"/>
                    <w:rPr>
                      <w:rFonts w:hAnsi="宋体"/>
                      <w:color w:val="000000"/>
                      <w:kern w:val="0"/>
                    </w:rPr>
                  </w:pPr>
                  <w:r>
                    <w:rPr>
                      <w:rFonts w:hint="eastAsia" w:hAnsi="宋体"/>
                      <w:color w:val="000000"/>
                      <w:kern w:val="0"/>
                    </w:rPr>
                    <w:t>大龙口-浅2</w:t>
                  </w:r>
                </w:p>
              </w:tc>
              <w:tc>
                <w:tcPr>
                  <w:tcW w:w="726" w:type="dxa"/>
                  <w:tcBorders>
                    <w:top w:val="single" w:color="auto" w:sz="4" w:space="0"/>
                    <w:left w:val="single" w:color="auto" w:sz="4" w:space="0"/>
                    <w:bottom w:val="single" w:color="auto" w:sz="4" w:space="0"/>
                    <w:right w:val="single" w:color="auto" w:sz="4" w:space="0"/>
                  </w:tcBorders>
                  <w:vAlign w:val="center"/>
                </w:tcPr>
                <w:p>
                  <w:pPr>
                    <w:pStyle w:val="70"/>
                    <w:rPr>
                      <w:rFonts w:hAnsi="宋体" w:cs="宋体"/>
                      <w:color w:val="000000"/>
                      <w:kern w:val="0"/>
                    </w:rPr>
                  </w:pPr>
                  <w:r>
                    <w:rPr>
                      <w:rFonts w:hint="eastAsia" w:hAnsi="宋体" w:cs="宋体"/>
                      <w:color w:val="000000"/>
                      <w:kern w:val="0"/>
                    </w:rPr>
                    <w:t>E</w:t>
                  </w:r>
                </w:p>
              </w:tc>
              <w:tc>
                <w:tcPr>
                  <w:tcW w:w="1075" w:type="dxa"/>
                  <w:tcBorders>
                    <w:top w:val="single" w:color="auto" w:sz="4" w:space="0"/>
                    <w:left w:val="single" w:color="auto" w:sz="4" w:space="0"/>
                    <w:bottom w:val="single" w:color="auto" w:sz="4" w:space="0"/>
                    <w:right w:val="single" w:color="auto" w:sz="4" w:space="0"/>
                  </w:tcBorders>
                  <w:vAlign w:val="center"/>
                </w:tcPr>
                <w:p>
                  <w:pPr>
                    <w:pStyle w:val="70"/>
                    <w:rPr>
                      <w:rFonts w:hAnsi="宋体" w:cs="宋体"/>
                      <w:color w:val="000000"/>
                      <w:kern w:val="0"/>
                    </w:rPr>
                  </w:pPr>
                  <w:r>
                    <w:rPr>
                      <w:rFonts w:hint="eastAsia" w:hAnsi="宋体" w:cs="宋体"/>
                      <w:color w:val="000000"/>
                      <w:kern w:val="0"/>
                    </w:rPr>
                    <w:t>9</w:t>
                  </w:r>
                  <w:r>
                    <w:rPr>
                      <w:rFonts w:hAnsi="宋体" w:cs="宋体"/>
                      <w:color w:val="000000"/>
                      <w:kern w:val="0"/>
                    </w:rPr>
                    <w:t>2</w:t>
                  </w:r>
                </w:p>
              </w:tc>
            </w:tr>
          </w:tbl>
          <w:p>
            <w:pPr>
              <w:pStyle w:val="109"/>
              <w:ind w:firstLine="420"/>
              <w:rPr>
                <w:color w:val="000000"/>
                <w:kern w:val="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33" w:type="dxa"/>
            <w:vAlign w:val="center"/>
          </w:tcPr>
          <w:p>
            <w:pPr>
              <w:adjustRightInd w:val="0"/>
              <w:snapToGrid w:val="0"/>
              <w:jc w:val="center"/>
              <w:rPr>
                <w:rFonts w:ascii="宋体" w:hAnsi="宋体" w:cs="宋体"/>
                <w:color w:val="000000"/>
                <w:kern w:val="0"/>
                <w:szCs w:val="21"/>
              </w:rPr>
            </w:pPr>
            <w:r>
              <w:rPr>
                <w:rFonts w:hint="eastAsia" w:ascii="宋体" w:hAnsi="宋体" w:cs="宋体"/>
                <w:color w:val="000000"/>
                <w:kern w:val="0"/>
                <w:szCs w:val="21"/>
              </w:rPr>
              <w:t>评价</w:t>
            </w:r>
          </w:p>
          <w:p>
            <w:pPr>
              <w:adjustRightInd w:val="0"/>
              <w:snapToGrid w:val="0"/>
              <w:jc w:val="center"/>
              <w:rPr>
                <w:rFonts w:ascii="宋体" w:hAnsi="宋体" w:cs="宋体"/>
                <w:color w:val="000000"/>
                <w:kern w:val="0"/>
                <w:szCs w:val="21"/>
              </w:rPr>
            </w:pPr>
            <w:r>
              <w:rPr>
                <w:rFonts w:hint="eastAsia" w:ascii="宋体" w:hAnsi="宋体" w:cs="宋体"/>
                <w:color w:val="000000"/>
                <w:kern w:val="0"/>
                <w:szCs w:val="21"/>
              </w:rPr>
              <w:t>标准</w:t>
            </w:r>
          </w:p>
        </w:tc>
        <w:tc>
          <w:tcPr>
            <w:tcW w:w="7353" w:type="dxa"/>
            <w:vAlign w:val="center"/>
          </w:tcPr>
          <w:p>
            <w:pPr>
              <w:pStyle w:val="110"/>
              <w:rPr>
                <w:color w:val="000000"/>
              </w:rPr>
            </w:pPr>
            <w:r>
              <w:rPr>
                <w:rFonts w:hint="eastAsia"/>
                <w:color w:val="000000"/>
              </w:rPr>
              <w:t>1、环境质量标准</w:t>
            </w:r>
          </w:p>
          <w:p>
            <w:pPr>
              <w:pStyle w:val="110"/>
              <w:rPr>
                <w:color w:val="000000"/>
              </w:rPr>
            </w:pPr>
            <w:r>
              <w:rPr>
                <w:rFonts w:hint="eastAsia"/>
                <w:color w:val="000000"/>
              </w:rPr>
              <w:t>1）环境空气：执行</w:t>
            </w:r>
            <w:r>
              <w:rPr>
                <w:color w:val="000000"/>
              </w:rPr>
              <w:t>《环境空气质量标准》（GB 3095-2012）及其修改单（生态环境部公告 2018年 第29号）</w:t>
            </w:r>
            <w:r>
              <w:rPr>
                <w:rFonts w:hint="eastAsia"/>
                <w:color w:val="000000"/>
              </w:rPr>
              <w:t>二级浓度限值；非甲烷总烃参照《大气污染物综合排放标准详解》（</w:t>
            </w:r>
            <w:r>
              <w:rPr>
                <w:color w:val="000000"/>
              </w:rPr>
              <w:t>1997</w:t>
            </w:r>
            <w:r>
              <w:rPr>
                <w:rFonts w:hint="eastAsia"/>
                <w:color w:val="000000"/>
              </w:rPr>
              <w:t>年）中的推荐值</w:t>
            </w:r>
            <w:r>
              <w:rPr>
                <w:color w:val="000000"/>
              </w:rPr>
              <w:t>2.0mg/m</w:t>
            </w:r>
            <w:r>
              <w:rPr>
                <w:color w:val="000000"/>
                <w:vertAlign w:val="superscript"/>
              </w:rPr>
              <w:t>3</w:t>
            </w:r>
            <w:r>
              <w:rPr>
                <w:rFonts w:hint="eastAsia"/>
                <w:color w:val="000000"/>
              </w:rPr>
              <w:t>，</w:t>
            </w:r>
            <w:r>
              <w:rPr>
                <w:color w:val="000000"/>
              </w:rPr>
              <w:t>H</w:t>
            </w:r>
            <w:r>
              <w:rPr>
                <w:color w:val="000000"/>
                <w:vertAlign w:val="subscript"/>
              </w:rPr>
              <w:t>2</w:t>
            </w:r>
            <w:r>
              <w:rPr>
                <w:color w:val="000000"/>
              </w:rPr>
              <w:t>S</w:t>
            </w:r>
            <w:r>
              <w:rPr>
                <w:rFonts w:hint="eastAsia"/>
                <w:color w:val="000000"/>
              </w:rPr>
              <w:t>执行《环境影响评价技术导则</w:t>
            </w:r>
            <w:r>
              <w:rPr>
                <w:color w:val="000000"/>
              </w:rPr>
              <w:t xml:space="preserve"> </w:t>
            </w:r>
            <w:r>
              <w:rPr>
                <w:rFonts w:hint="eastAsia"/>
                <w:color w:val="000000"/>
              </w:rPr>
              <w:t>大气环境》（</w:t>
            </w:r>
            <w:r>
              <w:rPr>
                <w:color w:val="000000"/>
              </w:rPr>
              <w:t>HJ 2.2-2018</w:t>
            </w:r>
            <w:r>
              <w:rPr>
                <w:rFonts w:hint="eastAsia"/>
                <w:color w:val="000000"/>
              </w:rPr>
              <w:t>）附录</w:t>
            </w:r>
            <w:r>
              <w:rPr>
                <w:color w:val="000000"/>
              </w:rPr>
              <w:t>D</w:t>
            </w:r>
            <w:r>
              <w:rPr>
                <w:rFonts w:hint="eastAsia"/>
                <w:color w:val="000000"/>
              </w:rPr>
              <w:t>中的</w:t>
            </w:r>
            <w:r>
              <w:rPr>
                <w:color w:val="000000"/>
              </w:rPr>
              <w:t>1h</w:t>
            </w:r>
            <w:r>
              <w:rPr>
                <w:rFonts w:hint="eastAsia"/>
                <w:color w:val="000000"/>
              </w:rPr>
              <w:t>平均浓度限值</w:t>
            </w:r>
            <w:r>
              <w:rPr>
                <w:color w:val="000000"/>
              </w:rPr>
              <w:t>10</w:t>
            </w:r>
            <w:r>
              <w:rPr>
                <w:rFonts w:hint="eastAsia"/>
                <w:color w:val="000000"/>
              </w:rPr>
              <w:t>μ</w:t>
            </w:r>
            <w:r>
              <w:rPr>
                <w:color w:val="000000"/>
              </w:rPr>
              <w:t>g/m</w:t>
            </w:r>
            <w:r>
              <w:rPr>
                <w:color w:val="000000"/>
                <w:vertAlign w:val="superscript"/>
              </w:rPr>
              <w:t>3</w:t>
            </w:r>
            <w:r>
              <w:rPr>
                <w:rFonts w:hint="eastAsia"/>
                <w:color w:val="000000"/>
              </w:rPr>
              <w:t>；</w:t>
            </w:r>
          </w:p>
          <w:p>
            <w:pPr>
              <w:pStyle w:val="110"/>
              <w:rPr>
                <w:color w:val="000000"/>
              </w:rPr>
            </w:pPr>
            <w:r>
              <w:rPr>
                <w:color w:val="000000"/>
              </w:rPr>
              <w:t>2</w:t>
            </w:r>
            <w:r>
              <w:rPr>
                <w:rFonts w:hint="eastAsia"/>
                <w:color w:val="000000"/>
              </w:rPr>
              <w:t>）地下水环境：执行《地下水质量标准》（GB/T</w:t>
            </w:r>
            <w:r>
              <w:rPr>
                <w:color w:val="000000"/>
              </w:rPr>
              <w:t xml:space="preserve"> </w:t>
            </w:r>
            <w:r>
              <w:rPr>
                <w:rFonts w:hint="eastAsia"/>
                <w:color w:val="000000"/>
              </w:rPr>
              <w:t>14848-2017）Ⅲ类标准，石油类参照《地表水环境质量标准》（GB</w:t>
            </w:r>
            <w:r>
              <w:rPr>
                <w:color w:val="000000"/>
              </w:rPr>
              <w:t xml:space="preserve"> </w:t>
            </w:r>
            <w:r>
              <w:rPr>
                <w:rFonts w:hint="eastAsia"/>
                <w:color w:val="000000"/>
              </w:rPr>
              <w:t>3838-2002）中的Ⅲ类标准；</w:t>
            </w:r>
          </w:p>
          <w:p>
            <w:pPr>
              <w:pStyle w:val="110"/>
              <w:rPr>
                <w:color w:val="000000"/>
              </w:rPr>
            </w:pPr>
            <w:r>
              <w:rPr>
                <w:color w:val="000000"/>
              </w:rPr>
              <w:t>3</w:t>
            </w:r>
            <w:r>
              <w:rPr>
                <w:rFonts w:hint="eastAsia"/>
                <w:color w:val="000000"/>
              </w:rPr>
              <w:t>）声环境：执行《声环境质量标准》（</w:t>
            </w:r>
            <w:r>
              <w:rPr>
                <w:color w:val="000000"/>
              </w:rPr>
              <w:t>GB 3096-2008</w:t>
            </w:r>
            <w:r>
              <w:rPr>
                <w:rFonts w:hint="eastAsia"/>
                <w:color w:val="000000"/>
              </w:rPr>
              <w:t>）中的2类声环境功能区环境噪声限值；</w:t>
            </w:r>
          </w:p>
          <w:p>
            <w:pPr>
              <w:pStyle w:val="110"/>
              <w:rPr>
                <w:color w:val="000000"/>
              </w:rPr>
            </w:pPr>
            <w:r>
              <w:rPr>
                <w:color w:val="000000"/>
              </w:rPr>
              <w:t>4</w:t>
            </w:r>
            <w:r>
              <w:rPr>
                <w:rFonts w:hint="eastAsia"/>
                <w:color w:val="000000"/>
              </w:rPr>
              <w:t>）土壤环境：执行《土壤环境质量 建设用地土壤污染风险管控标准（试行）》（GB</w:t>
            </w:r>
            <w:r>
              <w:rPr>
                <w:color w:val="000000"/>
              </w:rPr>
              <w:t xml:space="preserve"> </w:t>
            </w:r>
            <w:r>
              <w:rPr>
                <w:rFonts w:hint="eastAsia"/>
                <w:color w:val="000000"/>
              </w:rPr>
              <w:t>36600-2018）第二类建设用地土壤污染风险筛选值。</w:t>
            </w:r>
          </w:p>
          <w:p>
            <w:pPr>
              <w:pStyle w:val="110"/>
              <w:rPr>
                <w:color w:val="000000"/>
              </w:rPr>
            </w:pPr>
            <w:r>
              <w:rPr>
                <w:rFonts w:hint="eastAsia"/>
                <w:color w:val="000000"/>
              </w:rPr>
              <w:t>2、污染物排放标准</w:t>
            </w:r>
          </w:p>
          <w:p>
            <w:pPr>
              <w:pStyle w:val="110"/>
              <w:rPr>
                <w:color w:val="000000"/>
              </w:rPr>
            </w:pPr>
            <w:r>
              <w:rPr>
                <w:rFonts w:hint="eastAsia"/>
                <w:color w:val="000000"/>
              </w:rPr>
              <w:t>1）废气：柴油发电机废气执行《大气污染物综合排放标准》（GB</w:t>
            </w:r>
            <w:r>
              <w:rPr>
                <w:color w:val="000000"/>
              </w:rPr>
              <w:t xml:space="preserve"> </w:t>
            </w:r>
            <w:r>
              <w:rPr>
                <w:rFonts w:hint="eastAsia"/>
                <w:color w:val="000000"/>
              </w:rPr>
              <w:t>16297-1996）无组织排放监控浓度限值；</w:t>
            </w:r>
            <w:r>
              <w:rPr>
                <w:color w:val="000000"/>
              </w:rPr>
              <w:t>非甲烷总烃排放标准参照《</w:t>
            </w:r>
            <w:r>
              <w:rPr>
                <w:rFonts w:hint="eastAsia"/>
                <w:color w:val="000000"/>
              </w:rPr>
              <w:t>陆上石油天然气开采工业</w:t>
            </w:r>
            <w:r>
              <w:rPr>
                <w:rFonts w:hint="eastAsia"/>
                <w:color w:val="000000"/>
                <w:szCs w:val="21"/>
              </w:rPr>
              <w:t>大气污染物排放标准</w:t>
            </w:r>
            <w:r>
              <w:rPr>
                <w:rFonts w:hint="eastAsia"/>
                <w:color w:val="000000"/>
              </w:rPr>
              <w:t>》（</w:t>
            </w:r>
            <w:r>
              <w:rPr>
                <w:rFonts w:hint="eastAsia"/>
                <w:color w:val="000000"/>
                <w:szCs w:val="21"/>
              </w:rPr>
              <w:t>GB 39728</w:t>
            </w:r>
            <w:r>
              <w:rPr>
                <w:color w:val="000000"/>
              </w:rPr>
              <w:t>-</w:t>
            </w:r>
            <w:r>
              <w:rPr>
                <w:rFonts w:hint="eastAsia"/>
                <w:color w:val="000000"/>
                <w:szCs w:val="21"/>
              </w:rPr>
              <w:t>2020</w:t>
            </w:r>
            <w:r>
              <w:rPr>
                <w:rFonts w:hint="eastAsia"/>
                <w:color w:val="000000"/>
              </w:rPr>
              <w:t>）</w:t>
            </w:r>
            <w:r>
              <w:rPr>
                <w:color w:val="000000"/>
              </w:rPr>
              <w:t>中的无组织排放浓度限值</w:t>
            </w:r>
            <w:r>
              <w:rPr>
                <w:rFonts w:hint="eastAsia"/>
                <w:color w:val="000000"/>
              </w:rPr>
              <w:t>（</w:t>
            </w:r>
            <w:r>
              <w:rPr>
                <w:color w:val="000000"/>
              </w:rPr>
              <w:t>4.0mg/m</w:t>
            </w:r>
            <w:r>
              <w:rPr>
                <w:color w:val="000000"/>
                <w:vertAlign w:val="superscript"/>
              </w:rPr>
              <w:t>3</w:t>
            </w:r>
            <w:r>
              <w:rPr>
                <w:rFonts w:hint="eastAsia"/>
                <w:color w:val="000000"/>
              </w:rPr>
              <w:t>）</w:t>
            </w:r>
            <w:r>
              <w:rPr>
                <w:color w:val="000000"/>
              </w:rPr>
              <w:t>执行</w:t>
            </w:r>
            <w:r>
              <w:rPr>
                <w:rFonts w:hint="eastAsia"/>
                <w:color w:val="000000"/>
              </w:rPr>
              <w:t>；</w:t>
            </w:r>
          </w:p>
          <w:p>
            <w:pPr>
              <w:pStyle w:val="101"/>
              <w:ind w:firstLine="420"/>
              <w:rPr>
                <w:color w:val="000000"/>
              </w:rPr>
            </w:pPr>
            <w:r>
              <w:rPr>
                <w:rFonts w:hint="eastAsia"/>
                <w:color w:val="000000"/>
              </w:rPr>
              <w:t>2）噪声：《建筑施工场界环境噪声排放标准》（GB 12523-2011）（昼间70dB（A），夜间55dB（A））；</w:t>
            </w:r>
          </w:p>
          <w:p>
            <w:pPr>
              <w:pStyle w:val="101"/>
              <w:ind w:firstLine="420"/>
              <w:rPr>
                <w:color w:val="000000"/>
              </w:rPr>
            </w:pPr>
            <w:r>
              <w:rPr>
                <w:rFonts w:hint="eastAsia"/>
                <w:color w:val="000000"/>
              </w:rPr>
              <w:t>3）固废：一般工业固体废物执行《一般工业固体废物贮存和填埋污染控制标准》（GB 18599-2020）；处理后的钻井固废执行《油气田钻井固体废物综合利用污染控制要求》（DB65/T 3997-2017）；</w:t>
            </w:r>
          </w:p>
          <w:p>
            <w:pPr>
              <w:pStyle w:val="101"/>
              <w:ind w:firstLine="420"/>
              <w:rPr>
                <w:color w:val="000000"/>
                <w:kern w:val="0"/>
              </w:rPr>
            </w:pPr>
            <w:r>
              <w:rPr>
                <w:rFonts w:hint="eastAsia"/>
                <w:color w:val="000000"/>
              </w:rPr>
              <w:t>危险废物执行《危险废物贮存污染控制标准》（G</w:t>
            </w:r>
            <w:r>
              <w:rPr>
                <w:color w:val="000000"/>
              </w:rPr>
              <w:t>B 18597-2001</w:t>
            </w:r>
            <w:r>
              <w:rPr>
                <w:rFonts w:hint="eastAsia"/>
                <w:color w:val="000000"/>
              </w:rPr>
              <w:t>）及其修改单（环境保护部公告 2013年 第36号）。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588" w:hRule="atLeast"/>
          <w:jc w:val="center"/>
        </w:trPr>
        <w:tc>
          <w:tcPr>
            <w:tcW w:w="933" w:type="dxa"/>
            <w:vAlign w:val="center"/>
          </w:tcPr>
          <w:p>
            <w:pPr>
              <w:adjustRightInd w:val="0"/>
              <w:snapToGrid w:val="0"/>
              <w:jc w:val="center"/>
              <w:rPr>
                <w:rFonts w:ascii="宋体" w:hAnsi="宋体" w:cs="宋体"/>
                <w:color w:val="000000"/>
                <w:kern w:val="0"/>
                <w:szCs w:val="21"/>
              </w:rPr>
            </w:pPr>
            <w:r>
              <w:rPr>
                <w:rFonts w:hint="eastAsia" w:ascii="宋体" w:hAnsi="宋体" w:cs="宋体"/>
                <w:color w:val="000000"/>
                <w:kern w:val="0"/>
                <w:szCs w:val="21"/>
              </w:rPr>
              <w:t>其他</w:t>
            </w:r>
          </w:p>
        </w:tc>
        <w:tc>
          <w:tcPr>
            <w:tcW w:w="7353" w:type="dxa"/>
            <w:vAlign w:val="center"/>
          </w:tcPr>
          <w:p>
            <w:pPr>
              <w:pStyle w:val="110"/>
              <w:rPr>
                <w:color w:val="000000"/>
                <w:kern w:val="0"/>
              </w:rPr>
            </w:pPr>
            <w:r>
              <w:rPr>
                <w:rFonts w:hint="eastAsia"/>
                <w:color w:val="000000"/>
              </w:rPr>
              <w:t>本项目不涉及总量控制指标。</w:t>
            </w:r>
          </w:p>
        </w:tc>
      </w:tr>
    </w:tbl>
    <w:p>
      <w:pPr>
        <w:pStyle w:val="26"/>
        <w:adjustRightInd w:val="0"/>
        <w:snapToGrid w:val="0"/>
        <w:spacing w:before="0" w:beforeAutospacing="0" w:after="0" w:afterAutospacing="0"/>
        <w:jc w:val="center"/>
        <w:outlineLvl w:val="0"/>
        <w:rPr>
          <w:rFonts w:ascii="黑体" w:hAnsi="黑体" w:eastAsia="黑体"/>
          <w:snapToGrid w:val="0"/>
          <w:color w:val="000000"/>
          <w:sz w:val="30"/>
          <w:szCs w:val="30"/>
        </w:rPr>
      </w:pPr>
      <w:r>
        <w:rPr>
          <w:rFonts w:ascii="黑体" w:hAnsi="黑体" w:eastAsia="黑体"/>
          <w:snapToGrid w:val="0"/>
          <w:color w:val="000000"/>
          <w:kern w:val="2"/>
          <w:sz w:val="36"/>
          <w:szCs w:val="36"/>
        </w:rPr>
        <w:br w:type="page"/>
      </w:r>
      <w:bookmarkStart w:id="23" w:name="_Toc110934647"/>
      <w:r>
        <w:rPr>
          <w:rFonts w:hint="eastAsia" w:ascii="黑体" w:hAnsi="黑体" w:eastAsia="黑体"/>
          <w:snapToGrid w:val="0"/>
          <w:color w:val="000000"/>
          <w:sz w:val="30"/>
          <w:szCs w:val="30"/>
        </w:rPr>
        <w:t>四、生态环境影响分析</w:t>
      </w:r>
      <w:bookmarkEnd w:id="23"/>
    </w:p>
    <w:tbl>
      <w:tblPr>
        <w:tblStyle w:val="29"/>
        <w:tblW w:w="8286"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6"/>
        <w:gridCol w:w="786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16" w:hRule="atLeast"/>
          <w:jc w:val="center"/>
        </w:trPr>
        <w:tc>
          <w:tcPr>
            <w:tcW w:w="426" w:type="dxa"/>
            <w:tcMar>
              <w:left w:w="28" w:type="dxa"/>
              <w:right w:w="28" w:type="dxa"/>
            </w:tcMar>
            <w:vAlign w:val="center"/>
          </w:tcPr>
          <w:p>
            <w:pPr>
              <w:pStyle w:val="26"/>
              <w:adjustRightInd w:val="0"/>
              <w:snapToGrid w:val="0"/>
              <w:spacing w:before="0" w:beforeAutospacing="0" w:after="0" w:afterAutospacing="0"/>
              <w:jc w:val="center"/>
              <w:rPr>
                <w:rFonts w:cs="宋体"/>
                <w:bCs/>
                <w:color w:val="000000"/>
                <w:kern w:val="2"/>
                <w:sz w:val="21"/>
                <w:szCs w:val="21"/>
              </w:rPr>
            </w:pPr>
            <w:bookmarkStart w:id="24" w:name="_Hlk49796138"/>
            <w:r>
              <w:rPr>
                <w:rFonts w:hint="eastAsia" w:cs="宋体"/>
                <w:bCs/>
                <w:color w:val="000000"/>
                <w:spacing w:val="10"/>
                <w:kern w:val="2"/>
                <w:sz w:val="21"/>
                <w:szCs w:val="21"/>
              </w:rPr>
              <w:t>施工期生态环境影响分析</w:t>
            </w:r>
            <w:bookmarkEnd w:id="24"/>
          </w:p>
        </w:tc>
        <w:tc>
          <w:tcPr>
            <w:tcW w:w="7860" w:type="dxa"/>
          </w:tcPr>
          <w:p>
            <w:pPr>
              <w:pStyle w:val="110"/>
              <w:rPr>
                <w:color w:val="000000"/>
              </w:rPr>
            </w:pPr>
            <w:r>
              <w:rPr>
                <w:color w:val="000000"/>
              </w:rPr>
              <w:t>1</w:t>
            </w:r>
            <w:r>
              <w:rPr>
                <w:rFonts w:hint="eastAsia"/>
                <w:color w:val="000000"/>
              </w:rPr>
              <w:t>、</w:t>
            </w:r>
            <w:r>
              <w:rPr>
                <w:color w:val="000000"/>
              </w:rPr>
              <w:t>生态环境</w:t>
            </w:r>
            <w:r>
              <w:rPr>
                <w:rFonts w:hint="eastAsia"/>
                <w:color w:val="000000"/>
              </w:rPr>
              <w:t>影响</w:t>
            </w:r>
            <w:r>
              <w:rPr>
                <w:color w:val="000000"/>
              </w:rPr>
              <w:t>分析</w:t>
            </w:r>
          </w:p>
          <w:p>
            <w:pPr>
              <w:pStyle w:val="110"/>
              <w:rPr>
                <w:snapToGrid w:val="0"/>
                <w:color w:val="000000"/>
              </w:rPr>
            </w:pPr>
            <w:r>
              <w:rPr>
                <w:snapToGrid w:val="0"/>
                <w:color w:val="000000"/>
              </w:rPr>
              <w:t>1）</w:t>
            </w:r>
            <w:r>
              <w:rPr>
                <w:rFonts w:hint="eastAsia"/>
                <w:snapToGrid w:val="0"/>
                <w:color w:val="000000"/>
              </w:rPr>
              <w:t>生态评价范围</w:t>
            </w:r>
          </w:p>
          <w:p>
            <w:pPr>
              <w:pStyle w:val="110"/>
              <w:rPr>
                <w:color w:val="000000"/>
              </w:rPr>
            </w:pPr>
            <w:r>
              <w:rPr>
                <w:rFonts w:hint="eastAsia"/>
                <w:color w:val="000000"/>
              </w:rPr>
              <w:t>根据《环境影响评价技术导则</w:t>
            </w:r>
            <w:r>
              <w:rPr>
                <w:color w:val="000000"/>
              </w:rPr>
              <w:t xml:space="preserve"> </w:t>
            </w:r>
            <w:r>
              <w:rPr>
                <w:rFonts w:hint="eastAsia"/>
                <w:color w:val="000000"/>
              </w:rPr>
              <w:t>陆地石油天然气开发建设项目》（</w:t>
            </w:r>
            <w:r>
              <w:rPr>
                <w:color w:val="000000"/>
              </w:rPr>
              <w:t>HJ/T 349-2007</w:t>
            </w:r>
            <w:r>
              <w:rPr>
                <w:rFonts w:hint="eastAsia"/>
                <w:color w:val="000000"/>
              </w:rPr>
              <w:t>）中关于生态影响评价范围的要求，区域性建设项目以影响区范围向四周外扩原则确定评价范围。因此，本生态环境影响专题的评价范围为项目影响范围并外扩</w:t>
            </w:r>
            <w:r>
              <w:rPr>
                <w:color w:val="000000"/>
              </w:rPr>
              <w:t>1km</w:t>
            </w:r>
            <w:r>
              <w:rPr>
                <w:rFonts w:hint="eastAsia"/>
                <w:color w:val="000000"/>
              </w:rPr>
              <w:t>。</w:t>
            </w:r>
          </w:p>
          <w:p>
            <w:pPr>
              <w:pStyle w:val="110"/>
              <w:rPr>
                <w:color w:val="000000"/>
                <w:kern w:val="44"/>
                <w:sz w:val="30"/>
              </w:rPr>
            </w:pPr>
            <w:r>
              <w:rPr>
                <w:snapToGrid w:val="0"/>
                <w:color w:val="000000"/>
              </w:rPr>
              <w:t>2</w:t>
            </w:r>
            <w:r>
              <w:rPr>
                <w:rFonts w:hint="eastAsia"/>
                <w:snapToGrid w:val="0"/>
                <w:color w:val="000000"/>
              </w:rPr>
              <w:t>）</w:t>
            </w:r>
            <w:bookmarkStart w:id="25" w:name="_Toc49863990"/>
            <w:bookmarkStart w:id="26" w:name="_Toc491680127"/>
            <w:r>
              <w:rPr>
                <w:rFonts w:hint="eastAsia"/>
                <w:color w:val="000000"/>
              </w:rPr>
              <w:t>生态环境影响分析</w:t>
            </w:r>
            <w:bookmarkEnd w:id="25"/>
            <w:bookmarkEnd w:id="26"/>
          </w:p>
          <w:p>
            <w:pPr>
              <w:pStyle w:val="110"/>
              <w:rPr>
                <w:color w:val="000000"/>
              </w:rPr>
            </w:pPr>
            <w:r>
              <w:rPr>
                <w:rFonts w:hint="eastAsia"/>
                <w:snapToGrid w:val="0"/>
                <w:color w:val="000000"/>
              </w:rPr>
              <w:t>本项目钻井工程和进井道路建设是造成植被破坏的主要原因，开发过程中的占地为临时占地，对植被的主要影响形式是对土地的占用以及施工阶段清场过程中对地表植被的清理及施工过程中的碾压。地表保护层被破坏后，其稳定性下降，防止水土流失的能力也随之下降，并且地表植被已不复存在。</w:t>
            </w:r>
            <w:r>
              <w:rPr>
                <w:rFonts w:hint="eastAsia"/>
                <w:color w:val="000000"/>
                <w:spacing w:val="4"/>
              </w:rPr>
              <w:t>从项目区域土地利用类型分析看，该区域的植被覆盖低，土地利用类型为</w:t>
            </w:r>
            <w:r>
              <w:rPr>
                <w:rFonts w:hint="eastAsia"/>
                <w:color w:val="000000"/>
              </w:rPr>
              <w:t>林地、草地</w:t>
            </w:r>
            <w:r>
              <w:rPr>
                <w:rFonts w:hint="eastAsia"/>
                <w:color w:val="000000"/>
                <w:spacing w:val="4"/>
              </w:rPr>
              <w:t>。项目占地会影响生态系统的功能发挥，并会产生一定的水土流失。</w:t>
            </w:r>
            <w:r>
              <w:rPr>
                <w:rFonts w:hint="eastAsia"/>
                <w:snapToGrid w:val="0"/>
                <w:color w:val="000000"/>
              </w:rPr>
              <w:t>本项目临时占地面积为</w:t>
            </w:r>
            <w:r>
              <w:rPr>
                <w:rFonts w:hint="eastAsia"/>
              </w:rPr>
              <w:t>11092</w:t>
            </w:r>
            <w:r>
              <w:rPr>
                <w:snapToGrid w:val="0"/>
                <w:color w:val="000000"/>
              </w:rPr>
              <w:t>m</w:t>
            </w:r>
            <w:r>
              <w:rPr>
                <w:snapToGrid w:val="0"/>
                <w:color w:val="000000"/>
                <w:vertAlign w:val="superscript"/>
              </w:rPr>
              <w:t>2</w:t>
            </w:r>
            <w:r>
              <w:rPr>
                <w:rFonts w:hint="eastAsia"/>
                <w:snapToGrid w:val="0"/>
                <w:color w:val="000000"/>
              </w:rPr>
              <w:t>，植被破坏后不易恢复，因而使得这部分土地基本没有植物初级生产能力。当临时性占地的植被得到初步恢复后，这种损失将逐渐减少</w:t>
            </w:r>
            <w:r>
              <w:rPr>
                <w:color w:val="000000"/>
              </w:rPr>
              <w:t>。</w:t>
            </w:r>
          </w:p>
          <w:p>
            <w:pPr>
              <w:pStyle w:val="110"/>
              <w:rPr>
                <w:color w:val="000000"/>
              </w:rPr>
            </w:pPr>
            <w:r>
              <w:rPr>
                <w:rFonts w:hint="eastAsia"/>
                <w:color w:val="000000"/>
              </w:rPr>
              <w:t>（1</w:t>
            </w:r>
            <w:r>
              <w:rPr>
                <w:color w:val="000000"/>
              </w:rPr>
              <w:t>）对土壤环境影响</w:t>
            </w:r>
          </w:p>
          <w:p>
            <w:pPr>
              <w:pStyle w:val="110"/>
              <w:rPr>
                <w:color w:val="000000"/>
              </w:rPr>
            </w:pPr>
            <w:r>
              <w:rPr>
                <w:color w:val="000000"/>
              </w:rPr>
              <w:t>对土壤质量的影响主要为</w:t>
            </w:r>
            <w:r>
              <w:rPr>
                <w:rFonts w:hint="eastAsia"/>
                <w:color w:val="000000"/>
              </w:rPr>
              <w:t>人为</w:t>
            </w:r>
            <w:r>
              <w:rPr>
                <w:color w:val="000000"/>
              </w:rPr>
              <w:t>扰动、车辆行驶和机械施工。</w:t>
            </w:r>
          </w:p>
          <w:p>
            <w:pPr>
              <w:pStyle w:val="110"/>
              <w:rPr>
                <w:color w:val="000000"/>
              </w:rPr>
            </w:pPr>
            <w:r>
              <w:rPr>
                <w:rFonts w:hint="eastAsia"/>
                <w:color w:val="000000"/>
              </w:rPr>
              <w:t>①</w:t>
            </w:r>
            <w:r>
              <w:rPr>
                <w:color w:val="000000"/>
              </w:rPr>
              <w:t>人为扰动对土壤的影响</w:t>
            </w:r>
          </w:p>
          <w:p>
            <w:pPr>
              <w:pStyle w:val="110"/>
              <w:rPr>
                <w:color w:val="000000"/>
              </w:rPr>
            </w:pPr>
            <w:r>
              <w:rPr>
                <w:color w:val="000000"/>
              </w:rPr>
              <w:t>项目施工过程中，不可避免地要对土壤进行人为扰动，主要是开挖和回填，翻动土壤层次并破坏土壤结构。</w:t>
            </w:r>
          </w:p>
          <w:p>
            <w:pPr>
              <w:pStyle w:val="110"/>
              <w:rPr>
                <w:color w:val="000000"/>
              </w:rPr>
            </w:pPr>
            <w:r>
              <w:rPr>
                <w:rFonts w:hint="eastAsia"/>
                <w:color w:val="000000"/>
              </w:rPr>
              <w:t>②</w:t>
            </w:r>
            <w:r>
              <w:rPr>
                <w:color w:val="000000"/>
              </w:rPr>
              <w:t>车辆行驶和机械施工对土壤的影响</w:t>
            </w:r>
          </w:p>
          <w:p>
            <w:pPr>
              <w:pStyle w:val="110"/>
              <w:rPr>
                <w:color w:val="000000"/>
              </w:rPr>
            </w:pPr>
            <w:r>
              <w:rPr>
                <w:color w:val="000000"/>
              </w:rPr>
              <w:t>在施工中，车辆行驶和机械作业时机械设备的碾压、施工人员的踩踏等都会对土壤的紧实度产生影响。机械碾压的结果使土壤紧实度增高，地表水入渗减少。各种车辆（尤其是重型卡车）在荒漠上行驶将使经过的土壤变紧实。因此环评要求，严格控制施工作业范围，严禁随意扩大施工用地范围，并充分利用项目区</w:t>
            </w:r>
            <w:r>
              <w:rPr>
                <w:rFonts w:hint="eastAsia"/>
                <w:color w:val="000000"/>
              </w:rPr>
              <w:t>周边的现有</w:t>
            </w:r>
            <w:r>
              <w:rPr>
                <w:color w:val="000000"/>
              </w:rPr>
              <w:t>便道。</w:t>
            </w:r>
          </w:p>
          <w:p>
            <w:pPr>
              <w:pStyle w:val="110"/>
              <w:rPr>
                <w:color w:val="000000"/>
              </w:rPr>
            </w:pPr>
            <w:r>
              <w:rPr>
                <w:rFonts w:hint="eastAsia"/>
                <w:color w:val="000000"/>
              </w:rPr>
              <w:t>（2）对工程区植被的影响</w:t>
            </w:r>
          </w:p>
          <w:p>
            <w:pPr>
              <w:pStyle w:val="110"/>
              <w:rPr>
                <w:color w:val="000000"/>
              </w:rPr>
            </w:pPr>
            <w:r>
              <w:rPr>
                <w:rFonts w:hint="eastAsia"/>
                <w:color w:val="000000"/>
              </w:rPr>
              <w:t>项目部署</w:t>
            </w:r>
            <w:r>
              <w:rPr>
                <w:color w:val="000000"/>
              </w:rPr>
              <w:t>3</w:t>
            </w:r>
            <w:r>
              <w:rPr>
                <w:rFonts w:hint="eastAsia"/>
                <w:color w:val="000000"/>
              </w:rPr>
              <w:t>口井，均为临时占地，在</w:t>
            </w:r>
            <w:r>
              <w:rPr>
                <w:color w:val="000000"/>
              </w:rPr>
              <w:t>项目建设过程中</w:t>
            </w:r>
            <w:r>
              <w:rPr>
                <w:rFonts w:hint="eastAsia"/>
                <w:color w:val="000000"/>
              </w:rPr>
              <w:t>，由于植被破坏后不易恢复，将使得所占土地基本没有植物初级生产能力。项目占地直接影响的植被类型主要为梭梭、白梭梭和准噶尔琵琶柴。</w:t>
            </w:r>
          </w:p>
          <w:p>
            <w:pPr>
              <w:pStyle w:val="110"/>
              <w:rPr>
                <w:color w:val="000000"/>
              </w:rPr>
            </w:pPr>
            <w:r>
              <w:rPr>
                <w:rFonts w:hint="eastAsia"/>
                <w:color w:val="000000"/>
              </w:rPr>
              <w:t>本项目拟临时占用面积为</w:t>
            </w:r>
            <w:r>
              <w:rPr>
                <w:rFonts w:hint="eastAsia"/>
              </w:rPr>
              <w:t>11092</w:t>
            </w:r>
            <w:r>
              <w:rPr>
                <w:rFonts w:hint="eastAsia"/>
                <w:color w:val="000000"/>
              </w:rPr>
              <w:t>m</w:t>
            </w:r>
            <w:r>
              <w:rPr>
                <w:rFonts w:hint="eastAsia"/>
                <w:color w:val="000000"/>
                <w:vertAlign w:val="superscript"/>
              </w:rPr>
              <w:t>2</w:t>
            </w:r>
            <w:r>
              <w:rPr>
                <w:rFonts w:hint="eastAsia"/>
                <w:color w:val="000000"/>
              </w:rPr>
              <w:t>，在临时占地上分布有少量梭梭、白梭梭（覆盖度约为30%），其余地表裸露，未生长植物。临时用地会导致生物量损失，临时用地梭梭生物量损失约为</w:t>
            </w:r>
            <w:r>
              <w:rPr>
                <w:rFonts w:hint="eastAsia"/>
              </w:rPr>
              <w:t>1.11</w:t>
            </w:r>
            <w:r>
              <w:rPr>
                <w:rFonts w:hint="eastAsia"/>
                <w:color w:val="000000"/>
              </w:rPr>
              <w:t>t，</w:t>
            </w:r>
            <w:r>
              <w:rPr>
                <w:color w:val="000000"/>
              </w:rPr>
              <w:t>总生物量损失约为</w:t>
            </w:r>
            <w:r>
              <w:rPr>
                <w:rFonts w:hint="eastAsia"/>
              </w:rPr>
              <w:t>2.77</w:t>
            </w:r>
            <w:r>
              <w:rPr>
                <w:color w:val="000000"/>
              </w:rPr>
              <w:t>t</w:t>
            </w:r>
            <w:r>
              <w:rPr>
                <w:rFonts w:hint="eastAsia"/>
                <w:color w:val="000000"/>
              </w:rPr>
              <w:t>（根据调查项目所在地梭梭生物量约为1t/hm</w:t>
            </w:r>
            <w:r>
              <w:rPr>
                <w:rFonts w:hint="eastAsia"/>
                <w:color w:val="000000"/>
                <w:vertAlign w:val="superscript"/>
              </w:rPr>
              <w:t>2</w:t>
            </w:r>
            <w:r>
              <w:rPr>
                <w:rFonts w:hint="eastAsia"/>
                <w:color w:val="000000"/>
              </w:rPr>
              <w:t>，总生物量约为2.5t/hm</w:t>
            </w:r>
            <w:r>
              <w:rPr>
                <w:rFonts w:hint="eastAsia"/>
                <w:color w:val="000000"/>
                <w:vertAlign w:val="superscript"/>
              </w:rPr>
              <w:t>2</w:t>
            </w:r>
            <w:r>
              <w:rPr>
                <w:rFonts w:hint="eastAsia"/>
                <w:color w:val="000000"/>
              </w:rPr>
              <w:t>）。</w:t>
            </w:r>
          </w:p>
          <w:p>
            <w:pPr>
              <w:pStyle w:val="110"/>
              <w:rPr>
                <w:color w:val="000000"/>
              </w:rPr>
            </w:pPr>
            <w:r>
              <w:rPr>
                <w:rFonts w:hint="eastAsia"/>
                <w:color w:val="000000"/>
              </w:rPr>
              <w:t>本工程所在区域植被类型少而单一，植被损失主要来自临时占地，因此只要加强施工管理，认真做好施工结束后的迹地恢复及固沙工作，施工结束后地表植被自然恢复，建设对植被的环境影响是可以接受的。</w:t>
            </w:r>
          </w:p>
          <w:p>
            <w:pPr>
              <w:pStyle w:val="110"/>
              <w:rPr>
                <w:color w:val="000000"/>
              </w:rPr>
            </w:pPr>
            <w:r>
              <w:rPr>
                <w:rFonts w:hint="eastAsia"/>
                <w:color w:val="000000"/>
              </w:rPr>
              <w:t>（3）对野生动物的影响</w:t>
            </w:r>
          </w:p>
          <w:p>
            <w:pPr>
              <w:pStyle w:val="110"/>
              <w:rPr>
                <w:color w:val="000000"/>
              </w:rPr>
            </w:pPr>
            <w:r>
              <w:rPr>
                <w:rFonts w:hint="eastAsia"/>
                <w:color w:val="000000"/>
              </w:rPr>
              <w:t>钻井工程对野生动物生存环境、分布范围和种群数量的影响主要分为直接影响和间接影响两个方面。直接影响主要表现为建设项目占地使野生动物的原始生存环境被破坏或改变；间接影响主要表现为由于植被的减少或污染破坏而引起野生动物食物来源减少。根据现场踏勘，未见国家及自治区野生保护动物，本项目区域受人为活动影响，大型兽类活动较少，区域内仅有少量小型野生动物栖息，包括小家鼠、田鼠、沙鼠等，鸟类有麻雀、百灵、乌鸦、掠鸟等，数量不多，由于评价区域不是动物的唯一栖息地，故该建设项目对动物区域性生境不产生明显影响。</w:t>
            </w:r>
          </w:p>
          <w:p>
            <w:pPr>
              <w:pStyle w:val="110"/>
              <w:rPr>
                <w:color w:val="000000"/>
              </w:rPr>
            </w:pPr>
            <w:r>
              <w:rPr>
                <w:rFonts w:hint="eastAsia"/>
                <w:color w:val="000000"/>
              </w:rPr>
              <w:t>（4）水土流失影响分析</w:t>
            </w:r>
          </w:p>
          <w:p>
            <w:pPr>
              <w:pStyle w:val="110"/>
              <w:rPr>
                <w:color w:val="000000"/>
              </w:rPr>
            </w:pPr>
            <w:r>
              <w:rPr>
                <w:rFonts w:hint="eastAsia"/>
                <w:color w:val="000000"/>
              </w:rPr>
              <w:t>本项目建设将破坏地表原有稳定砾石层，增大了风蚀量。施工作业范围内的土壤地表表层遭到破坏，下层的粉细物质暴露在地层表面，在风力的作用下，风蚀量会明显加大，这种影响在短时间内不会完全恢复。但随着时间的推移，风蚀量会随着地表新保护层的逐渐形成而减弱。水土流失本次要求建设单位严格按照《中华人民共和国防沙治沙法》（2018年10月26日）中有关规定，执行以下井场防沙治沙防治措施：</w:t>
            </w:r>
          </w:p>
          <w:p>
            <w:pPr>
              <w:pStyle w:val="110"/>
              <w:rPr>
                <w:color w:val="000000"/>
              </w:rPr>
            </w:pPr>
            <w:r>
              <w:rPr>
                <w:rFonts w:hint="eastAsia"/>
                <w:color w:val="000000"/>
              </w:rPr>
              <w:t>土地临时使用过程中发现土地沙化或者沙化程度加重的，应当及时报告当地人民政府；大力宣传《中华人民共和国防沙治沙法》（2018年10月26日），使施工人员知法、懂法、守法，自觉保护林草植被，自觉履行防治义务。禁止在沙化土地上砍挖灌木、药材及其他固沙植物；施工结束后对占地进行平整，清运现场遗留的污染物，按照正式征地文件的规定对占地进行经济补偿。</w:t>
            </w:r>
          </w:p>
          <w:p>
            <w:pPr>
              <w:pStyle w:val="110"/>
              <w:rPr>
                <w:color w:val="000000"/>
              </w:rPr>
            </w:pPr>
            <w:r>
              <w:rPr>
                <w:rFonts w:hint="eastAsia"/>
                <w:color w:val="000000"/>
              </w:rPr>
              <w:t>（</w:t>
            </w:r>
            <w:r>
              <w:rPr>
                <w:color w:val="000000"/>
              </w:rPr>
              <w:t>5</w:t>
            </w:r>
            <w:r>
              <w:rPr>
                <w:rFonts w:hint="eastAsia"/>
                <w:color w:val="000000"/>
              </w:rPr>
              <w:t>）生态避让</w:t>
            </w:r>
          </w:p>
          <w:p>
            <w:pPr>
              <w:pStyle w:val="110"/>
              <w:rPr>
                <w:color w:val="000000"/>
              </w:rPr>
            </w:pPr>
            <w:r>
              <w:rPr>
                <w:rFonts w:hint="eastAsia"/>
                <w:color w:val="000000"/>
              </w:rPr>
              <w:t>①管理措施：尽量避让植被密集区域，并严格遵守油田环境保护规章制度，运输车辆及勘探车辆在划定的道路上通行，禁止乱辗乱轧，严禁捕猎野生动物、破坏野生动物巢穴。</w:t>
            </w:r>
          </w:p>
          <w:p>
            <w:pPr>
              <w:pStyle w:val="110"/>
              <w:rPr>
                <w:color w:val="000000"/>
              </w:rPr>
            </w:pPr>
            <w:r>
              <w:rPr>
                <w:rFonts w:hint="eastAsia"/>
                <w:color w:val="000000"/>
              </w:rPr>
              <w:t>②钻井废弃物采用不落地技术：钻井废弃物采用不落地技术，减少对周围土壤、植被的影响。</w:t>
            </w:r>
          </w:p>
          <w:p>
            <w:pPr>
              <w:pStyle w:val="110"/>
              <w:rPr>
                <w:color w:val="000000"/>
              </w:rPr>
            </w:pPr>
            <w:r>
              <w:rPr>
                <w:rFonts w:hint="eastAsia"/>
                <w:color w:val="000000"/>
              </w:rPr>
              <w:t>③井场恢复措施：完井后施工现场禁止遗弃废物，固体废物全部妥善处置，井场应平整，施工结束后地表植被自然恢复。</w:t>
            </w:r>
          </w:p>
          <w:p>
            <w:pPr>
              <w:pStyle w:val="109"/>
              <w:ind w:firstLine="420"/>
              <w:rPr>
                <w:color w:val="000000"/>
              </w:rPr>
            </w:pPr>
            <w:r>
              <w:rPr>
                <w:rFonts w:hint="eastAsia"/>
                <w:color w:val="000000"/>
              </w:rPr>
              <w:t>2、施工期大气环境影响分析</w:t>
            </w:r>
          </w:p>
          <w:p>
            <w:pPr>
              <w:pStyle w:val="109"/>
              <w:ind w:firstLine="420"/>
              <w:rPr>
                <w:color w:val="000000"/>
              </w:rPr>
            </w:pPr>
            <w:r>
              <w:rPr>
                <w:rFonts w:hint="eastAsia"/>
                <w:color w:val="000000"/>
              </w:rPr>
              <w:t>本项目在施工期对环境空气的影响主要为：钻井期柴油机燃烧烟气、无组织废气、汽车尾气以及施工扬尘。</w:t>
            </w:r>
          </w:p>
          <w:p>
            <w:pPr>
              <w:pStyle w:val="109"/>
              <w:ind w:firstLine="420"/>
              <w:rPr>
                <w:color w:val="000000"/>
              </w:rPr>
            </w:pPr>
            <w:r>
              <w:rPr>
                <w:rFonts w:hint="eastAsia"/>
                <w:color w:val="000000"/>
              </w:rPr>
              <w:t>1）柴油机烟气和汽车尾气的影响分析</w:t>
            </w:r>
          </w:p>
          <w:p>
            <w:pPr>
              <w:pStyle w:val="99"/>
              <w:ind w:firstLine="420"/>
              <w:rPr>
                <w:color w:val="000000"/>
                <w:sz w:val="21"/>
                <w:szCs w:val="21"/>
              </w:rPr>
            </w:pPr>
            <w:r>
              <w:rPr>
                <w:rFonts w:hint="eastAsia"/>
                <w:color w:val="000000"/>
                <w:sz w:val="21"/>
                <w:szCs w:val="21"/>
              </w:rPr>
              <w:t>钻井柴油机（柴油发电机）等产生的尾气，其主要的污染物为总烃、NO</w:t>
            </w:r>
            <w:r>
              <w:rPr>
                <w:rFonts w:hint="eastAsia"/>
                <w:color w:val="000000"/>
                <w:sz w:val="21"/>
                <w:szCs w:val="21"/>
                <w:vertAlign w:val="subscript"/>
              </w:rPr>
              <w:t>X</w:t>
            </w:r>
            <w:r>
              <w:rPr>
                <w:rFonts w:hint="eastAsia"/>
                <w:color w:val="000000"/>
                <w:sz w:val="21"/>
                <w:szCs w:val="21"/>
              </w:rPr>
              <w:t>、SO</w:t>
            </w:r>
            <w:r>
              <w:rPr>
                <w:rFonts w:hint="eastAsia"/>
                <w:color w:val="000000"/>
                <w:sz w:val="21"/>
                <w:szCs w:val="21"/>
                <w:vertAlign w:val="subscript"/>
              </w:rPr>
              <w:t>2</w:t>
            </w:r>
            <w:r>
              <w:rPr>
                <w:rFonts w:hint="eastAsia"/>
                <w:color w:val="000000"/>
                <w:sz w:val="21"/>
                <w:szCs w:val="21"/>
              </w:rPr>
              <w:t>、烟尘等。</w:t>
            </w:r>
          </w:p>
          <w:p>
            <w:pPr>
              <w:pStyle w:val="99"/>
              <w:ind w:firstLine="420"/>
              <w:rPr>
                <w:color w:val="000000"/>
                <w:sz w:val="21"/>
                <w:szCs w:val="21"/>
              </w:rPr>
            </w:pPr>
            <w:r>
              <w:rPr>
                <w:rFonts w:hint="eastAsia"/>
                <w:color w:val="000000"/>
                <w:sz w:val="21"/>
                <w:szCs w:val="21"/>
              </w:rPr>
              <w:t>钻井队柴油消耗量平均2</w:t>
            </w:r>
            <w:r>
              <w:rPr>
                <w:color w:val="000000"/>
                <w:sz w:val="21"/>
                <w:szCs w:val="21"/>
              </w:rPr>
              <w:t>.6</w:t>
            </w:r>
            <w:r>
              <w:rPr>
                <w:rFonts w:hint="eastAsia"/>
                <w:color w:val="000000"/>
                <w:sz w:val="21"/>
                <w:szCs w:val="21"/>
              </w:rPr>
              <w:t>t/d。本项目总周期50d，共耗柴油130t（考虑柴油密度为0.85t/m</w:t>
            </w:r>
            <w:r>
              <w:rPr>
                <w:rFonts w:hint="eastAsia"/>
                <w:color w:val="000000"/>
                <w:sz w:val="21"/>
                <w:szCs w:val="21"/>
                <w:vertAlign w:val="superscript"/>
              </w:rPr>
              <w:t>3</w:t>
            </w:r>
            <w:r>
              <w:rPr>
                <w:rFonts w:hint="eastAsia"/>
                <w:color w:val="000000"/>
                <w:sz w:val="21"/>
                <w:szCs w:val="21"/>
              </w:rPr>
              <w:t>，则共耗柴油体积为152.94 m</w:t>
            </w:r>
            <w:r>
              <w:rPr>
                <w:rFonts w:hint="eastAsia"/>
                <w:color w:val="000000"/>
                <w:sz w:val="21"/>
                <w:szCs w:val="21"/>
                <w:vertAlign w:val="superscript"/>
              </w:rPr>
              <w:t>3</w:t>
            </w:r>
            <w:r>
              <w:rPr>
                <w:rFonts w:hint="eastAsia"/>
                <w:color w:val="000000"/>
                <w:sz w:val="21"/>
                <w:szCs w:val="21"/>
              </w:rPr>
              <w:t>）。</w:t>
            </w:r>
            <w:bookmarkStart w:id="27" w:name="OLE_LINK1"/>
            <w:r>
              <w:rPr>
                <w:rFonts w:hint="eastAsia"/>
                <w:color w:val="000000"/>
                <w:sz w:val="21"/>
                <w:szCs w:val="21"/>
              </w:rPr>
              <w:t>根据相关教材给出的计算参数，柴油机污染物排放系数为：烟尘为0.714g/L，NO</w:t>
            </w:r>
            <w:r>
              <w:rPr>
                <w:rFonts w:hint="eastAsia"/>
                <w:color w:val="000000"/>
                <w:sz w:val="21"/>
                <w:szCs w:val="21"/>
                <w:vertAlign w:val="subscript"/>
              </w:rPr>
              <w:t>X</w:t>
            </w:r>
            <w:r>
              <w:rPr>
                <w:rFonts w:hint="eastAsia"/>
                <w:color w:val="000000"/>
                <w:sz w:val="21"/>
                <w:szCs w:val="21"/>
              </w:rPr>
              <w:t>为2.56g/L，总烃为1.489g/L。消耗1kg柴油按照产生20Nm</w:t>
            </w:r>
            <w:r>
              <w:rPr>
                <w:rFonts w:hint="eastAsia"/>
                <w:color w:val="000000"/>
                <w:sz w:val="21"/>
                <w:szCs w:val="21"/>
                <w:vertAlign w:val="superscript"/>
              </w:rPr>
              <w:t>3</w:t>
            </w:r>
            <w:r>
              <w:rPr>
                <w:rFonts w:hint="eastAsia"/>
                <w:color w:val="000000"/>
                <w:sz w:val="21"/>
                <w:szCs w:val="21"/>
              </w:rPr>
              <w:t>废气进行核算，则钻井期产生的废气量共</w:t>
            </w:r>
            <w:r>
              <w:rPr>
                <w:color w:val="000000"/>
                <w:sz w:val="21"/>
                <w:szCs w:val="21"/>
              </w:rPr>
              <w:t>2.6</w:t>
            </w:r>
            <w:r>
              <w:rPr>
                <w:rFonts w:hint="eastAsia"/>
                <w:color w:val="000000"/>
                <w:sz w:val="21"/>
                <w:szCs w:val="21"/>
              </w:rPr>
              <w:t>×10</w:t>
            </w:r>
            <w:r>
              <w:rPr>
                <w:rFonts w:hint="eastAsia"/>
                <w:color w:val="000000"/>
                <w:sz w:val="21"/>
                <w:szCs w:val="21"/>
                <w:vertAlign w:val="superscript"/>
              </w:rPr>
              <w:t>6</w:t>
            </w:r>
            <w:r>
              <w:rPr>
                <w:rFonts w:hint="eastAsia"/>
                <w:color w:val="000000"/>
                <w:sz w:val="21"/>
                <w:szCs w:val="21"/>
              </w:rPr>
              <w:t>Nm</w:t>
            </w:r>
            <w:r>
              <w:rPr>
                <w:rFonts w:hint="eastAsia"/>
                <w:color w:val="000000"/>
                <w:sz w:val="21"/>
                <w:szCs w:val="21"/>
                <w:vertAlign w:val="superscript"/>
              </w:rPr>
              <w:t>3</w:t>
            </w:r>
            <w:r>
              <w:rPr>
                <w:rFonts w:hint="eastAsia"/>
                <w:color w:val="000000"/>
                <w:sz w:val="21"/>
                <w:szCs w:val="21"/>
              </w:rPr>
              <w:t>。</w:t>
            </w:r>
          </w:p>
          <w:p>
            <w:pPr>
              <w:pStyle w:val="99"/>
              <w:ind w:firstLine="420"/>
              <w:rPr>
                <w:color w:val="000000"/>
                <w:sz w:val="21"/>
                <w:szCs w:val="21"/>
              </w:rPr>
            </w:pPr>
            <w:r>
              <w:rPr>
                <w:rFonts w:hint="eastAsia"/>
                <w:color w:val="000000"/>
                <w:sz w:val="21"/>
                <w:szCs w:val="21"/>
              </w:rPr>
              <w:t>根据《车用柴油》（GB 19147-2016）中表3车用柴油（Ⅵ）技术要求和试验方法可知，车用柴油（Ⅵ）中硫含量不大于10mg/kg，即SO</w:t>
            </w:r>
            <w:r>
              <w:rPr>
                <w:rFonts w:hint="eastAsia"/>
                <w:color w:val="000000"/>
                <w:sz w:val="21"/>
                <w:szCs w:val="21"/>
                <w:vertAlign w:val="subscript"/>
              </w:rPr>
              <w:t>2</w:t>
            </w:r>
            <w:r>
              <w:rPr>
                <w:rFonts w:hint="eastAsia"/>
                <w:color w:val="000000"/>
                <w:sz w:val="21"/>
                <w:szCs w:val="21"/>
              </w:rPr>
              <w:t>排放系数为20g/t。</w:t>
            </w:r>
          </w:p>
          <w:p>
            <w:pPr>
              <w:pStyle w:val="99"/>
              <w:ind w:firstLine="420"/>
              <w:rPr>
                <w:color w:val="000000"/>
                <w:sz w:val="21"/>
                <w:szCs w:val="21"/>
              </w:rPr>
            </w:pPr>
            <w:r>
              <w:rPr>
                <w:rFonts w:hint="eastAsia"/>
                <w:color w:val="000000"/>
                <w:sz w:val="21"/>
                <w:szCs w:val="21"/>
              </w:rPr>
              <w:t>柴油密度按照0.85t/m</w:t>
            </w:r>
            <w:r>
              <w:rPr>
                <w:rFonts w:hint="eastAsia"/>
                <w:color w:val="000000"/>
                <w:sz w:val="21"/>
                <w:szCs w:val="21"/>
                <w:vertAlign w:val="superscript"/>
              </w:rPr>
              <w:t>3</w:t>
            </w:r>
            <w:r>
              <w:rPr>
                <w:rFonts w:hint="eastAsia"/>
                <w:color w:val="000000"/>
                <w:sz w:val="21"/>
                <w:szCs w:val="21"/>
              </w:rPr>
              <w:t xml:space="preserve">计算，则排入大气中的污染物排放量见表 </w:t>
            </w:r>
            <w:r>
              <w:rPr>
                <w:color w:val="000000"/>
                <w:sz w:val="21"/>
                <w:szCs w:val="21"/>
              </w:rPr>
              <w:t>16</w:t>
            </w:r>
            <w:r>
              <w:rPr>
                <w:rFonts w:hint="eastAsia"/>
                <w:color w:val="000000"/>
                <w:sz w:val="21"/>
                <w:szCs w:val="21"/>
              </w:rPr>
              <w:t>，施工期间排放的大气污染物将随施工的结束而消失。</w:t>
            </w:r>
          </w:p>
          <w:p>
            <w:pPr>
              <w:adjustRightInd w:val="0"/>
              <w:snapToGrid w:val="0"/>
              <w:spacing w:before="120" w:beforeLines="50" w:line="360" w:lineRule="auto"/>
              <w:jc w:val="center"/>
              <w:rPr>
                <w:rFonts w:ascii="宋体" w:hAnsi="宋体" w:cs="宋体"/>
                <w:bCs/>
                <w:color w:val="000000"/>
                <w:szCs w:val="21"/>
                <w:lang w:val="zh-CN"/>
              </w:rPr>
            </w:pPr>
            <w:bookmarkStart w:id="28" w:name="_Ref38547178"/>
            <w:bookmarkStart w:id="29" w:name="OLE_LINK7"/>
            <w:r>
              <w:rPr>
                <w:rFonts w:hint="eastAsia" w:ascii="宋体" w:hAnsi="宋体"/>
                <w:color w:val="000000"/>
              </w:rPr>
              <w:t xml:space="preserve">表 </w:t>
            </w:r>
            <w:r>
              <w:rPr>
                <w:rFonts w:ascii="宋体" w:hAnsi="宋体"/>
                <w:color w:val="000000"/>
              </w:rPr>
              <w:t>16</w:t>
            </w:r>
            <w:bookmarkEnd w:id="28"/>
            <w:r>
              <w:rPr>
                <w:rFonts w:hint="eastAsia" w:ascii="宋体" w:hAnsi="宋体"/>
                <w:color w:val="000000"/>
              </w:rPr>
              <w:t xml:space="preserve">  </w:t>
            </w:r>
            <w:r>
              <w:rPr>
                <w:rFonts w:hint="eastAsia" w:ascii="宋体" w:hAnsi="宋体" w:cs="宋体"/>
                <w:bCs/>
                <w:color w:val="000000"/>
                <w:szCs w:val="21"/>
                <w:lang w:val="zh-CN"/>
              </w:rPr>
              <w:t>钻井期柴油机尾气排放情况一览表</w:t>
            </w:r>
          </w:p>
          <w:bookmarkEnd w:id="29"/>
          <w:tbl>
            <w:tblPr>
              <w:tblStyle w:val="29"/>
              <w:tblW w:w="7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52"/>
              <w:gridCol w:w="1347"/>
              <w:gridCol w:w="1345"/>
              <w:gridCol w:w="1345"/>
              <w:gridCol w:w="13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225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宋体" w:hAnsi="宋体"/>
                      <w:color w:val="000000"/>
                      <w:szCs w:val="21"/>
                    </w:rPr>
                  </w:pPr>
                  <w:r>
                    <w:rPr>
                      <w:rFonts w:hint="eastAsia" w:ascii="宋体" w:hAnsi="宋体"/>
                      <w:color w:val="000000"/>
                      <w:szCs w:val="21"/>
                    </w:rPr>
                    <w:t>污染物名称</w:t>
                  </w:r>
                </w:p>
              </w:tc>
              <w:tc>
                <w:tcPr>
                  <w:tcW w:w="1347"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宋体" w:hAnsi="宋体"/>
                      <w:color w:val="000000"/>
                      <w:szCs w:val="21"/>
                    </w:rPr>
                  </w:pPr>
                  <w:r>
                    <w:rPr>
                      <w:rFonts w:hint="eastAsia" w:ascii="宋体" w:hAnsi="宋体"/>
                      <w:color w:val="000000"/>
                      <w:szCs w:val="21"/>
                    </w:rPr>
                    <w:t>总烃</w:t>
                  </w:r>
                </w:p>
              </w:tc>
              <w:tc>
                <w:tcPr>
                  <w:tcW w:w="1345"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宋体" w:hAnsi="宋体"/>
                      <w:color w:val="000000"/>
                      <w:szCs w:val="21"/>
                    </w:rPr>
                  </w:pPr>
                  <w:r>
                    <w:rPr>
                      <w:rFonts w:hint="eastAsia" w:ascii="宋体" w:hAnsi="宋体"/>
                      <w:color w:val="000000"/>
                      <w:szCs w:val="21"/>
                    </w:rPr>
                    <w:t>NO</w:t>
                  </w:r>
                  <w:r>
                    <w:rPr>
                      <w:rFonts w:hint="eastAsia" w:ascii="宋体" w:hAnsi="宋体"/>
                      <w:color w:val="000000"/>
                      <w:szCs w:val="21"/>
                      <w:vertAlign w:val="subscript"/>
                    </w:rPr>
                    <w:t>X</w:t>
                  </w:r>
                </w:p>
              </w:tc>
              <w:tc>
                <w:tcPr>
                  <w:tcW w:w="1345"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宋体" w:hAnsi="宋体"/>
                      <w:color w:val="000000"/>
                      <w:szCs w:val="21"/>
                    </w:rPr>
                  </w:pPr>
                  <w:r>
                    <w:rPr>
                      <w:rFonts w:hint="eastAsia" w:ascii="宋体" w:hAnsi="宋体"/>
                      <w:color w:val="000000"/>
                      <w:szCs w:val="21"/>
                    </w:rPr>
                    <w:t>SO</w:t>
                  </w:r>
                  <w:r>
                    <w:rPr>
                      <w:rFonts w:hint="eastAsia" w:ascii="宋体" w:hAnsi="宋体"/>
                      <w:color w:val="000000"/>
                      <w:szCs w:val="21"/>
                      <w:vertAlign w:val="subscript"/>
                    </w:rPr>
                    <w:t>2</w:t>
                  </w:r>
                </w:p>
              </w:tc>
              <w:tc>
                <w:tcPr>
                  <w:tcW w:w="1345"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宋体" w:hAnsi="宋体"/>
                      <w:color w:val="000000"/>
                      <w:szCs w:val="21"/>
                    </w:rPr>
                  </w:pPr>
                  <w:r>
                    <w:rPr>
                      <w:rFonts w:hint="eastAsia" w:ascii="宋体" w:hAnsi="宋体"/>
                      <w:color w:val="000000"/>
                      <w:szCs w:val="21"/>
                    </w:rPr>
                    <w:t>烟尘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225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宋体" w:hAnsi="宋体"/>
                      <w:color w:val="000000"/>
                      <w:szCs w:val="21"/>
                    </w:rPr>
                  </w:pPr>
                  <w:r>
                    <w:rPr>
                      <w:rFonts w:hint="eastAsia" w:ascii="宋体" w:hAnsi="宋体"/>
                      <w:color w:val="000000"/>
                      <w:szCs w:val="21"/>
                    </w:rPr>
                    <w:t>大气污染物排放量（t）</w:t>
                  </w:r>
                </w:p>
              </w:tc>
              <w:tc>
                <w:tcPr>
                  <w:tcW w:w="1347" w:type="dxa"/>
                  <w:tcBorders>
                    <w:top w:val="single" w:color="auto" w:sz="4" w:space="0"/>
                    <w:left w:val="single" w:color="auto" w:sz="4" w:space="0"/>
                    <w:bottom w:val="single" w:color="auto" w:sz="4" w:space="0"/>
                    <w:right w:val="single" w:color="auto" w:sz="4" w:space="0"/>
                  </w:tcBorders>
                  <w:vAlign w:val="center"/>
                </w:tcPr>
                <w:p>
                  <w:pPr>
                    <w:pStyle w:val="70"/>
                    <w:rPr>
                      <w:color w:val="000000"/>
                      <w:kern w:val="0"/>
                    </w:rPr>
                  </w:pPr>
                  <w:r>
                    <w:rPr>
                      <w:rFonts w:hint="eastAsia"/>
                    </w:rPr>
                    <w:t>0.228</w:t>
                  </w:r>
                </w:p>
              </w:tc>
              <w:tc>
                <w:tcPr>
                  <w:tcW w:w="1345" w:type="dxa"/>
                  <w:tcBorders>
                    <w:top w:val="single" w:color="auto" w:sz="4" w:space="0"/>
                    <w:left w:val="single" w:color="auto" w:sz="4" w:space="0"/>
                    <w:bottom w:val="single" w:color="auto" w:sz="4" w:space="0"/>
                    <w:right w:val="single" w:color="auto" w:sz="4" w:space="0"/>
                  </w:tcBorders>
                  <w:vAlign w:val="center"/>
                </w:tcPr>
                <w:p>
                  <w:pPr>
                    <w:pStyle w:val="70"/>
                    <w:rPr>
                      <w:color w:val="000000"/>
                    </w:rPr>
                  </w:pPr>
                  <w:r>
                    <w:rPr>
                      <w:rFonts w:hint="eastAsia"/>
                    </w:rPr>
                    <w:t>0.392</w:t>
                  </w:r>
                </w:p>
              </w:tc>
              <w:tc>
                <w:tcPr>
                  <w:tcW w:w="1345" w:type="dxa"/>
                  <w:tcBorders>
                    <w:top w:val="single" w:color="auto" w:sz="4" w:space="0"/>
                    <w:left w:val="single" w:color="auto" w:sz="4" w:space="0"/>
                    <w:bottom w:val="single" w:color="auto" w:sz="4" w:space="0"/>
                    <w:right w:val="single" w:color="auto" w:sz="4" w:space="0"/>
                  </w:tcBorders>
                  <w:vAlign w:val="center"/>
                </w:tcPr>
                <w:p>
                  <w:pPr>
                    <w:pStyle w:val="70"/>
                    <w:rPr>
                      <w:color w:val="000000"/>
                    </w:rPr>
                  </w:pPr>
                  <w:r>
                    <w:rPr>
                      <w:rFonts w:hint="eastAsia"/>
                    </w:rPr>
                    <w:t>0.003</w:t>
                  </w:r>
                </w:p>
              </w:tc>
              <w:tc>
                <w:tcPr>
                  <w:tcW w:w="1345" w:type="dxa"/>
                  <w:tcBorders>
                    <w:top w:val="single" w:color="auto" w:sz="4" w:space="0"/>
                    <w:left w:val="single" w:color="auto" w:sz="4" w:space="0"/>
                    <w:bottom w:val="single" w:color="auto" w:sz="4" w:space="0"/>
                    <w:right w:val="single" w:color="auto" w:sz="4" w:space="0"/>
                  </w:tcBorders>
                  <w:vAlign w:val="center"/>
                </w:tcPr>
                <w:p>
                  <w:pPr>
                    <w:pStyle w:val="70"/>
                    <w:rPr>
                      <w:color w:val="000000"/>
                    </w:rPr>
                  </w:pPr>
                  <w:r>
                    <w:rPr>
                      <w:rFonts w:hint="eastAsia"/>
                    </w:rPr>
                    <w:t>0.109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225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宋体" w:hAnsi="宋体"/>
                      <w:color w:val="000000"/>
                      <w:szCs w:val="21"/>
                    </w:rPr>
                  </w:pPr>
                  <w:r>
                    <w:rPr>
                      <w:rFonts w:hint="eastAsia" w:ascii="宋体" w:hAnsi="宋体"/>
                      <w:color w:val="000000"/>
                      <w:szCs w:val="21"/>
                    </w:rPr>
                    <w:t>排放浓度（mg/m</w:t>
                  </w:r>
                  <w:r>
                    <w:rPr>
                      <w:rFonts w:hint="eastAsia" w:ascii="宋体" w:hAnsi="宋体"/>
                      <w:color w:val="000000"/>
                      <w:szCs w:val="21"/>
                      <w:vertAlign w:val="superscript"/>
                    </w:rPr>
                    <w:t>3</w:t>
                  </w:r>
                  <w:r>
                    <w:rPr>
                      <w:rFonts w:hint="eastAsia" w:ascii="宋体" w:hAnsi="宋体"/>
                      <w:color w:val="000000"/>
                      <w:szCs w:val="21"/>
                    </w:rPr>
                    <w:t>）</w:t>
                  </w:r>
                </w:p>
              </w:tc>
              <w:tc>
                <w:tcPr>
                  <w:tcW w:w="1347" w:type="dxa"/>
                  <w:tcBorders>
                    <w:top w:val="single" w:color="auto" w:sz="4" w:space="0"/>
                    <w:left w:val="single" w:color="auto" w:sz="4" w:space="0"/>
                    <w:bottom w:val="single" w:color="auto" w:sz="4" w:space="0"/>
                    <w:right w:val="single" w:color="auto" w:sz="4" w:space="0"/>
                  </w:tcBorders>
                  <w:vAlign w:val="center"/>
                </w:tcPr>
                <w:p>
                  <w:pPr>
                    <w:pStyle w:val="70"/>
                    <w:rPr>
                      <w:color w:val="000000"/>
                    </w:rPr>
                  </w:pPr>
                  <w:r>
                    <w:rPr>
                      <w:rFonts w:hint="eastAsia"/>
                      <w:color w:val="000000"/>
                    </w:rPr>
                    <w:t>87.59</w:t>
                  </w:r>
                </w:p>
              </w:tc>
              <w:tc>
                <w:tcPr>
                  <w:tcW w:w="1345" w:type="dxa"/>
                  <w:tcBorders>
                    <w:top w:val="single" w:color="auto" w:sz="4" w:space="0"/>
                    <w:left w:val="single" w:color="auto" w:sz="4" w:space="0"/>
                    <w:bottom w:val="single" w:color="auto" w:sz="4" w:space="0"/>
                    <w:right w:val="single" w:color="auto" w:sz="4" w:space="0"/>
                  </w:tcBorders>
                  <w:vAlign w:val="center"/>
                </w:tcPr>
                <w:p>
                  <w:pPr>
                    <w:pStyle w:val="70"/>
                    <w:rPr>
                      <w:color w:val="000000"/>
                    </w:rPr>
                  </w:pPr>
                  <w:r>
                    <w:rPr>
                      <w:rFonts w:hint="eastAsia"/>
                      <w:color w:val="000000"/>
                    </w:rPr>
                    <w:t>150.59</w:t>
                  </w:r>
                </w:p>
              </w:tc>
              <w:tc>
                <w:tcPr>
                  <w:tcW w:w="1345" w:type="dxa"/>
                  <w:tcBorders>
                    <w:top w:val="single" w:color="auto" w:sz="4" w:space="0"/>
                    <w:left w:val="single" w:color="auto" w:sz="4" w:space="0"/>
                    <w:bottom w:val="single" w:color="auto" w:sz="4" w:space="0"/>
                    <w:right w:val="single" w:color="auto" w:sz="4" w:space="0"/>
                  </w:tcBorders>
                  <w:vAlign w:val="center"/>
                </w:tcPr>
                <w:p>
                  <w:pPr>
                    <w:pStyle w:val="70"/>
                    <w:rPr>
                      <w:color w:val="000000"/>
                    </w:rPr>
                  </w:pPr>
                  <w:r>
                    <w:rPr>
                      <w:rFonts w:hint="eastAsia"/>
                      <w:color w:val="000000"/>
                    </w:rPr>
                    <w:t>1.00</w:t>
                  </w:r>
                </w:p>
              </w:tc>
              <w:tc>
                <w:tcPr>
                  <w:tcW w:w="1345" w:type="dxa"/>
                  <w:tcBorders>
                    <w:top w:val="single" w:color="auto" w:sz="4" w:space="0"/>
                    <w:left w:val="single" w:color="auto" w:sz="4" w:space="0"/>
                    <w:bottom w:val="single" w:color="auto" w:sz="4" w:space="0"/>
                    <w:right w:val="single" w:color="auto" w:sz="4" w:space="0"/>
                  </w:tcBorders>
                  <w:vAlign w:val="center"/>
                </w:tcPr>
                <w:p>
                  <w:pPr>
                    <w:pStyle w:val="70"/>
                    <w:rPr>
                      <w:color w:val="000000"/>
                    </w:rPr>
                  </w:pPr>
                  <w:r>
                    <w:rPr>
                      <w:rFonts w:hint="eastAsia"/>
                      <w:color w:val="000000"/>
                    </w:rPr>
                    <w:t>42.00</w:t>
                  </w:r>
                </w:p>
              </w:tc>
            </w:tr>
          </w:tbl>
          <w:p>
            <w:pPr>
              <w:pStyle w:val="99"/>
              <w:ind w:firstLine="420"/>
              <w:rPr>
                <w:color w:val="000000"/>
                <w:sz w:val="21"/>
                <w:szCs w:val="21"/>
              </w:rPr>
            </w:pPr>
          </w:p>
          <w:bookmarkEnd w:id="27"/>
          <w:p>
            <w:pPr>
              <w:pStyle w:val="109"/>
              <w:ind w:firstLine="420"/>
              <w:rPr>
                <w:color w:val="000000"/>
              </w:rPr>
            </w:pPr>
            <w:r>
              <w:rPr>
                <w:rFonts w:hint="eastAsia"/>
                <w:color w:val="000000"/>
              </w:rPr>
              <w:t>根据《关于柴油发电机排气执行标准的复函》（环函[2005]350号），柴油发电机参照《大气污染物综合排放标准》（GB 16297-1996）中表2标准。本项目钻井机械为柴油机，工作原理与柴油发电机相同，排放标准参照《大气污染物综合排放标准》（GB 16297-1996）表2中标准，对其排放的SO</w:t>
            </w:r>
            <w:r>
              <w:rPr>
                <w:rFonts w:hint="eastAsia"/>
                <w:color w:val="000000"/>
                <w:vertAlign w:val="subscript"/>
              </w:rPr>
              <w:t>2</w:t>
            </w:r>
            <w:r>
              <w:rPr>
                <w:rFonts w:hint="eastAsia"/>
                <w:color w:val="000000"/>
              </w:rPr>
              <w:t>、NO</w:t>
            </w:r>
            <w:r>
              <w:rPr>
                <w:rFonts w:hint="eastAsia"/>
                <w:color w:val="000000"/>
                <w:vertAlign w:val="subscript"/>
              </w:rPr>
              <w:t>X</w:t>
            </w:r>
            <w:r>
              <w:rPr>
                <w:rFonts w:hint="eastAsia"/>
                <w:color w:val="000000"/>
              </w:rPr>
              <w:t>、烟尘等污染物进行控制（即SO</w:t>
            </w:r>
            <w:r>
              <w:rPr>
                <w:rFonts w:hint="eastAsia"/>
                <w:color w:val="000000"/>
                <w:vertAlign w:val="subscript"/>
              </w:rPr>
              <w:t>2</w:t>
            </w:r>
            <w:r>
              <w:rPr>
                <w:rFonts w:hint="eastAsia"/>
                <w:color w:val="000000"/>
              </w:rPr>
              <w:t>≤550mg/m</w:t>
            </w:r>
            <w:r>
              <w:rPr>
                <w:rFonts w:hint="eastAsia"/>
                <w:color w:val="000000"/>
                <w:vertAlign w:val="superscript"/>
              </w:rPr>
              <w:t>3</w:t>
            </w:r>
            <w:r>
              <w:rPr>
                <w:rFonts w:hint="eastAsia"/>
                <w:color w:val="000000"/>
              </w:rPr>
              <w:t>、NO</w:t>
            </w:r>
            <w:r>
              <w:rPr>
                <w:rFonts w:hint="eastAsia"/>
                <w:color w:val="000000"/>
                <w:vertAlign w:val="subscript"/>
              </w:rPr>
              <w:t>x</w:t>
            </w:r>
            <w:r>
              <w:rPr>
                <w:rFonts w:hint="eastAsia"/>
                <w:color w:val="000000"/>
              </w:rPr>
              <w:t>≤240mg/m</w:t>
            </w:r>
            <w:r>
              <w:rPr>
                <w:rFonts w:hint="eastAsia"/>
                <w:color w:val="000000"/>
                <w:vertAlign w:val="superscript"/>
              </w:rPr>
              <w:t>3</w:t>
            </w:r>
            <w:r>
              <w:rPr>
                <w:rFonts w:hint="eastAsia"/>
                <w:color w:val="000000"/>
              </w:rPr>
              <w:t>、烟尘≤120mg/m</w:t>
            </w:r>
            <w:r>
              <w:rPr>
                <w:rFonts w:hint="eastAsia"/>
                <w:color w:val="000000"/>
                <w:vertAlign w:val="superscript"/>
              </w:rPr>
              <w:t>3</w:t>
            </w:r>
            <w:r>
              <w:rPr>
                <w:rFonts w:hint="eastAsia"/>
                <w:color w:val="000000"/>
              </w:rPr>
              <w:t>）。</w:t>
            </w:r>
            <w:r>
              <w:rPr>
                <w:rFonts w:hint="eastAsia" w:hAnsi="Calibri"/>
                <w:color w:val="000000"/>
              </w:rPr>
              <w:t>NO</w:t>
            </w:r>
            <w:r>
              <w:rPr>
                <w:rFonts w:hint="eastAsia" w:hAnsi="Calibri"/>
                <w:color w:val="000000"/>
                <w:vertAlign w:val="subscript"/>
              </w:rPr>
              <w:t>X</w:t>
            </w:r>
            <w:r>
              <w:rPr>
                <w:rFonts w:hint="eastAsia" w:hAnsi="Calibri"/>
                <w:color w:val="000000"/>
              </w:rPr>
              <w:t>同时满足《非道路移动机械用柴油机排气污染物排放限值及测量方法（中国第三、四阶段）》（GB 20891-2014）表2中排放限值的要求。</w:t>
            </w:r>
            <w:r>
              <w:rPr>
                <w:rFonts w:hint="eastAsia"/>
                <w:color w:val="000000"/>
              </w:rPr>
              <w:t>因此，本项目柴油机废气可以达标排放。</w:t>
            </w:r>
          </w:p>
          <w:p>
            <w:pPr>
              <w:pStyle w:val="109"/>
              <w:ind w:firstLine="420"/>
              <w:rPr>
                <w:color w:val="000000"/>
              </w:rPr>
            </w:pPr>
            <w:r>
              <w:rPr>
                <w:rFonts w:hint="eastAsia"/>
                <w:color w:val="000000"/>
              </w:rPr>
              <w:t>项目施工过程中均使用符合国家标准的燃料，提高效率，减少污染物排放，项目施工期较短，且周边地域空旷，扩散条件良好。施工期废气排放时段较为集中，且属于阶段性排放源，随项目工程的结束影响随之结束，对周围环境影响较小。</w:t>
            </w:r>
          </w:p>
          <w:p>
            <w:pPr>
              <w:pStyle w:val="109"/>
              <w:ind w:firstLine="420"/>
              <w:rPr>
                <w:color w:val="000000"/>
              </w:rPr>
            </w:pPr>
            <w:r>
              <w:rPr>
                <w:rFonts w:hint="eastAsia" w:hAnsi="Calibri"/>
                <w:color w:val="000000"/>
              </w:rPr>
              <w:t>2）</w:t>
            </w:r>
            <w:r>
              <w:rPr>
                <w:rFonts w:hint="eastAsia" w:cs="Times New Roman"/>
                <w:color w:val="000000"/>
                <w:kern w:val="0"/>
              </w:rPr>
              <w:t>井场烃类</w:t>
            </w:r>
            <w:r>
              <w:rPr>
                <w:rFonts w:cs="Times New Roman"/>
                <w:color w:val="000000"/>
                <w:kern w:val="0"/>
              </w:rPr>
              <w:t>无组织挥发废气</w:t>
            </w:r>
          </w:p>
          <w:p>
            <w:pPr>
              <w:pStyle w:val="109"/>
              <w:ind w:firstLine="420"/>
              <w:rPr>
                <w:color w:val="000000"/>
                <w:kern w:val="0"/>
              </w:rPr>
            </w:pPr>
            <w:r>
              <w:rPr>
                <w:rFonts w:hint="eastAsia"/>
                <w:color w:val="000000"/>
                <w:kern w:val="0"/>
              </w:rPr>
              <w:t>钻井过程中可能会出现油层伴生气排出地面的情况。由于勘探前油藏情况未明，伴生气产生量无法确定，根据周边探井情况推断，本项目伴生气产生量较少，且本项目无试油期，完成取芯等任务后封井，不涉及油气开采，因此</w:t>
            </w:r>
            <w:r>
              <w:rPr>
                <w:rFonts w:hint="eastAsia" w:cs="Times New Roman"/>
                <w:color w:val="000000"/>
                <w:kern w:val="0"/>
              </w:rPr>
              <w:t>井场烃类</w:t>
            </w:r>
            <w:r>
              <w:rPr>
                <w:rFonts w:cs="Times New Roman"/>
                <w:color w:val="000000"/>
                <w:kern w:val="0"/>
              </w:rPr>
              <w:t>无组织挥发废气</w:t>
            </w:r>
            <w:r>
              <w:rPr>
                <w:rFonts w:hint="eastAsia"/>
                <w:color w:val="000000"/>
                <w:kern w:val="0"/>
              </w:rPr>
              <w:t>对环境的影响可以接受。</w:t>
            </w:r>
          </w:p>
          <w:p>
            <w:pPr>
              <w:pStyle w:val="109"/>
              <w:ind w:firstLine="420"/>
              <w:rPr>
                <w:color w:val="000000"/>
              </w:rPr>
            </w:pPr>
            <w:r>
              <w:rPr>
                <w:color w:val="000000"/>
              </w:rPr>
              <w:t>3</w:t>
            </w:r>
            <w:r>
              <w:rPr>
                <w:rFonts w:hint="eastAsia"/>
                <w:color w:val="000000"/>
              </w:rPr>
              <w:t>）扬尘的影响分析</w:t>
            </w:r>
          </w:p>
          <w:p>
            <w:pPr>
              <w:pStyle w:val="109"/>
              <w:ind w:firstLine="420"/>
              <w:rPr>
                <w:color w:val="000000"/>
              </w:rPr>
            </w:pPr>
            <w:r>
              <w:rPr>
                <w:rFonts w:hint="eastAsia"/>
                <w:color w:val="000000"/>
              </w:rPr>
              <w:t>项目施工过程中，车辆运输及井场基础建设均会产生扬尘污染，施工现场采取洒水、围挡措施，物料集中堆放采取遮盖，车辆不要装载过满并采取密闭或者遮盖等措施后可以有效的抑制扬尘，对周围环境影响较小。</w:t>
            </w:r>
          </w:p>
          <w:p>
            <w:pPr>
              <w:pStyle w:val="109"/>
              <w:ind w:firstLine="420"/>
              <w:rPr>
                <w:color w:val="000000"/>
              </w:rPr>
            </w:pPr>
            <w:r>
              <w:rPr>
                <w:rFonts w:hint="eastAsia"/>
                <w:color w:val="000000"/>
              </w:rPr>
              <w:t>3、施工期水环境影响分析</w:t>
            </w:r>
          </w:p>
          <w:p>
            <w:pPr>
              <w:pStyle w:val="109"/>
              <w:ind w:firstLine="420"/>
              <w:rPr>
                <w:color w:val="000000"/>
              </w:rPr>
            </w:pPr>
            <w:r>
              <w:rPr>
                <w:rFonts w:hint="eastAsia"/>
                <w:color w:val="000000"/>
              </w:rPr>
              <w:t>1）钻井期废水影响</w:t>
            </w:r>
          </w:p>
          <w:p>
            <w:pPr>
              <w:pStyle w:val="109"/>
              <w:ind w:firstLine="420"/>
              <w:rPr>
                <w:color w:val="000000"/>
              </w:rPr>
            </w:pPr>
            <w:r>
              <w:rPr>
                <w:rFonts w:hint="eastAsia"/>
                <w:color w:val="000000"/>
              </w:rPr>
              <w:t>钻井期间产生的废水主要为钻井废水和生活污水。</w:t>
            </w:r>
          </w:p>
          <w:p>
            <w:pPr>
              <w:pStyle w:val="109"/>
              <w:ind w:firstLine="420"/>
              <w:rPr>
                <w:color w:val="000000"/>
              </w:rPr>
            </w:pPr>
            <w:r>
              <w:rPr>
                <w:rFonts w:hint="eastAsia"/>
                <w:color w:val="000000"/>
              </w:rPr>
              <w:t>钻井废水包括机械冷却废水、冲洗废水等废水，钻井废水产生系数约为</w:t>
            </w:r>
            <w:r>
              <w:rPr>
                <w:color w:val="000000"/>
              </w:rPr>
              <w:t>10.6m</w:t>
            </w:r>
            <w:r>
              <w:rPr>
                <w:color w:val="000000"/>
                <w:vertAlign w:val="superscript"/>
              </w:rPr>
              <w:t>3</w:t>
            </w:r>
            <w:r>
              <w:rPr>
                <w:color w:val="000000"/>
              </w:rPr>
              <w:t>/100m</w:t>
            </w:r>
            <w:r>
              <w:rPr>
                <w:rFonts w:hint="eastAsia"/>
                <w:color w:val="000000"/>
              </w:rPr>
              <w:t>进尺，钻井废水产生量约为</w:t>
            </w:r>
            <w:r>
              <w:rPr>
                <w:rFonts w:hint="eastAsia"/>
              </w:rPr>
              <w:t>397.5</w:t>
            </w:r>
            <w:r>
              <w:rPr>
                <w:color w:val="000000"/>
              </w:rPr>
              <w:t>m</w:t>
            </w:r>
            <w:r>
              <w:rPr>
                <w:color w:val="000000"/>
                <w:vertAlign w:val="superscript"/>
              </w:rPr>
              <w:t>3</w:t>
            </w:r>
            <w:r>
              <w:rPr>
                <w:rFonts w:hint="eastAsia"/>
                <w:color w:val="000000"/>
              </w:rPr>
              <w:t>；钻井废水全部输送至泥浆不落地泥浆槽中循环利用，完井后废水运至春风一号联合站处理达标后用于产能开发回注地层。</w:t>
            </w:r>
          </w:p>
          <w:p>
            <w:pPr>
              <w:pStyle w:val="109"/>
              <w:ind w:firstLine="420"/>
              <w:rPr>
                <w:color w:val="000000"/>
              </w:rPr>
            </w:pPr>
            <w:r>
              <w:rPr>
                <w:rFonts w:hint="eastAsia"/>
                <w:color w:val="000000"/>
              </w:rPr>
              <w:t>钻井期内生活污水总产生量为</w:t>
            </w:r>
            <w:r>
              <w:rPr>
                <w:rFonts w:hint="eastAsia"/>
              </w:rPr>
              <w:t>48</w:t>
            </w:r>
            <w:r>
              <w:rPr>
                <w:color w:val="000000"/>
              </w:rPr>
              <w:t>m</w:t>
            </w:r>
            <w:r>
              <w:rPr>
                <w:color w:val="000000"/>
                <w:vertAlign w:val="superscript"/>
              </w:rPr>
              <w:t>3</w:t>
            </w:r>
            <w:r>
              <w:rPr>
                <w:rFonts w:hint="eastAsia"/>
                <w:color w:val="000000"/>
              </w:rPr>
              <w:t>。</w:t>
            </w:r>
            <w:r>
              <w:rPr>
                <w:color w:val="000000"/>
              </w:rPr>
              <w:t>本项目不设生活营地，施工期职工生活依托周边村镇</w:t>
            </w:r>
            <w:r>
              <w:rPr>
                <w:rFonts w:hint="eastAsia"/>
                <w:color w:val="000000"/>
              </w:rPr>
              <w:t>，生活污水排入旱厕由当地农户定期清理，用做农肥，不会对环境造成明显影响。</w:t>
            </w:r>
          </w:p>
          <w:p>
            <w:pPr>
              <w:pStyle w:val="109"/>
              <w:ind w:firstLine="420"/>
              <w:rPr>
                <w:color w:val="000000"/>
              </w:rPr>
            </w:pPr>
            <w:r>
              <w:rPr>
                <w:rFonts w:hint="eastAsia"/>
                <w:color w:val="000000"/>
              </w:rPr>
              <w:t>项目一开采用Ф</w:t>
            </w:r>
            <w:r>
              <w:rPr>
                <w:color w:val="000000"/>
              </w:rPr>
              <w:t>311.2</w:t>
            </w:r>
            <w:r>
              <w:rPr>
                <w:rFonts w:hint="eastAsia"/>
                <w:color w:val="000000"/>
              </w:rPr>
              <w:t>mm钻头钻至地表下</w:t>
            </w:r>
            <w:r>
              <w:rPr>
                <w:color w:val="000000"/>
              </w:rPr>
              <w:t>6</w:t>
            </w:r>
            <w:r>
              <w:rPr>
                <w:rFonts w:hint="eastAsia"/>
                <w:color w:val="000000"/>
              </w:rPr>
              <w:t>m，下入Ф</w:t>
            </w:r>
            <w:r>
              <w:rPr>
                <w:color w:val="000000"/>
              </w:rPr>
              <w:t>244.5</w:t>
            </w:r>
            <w:r>
              <w:rPr>
                <w:rFonts w:hint="eastAsia"/>
                <w:color w:val="000000"/>
              </w:rPr>
              <w:t>mm套管；二开采用Ф</w:t>
            </w:r>
            <w:r>
              <w:rPr>
                <w:color w:val="000000"/>
              </w:rPr>
              <w:t>215.9</w:t>
            </w:r>
            <w:r>
              <w:rPr>
                <w:rFonts w:hint="eastAsia"/>
                <w:color w:val="000000"/>
              </w:rPr>
              <w:t>mm钻头钻至设计井深，一径到底，在完成取芯等任务后封井。可有效的保护地下水环境不受污染。本项目</w:t>
            </w:r>
            <w:r>
              <w:rPr>
                <w:color w:val="000000"/>
              </w:rPr>
              <w:t>推广使用清洁无害的泥浆，同时严格要求套管下入深度等措施，可以有效控制钻井液在</w:t>
            </w:r>
            <w:r>
              <w:rPr>
                <w:rFonts w:hint="eastAsia"/>
                <w:color w:val="000000"/>
              </w:rPr>
              <w:t>地</w:t>
            </w:r>
            <w:r>
              <w:rPr>
                <w:color w:val="000000"/>
              </w:rPr>
              <w:t>层中的漏失，减轻对地下水环境的影响。</w:t>
            </w:r>
            <w:r>
              <w:rPr>
                <w:rFonts w:hint="eastAsia"/>
                <w:color w:val="000000"/>
              </w:rPr>
              <w:t>项目在钻井过程中产生的废水不与当地水体发生水力联系，同时对产生的废水排放进行严格管理，因此基本不会对所在区域地下水产生影响。本项目区域气候干旱少雨，不存在大量降水的淋滤作用。</w:t>
            </w:r>
          </w:p>
          <w:p>
            <w:pPr>
              <w:pStyle w:val="110"/>
              <w:rPr>
                <w:color w:val="000000"/>
              </w:rPr>
            </w:pPr>
            <w:r>
              <w:rPr>
                <w:rFonts w:hint="eastAsia"/>
                <w:color w:val="000000"/>
              </w:rPr>
              <w:t>中石化新疆新春石油开发有限责任公司春风油田春风一号联合站</w:t>
            </w:r>
            <w:r>
              <w:rPr>
                <w:rFonts w:hint="eastAsia"/>
                <w:color w:val="000000"/>
              </w:rPr>
              <w:t>位于克拉玛依市，</w:t>
            </w:r>
            <w:r>
              <w:rPr>
                <w:rFonts w:hint="eastAsia"/>
                <w:bCs/>
                <w:color w:val="000000"/>
              </w:rPr>
              <w:t>于2010年取得环评批复，批复文号为新环评价函[2010]863号；</w:t>
            </w:r>
            <w:r>
              <w:rPr>
                <w:rFonts w:hint="eastAsia"/>
                <w:color w:val="000000"/>
              </w:rPr>
              <w:t>2011年建成投产，</w:t>
            </w:r>
            <w:r>
              <w:rPr>
                <w:rFonts w:hint="eastAsia"/>
                <w:bCs/>
                <w:color w:val="000000"/>
              </w:rPr>
              <w:t>于2012年取得竣工验收批复，批复文号为[2012]939号。</w:t>
            </w:r>
            <w:r>
              <w:rPr>
                <w:rFonts w:hint="eastAsia"/>
                <w:color w:val="000000"/>
              </w:rPr>
              <w:t>中石化新疆新春石油开发有限责任公司</w:t>
            </w:r>
            <w:r>
              <w:rPr>
                <w:rFonts w:hint="eastAsia"/>
                <w:bCs/>
                <w:color w:val="000000"/>
              </w:rPr>
              <w:t>春风联合站</w:t>
            </w:r>
            <w:r>
              <w:rPr>
                <w:rFonts w:hint="eastAsia"/>
                <w:color w:val="000000"/>
              </w:rPr>
              <w:t>是胜利油田按照智能化油田标准设计一座大型联合站，站内配套原油处理系统、污水处理系统、消防系统、自控通信系统。春风联合站污水处理工艺为：油系统来水→一次除油罐→二次沉降罐→缓冲罐→污水提升泵→核桃壳过滤器→回注水系统。设计处理规模为5400m</w:t>
            </w:r>
            <w:r>
              <w:rPr>
                <w:rFonts w:hint="eastAsia"/>
                <w:color w:val="000000"/>
                <w:vertAlign w:val="superscript"/>
              </w:rPr>
              <w:t>3</w:t>
            </w:r>
            <w:r>
              <w:rPr>
                <w:rFonts w:hint="eastAsia"/>
                <w:color w:val="000000"/>
              </w:rPr>
              <w:t>/d，目前实际处理量为3800m</w:t>
            </w:r>
            <w:r>
              <w:rPr>
                <w:rFonts w:hint="eastAsia"/>
                <w:color w:val="000000"/>
                <w:vertAlign w:val="superscript"/>
              </w:rPr>
              <w:t>3</w:t>
            </w:r>
            <w:r>
              <w:rPr>
                <w:rFonts w:hint="eastAsia"/>
                <w:color w:val="000000"/>
              </w:rPr>
              <w:t>/d，能够满足本项目需求</w:t>
            </w:r>
            <w:r>
              <w:rPr>
                <w:color w:val="000000"/>
              </w:rPr>
              <w:t>。</w:t>
            </w:r>
            <w:r>
              <w:rPr>
                <w:rFonts w:hint="eastAsia"/>
                <w:color w:val="000000"/>
              </w:rPr>
              <w:t>产生的废水由密闭的罐车拉运。</w:t>
            </w:r>
            <w:r>
              <w:rPr>
                <w:rFonts w:hint="eastAsia"/>
                <w:color w:val="000000"/>
                <w:kern w:val="0"/>
              </w:rPr>
              <w:t>从以上情况可以看出，本项目</w:t>
            </w:r>
            <w:r>
              <w:rPr>
                <w:rFonts w:hint="eastAsia"/>
                <w:color w:val="000000"/>
                <w:spacing w:val="4"/>
              </w:rPr>
              <w:t>钻井废水拉运至</w:t>
            </w:r>
            <w:r>
              <w:rPr>
                <w:rFonts w:hint="eastAsia"/>
                <w:color w:val="000000"/>
              </w:rPr>
              <w:t>中石化新疆新春石油开发有限责任公司春风油田春风一号联合站</w:t>
            </w:r>
            <w:r>
              <w:rPr>
                <w:rFonts w:hint="eastAsia"/>
                <w:color w:val="000000"/>
                <w:spacing w:val="4"/>
              </w:rPr>
              <w:t>处理是可行的</w:t>
            </w:r>
            <w:r>
              <w:rPr>
                <w:color w:val="000000"/>
              </w:rPr>
              <w:t>。</w:t>
            </w:r>
          </w:p>
          <w:p>
            <w:pPr>
              <w:pStyle w:val="110"/>
              <w:rPr>
                <w:color w:val="000000"/>
              </w:rPr>
            </w:pPr>
            <w:r>
              <w:rPr>
                <w:color w:val="000000"/>
              </w:rPr>
              <w:t>2</w:t>
            </w:r>
            <w:r>
              <w:rPr>
                <w:rFonts w:hint="eastAsia"/>
                <w:color w:val="000000"/>
              </w:rPr>
              <w:t>）地下水影响分析</w:t>
            </w:r>
          </w:p>
          <w:p>
            <w:pPr>
              <w:pStyle w:val="110"/>
              <w:rPr>
                <w:color w:val="000000"/>
              </w:rPr>
            </w:pPr>
            <w:r>
              <w:rPr>
                <w:rFonts w:hint="eastAsia"/>
                <w:color w:val="000000"/>
              </w:rPr>
              <w:t>（1）地下水评价级别</w:t>
            </w:r>
          </w:p>
          <w:p>
            <w:pPr>
              <w:pStyle w:val="110"/>
              <w:rPr>
                <w:color w:val="000000"/>
              </w:rPr>
            </w:pPr>
            <w:r>
              <w:rPr>
                <w:rFonts w:hint="eastAsia"/>
                <w:color w:val="000000"/>
              </w:rPr>
              <w:t>根据《</w:t>
            </w:r>
            <w:r>
              <w:rPr>
                <w:color w:val="000000"/>
              </w:rPr>
              <w:t>环境影响评价技术导则 地下水环境</w:t>
            </w:r>
            <w:r>
              <w:rPr>
                <w:rFonts w:hint="eastAsia"/>
                <w:color w:val="000000"/>
              </w:rPr>
              <w:t>》（</w:t>
            </w:r>
            <w:r>
              <w:rPr>
                <w:color w:val="000000"/>
              </w:rPr>
              <w:t>HJ 610-2016</w:t>
            </w:r>
            <w:r>
              <w:rPr>
                <w:rFonts w:hint="eastAsia"/>
                <w:color w:val="000000"/>
              </w:rPr>
              <w:t>）附录A 地下水环境影响评价行业分类表，本项目行业类别为：C 地质勘查，24、矿产资源地质勘查（包括勘探活动），地下水环境影响评价项目类别为Ⅳ类。根据《</w:t>
            </w:r>
            <w:r>
              <w:rPr>
                <w:color w:val="000000"/>
              </w:rPr>
              <w:t>环境影响评价技术导则 地下水环境</w:t>
            </w:r>
            <w:r>
              <w:rPr>
                <w:rFonts w:hint="eastAsia"/>
                <w:color w:val="000000"/>
              </w:rPr>
              <w:t>》（</w:t>
            </w:r>
            <w:r>
              <w:rPr>
                <w:color w:val="000000"/>
              </w:rPr>
              <w:t>HJ 610-2016</w:t>
            </w:r>
            <w:r>
              <w:rPr>
                <w:rFonts w:hint="eastAsia"/>
                <w:color w:val="000000"/>
              </w:rPr>
              <w:t>），Ⅳ类建设项目不开展地下水环境影响评价。</w:t>
            </w:r>
          </w:p>
          <w:p>
            <w:pPr>
              <w:pStyle w:val="110"/>
              <w:rPr>
                <w:color w:val="000000"/>
              </w:rPr>
            </w:pPr>
            <w:r>
              <w:rPr>
                <w:rFonts w:hint="eastAsia"/>
                <w:color w:val="000000"/>
              </w:rPr>
              <w:t>本项目无废水排入外环境，同时本次钻井过程中采用套管与地层隔离开，并在套管与地层之间注入水泥进行固井，水泥浆返至地面，封隔疏松地层和水层。有效隔断了油井与含水层之间的联系，可保护地下水环境不受污染。在施工过程中确保套管下入指定深度，保证固井质量合格，可以有效控制钻井液在地层中的漏失，减轻对地下水环境的影响。</w:t>
            </w:r>
          </w:p>
          <w:p>
            <w:pPr>
              <w:pStyle w:val="110"/>
              <w:rPr>
                <w:color w:val="000000"/>
              </w:rPr>
            </w:pPr>
            <w:r>
              <w:rPr>
                <w:rFonts w:hint="eastAsia"/>
                <w:color w:val="000000"/>
              </w:rPr>
              <w:t>（2）分区防渗措施</w:t>
            </w:r>
          </w:p>
          <w:p>
            <w:pPr>
              <w:pStyle w:val="110"/>
              <w:rPr>
                <w:color w:val="000000"/>
              </w:rPr>
            </w:pPr>
            <w:r>
              <w:rPr>
                <w:color w:val="000000"/>
              </w:rPr>
              <w:t>根据《石油化工工程防渗技术规范》（GB/T 50934-2013），本项目通过采取分区防渗措施，加强井场防渗等级，避免钻井工程污染物入渗土壤及地下水环境。按照《石油化工工程防渗技术规范》（GB/T 50934-2013）标准中典型污染防治分区表，本项目分为重点防渗区（含柴油罐区、发电机房区、泥浆不落地</w:t>
            </w:r>
            <w:r>
              <w:rPr>
                <w:rFonts w:hint="eastAsia"/>
                <w:color w:val="000000"/>
              </w:rPr>
              <w:t>设备等</w:t>
            </w:r>
            <w:r>
              <w:rPr>
                <w:color w:val="000000"/>
              </w:rPr>
              <w:t>）、一般防渗区（包括除重点防渗区的井场部分）和</w:t>
            </w:r>
            <w:r>
              <w:rPr>
                <w:rFonts w:hint="eastAsia"/>
                <w:color w:val="000000"/>
              </w:rPr>
              <w:t>简单</w:t>
            </w:r>
            <w:r>
              <w:rPr>
                <w:color w:val="000000"/>
              </w:rPr>
              <w:t>防渗区（主要包括井场道路以及生活区）</w:t>
            </w:r>
            <w:r>
              <w:rPr>
                <w:rFonts w:hint="eastAsia"/>
                <w:color w:val="000000"/>
              </w:rPr>
              <w:t xml:space="preserve">，分区防渗如图 </w:t>
            </w:r>
            <w:r>
              <w:rPr>
                <w:color w:val="000000"/>
              </w:rPr>
              <w:t>4</w:t>
            </w:r>
            <w:r>
              <w:rPr>
                <w:rFonts w:hint="eastAsia"/>
                <w:color w:val="000000"/>
              </w:rPr>
              <w:t>所示</w:t>
            </w:r>
            <w:r>
              <w:rPr>
                <w:color w:val="000000"/>
              </w:rPr>
              <w:t>。</w:t>
            </w:r>
          </w:p>
          <w:p>
            <w:pPr>
              <w:pStyle w:val="110"/>
              <w:rPr>
                <w:color w:val="000000"/>
              </w:rPr>
            </w:pPr>
            <w:r>
              <w:rPr>
                <w:rFonts w:hint="eastAsia"/>
                <w:color w:val="000000"/>
              </w:rPr>
              <w:t>①重点防渗区</w:t>
            </w:r>
            <w:r>
              <w:rPr>
                <w:color w:val="000000"/>
              </w:rPr>
              <w:t>防渗具体要求如下</w:t>
            </w:r>
            <w:r>
              <w:rPr>
                <w:rFonts w:hint="eastAsia"/>
                <w:color w:val="000000"/>
              </w:rPr>
              <w:t>：</w:t>
            </w:r>
          </w:p>
          <w:p>
            <w:pPr>
              <w:pStyle w:val="110"/>
              <w:rPr>
                <w:color w:val="000000"/>
              </w:rPr>
            </w:pPr>
            <w:r>
              <w:rPr>
                <w:rFonts w:hint="eastAsia"/>
                <w:color w:val="000000"/>
              </w:rPr>
              <w:t>重点防渗区</w:t>
            </w:r>
            <w:r>
              <w:rPr>
                <w:color w:val="000000"/>
              </w:rPr>
              <w:t>防渗</w:t>
            </w:r>
            <w:r>
              <w:rPr>
                <w:rFonts w:hint="eastAsia"/>
                <w:color w:val="000000"/>
              </w:rPr>
              <w:t>采用3mm防渗布（渗透系数≤10</w:t>
            </w:r>
            <w:r>
              <w:rPr>
                <w:color w:val="000000"/>
                <w:vertAlign w:val="superscript"/>
              </w:rPr>
              <w:t>-7</w:t>
            </w:r>
            <w:r>
              <w:rPr>
                <w:rFonts w:hint="eastAsia"/>
                <w:color w:val="000000"/>
              </w:rPr>
              <w:t>cm/s）防渗。</w:t>
            </w:r>
          </w:p>
          <w:p>
            <w:pPr>
              <w:pStyle w:val="110"/>
              <w:rPr>
                <w:color w:val="000000"/>
              </w:rPr>
            </w:pPr>
            <w:r>
              <w:rPr>
                <w:rFonts w:hint="eastAsia"/>
                <w:color w:val="000000"/>
              </w:rPr>
              <w:t>②一般</w:t>
            </w:r>
            <w:r>
              <w:rPr>
                <w:color w:val="000000"/>
              </w:rPr>
              <w:t>防渗区防渗具体要求如下：</w:t>
            </w:r>
          </w:p>
          <w:p>
            <w:pPr>
              <w:pStyle w:val="110"/>
              <w:rPr>
                <w:color w:val="000000"/>
              </w:rPr>
            </w:pPr>
            <w:r>
              <w:rPr>
                <w:rFonts w:hint="eastAsia"/>
                <w:color w:val="000000"/>
              </w:rPr>
              <w:t>一般</w:t>
            </w:r>
            <w:r>
              <w:rPr>
                <w:color w:val="000000"/>
              </w:rPr>
              <w:t>防渗区地坪</w:t>
            </w:r>
            <w:r>
              <w:rPr>
                <w:rFonts w:hint="eastAsia"/>
                <w:color w:val="000000"/>
              </w:rPr>
              <w:t>通过在混凝土面层中掺水泥基渗透结晶型防水剂，其下铺砌砂石基层，原土夯实达到防渗的目的。</w:t>
            </w:r>
          </w:p>
          <w:p>
            <w:pPr>
              <w:pStyle w:val="110"/>
              <w:rPr>
                <w:color w:val="000000"/>
              </w:rPr>
            </w:pPr>
          </w:p>
          <w:p>
            <w:pPr>
              <w:pStyle w:val="12"/>
              <w:spacing w:before="120"/>
              <w:rPr>
                <w:color w:val="000000"/>
              </w:rPr>
            </w:pPr>
            <w:r>
              <w:rPr>
                <w:color w:val="000000"/>
              </w:rPr>
              <w:drawing>
                <wp:inline distT="0" distB="0" distL="0" distR="0">
                  <wp:extent cx="4849495" cy="4980305"/>
                  <wp:effectExtent l="0" t="0" r="825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4853887" cy="4984789"/>
                          </a:xfrm>
                          <a:prstGeom prst="rect">
                            <a:avLst/>
                          </a:prstGeom>
                        </pic:spPr>
                      </pic:pic>
                    </a:graphicData>
                  </a:graphic>
                </wp:inline>
              </w:drawing>
            </w:r>
          </w:p>
          <w:p>
            <w:pPr>
              <w:pStyle w:val="12"/>
              <w:spacing w:before="120"/>
              <w:rPr>
                <w:color w:val="000000"/>
                <w:szCs w:val="21"/>
              </w:rPr>
            </w:pPr>
            <w:bookmarkStart w:id="30" w:name="_Ref73607299"/>
            <w:r>
              <w:rPr>
                <w:rFonts w:hint="eastAsia" w:hAnsi="宋体"/>
                <w:color w:val="000000"/>
              </w:rPr>
              <w:t xml:space="preserve">图 </w:t>
            </w:r>
            <w:r>
              <w:rPr>
                <w:rFonts w:hAnsi="宋体"/>
                <w:color w:val="000000"/>
              </w:rPr>
              <w:t>4</w:t>
            </w:r>
            <w:bookmarkEnd w:id="30"/>
            <w:r>
              <w:rPr>
                <w:rFonts w:hAnsi="宋体"/>
                <w:color w:val="000000"/>
              </w:rPr>
              <w:t xml:space="preserve">  </w:t>
            </w:r>
            <w:r>
              <w:rPr>
                <w:rFonts w:hint="eastAsia" w:hAnsi="宋体"/>
                <w:color w:val="000000"/>
              </w:rPr>
              <w:t>项目区分区防渗示意图</w:t>
            </w:r>
          </w:p>
          <w:p>
            <w:pPr>
              <w:pStyle w:val="110"/>
              <w:rPr>
                <w:color w:val="000000"/>
              </w:rPr>
            </w:pPr>
          </w:p>
          <w:p>
            <w:pPr>
              <w:pStyle w:val="110"/>
              <w:rPr>
                <w:color w:val="000000"/>
              </w:rPr>
            </w:pPr>
            <w:r>
              <w:rPr>
                <w:rFonts w:hint="eastAsia"/>
                <w:color w:val="000000"/>
              </w:rPr>
              <w:t>本项目钻井时严格落实套管下入深度合格和固井质量合格，对产生的废水排放进行严格管理，采取相应的防渗措施，基本不会对所在区域地下水产生影响。本项目区域气候干旱少雨，不存在大量降水的淋滤作用。正常施工情况下，油田钻井期的废水对地下水环境不会产生不利影响。</w:t>
            </w:r>
          </w:p>
          <w:p>
            <w:pPr>
              <w:pStyle w:val="110"/>
              <w:rPr>
                <w:color w:val="000000"/>
              </w:rPr>
            </w:pPr>
            <w:r>
              <w:rPr>
                <w:color w:val="000000"/>
              </w:rPr>
              <w:t>4</w:t>
            </w:r>
            <w:r>
              <w:rPr>
                <w:rFonts w:hint="eastAsia"/>
                <w:color w:val="000000"/>
              </w:rPr>
              <w:t>、固体废物影响分析</w:t>
            </w:r>
          </w:p>
          <w:p>
            <w:pPr>
              <w:pStyle w:val="110"/>
              <w:rPr>
                <w:color w:val="000000"/>
              </w:rPr>
            </w:pPr>
            <w:r>
              <w:rPr>
                <w:rFonts w:hint="eastAsia"/>
                <w:color w:val="000000"/>
              </w:rPr>
              <w:t>废弃泥浆、钻井岩屑、废防渗材料及生活垃圾是施工过程中产生的主要固体废物。</w:t>
            </w:r>
          </w:p>
          <w:p>
            <w:pPr>
              <w:pStyle w:val="110"/>
              <w:rPr>
                <w:color w:val="000000"/>
              </w:rPr>
            </w:pPr>
            <w:r>
              <w:rPr>
                <w:rFonts w:hint="eastAsia"/>
                <w:color w:val="000000"/>
              </w:rPr>
              <w:t>1）钻井废弃泥浆与岩屑</w:t>
            </w:r>
          </w:p>
          <w:p>
            <w:pPr>
              <w:pStyle w:val="110"/>
              <w:rPr>
                <w:color w:val="000000"/>
              </w:rPr>
            </w:pPr>
            <w:r>
              <w:rPr>
                <w:rFonts w:hint="eastAsia"/>
                <w:color w:val="000000"/>
              </w:rPr>
              <w:t>钻井过程中，岩石经钻头和泥浆的研磨而破碎成岩屑，经泥浆循环携带出井口，在地面经振动筛分离出来。其量与井身结构以及回收率等有关。</w:t>
            </w:r>
          </w:p>
          <w:p>
            <w:pPr>
              <w:pStyle w:val="110"/>
              <w:rPr>
                <w:color w:val="000000"/>
              </w:rPr>
            </w:pPr>
            <w:r>
              <w:rPr>
                <w:rFonts w:hint="eastAsia"/>
                <w:color w:val="000000"/>
              </w:rPr>
              <w:t>根据对临近其他油田情况的调查，泥浆循环利用率约为</w:t>
            </w:r>
            <w:r>
              <w:rPr>
                <w:color w:val="000000"/>
              </w:rPr>
              <w:t>95%</w:t>
            </w:r>
            <w:r>
              <w:rPr>
                <w:rFonts w:hint="eastAsia"/>
                <w:color w:val="000000"/>
              </w:rPr>
              <w:t>。</w:t>
            </w:r>
          </w:p>
          <w:p>
            <w:pPr>
              <w:pStyle w:val="110"/>
              <w:rPr>
                <w:color w:val="000000"/>
              </w:rPr>
            </w:pPr>
            <w:r>
              <w:rPr>
                <w:rFonts w:hint="eastAsia"/>
                <w:color w:val="000000"/>
              </w:rPr>
              <w:t>钻井岩屑</w:t>
            </w:r>
            <w:r>
              <w:rPr>
                <w:color w:val="000000"/>
              </w:rPr>
              <w:t>的排放量随着井深的改变而变化，采用以下经验公式进行计算：</w:t>
            </w:r>
          </w:p>
          <w:p>
            <w:pPr>
              <w:pStyle w:val="110"/>
              <w:jc w:val="center"/>
              <w:rPr>
                <w:color w:val="000000"/>
              </w:rPr>
            </w:pPr>
            <m:oMathPara>
              <m:oMath>
                <m:r>
                  <m:rPr>
                    <m:sty m:val="p"/>
                  </m:rPr>
                  <w:rPr>
                    <w:rFonts w:ascii="Cambria Math" w:hAnsi="Cambria Math"/>
                    <w:color w:val="000000"/>
                  </w:rPr>
                  <m:t>V=</m:t>
                </m:r>
                <m:f>
                  <m:fPr>
                    <m:ctrlPr>
                      <w:rPr>
                        <w:rFonts w:ascii="Cambria Math" w:hAnsi="Cambria Math"/>
                        <w:color w:val="000000"/>
                      </w:rPr>
                    </m:ctrlPr>
                  </m:fPr>
                  <m:num>
                    <m:r>
                      <w:rPr>
                        <w:rFonts w:ascii="Cambria Math" w:hAnsi="Cambria Math"/>
                        <w:color w:val="000000"/>
                      </w:rPr>
                      <m:t>1</m:t>
                    </m:r>
                    <m:ctrlPr>
                      <w:rPr>
                        <w:rFonts w:ascii="Cambria Math" w:hAnsi="Cambria Math"/>
                        <w:color w:val="000000"/>
                      </w:rPr>
                    </m:ctrlPr>
                  </m:num>
                  <m:den>
                    <m:r>
                      <w:rPr>
                        <w:rFonts w:ascii="Cambria Math" w:hAnsi="Cambria Math"/>
                        <w:color w:val="000000"/>
                      </w:rPr>
                      <m:t>4</m:t>
                    </m:r>
                    <m:ctrlPr>
                      <w:rPr>
                        <w:rFonts w:ascii="Cambria Math" w:hAnsi="Cambria Math"/>
                        <w:color w:val="000000"/>
                      </w:rPr>
                    </m:ctrlPr>
                  </m:den>
                </m:f>
                <m:r>
                  <w:rPr>
                    <w:rFonts w:ascii="Cambria Math" w:hAnsi="Cambria Math"/>
                    <w:color w:val="000000"/>
                  </w:rPr>
                  <m:t>π（</m:t>
                </m:r>
                <m:sSup>
                  <m:sSupPr>
                    <m:ctrlPr>
                      <w:rPr>
                        <w:rFonts w:ascii="Cambria Math" w:hAnsi="Cambria Math"/>
                        <w:color w:val="000000"/>
                      </w:rPr>
                    </m:ctrlPr>
                  </m:sSupPr>
                  <m:e>
                    <m:r>
                      <w:rPr>
                        <w:rFonts w:ascii="Cambria Math" w:hAnsi="Cambria Math"/>
                        <w:color w:val="000000"/>
                      </w:rPr>
                      <m:t>AD）</m:t>
                    </m:r>
                    <m:ctrlPr>
                      <w:rPr>
                        <w:rFonts w:ascii="Cambria Math" w:hAnsi="Cambria Math"/>
                        <w:color w:val="000000"/>
                      </w:rPr>
                    </m:ctrlPr>
                  </m:e>
                  <m:sup>
                    <m:r>
                      <w:rPr>
                        <w:rFonts w:ascii="Cambria Math" w:hAnsi="Cambria Math"/>
                        <w:color w:val="000000"/>
                      </w:rPr>
                      <m:t>2</m:t>
                    </m:r>
                    <m:ctrlPr>
                      <w:rPr>
                        <w:rFonts w:ascii="Cambria Math" w:hAnsi="Cambria Math"/>
                        <w:color w:val="000000"/>
                      </w:rPr>
                    </m:ctrlPr>
                  </m:sup>
                </m:sSup>
                <m:r>
                  <w:rPr>
                    <w:rFonts w:ascii="Cambria Math" w:hAnsi="Cambria Math"/>
                    <w:color w:val="000000"/>
                  </w:rPr>
                  <m:t>h</m:t>
                </m:r>
                <m:r>
                  <m:rPr>
                    <m:sty m:val="p"/>
                  </m:rPr>
                  <w:rPr>
                    <w:rFonts w:ascii="Cambria Math" w:hAnsi="Cambria Math"/>
                    <w:color w:val="000000"/>
                  </w:rPr>
                  <m:t>×</m:t>
                </m:r>
                <m:sSub>
                  <m:sSubPr>
                    <m:ctrlPr>
                      <w:rPr>
                        <w:rFonts w:ascii="Cambria Math" w:hAnsi="Cambria Math"/>
                        <w:color w:val="000000"/>
                      </w:rPr>
                    </m:ctrlPr>
                  </m:sSubPr>
                  <m:e>
                    <m:r>
                      <w:rPr>
                        <w:rFonts w:ascii="Cambria Math" w:hAnsi="Cambria Math"/>
                        <w:color w:val="000000"/>
                      </w:rPr>
                      <m:t>ρ</m:t>
                    </m:r>
                    <m:ctrlPr>
                      <w:rPr>
                        <w:rFonts w:ascii="Cambria Math" w:hAnsi="Cambria Math"/>
                        <w:color w:val="000000"/>
                      </w:rPr>
                    </m:ctrlPr>
                  </m:e>
                  <m:sub>
                    <m:r>
                      <m:rPr>
                        <m:sty m:val="p"/>
                      </m:rPr>
                      <w:rPr>
                        <w:rFonts w:ascii="Cambria Math" w:hAnsi="Cambria Math"/>
                        <w:color w:val="000000"/>
                      </w:rPr>
                      <m:t>岩屑</m:t>
                    </m:r>
                    <m:ctrlPr>
                      <w:rPr>
                        <w:rFonts w:ascii="Cambria Math" w:hAnsi="Cambria Math"/>
                        <w:color w:val="000000"/>
                      </w:rPr>
                    </m:ctrlPr>
                  </m:sub>
                </m:sSub>
              </m:oMath>
            </m:oMathPara>
          </w:p>
          <w:p>
            <w:pPr>
              <w:pStyle w:val="110"/>
              <w:rPr>
                <w:color w:val="000000"/>
              </w:rPr>
            </w:pPr>
            <w:r>
              <w:rPr>
                <w:color w:val="000000"/>
              </w:rPr>
              <w:t>式中：V——钻井</w:t>
            </w:r>
            <w:r>
              <w:rPr>
                <w:rFonts w:hint="eastAsia"/>
                <w:color w:val="000000"/>
              </w:rPr>
              <w:t>岩屑</w:t>
            </w:r>
            <w:r>
              <w:rPr>
                <w:color w:val="000000"/>
              </w:rPr>
              <w:t>量，t</w:t>
            </w:r>
            <w:r>
              <w:rPr>
                <w:rFonts w:hint="eastAsia"/>
                <w:color w:val="000000"/>
              </w:rPr>
              <w:t>；</w:t>
            </w:r>
          </w:p>
          <w:p>
            <w:pPr>
              <w:pStyle w:val="110"/>
              <w:rPr>
                <w:color w:val="000000"/>
              </w:rPr>
            </w:pPr>
            <w:r>
              <w:rPr>
                <w:color w:val="000000"/>
              </w:rPr>
              <w:t xml:space="preserve">      D——井眼直径，m</w:t>
            </w:r>
            <w:r>
              <w:rPr>
                <w:rFonts w:hint="eastAsia"/>
                <w:color w:val="000000"/>
              </w:rPr>
              <w:t>；</w:t>
            </w:r>
          </w:p>
          <w:p>
            <w:pPr>
              <w:pStyle w:val="110"/>
              <w:rPr>
                <w:color w:val="000000"/>
              </w:rPr>
            </w:pPr>
            <w:r>
              <w:rPr>
                <w:color w:val="000000"/>
              </w:rPr>
              <w:t xml:space="preserve">      h——钻深，m</w:t>
            </w:r>
            <w:r>
              <w:rPr>
                <w:rFonts w:hint="eastAsia"/>
                <w:color w:val="000000"/>
              </w:rPr>
              <w:t>；</w:t>
            </w:r>
          </w:p>
          <w:p>
            <w:pPr>
              <w:pStyle w:val="110"/>
              <w:rPr>
                <w:color w:val="000000"/>
              </w:rPr>
            </w:pPr>
            <w:r>
              <w:rPr>
                <w:color w:val="000000"/>
              </w:rPr>
              <w:t xml:space="preserve">      A——井眼扩大率，</w:t>
            </w:r>
            <w:r>
              <w:rPr>
                <w:rFonts w:hint="eastAsia"/>
                <w:color w:val="000000"/>
              </w:rPr>
              <w:t>1.2；</w:t>
            </w:r>
          </w:p>
          <w:p>
            <w:pPr>
              <w:pStyle w:val="110"/>
              <w:rPr>
                <w:color w:val="000000"/>
              </w:rPr>
            </w:pPr>
            <w:r>
              <w:rPr>
                <w:rFonts w:hint="eastAsia"/>
                <w:color w:val="000000"/>
              </w:rPr>
              <w:t xml:space="preserve">     </w:t>
            </w:r>
            <w:r>
              <w:rPr>
                <w:color w:val="000000"/>
              </w:rPr>
              <w:t xml:space="preserve"> ρ</w:t>
            </w:r>
            <w:r>
              <w:rPr>
                <w:rFonts w:hint="eastAsia"/>
                <w:color w:val="000000"/>
                <w:vertAlign w:val="subscript"/>
              </w:rPr>
              <w:t>岩屑</w:t>
            </w:r>
            <w:r>
              <w:rPr>
                <w:rFonts w:hint="eastAsia"/>
                <w:color w:val="000000"/>
              </w:rPr>
              <w:t>——取2.7t/m</w:t>
            </w:r>
            <w:r>
              <w:rPr>
                <w:rFonts w:hint="eastAsia"/>
                <w:color w:val="000000"/>
                <w:vertAlign w:val="superscript"/>
              </w:rPr>
              <w:t>3</w:t>
            </w:r>
            <w:r>
              <w:rPr>
                <w:rFonts w:hint="eastAsia"/>
                <w:color w:val="000000"/>
              </w:rPr>
              <w:t>。</w:t>
            </w:r>
          </w:p>
          <w:p>
            <w:pPr>
              <w:pStyle w:val="110"/>
              <w:rPr>
                <w:color w:val="000000"/>
              </w:rPr>
            </w:pPr>
            <w:r>
              <w:rPr>
                <w:rFonts w:hint="eastAsia"/>
                <w:color w:val="000000"/>
              </w:rPr>
              <w:t>废弃泥浆</w:t>
            </w:r>
            <w:r>
              <w:rPr>
                <w:color w:val="000000"/>
              </w:rPr>
              <w:t>的排放量随着井深的改变而变化，采用以下经验公式进行计算：</w:t>
            </w:r>
          </w:p>
          <w:p>
            <w:pPr>
              <w:pStyle w:val="110"/>
              <w:jc w:val="center"/>
              <w:rPr>
                <w:color w:val="000000"/>
              </w:rPr>
            </w:pPr>
            <m:oMathPara>
              <m:oMath>
                <m:r>
                  <m:rPr>
                    <m:sty m:val="p"/>
                  </m:rPr>
                  <w:rPr>
                    <w:rFonts w:ascii="Cambria Math" w:hAnsi="Cambria Math"/>
                    <w:color w:val="000000"/>
                  </w:rPr>
                  <m:t>V=</m:t>
                </m:r>
                <m:f>
                  <m:fPr>
                    <m:ctrlPr>
                      <w:rPr>
                        <w:rFonts w:ascii="Cambria Math" w:hAnsi="Cambria Math"/>
                        <w:color w:val="000000"/>
                      </w:rPr>
                    </m:ctrlPr>
                  </m:fPr>
                  <m:num>
                    <m:r>
                      <w:rPr>
                        <w:rFonts w:ascii="Cambria Math" w:hAnsi="Cambria Math"/>
                        <w:color w:val="000000"/>
                      </w:rPr>
                      <m:t>1</m:t>
                    </m:r>
                    <m:ctrlPr>
                      <w:rPr>
                        <w:rFonts w:ascii="Cambria Math" w:hAnsi="Cambria Math"/>
                        <w:color w:val="000000"/>
                      </w:rPr>
                    </m:ctrlPr>
                  </m:num>
                  <m:den>
                    <m:r>
                      <w:rPr>
                        <w:rFonts w:ascii="Cambria Math" w:hAnsi="Cambria Math"/>
                        <w:color w:val="000000"/>
                      </w:rPr>
                      <m:t>4</m:t>
                    </m:r>
                    <m:ctrlPr>
                      <w:rPr>
                        <w:rFonts w:ascii="Cambria Math" w:hAnsi="Cambria Math"/>
                        <w:color w:val="000000"/>
                      </w:rPr>
                    </m:ctrlPr>
                  </m:den>
                </m:f>
                <m:r>
                  <w:rPr>
                    <w:rFonts w:ascii="Cambria Math" w:hAnsi="Cambria Math"/>
                    <w:color w:val="000000"/>
                  </w:rPr>
                  <m:t>π</m:t>
                </m:r>
                <m:sSup>
                  <m:sSupPr>
                    <m:ctrlPr>
                      <w:rPr>
                        <w:rFonts w:ascii="Cambria Math" w:hAnsi="Cambria Math"/>
                        <w:color w:val="000000"/>
                      </w:rPr>
                    </m:ctrlPr>
                  </m:sSupPr>
                  <m:e>
                    <m:r>
                      <w:rPr>
                        <w:rFonts w:ascii="Cambria Math" w:hAnsi="Cambria Math"/>
                        <w:color w:val="000000"/>
                      </w:rPr>
                      <m:t>D</m:t>
                    </m:r>
                    <m:ctrlPr>
                      <w:rPr>
                        <w:rFonts w:ascii="Cambria Math" w:hAnsi="Cambria Math"/>
                        <w:color w:val="000000"/>
                      </w:rPr>
                    </m:ctrlPr>
                  </m:e>
                  <m:sup>
                    <m:r>
                      <w:rPr>
                        <w:rFonts w:ascii="Cambria Math" w:hAnsi="Cambria Math"/>
                        <w:color w:val="000000"/>
                      </w:rPr>
                      <m:t>2</m:t>
                    </m:r>
                    <m:ctrlPr>
                      <w:rPr>
                        <w:rFonts w:ascii="Cambria Math" w:hAnsi="Cambria Math"/>
                        <w:color w:val="000000"/>
                      </w:rPr>
                    </m:ctrlPr>
                  </m:sup>
                </m:sSup>
                <m:r>
                  <w:rPr>
                    <w:rFonts w:ascii="Cambria Math" w:hAnsi="Cambria Math"/>
                    <w:color w:val="000000"/>
                  </w:rPr>
                  <m:t>h×</m:t>
                </m:r>
                <m:r>
                  <m:rPr>
                    <m:sty m:val="p"/>
                  </m:rPr>
                  <w:rPr>
                    <w:rFonts w:ascii="Cambria Math" w:hAnsi="Cambria Math"/>
                    <w:color w:val="000000"/>
                  </w:rPr>
                  <m:t>2</m:t>
                </m:r>
                <m:r>
                  <w:rPr>
                    <w:rFonts w:ascii="Cambria Math" w:hAnsi="Cambria Math"/>
                    <w:color w:val="000000"/>
                  </w:rPr>
                  <m:t>×</m:t>
                </m:r>
                <m:sSub>
                  <m:sSubPr>
                    <m:ctrlPr>
                      <w:rPr>
                        <w:rFonts w:ascii="Cambria Math" w:hAnsi="Cambria Math"/>
                        <w:color w:val="000000"/>
                      </w:rPr>
                    </m:ctrlPr>
                  </m:sSubPr>
                  <m:e>
                    <m:r>
                      <w:rPr>
                        <w:rFonts w:ascii="Cambria Math" w:hAnsi="Cambria Math"/>
                        <w:color w:val="000000"/>
                      </w:rPr>
                      <m:t>ρ</m:t>
                    </m:r>
                    <m:ctrlPr>
                      <w:rPr>
                        <w:rFonts w:ascii="Cambria Math" w:hAnsi="Cambria Math"/>
                        <w:color w:val="000000"/>
                      </w:rPr>
                    </m:ctrlPr>
                  </m:e>
                  <m:sub>
                    <m:r>
                      <m:rPr>
                        <m:sty m:val="p"/>
                      </m:rPr>
                      <w:rPr>
                        <w:rFonts w:ascii="Cambria Math" w:hAnsi="Cambria Math"/>
                        <w:color w:val="000000"/>
                      </w:rPr>
                      <m:t>泥浆</m:t>
                    </m:r>
                    <m:ctrlPr>
                      <w:rPr>
                        <w:rFonts w:ascii="Cambria Math" w:hAnsi="Cambria Math"/>
                        <w:color w:val="000000"/>
                      </w:rPr>
                    </m:ctrlPr>
                  </m:sub>
                </m:sSub>
                <m:r>
                  <m:rPr>
                    <m:sty m:val="p"/>
                  </m:rPr>
                  <w:rPr>
                    <w:rFonts w:ascii="Cambria Math" w:hAnsi="Cambria Math"/>
                    <w:color w:val="000000"/>
                  </w:rPr>
                  <m:t>×（1-θ）</m:t>
                </m:r>
              </m:oMath>
            </m:oMathPara>
          </w:p>
          <w:p>
            <w:pPr>
              <w:pStyle w:val="110"/>
              <w:rPr>
                <w:color w:val="000000"/>
              </w:rPr>
            </w:pPr>
            <w:r>
              <w:rPr>
                <w:color w:val="000000"/>
              </w:rPr>
              <w:t>式中：V——</w:t>
            </w:r>
            <w:r>
              <w:rPr>
                <w:rFonts w:hint="eastAsia"/>
                <w:color w:val="000000"/>
              </w:rPr>
              <w:t>废弃泥浆</w:t>
            </w:r>
            <w:r>
              <w:rPr>
                <w:color w:val="000000"/>
              </w:rPr>
              <w:t>量，t</w:t>
            </w:r>
            <w:r>
              <w:rPr>
                <w:rFonts w:hint="eastAsia"/>
                <w:color w:val="000000"/>
              </w:rPr>
              <w:t>；</w:t>
            </w:r>
          </w:p>
          <w:p>
            <w:pPr>
              <w:pStyle w:val="110"/>
              <w:rPr>
                <w:color w:val="000000"/>
              </w:rPr>
            </w:pPr>
            <w:r>
              <w:rPr>
                <w:color w:val="000000"/>
              </w:rPr>
              <w:t xml:space="preserve">      D——井眼直径，m</w:t>
            </w:r>
            <w:r>
              <w:rPr>
                <w:rFonts w:hint="eastAsia"/>
                <w:color w:val="000000"/>
              </w:rPr>
              <w:t>；</w:t>
            </w:r>
          </w:p>
          <w:p>
            <w:pPr>
              <w:pStyle w:val="110"/>
              <w:rPr>
                <w:color w:val="000000"/>
              </w:rPr>
            </w:pPr>
            <w:r>
              <w:rPr>
                <w:color w:val="000000"/>
              </w:rPr>
              <w:t xml:space="preserve">      h——钻深，m</w:t>
            </w:r>
            <w:r>
              <w:rPr>
                <w:rFonts w:hint="eastAsia"/>
                <w:color w:val="000000"/>
              </w:rPr>
              <w:t>；</w:t>
            </w:r>
          </w:p>
          <w:p>
            <w:pPr>
              <w:pStyle w:val="110"/>
              <w:rPr>
                <w:color w:val="000000"/>
              </w:rPr>
            </w:pPr>
            <w:r>
              <w:rPr>
                <w:color w:val="000000"/>
              </w:rPr>
              <w:t xml:space="preserve">      </w:t>
            </w:r>
            <m:oMath>
              <m:r>
                <m:rPr>
                  <m:sty m:val="p"/>
                </m:rPr>
                <w:rPr>
                  <w:rFonts w:ascii="Cambria Math" w:hAnsi="Cambria Math"/>
                  <w:color w:val="000000"/>
                </w:rPr>
                <m:t>θ</m:t>
              </m:r>
            </m:oMath>
            <w:r>
              <w:rPr>
                <w:color w:val="000000"/>
              </w:rPr>
              <w:t>——</w:t>
            </w:r>
            <w:r>
              <w:rPr>
                <w:rFonts w:hint="eastAsia"/>
                <w:color w:val="000000"/>
              </w:rPr>
              <w:t>泥浆循环利用率，95%；</w:t>
            </w:r>
          </w:p>
          <w:p>
            <w:pPr>
              <w:pStyle w:val="110"/>
              <w:rPr>
                <w:color w:val="000000"/>
              </w:rPr>
            </w:pPr>
            <w:r>
              <w:rPr>
                <w:rFonts w:hint="eastAsia"/>
                <w:color w:val="000000"/>
              </w:rPr>
              <w:t xml:space="preserve"> </w:t>
            </w:r>
            <w:r>
              <w:rPr>
                <w:color w:val="000000"/>
              </w:rPr>
              <w:t xml:space="preserve">     ρ</w:t>
            </w:r>
            <w:r>
              <w:rPr>
                <w:rFonts w:hint="eastAsia"/>
                <w:color w:val="000000"/>
                <w:vertAlign w:val="subscript"/>
              </w:rPr>
              <w:t>泥浆</w:t>
            </w:r>
            <w:r>
              <w:rPr>
                <w:rFonts w:hint="eastAsia"/>
                <w:color w:val="000000"/>
              </w:rPr>
              <w:t>——t/m</w:t>
            </w:r>
            <w:r>
              <w:rPr>
                <w:rFonts w:hint="eastAsia"/>
                <w:color w:val="000000"/>
                <w:vertAlign w:val="superscript"/>
              </w:rPr>
              <w:t>3</w:t>
            </w:r>
            <w:r>
              <w:rPr>
                <w:rFonts w:hint="eastAsia"/>
                <w:color w:val="000000"/>
              </w:rPr>
              <w:t>（根据井深来取，井深＜2000m，取1.05，井深</w:t>
            </w:r>
            <w:r>
              <w:rPr>
                <w:color w:val="000000"/>
              </w:rPr>
              <w:t>为</w:t>
            </w:r>
            <w:r>
              <w:rPr>
                <w:rFonts w:hint="eastAsia"/>
                <w:color w:val="000000"/>
              </w:rPr>
              <w:t>2000m～3000m取1.25，井深＞3000m，取1.6）</w:t>
            </w:r>
            <w:r>
              <w:rPr>
                <w:color w:val="000000"/>
              </w:rPr>
              <w:t>。</w:t>
            </w:r>
            <w:r>
              <w:rPr>
                <w:rFonts w:hint="eastAsia"/>
                <w:color w:val="000000"/>
              </w:rPr>
              <w:t xml:space="preserve"> </w:t>
            </w:r>
          </w:p>
          <w:p>
            <w:pPr>
              <w:pStyle w:val="110"/>
              <w:rPr>
                <w:color w:val="000000"/>
              </w:rPr>
            </w:pPr>
            <w:r>
              <w:rPr>
                <w:rFonts w:hint="eastAsia"/>
                <w:color w:val="000000"/>
              </w:rPr>
              <w:t>通过</w:t>
            </w:r>
            <w:r>
              <w:rPr>
                <w:color w:val="000000"/>
              </w:rPr>
              <w:t>上述公式计算出</w:t>
            </w:r>
            <w:r>
              <w:rPr>
                <w:rFonts w:hint="eastAsia"/>
                <w:color w:val="000000"/>
              </w:rPr>
              <w:t xml:space="preserve">本项目钻井废弃泥浆和岩屑产生量见表 </w:t>
            </w:r>
            <w:r>
              <w:rPr>
                <w:color w:val="000000"/>
              </w:rPr>
              <w:t>17</w:t>
            </w:r>
            <w:r>
              <w:rPr>
                <w:rFonts w:hint="eastAsia"/>
                <w:color w:val="000000"/>
              </w:rPr>
              <w:t>。</w:t>
            </w:r>
          </w:p>
          <w:p>
            <w:pPr>
              <w:pStyle w:val="97"/>
              <w:spacing w:before="120" w:beforeLines="50" w:line="360" w:lineRule="auto"/>
              <w:rPr>
                <w:snapToGrid w:val="0"/>
                <w:color w:val="000000"/>
              </w:rPr>
            </w:pPr>
            <w:bookmarkStart w:id="31" w:name="_Ref38547215"/>
            <w:r>
              <w:rPr>
                <w:rFonts w:hint="eastAsia"/>
                <w:color w:val="000000"/>
              </w:rPr>
              <w:t xml:space="preserve">表 </w:t>
            </w:r>
            <w:r>
              <w:rPr>
                <w:color w:val="000000"/>
              </w:rPr>
              <w:t>17</w:t>
            </w:r>
            <w:bookmarkEnd w:id="31"/>
            <w:r>
              <w:rPr>
                <w:color w:val="000000"/>
              </w:rPr>
              <w:t xml:space="preserve">  </w:t>
            </w:r>
            <w:r>
              <w:rPr>
                <w:rFonts w:hint="eastAsia"/>
                <w:snapToGrid w:val="0"/>
                <w:color w:val="000000"/>
              </w:rPr>
              <w:t>钻井岩屑及泥浆产生情况</w:t>
            </w:r>
          </w:p>
          <w:tbl>
            <w:tblPr>
              <w:tblStyle w:val="29"/>
              <w:tblW w:w="763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2"/>
              <w:gridCol w:w="1696"/>
              <w:gridCol w:w="1756"/>
              <w:gridCol w:w="2238"/>
              <w:gridCol w:w="12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428" w:type="dxa"/>
                  <w:gridSpan w:val="2"/>
                  <w:shd w:val="clear" w:color="auto" w:fill="auto"/>
                  <w:vAlign w:val="center"/>
                </w:tcPr>
                <w:p>
                  <w:pPr>
                    <w:pStyle w:val="115"/>
                    <w:rPr>
                      <w:snapToGrid w:val="0"/>
                      <w:color w:val="000000"/>
                    </w:rPr>
                  </w:pPr>
                  <w:r>
                    <w:rPr>
                      <w:rFonts w:hint="eastAsia"/>
                      <w:snapToGrid w:val="0"/>
                      <w:color w:val="000000"/>
                    </w:rPr>
                    <w:t>h钻深</w:t>
                  </w:r>
                  <w:r>
                    <w:rPr>
                      <w:snapToGrid w:val="0"/>
                      <w:color w:val="000000"/>
                    </w:rPr>
                    <w:t>（m）</w:t>
                  </w:r>
                </w:p>
              </w:tc>
              <w:tc>
                <w:tcPr>
                  <w:tcW w:w="1756" w:type="dxa"/>
                  <w:shd w:val="clear" w:color="auto" w:fill="auto"/>
                  <w:vAlign w:val="center"/>
                </w:tcPr>
                <w:p>
                  <w:pPr>
                    <w:pStyle w:val="115"/>
                    <w:rPr>
                      <w:snapToGrid w:val="0"/>
                      <w:color w:val="000000"/>
                    </w:rPr>
                  </w:pPr>
                  <w:r>
                    <w:rPr>
                      <w:rFonts w:hint="eastAsia"/>
                      <w:snapToGrid w:val="0"/>
                      <w:color w:val="000000"/>
                    </w:rPr>
                    <w:t>V</w:t>
                  </w:r>
                  <w:r>
                    <w:rPr>
                      <w:snapToGrid w:val="0"/>
                      <w:color w:val="000000"/>
                    </w:rPr>
                    <w:t>岩屑量（t）</w:t>
                  </w:r>
                </w:p>
              </w:tc>
              <w:tc>
                <w:tcPr>
                  <w:tcW w:w="2238" w:type="dxa"/>
                  <w:shd w:val="clear" w:color="auto" w:fill="auto"/>
                  <w:vAlign w:val="center"/>
                </w:tcPr>
                <w:p>
                  <w:pPr>
                    <w:pStyle w:val="115"/>
                    <w:rPr>
                      <w:snapToGrid w:val="0"/>
                      <w:color w:val="000000"/>
                    </w:rPr>
                  </w:pPr>
                  <w:r>
                    <w:rPr>
                      <w:snapToGrid w:val="0"/>
                      <w:color w:val="000000"/>
                    </w:rPr>
                    <w:t>V废弃泥浆量（t）</w:t>
                  </w:r>
                </w:p>
              </w:tc>
              <w:tc>
                <w:tcPr>
                  <w:tcW w:w="1212" w:type="dxa"/>
                  <w:vAlign w:val="center"/>
                </w:tcPr>
                <w:p>
                  <w:pPr>
                    <w:pStyle w:val="115"/>
                    <w:rPr>
                      <w:snapToGrid w:val="0"/>
                      <w:color w:val="000000"/>
                    </w:rPr>
                  </w:pPr>
                  <w:r>
                    <w:rPr>
                      <w:rFonts w:hint="eastAsia"/>
                      <w:snapToGrid w:val="0"/>
                      <w:color w:val="00000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32" w:type="dxa"/>
                  <w:shd w:val="clear" w:color="auto" w:fill="auto"/>
                  <w:vAlign w:val="center"/>
                </w:tcPr>
                <w:p>
                  <w:pPr>
                    <w:pStyle w:val="115"/>
                    <w:rPr>
                      <w:rFonts w:hAnsi="宋体"/>
                      <w:color w:val="000000"/>
                    </w:rPr>
                  </w:pPr>
                  <w:r>
                    <w:rPr>
                      <w:rFonts w:hAnsi="宋体"/>
                      <w:color w:val="000000"/>
                    </w:rPr>
                    <w:t>1250</w:t>
                  </w:r>
                </w:p>
              </w:tc>
              <w:tc>
                <w:tcPr>
                  <w:tcW w:w="1696" w:type="dxa"/>
                  <w:vMerge w:val="restart"/>
                  <w:shd w:val="clear" w:color="auto" w:fill="auto"/>
                  <w:vAlign w:val="center"/>
                </w:tcPr>
                <w:p>
                  <w:pPr>
                    <w:pStyle w:val="115"/>
                    <w:rPr>
                      <w:rFonts w:hAnsi="宋体"/>
                      <w:color w:val="000000"/>
                    </w:rPr>
                  </w:pPr>
                  <w:r>
                    <w:rPr>
                      <w:rFonts w:hint="eastAsia" w:hAnsi="宋体"/>
                      <w:color w:val="000000"/>
                    </w:rPr>
                    <w:t>钻井固废合计</w:t>
                  </w:r>
                </w:p>
              </w:tc>
              <w:tc>
                <w:tcPr>
                  <w:tcW w:w="1756" w:type="dxa"/>
                  <w:shd w:val="clear" w:color="auto" w:fill="auto"/>
                  <w:vAlign w:val="center"/>
                </w:tcPr>
                <w:p>
                  <w:pPr>
                    <w:pStyle w:val="115"/>
                    <w:rPr>
                      <w:color w:val="000000"/>
                    </w:rPr>
                  </w:pPr>
                  <w:r>
                    <w:rPr>
                      <w:rFonts w:hint="eastAsia"/>
                    </w:rPr>
                    <w:t>178.75</w:t>
                  </w:r>
                </w:p>
              </w:tc>
              <w:tc>
                <w:tcPr>
                  <w:tcW w:w="2238" w:type="dxa"/>
                  <w:shd w:val="clear" w:color="auto" w:fill="auto"/>
                  <w:vAlign w:val="center"/>
                </w:tcPr>
                <w:p>
                  <w:pPr>
                    <w:pStyle w:val="115"/>
                    <w:rPr>
                      <w:color w:val="000000"/>
                    </w:rPr>
                  </w:pPr>
                  <w:r>
                    <w:rPr>
                      <w:rFonts w:hint="eastAsia"/>
                    </w:rPr>
                    <w:t>4.83</w:t>
                  </w:r>
                </w:p>
              </w:tc>
              <w:tc>
                <w:tcPr>
                  <w:tcW w:w="1212" w:type="dxa"/>
                  <w:vMerge w:val="restart"/>
                  <w:vAlign w:val="center"/>
                </w:tcPr>
                <w:p>
                  <w:pPr>
                    <w:pStyle w:val="115"/>
                    <w:rPr>
                      <w:rFonts w:hAnsi="宋体"/>
                      <w:color w:val="000000"/>
                    </w:rPr>
                  </w:pPr>
                  <w:r>
                    <w:rPr>
                      <w:rFonts w:hint="eastAsia" w:hAnsi="宋体"/>
                      <w:color w:val="000000"/>
                    </w:rPr>
                    <w:t>一般工业固体废物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32" w:type="dxa"/>
                  <w:shd w:val="clear" w:color="auto" w:fill="auto"/>
                  <w:vAlign w:val="center"/>
                </w:tcPr>
                <w:p>
                  <w:pPr>
                    <w:pStyle w:val="115"/>
                    <w:rPr>
                      <w:rFonts w:hAnsi="宋体"/>
                      <w:color w:val="000000"/>
                    </w:rPr>
                  </w:pPr>
                  <w:r>
                    <w:rPr>
                      <w:rFonts w:hint="eastAsia" w:hAnsi="宋体"/>
                      <w:color w:val="000000"/>
                    </w:rPr>
                    <w:t>1</w:t>
                  </w:r>
                  <w:r>
                    <w:rPr>
                      <w:rFonts w:hAnsi="宋体"/>
                      <w:color w:val="000000"/>
                    </w:rPr>
                    <w:t>500</w:t>
                  </w:r>
                </w:p>
              </w:tc>
              <w:tc>
                <w:tcPr>
                  <w:tcW w:w="1696" w:type="dxa"/>
                  <w:vMerge w:val="continue"/>
                  <w:shd w:val="clear" w:color="auto" w:fill="auto"/>
                  <w:vAlign w:val="center"/>
                </w:tcPr>
                <w:p>
                  <w:pPr>
                    <w:pStyle w:val="115"/>
                    <w:rPr>
                      <w:rFonts w:hAnsi="宋体"/>
                      <w:color w:val="000000"/>
                    </w:rPr>
                  </w:pPr>
                </w:p>
              </w:tc>
              <w:tc>
                <w:tcPr>
                  <w:tcW w:w="1756" w:type="dxa"/>
                  <w:shd w:val="clear" w:color="auto" w:fill="auto"/>
                  <w:vAlign w:val="center"/>
                </w:tcPr>
                <w:p>
                  <w:pPr>
                    <w:pStyle w:val="115"/>
                    <w:rPr>
                      <w:color w:val="000000"/>
                    </w:rPr>
                  </w:pPr>
                  <w:r>
                    <w:rPr>
                      <w:rFonts w:hint="eastAsia"/>
                    </w:rPr>
                    <w:t>214.32</w:t>
                  </w:r>
                </w:p>
              </w:tc>
              <w:tc>
                <w:tcPr>
                  <w:tcW w:w="2238" w:type="dxa"/>
                  <w:shd w:val="clear" w:color="auto" w:fill="auto"/>
                  <w:vAlign w:val="center"/>
                </w:tcPr>
                <w:p>
                  <w:pPr>
                    <w:pStyle w:val="115"/>
                    <w:rPr>
                      <w:color w:val="000000"/>
                    </w:rPr>
                  </w:pPr>
                  <w:r>
                    <w:rPr>
                      <w:rFonts w:hint="eastAsia"/>
                    </w:rPr>
                    <w:t>5.79</w:t>
                  </w:r>
                </w:p>
              </w:tc>
              <w:tc>
                <w:tcPr>
                  <w:tcW w:w="1212" w:type="dxa"/>
                  <w:vMerge w:val="continue"/>
                  <w:vAlign w:val="center"/>
                </w:tcPr>
                <w:p>
                  <w:pPr>
                    <w:pStyle w:val="115"/>
                    <w:rPr>
                      <w:rFonts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32" w:type="dxa"/>
                  <w:shd w:val="clear" w:color="auto" w:fill="auto"/>
                  <w:vAlign w:val="center"/>
                </w:tcPr>
                <w:p>
                  <w:pPr>
                    <w:pStyle w:val="115"/>
                    <w:rPr>
                      <w:rFonts w:hAnsi="宋体"/>
                      <w:color w:val="000000"/>
                    </w:rPr>
                  </w:pPr>
                  <w:r>
                    <w:rPr>
                      <w:rFonts w:hint="eastAsia" w:hAnsi="宋体"/>
                      <w:color w:val="000000"/>
                    </w:rPr>
                    <w:t>1</w:t>
                  </w:r>
                  <w:r>
                    <w:rPr>
                      <w:rFonts w:hAnsi="宋体"/>
                      <w:color w:val="000000"/>
                    </w:rPr>
                    <w:t>000</w:t>
                  </w:r>
                </w:p>
              </w:tc>
              <w:tc>
                <w:tcPr>
                  <w:tcW w:w="1696" w:type="dxa"/>
                  <w:vMerge w:val="continue"/>
                  <w:shd w:val="clear" w:color="auto" w:fill="auto"/>
                  <w:vAlign w:val="center"/>
                </w:tcPr>
                <w:p>
                  <w:pPr>
                    <w:pStyle w:val="115"/>
                    <w:rPr>
                      <w:rFonts w:hAnsi="宋体"/>
                      <w:color w:val="000000"/>
                    </w:rPr>
                  </w:pPr>
                </w:p>
              </w:tc>
              <w:tc>
                <w:tcPr>
                  <w:tcW w:w="1756" w:type="dxa"/>
                  <w:shd w:val="clear" w:color="auto" w:fill="auto"/>
                  <w:vAlign w:val="center"/>
                </w:tcPr>
                <w:p>
                  <w:pPr>
                    <w:pStyle w:val="115"/>
                    <w:rPr>
                      <w:color w:val="000000"/>
                    </w:rPr>
                  </w:pPr>
                  <w:r>
                    <w:rPr>
                      <w:rFonts w:hint="eastAsia"/>
                    </w:rPr>
                    <w:t>143.19</w:t>
                  </w:r>
                </w:p>
              </w:tc>
              <w:tc>
                <w:tcPr>
                  <w:tcW w:w="2238" w:type="dxa"/>
                  <w:shd w:val="clear" w:color="auto" w:fill="auto"/>
                  <w:vAlign w:val="center"/>
                </w:tcPr>
                <w:p>
                  <w:pPr>
                    <w:pStyle w:val="115"/>
                    <w:rPr>
                      <w:color w:val="000000"/>
                    </w:rPr>
                  </w:pPr>
                  <w:r>
                    <w:rPr>
                      <w:rFonts w:hint="eastAsia"/>
                    </w:rPr>
                    <w:t>3.87</w:t>
                  </w:r>
                </w:p>
              </w:tc>
              <w:tc>
                <w:tcPr>
                  <w:tcW w:w="1212" w:type="dxa"/>
                  <w:vMerge w:val="continue"/>
                  <w:vAlign w:val="center"/>
                </w:tcPr>
                <w:p>
                  <w:pPr>
                    <w:pStyle w:val="115"/>
                    <w:rPr>
                      <w:rFonts w:hAnsi="宋体"/>
                      <w:color w:val="000000"/>
                    </w:rPr>
                  </w:pPr>
                </w:p>
              </w:tc>
            </w:tr>
          </w:tbl>
          <w:p>
            <w:pPr>
              <w:spacing w:line="331" w:lineRule="auto"/>
              <w:ind w:firstLine="480" w:firstLineChars="200"/>
              <w:rPr>
                <w:rFonts w:ascii="宋体" w:hAnsi="宋体"/>
                <w:color w:val="000000"/>
                <w:sz w:val="24"/>
              </w:rPr>
            </w:pPr>
          </w:p>
          <w:p>
            <w:pPr>
              <w:pStyle w:val="110"/>
              <w:rPr>
                <w:color w:val="000000"/>
              </w:rPr>
            </w:pPr>
            <w:r>
              <w:rPr>
                <w:rFonts w:hint="eastAsia"/>
                <w:color w:val="000000"/>
              </w:rPr>
              <w:t>本项目钻井固废产生量为</w:t>
            </w:r>
            <w:r>
              <w:rPr>
                <w:rFonts w:hint="eastAsia"/>
              </w:rPr>
              <w:t>550.75</w:t>
            </w:r>
            <w:r>
              <w:rPr>
                <w:color w:val="000000"/>
              </w:rPr>
              <w:t>t</w:t>
            </w:r>
            <w:r>
              <w:rPr>
                <w:rFonts w:hint="eastAsia"/>
                <w:color w:val="000000"/>
              </w:rPr>
              <w:t>，其中钻井岩屑</w:t>
            </w:r>
            <w:r>
              <w:rPr>
                <w:rFonts w:hint="eastAsia"/>
              </w:rPr>
              <w:t>536.26</w:t>
            </w:r>
            <w:r>
              <w:rPr>
                <w:color w:val="000000"/>
              </w:rPr>
              <w:t>t</w:t>
            </w:r>
            <w:r>
              <w:rPr>
                <w:rFonts w:hint="eastAsia"/>
                <w:color w:val="000000"/>
              </w:rPr>
              <w:t>、废弃泥浆</w:t>
            </w:r>
            <w:r>
              <w:rPr>
                <w:rFonts w:hint="eastAsia"/>
              </w:rPr>
              <w:t>14.49</w:t>
            </w:r>
            <w:r>
              <w:rPr>
                <w:color w:val="000000"/>
              </w:rPr>
              <w:t>t</w:t>
            </w:r>
            <w:r>
              <w:rPr>
                <w:rFonts w:hint="eastAsia"/>
                <w:color w:val="000000"/>
              </w:rPr>
              <w:t>。本项目钻井固废处置使用泥浆不落地系统，根据目前中石化新疆新春石油开发有限责任公司钻井工程的要求，钻井过程中，泥浆及岩屑产生与处置的责任主体单位为钻井单位，新春公司负责监管。</w:t>
            </w:r>
          </w:p>
          <w:p>
            <w:pPr>
              <w:pStyle w:val="110"/>
              <w:rPr>
                <w:color w:val="000000"/>
              </w:rPr>
            </w:pPr>
            <w:r>
              <w:rPr>
                <w:color w:val="000000"/>
              </w:rPr>
              <w:t>钻井岩屑及钻井泥浆采用泥浆不落地系统，</w:t>
            </w:r>
            <w:r>
              <w:rPr>
                <w:rFonts w:hint="eastAsia"/>
                <w:color w:val="000000"/>
              </w:rPr>
              <w:t>钻井工程一开、二开均采用</w:t>
            </w:r>
            <w:r>
              <w:rPr>
                <w:color w:val="000000"/>
              </w:rPr>
              <w:t>水基泥浆</w:t>
            </w:r>
            <w:r>
              <w:rPr>
                <w:rFonts w:hint="eastAsia"/>
                <w:color w:val="000000"/>
              </w:rPr>
              <w:t>，钻井产生的泥浆</w:t>
            </w:r>
            <w:r>
              <w:rPr>
                <w:color w:val="000000"/>
              </w:rPr>
              <w:t>同岩屑一起进入不落地系统进行处理，实现固液分离，分离后的液相由钻井单位回收用于后续钻井循环使用，不外排；</w:t>
            </w:r>
            <w:r>
              <w:rPr>
                <w:rFonts w:hint="eastAsia"/>
                <w:color w:val="000000"/>
              </w:rPr>
              <w:t>根据《关于发布&lt;危险废物排除管理清单（2021年版）&gt;的公告》（生态环境部公告 2021年 第66号），废弃水基钻井泥浆及岩屑不属于危险废物，属于一般工业固体废物</w:t>
            </w:r>
            <w:r>
              <w:rPr>
                <w:color w:val="000000"/>
              </w:rPr>
              <w:t>；根据《一般固体废物分类与代码》（GB/T 39198-2020），钻井岩屑、钻井泥浆等一般固体废物均属于其他废物，钻井固废经“</w:t>
            </w:r>
            <w:r>
              <w:rPr>
                <w:rFonts w:hint="eastAsia"/>
                <w:color w:val="000000"/>
              </w:rPr>
              <w:t>泥浆不落地</w:t>
            </w:r>
            <w:r>
              <w:rPr>
                <w:color w:val="000000"/>
              </w:rPr>
              <w:t>”</w:t>
            </w:r>
            <w:r>
              <w:rPr>
                <w:rFonts w:hint="eastAsia"/>
                <w:color w:val="000000"/>
              </w:rPr>
              <w:t>设备分离后</w:t>
            </w:r>
            <w:r>
              <w:rPr>
                <w:rFonts w:hint="eastAsia"/>
                <w:color w:val="000000"/>
                <w:szCs w:val="21"/>
              </w:rPr>
              <w:t>拉运至克拉玛依前山石油工程服务有限公司处理，</w:t>
            </w:r>
            <w:r>
              <w:rPr>
                <w:color w:val="000000"/>
              </w:rPr>
              <w:t>检测达到《油气田钻井固体废物综合利用污染控制要求》（DB65/T 3997-2017）相关标准限值后用于铺路、铺垫井场综合利用，未达标的产物将进入处置系统再次进行处理，不得随意排放</w:t>
            </w:r>
            <w:r>
              <w:rPr>
                <w:rFonts w:hint="eastAsia"/>
                <w:color w:val="000000"/>
              </w:rPr>
              <w:t>。</w:t>
            </w:r>
          </w:p>
          <w:p>
            <w:pPr>
              <w:pStyle w:val="110"/>
              <w:rPr>
                <w:color w:val="000000"/>
              </w:rPr>
            </w:pPr>
            <w:r>
              <w:rPr>
                <w:rFonts w:hint="eastAsia"/>
                <w:color w:val="000000"/>
              </w:rPr>
              <w:t>根据</w:t>
            </w:r>
            <w:r>
              <w:rPr>
                <w:color w:val="000000"/>
              </w:rPr>
              <w:t>中石化新疆新春石油开发有限责任公司</w:t>
            </w:r>
            <w:r>
              <w:rPr>
                <w:rFonts w:hint="eastAsia"/>
                <w:color w:val="000000"/>
              </w:rPr>
              <w:t>环境保护管理制度规定，不允许产生落地油。井口区域为硬化地面，作业时敷设3mm防渗布防渗，防止落地油散落地面污染土壤和地下水。</w:t>
            </w:r>
          </w:p>
          <w:p>
            <w:pPr>
              <w:pStyle w:val="110"/>
              <w:rPr>
                <w:color w:val="000000"/>
              </w:rPr>
            </w:pPr>
            <w:r>
              <w:rPr>
                <w:rFonts w:hint="eastAsia"/>
                <w:color w:val="000000"/>
              </w:rPr>
              <w:t>2）废防渗材料</w:t>
            </w:r>
          </w:p>
          <w:p>
            <w:pPr>
              <w:pStyle w:val="110"/>
              <w:rPr>
                <w:color w:val="000000"/>
                <w:kern w:val="0"/>
              </w:rPr>
            </w:pPr>
            <w:r>
              <w:rPr>
                <w:rFonts w:hint="eastAsia"/>
                <w:color w:val="000000"/>
                <w:kern w:val="0"/>
              </w:rPr>
              <w:t>重点防渗区铺设渗透系数≤10</w:t>
            </w:r>
            <w:r>
              <w:rPr>
                <w:rFonts w:hint="eastAsia"/>
                <w:color w:val="000000"/>
                <w:kern w:val="0"/>
                <w:vertAlign w:val="superscript"/>
              </w:rPr>
              <w:t>-7</w:t>
            </w:r>
            <w:r>
              <w:rPr>
                <w:rFonts w:hint="eastAsia"/>
                <w:color w:val="000000"/>
                <w:kern w:val="0"/>
              </w:rPr>
              <w:t>cm/s的防渗材料，废防渗材料循环利用，使用过程中如产生不可利用的废防渗材料，需委托有资质单位处置，废防渗材料为危险废物，危险废物介绍见</w:t>
            </w:r>
            <w:r>
              <w:rPr>
                <w:rFonts w:hint="eastAsia"/>
                <w:color w:val="000000"/>
                <w:szCs w:val="21"/>
              </w:rPr>
              <w:t>表</w:t>
            </w:r>
            <w:r>
              <w:rPr>
                <w:color w:val="000000"/>
                <w:szCs w:val="21"/>
              </w:rPr>
              <w:t>18</w:t>
            </w:r>
            <w:r>
              <w:rPr>
                <w:rFonts w:hint="eastAsia"/>
                <w:color w:val="000000"/>
              </w:rPr>
              <w:t>。</w:t>
            </w:r>
          </w:p>
          <w:p>
            <w:pPr>
              <w:pStyle w:val="12"/>
              <w:spacing w:before="120"/>
              <w:rPr>
                <w:rFonts w:hAnsi="宋体"/>
                <w:color w:val="000000"/>
                <w:kern w:val="0"/>
                <w:szCs w:val="21"/>
              </w:rPr>
            </w:pPr>
            <w:bookmarkStart w:id="32" w:name="_Ref72911084"/>
            <w:r>
              <w:rPr>
                <w:rFonts w:hint="eastAsia"/>
                <w:color w:val="000000"/>
                <w:szCs w:val="21"/>
              </w:rPr>
              <w:t>表</w:t>
            </w:r>
            <w:r>
              <w:rPr>
                <w:color w:val="000000"/>
                <w:szCs w:val="21"/>
              </w:rPr>
              <w:t>18</w:t>
            </w:r>
            <w:bookmarkEnd w:id="32"/>
            <w:r>
              <w:rPr>
                <w:rFonts w:hint="eastAsia"/>
                <w:color w:val="000000"/>
                <w:szCs w:val="21"/>
              </w:rPr>
              <w:t xml:space="preserve">  废防渗材料特性一览</w:t>
            </w:r>
            <w:r>
              <w:rPr>
                <w:rFonts w:hint="eastAsia" w:hAnsi="宋体"/>
                <w:color w:val="000000"/>
                <w:kern w:val="0"/>
                <w:szCs w:val="21"/>
              </w:rPr>
              <w:t>表</w:t>
            </w:r>
          </w:p>
          <w:tbl>
            <w:tblPr>
              <w:tblStyle w:val="29"/>
              <w:tblW w:w="763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19"/>
              <w:gridCol w:w="53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2319" w:type="dxa"/>
                  <w:vAlign w:val="center"/>
                </w:tcPr>
                <w:p>
                  <w:pPr>
                    <w:pStyle w:val="115"/>
                    <w:rPr>
                      <w:color w:val="000000"/>
                    </w:rPr>
                  </w:pPr>
                  <w:r>
                    <w:rPr>
                      <w:rFonts w:hint="eastAsia"/>
                      <w:color w:val="000000"/>
                    </w:rPr>
                    <w:t>危险废物名称</w:t>
                  </w:r>
                </w:p>
              </w:tc>
              <w:tc>
                <w:tcPr>
                  <w:tcW w:w="5315" w:type="dxa"/>
                  <w:vAlign w:val="center"/>
                </w:tcPr>
                <w:p>
                  <w:pPr>
                    <w:pStyle w:val="115"/>
                    <w:rPr>
                      <w:color w:val="000000"/>
                    </w:rPr>
                  </w:pPr>
                  <w:r>
                    <w:rPr>
                      <w:rFonts w:hint="eastAsia"/>
                      <w:color w:val="000000"/>
                    </w:rPr>
                    <w:t>废防渗材料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2319" w:type="dxa"/>
                  <w:vAlign w:val="center"/>
                </w:tcPr>
                <w:p>
                  <w:pPr>
                    <w:pStyle w:val="115"/>
                    <w:rPr>
                      <w:color w:val="000000"/>
                    </w:rPr>
                  </w:pPr>
                  <w:r>
                    <w:rPr>
                      <w:rFonts w:hint="eastAsia"/>
                      <w:color w:val="000000"/>
                    </w:rPr>
                    <w:t>危险废物类别</w:t>
                  </w:r>
                </w:p>
              </w:tc>
              <w:tc>
                <w:tcPr>
                  <w:tcW w:w="5315" w:type="dxa"/>
                  <w:vAlign w:val="center"/>
                </w:tcPr>
                <w:p>
                  <w:pPr>
                    <w:pStyle w:val="115"/>
                    <w:rPr>
                      <w:color w:val="000000"/>
                    </w:rPr>
                  </w:pPr>
                  <w:r>
                    <w:rPr>
                      <w:rFonts w:hint="eastAsia"/>
                      <w:color w:val="000000"/>
                    </w:rPr>
                    <w:t>HW49其他废物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2319" w:type="dxa"/>
                  <w:vAlign w:val="center"/>
                </w:tcPr>
                <w:p>
                  <w:pPr>
                    <w:pStyle w:val="115"/>
                    <w:rPr>
                      <w:color w:val="000000"/>
                    </w:rPr>
                  </w:pPr>
                  <w:r>
                    <w:rPr>
                      <w:rFonts w:hint="eastAsia"/>
                      <w:color w:val="000000"/>
                    </w:rPr>
                    <w:t>危险废物代码</w:t>
                  </w:r>
                </w:p>
              </w:tc>
              <w:tc>
                <w:tcPr>
                  <w:tcW w:w="5315" w:type="dxa"/>
                  <w:vAlign w:val="center"/>
                </w:tcPr>
                <w:p>
                  <w:pPr>
                    <w:pStyle w:val="115"/>
                    <w:rPr>
                      <w:color w:val="000000"/>
                    </w:rPr>
                  </w:pPr>
                  <w:r>
                    <w:rPr>
                      <w:rFonts w:hint="eastAsia"/>
                      <w:color w:val="000000"/>
                    </w:rPr>
                    <w:t>900-041-49含有或沾染毒性、感染性危险废物的废弃包装物、容器、过滤吸附介质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2319" w:type="dxa"/>
                  <w:vAlign w:val="center"/>
                </w:tcPr>
                <w:p>
                  <w:pPr>
                    <w:pStyle w:val="115"/>
                    <w:rPr>
                      <w:color w:val="000000"/>
                    </w:rPr>
                  </w:pPr>
                  <w:r>
                    <w:rPr>
                      <w:rFonts w:hint="eastAsia"/>
                      <w:color w:val="000000"/>
                    </w:rPr>
                    <w:t>产生量</w:t>
                  </w:r>
                </w:p>
              </w:tc>
              <w:tc>
                <w:tcPr>
                  <w:tcW w:w="5315" w:type="dxa"/>
                  <w:vAlign w:val="center"/>
                </w:tcPr>
                <w:p>
                  <w:pPr>
                    <w:pStyle w:val="115"/>
                    <w:rPr>
                      <w:color w:val="000000"/>
                    </w:rPr>
                  </w:pPr>
                  <w:r>
                    <w:rPr>
                      <w:rFonts w:hint="eastAsia"/>
                      <w:color w:val="000000"/>
                    </w:rPr>
                    <w:t>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2319" w:type="dxa"/>
                  <w:vAlign w:val="center"/>
                </w:tcPr>
                <w:p>
                  <w:pPr>
                    <w:pStyle w:val="115"/>
                    <w:rPr>
                      <w:color w:val="000000"/>
                    </w:rPr>
                  </w:pPr>
                  <w:r>
                    <w:rPr>
                      <w:rFonts w:hint="eastAsia"/>
                      <w:color w:val="000000"/>
                    </w:rPr>
                    <w:t>产生工序及装置</w:t>
                  </w:r>
                </w:p>
              </w:tc>
              <w:tc>
                <w:tcPr>
                  <w:tcW w:w="5315" w:type="dxa"/>
                  <w:vAlign w:val="center"/>
                </w:tcPr>
                <w:p>
                  <w:pPr>
                    <w:pStyle w:val="115"/>
                    <w:rPr>
                      <w:color w:val="000000"/>
                    </w:rPr>
                  </w:pPr>
                  <w:r>
                    <w:rPr>
                      <w:rFonts w:hint="eastAsia"/>
                      <w:color w:val="000000"/>
                    </w:rPr>
                    <w:t>重点防渗区铺设区域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2319" w:type="dxa"/>
                  <w:vAlign w:val="center"/>
                </w:tcPr>
                <w:p>
                  <w:pPr>
                    <w:pStyle w:val="115"/>
                    <w:rPr>
                      <w:color w:val="000000"/>
                    </w:rPr>
                  </w:pPr>
                  <w:r>
                    <w:rPr>
                      <w:rFonts w:hint="eastAsia"/>
                      <w:color w:val="000000"/>
                    </w:rPr>
                    <w:t>形态</w:t>
                  </w:r>
                </w:p>
              </w:tc>
              <w:tc>
                <w:tcPr>
                  <w:tcW w:w="5315" w:type="dxa"/>
                  <w:vAlign w:val="center"/>
                </w:tcPr>
                <w:p>
                  <w:pPr>
                    <w:pStyle w:val="115"/>
                    <w:rPr>
                      <w:color w:val="000000"/>
                    </w:rPr>
                  </w:pPr>
                  <w:r>
                    <w:rPr>
                      <w:rFonts w:hint="eastAsia"/>
                      <w:color w:val="000000"/>
                    </w:rPr>
                    <w:t>固体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2319" w:type="dxa"/>
                  <w:vAlign w:val="center"/>
                </w:tcPr>
                <w:p>
                  <w:pPr>
                    <w:pStyle w:val="115"/>
                    <w:rPr>
                      <w:color w:val="000000"/>
                    </w:rPr>
                  </w:pPr>
                  <w:r>
                    <w:rPr>
                      <w:rFonts w:hint="eastAsia"/>
                      <w:color w:val="000000"/>
                    </w:rPr>
                    <w:t>主要成分</w:t>
                  </w:r>
                </w:p>
              </w:tc>
              <w:tc>
                <w:tcPr>
                  <w:tcW w:w="5315" w:type="dxa"/>
                  <w:vAlign w:val="center"/>
                </w:tcPr>
                <w:p>
                  <w:pPr>
                    <w:pStyle w:val="115"/>
                    <w:rPr>
                      <w:color w:val="000000"/>
                    </w:rPr>
                  </w:pPr>
                  <w:r>
                    <w:rPr>
                      <w:rFonts w:hint="eastAsia"/>
                      <w:color w:val="000000"/>
                    </w:rPr>
                    <w:t>防渗材料、矿物油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2319" w:type="dxa"/>
                  <w:vAlign w:val="center"/>
                </w:tcPr>
                <w:p>
                  <w:pPr>
                    <w:pStyle w:val="115"/>
                    <w:rPr>
                      <w:color w:val="000000"/>
                    </w:rPr>
                  </w:pPr>
                  <w:r>
                    <w:rPr>
                      <w:rFonts w:hint="eastAsia"/>
                      <w:color w:val="000000"/>
                    </w:rPr>
                    <w:t>有害成分</w:t>
                  </w:r>
                </w:p>
              </w:tc>
              <w:tc>
                <w:tcPr>
                  <w:tcW w:w="5315" w:type="dxa"/>
                  <w:vAlign w:val="center"/>
                </w:tcPr>
                <w:p>
                  <w:pPr>
                    <w:pStyle w:val="115"/>
                    <w:rPr>
                      <w:color w:val="000000"/>
                    </w:rPr>
                  </w:pPr>
                  <w:r>
                    <w:rPr>
                      <w:rFonts w:hint="eastAsia"/>
                      <w:color w:val="000000"/>
                    </w:rPr>
                    <w:t>矿物油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2319" w:type="dxa"/>
                  <w:vAlign w:val="center"/>
                </w:tcPr>
                <w:p>
                  <w:pPr>
                    <w:pStyle w:val="115"/>
                    <w:rPr>
                      <w:color w:val="000000"/>
                    </w:rPr>
                  </w:pPr>
                  <w:r>
                    <w:rPr>
                      <w:rFonts w:hint="eastAsia"/>
                      <w:color w:val="000000"/>
                    </w:rPr>
                    <w:t>产废周期</w:t>
                  </w:r>
                </w:p>
              </w:tc>
              <w:tc>
                <w:tcPr>
                  <w:tcW w:w="5315" w:type="dxa"/>
                  <w:vAlign w:val="center"/>
                </w:tcPr>
                <w:p>
                  <w:pPr>
                    <w:pStyle w:val="115"/>
                    <w:rPr>
                      <w:color w:val="000000"/>
                    </w:rPr>
                  </w:pPr>
                  <w:r>
                    <w:rPr>
                      <w:rFonts w:hint="eastAsia"/>
                      <w:color w:val="000000"/>
                    </w:rPr>
                    <w:t>钻井结束产生，无明显周期性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2319" w:type="dxa"/>
                  <w:vAlign w:val="center"/>
                </w:tcPr>
                <w:p>
                  <w:pPr>
                    <w:pStyle w:val="115"/>
                    <w:rPr>
                      <w:color w:val="000000"/>
                    </w:rPr>
                  </w:pPr>
                  <w:r>
                    <w:rPr>
                      <w:rFonts w:hint="eastAsia"/>
                      <w:color w:val="000000"/>
                    </w:rPr>
                    <w:t>危险特性</w:t>
                  </w:r>
                </w:p>
              </w:tc>
              <w:tc>
                <w:tcPr>
                  <w:tcW w:w="5315" w:type="dxa"/>
                  <w:vAlign w:val="center"/>
                </w:tcPr>
                <w:p>
                  <w:pPr>
                    <w:pStyle w:val="115"/>
                    <w:rPr>
                      <w:color w:val="000000"/>
                    </w:rPr>
                  </w:pPr>
                  <w:r>
                    <w:rPr>
                      <w:rFonts w:hint="eastAsia"/>
                      <w:color w:val="000000"/>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2319" w:type="dxa"/>
                  <w:vAlign w:val="center"/>
                </w:tcPr>
                <w:p>
                  <w:pPr>
                    <w:pStyle w:val="115"/>
                    <w:rPr>
                      <w:color w:val="000000"/>
                    </w:rPr>
                  </w:pPr>
                  <w:r>
                    <w:rPr>
                      <w:rFonts w:hint="eastAsia"/>
                      <w:color w:val="000000"/>
                    </w:rPr>
                    <w:t>污染防治措施</w:t>
                  </w:r>
                </w:p>
              </w:tc>
              <w:tc>
                <w:tcPr>
                  <w:tcW w:w="5315" w:type="dxa"/>
                  <w:vAlign w:val="center"/>
                </w:tcPr>
                <w:p>
                  <w:pPr>
                    <w:pStyle w:val="115"/>
                    <w:rPr>
                      <w:color w:val="000000"/>
                    </w:rPr>
                  </w:pPr>
                  <w:r>
                    <w:rPr>
                      <w:rFonts w:hint="eastAsia"/>
                      <w:color w:val="000000"/>
                    </w:rPr>
                    <w:t>正常情况循环利用，使用过程中如产生不可利用的废防渗材料，需委托有资质单位处置</w:t>
                  </w:r>
                </w:p>
              </w:tc>
            </w:tr>
          </w:tbl>
          <w:p>
            <w:pPr>
              <w:pStyle w:val="110"/>
              <w:rPr>
                <w:color w:val="000000"/>
              </w:rPr>
            </w:pPr>
          </w:p>
          <w:p>
            <w:pPr>
              <w:pStyle w:val="110"/>
              <w:rPr>
                <w:color w:val="000000"/>
              </w:rPr>
            </w:pPr>
            <w:r>
              <w:rPr>
                <w:rFonts w:hint="eastAsia"/>
                <w:snapToGrid w:val="0"/>
                <w:color w:val="000000"/>
              </w:rPr>
              <w:t>本次环评提出以下要求：钻井队应设置专门固废管理人员，作为环境管理的重要组成部分，主要负责固废的收集、贮存及处置，统计固体废物种类、产生量、暂存时间、交由处置时间等，形成管理台账。若产生</w:t>
            </w:r>
            <w:r>
              <w:rPr>
                <w:rFonts w:hint="eastAsia"/>
                <w:color w:val="000000"/>
              </w:rPr>
              <w:t>不可利用的废防渗材料，还</w:t>
            </w:r>
            <w:r>
              <w:rPr>
                <w:rFonts w:hint="eastAsia"/>
                <w:snapToGrid w:val="0"/>
                <w:color w:val="000000"/>
              </w:rPr>
              <w:t>应制定台账记录危废储运情况，登记管理危险废物的产生情况，落实危险废物接收、利用、储存的种类、数量，协助运输单位装卸事宜。</w:t>
            </w:r>
          </w:p>
          <w:p>
            <w:pPr>
              <w:pStyle w:val="110"/>
              <w:rPr>
                <w:color w:val="000000"/>
              </w:rPr>
            </w:pPr>
            <w:r>
              <w:rPr>
                <w:color w:val="000000"/>
              </w:rPr>
              <w:t>3</w:t>
            </w:r>
            <w:r>
              <w:rPr>
                <w:rFonts w:hint="eastAsia"/>
                <w:color w:val="000000"/>
              </w:rPr>
              <w:t>）生活垃圾</w:t>
            </w:r>
          </w:p>
          <w:p>
            <w:pPr>
              <w:pStyle w:val="110"/>
              <w:rPr>
                <w:color w:val="000000"/>
              </w:rPr>
            </w:pPr>
            <w:r>
              <w:rPr>
                <w:rFonts w:hint="eastAsia"/>
                <w:snapToGrid w:val="0"/>
                <w:color w:val="000000"/>
              </w:rPr>
              <w:t>生活垃圾集中在生活垃圾收集箱内，</w:t>
            </w:r>
            <w:r>
              <w:rPr>
                <w:snapToGrid w:val="0"/>
                <w:color w:val="000000"/>
              </w:rPr>
              <w:t>经常消毒杀菌灭蝇，防止垃圾腐败变质，雨季污水漫流，造成对环境和地下水的污染</w:t>
            </w:r>
            <w:r>
              <w:rPr>
                <w:rFonts w:hint="eastAsia"/>
                <w:snapToGrid w:val="0"/>
                <w:color w:val="000000"/>
              </w:rPr>
              <w:t>；定期拉运至附近生活垃圾暂存点，交由环卫部门进行统一处理。只要施工单位加强管理，生活垃圾对周围</w:t>
            </w:r>
            <w:r>
              <w:rPr>
                <w:rFonts w:hint="eastAsia"/>
                <w:color w:val="000000"/>
              </w:rPr>
              <w:t>环境不会产生明显影响。</w:t>
            </w:r>
          </w:p>
          <w:p>
            <w:pPr>
              <w:pStyle w:val="110"/>
              <w:rPr>
                <w:color w:val="000000"/>
              </w:rPr>
            </w:pPr>
            <w:r>
              <w:rPr>
                <w:rFonts w:hint="eastAsia"/>
                <w:color w:val="000000"/>
              </w:rPr>
              <w:t>本工程所采取的固废处理措施是目前油田开发广泛采用的措施，且</w:t>
            </w:r>
            <w:r>
              <w:rPr>
                <w:color w:val="000000"/>
              </w:rPr>
              <w:t>中石化新疆新春石油开发有限责任公司</w:t>
            </w:r>
            <w:r>
              <w:rPr>
                <w:rFonts w:hint="eastAsia"/>
                <w:color w:val="000000"/>
              </w:rPr>
              <w:t>对油田产生的各类固体废物有严格的处理规定。通过采取以上措施，各类固体废物均能得到妥善的处置，对周围环境不会产生明显影响。</w:t>
            </w:r>
          </w:p>
          <w:p>
            <w:pPr>
              <w:pStyle w:val="110"/>
              <w:rPr>
                <w:color w:val="000000"/>
              </w:rPr>
            </w:pPr>
            <w:r>
              <w:rPr>
                <w:color w:val="000000"/>
              </w:rPr>
              <w:t>5</w:t>
            </w:r>
            <w:r>
              <w:rPr>
                <w:rFonts w:hint="eastAsia"/>
                <w:color w:val="000000"/>
              </w:rPr>
              <w:t>、声环境影响分析</w:t>
            </w:r>
          </w:p>
          <w:p>
            <w:pPr>
              <w:pStyle w:val="110"/>
              <w:rPr>
                <w:color w:val="000000"/>
              </w:rPr>
            </w:pPr>
            <w:r>
              <w:rPr>
                <w:rFonts w:hint="eastAsia"/>
                <w:color w:val="000000"/>
              </w:rPr>
              <w:t>本项目钻井期噪声主要产生于钻井作业等施工活动，其噪声源主要是钻机、柴油发电机、钻井泵、通井机、</w:t>
            </w:r>
            <w:r>
              <w:rPr>
                <w:color w:val="000000"/>
              </w:rPr>
              <w:t>修井机</w:t>
            </w:r>
            <w:r>
              <w:rPr>
                <w:rFonts w:hint="eastAsia"/>
                <w:color w:val="000000"/>
              </w:rPr>
              <w:t>等，其源强为</w:t>
            </w:r>
            <w:r>
              <w:rPr>
                <w:color w:val="000000"/>
              </w:rPr>
              <w:t>95</w:t>
            </w:r>
            <w:r>
              <w:rPr>
                <w:rFonts w:hint="eastAsia"/>
                <w:color w:val="000000"/>
              </w:rPr>
              <w:t>dB（A）～11</w:t>
            </w:r>
            <w:r>
              <w:rPr>
                <w:color w:val="000000"/>
              </w:rPr>
              <w:t>0</w:t>
            </w:r>
            <w:r>
              <w:rPr>
                <w:rFonts w:hint="eastAsia"/>
                <w:color w:val="000000"/>
              </w:rPr>
              <w:t>dB（A），</w:t>
            </w:r>
            <w:r>
              <w:rPr>
                <w:color w:val="000000"/>
              </w:rPr>
              <w:t>经</w:t>
            </w:r>
            <w:r>
              <w:rPr>
                <w:rFonts w:hint="eastAsia"/>
                <w:color w:val="000000"/>
              </w:rPr>
              <w:t>现场踏勘</w:t>
            </w:r>
            <w:r>
              <w:rPr>
                <w:color w:val="000000"/>
              </w:rPr>
              <w:t>，</w:t>
            </w:r>
            <w:r>
              <w:rPr>
                <w:rFonts w:hint="eastAsia"/>
                <w:color w:val="000000"/>
              </w:rPr>
              <w:t>本项目拟建井场200m范围</w:t>
            </w:r>
            <w:r>
              <w:rPr>
                <w:color w:val="000000"/>
              </w:rPr>
              <w:t>内无居民区，但大龙口-浅</w:t>
            </w:r>
            <w:r>
              <w:rPr>
                <w:rFonts w:hint="eastAsia"/>
                <w:color w:val="000000"/>
              </w:rPr>
              <w:t>2、浅3井周边存在零散户（浅2、浅3井周边各1户），零散户性质主要为牧民，本项目钻井周期短（计划约</w:t>
            </w:r>
            <w:r>
              <w:rPr>
                <w:color w:val="000000"/>
              </w:rPr>
              <w:t>10月份前完工）</w:t>
            </w:r>
            <w:r>
              <w:rPr>
                <w:rFonts w:hint="eastAsia"/>
                <w:color w:val="000000"/>
              </w:rPr>
              <w:t>，在牧民冬季放牧前完成钻井及取芯任务，并实施封井</w:t>
            </w:r>
            <w:r>
              <w:rPr>
                <w:color w:val="000000"/>
              </w:rPr>
              <w:t>，</w:t>
            </w:r>
            <w:r>
              <w:rPr>
                <w:rFonts w:hint="eastAsia"/>
                <w:color w:val="000000"/>
              </w:rPr>
              <w:t>施工噪声对周边环境影响较小。施工单位应参照《建筑施工场界环境噪声排放标准》（GB 12523-2011）的要求进行施工，并采取以下措施：</w:t>
            </w:r>
          </w:p>
          <w:p>
            <w:pPr>
              <w:pStyle w:val="110"/>
              <w:rPr>
                <w:color w:val="000000"/>
              </w:rPr>
            </w:pPr>
            <w:r>
              <w:rPr>
                <w:rFonts w:hint="eastAsia"/>
                <w:color w:val="000000"/>
              </w:rPr>
              <w:t>1）合理布局钻井现场，</w:t>
            </w:r>
            <w:r>
              <w:rPr>
                <w:color w:val="000000"/>
              </w:rPr>
              <w:t>尽量</w:t>
            </w:r>
            <w:r>
              <w:rPr>
                <w:rFonts w:hint="eastAsia"/>
                <w:color w:val="000000"/>
              </w:rPr>
              <w:t>选用低噪声设备。</w:t>
            </w:r>
          </w:p>
          <w:p>
            <w:pPr>
              <w:pStyle w:val="110"/>
              <w:rPr>
                <w:color w:val="000000"/>
              </w:rPr>
            </w:pPr>
            <w:r>
              <w:rPr>
                <w:rFonts w:hint="eastAsia"/>
                <w:color w:val="000000"/>
              </w:rPr>
              <w:t>2）制定施工计划时，尽可能避免大量高噪声设备同时施工。同时，高噪声设备施工时间尽量安排在昼间（确需连续作业的除外）。</w:t>
            </w:r>
          </w:p>
          <w:p>
            <w:pPr>
              <w:pStyle w:val="110"/>
              <w:rPr>
                <w:color w:val="000000"/>
              </w:rPr>
            </w:pPr>
            <w:r>
              <w:rPr>
                <w:rFonts w:hint="eastAsia"/>
                <w:color w:val="000000"/>
              </w:rPr>
              <w:t>3）加强施工管理和设备维护，发现设备存在的问题及时维修，保证设备正常运转；整体设备要安放稳固，并与地面保持良好接触，有条件的应使用减振机座，柴油机、发电机和各种机泵等要安装消声隔声设施，最大限度地降低噪声源的噪声。</w:t>
            </w:r>
          </w:p>
          <w:p>
            <w:pPr>
              <w:pStyle w:val="110"/>
              <w:rPr>
                <w:color w:val="000000"/>
              </w:rPr>
            </w:pPr>
            <w:r>
              <w:rPr>
                <w:rFonts w:hint="eastAsia"/>
                <w:color w:val="000000"/>
              </w:rPr>
              <w:t>4）加强对运输车辆的管理及疏导，尽量压缩施工区汽车数量和行车密度，控制汽车鸣笛。</w:t>
            </w:r>
          </w:p>
          <w:p>
            <w:pPr>
              <w:pStyle w:val="110"/>
            </w:pPr>
            <w:r>
              <w:rPr>
                <w:rFonts w:hint="eastAsia"/>
                <w:color w:val="000000"/>
              </w:rPr>
              <w:t>5）</w:t>
            </w:r>
            <w:r>
              <w:t>钻井前告知附近居民，加强与附近居民的沟通、协商，征得居民的谅解。</w:t>
            </w:r>
          </w:p>
          <w:p>
            <w:pPr>
              <w:pStyle w:val="110"/>
            </w:pPr>
            <w:r>
              <w:rPr>
                <w:rFonts w:hint="eastAsia"/>
              </w:rPr>
              <w:t>6）在配套设施完善的情况下，</w:t>
            </w:r>
            <w:r>
              <w:t>尽可能选用网电钻机。</w:t>
            </w:r>
          </w:p>
          <w:p>
            <w:pPr>
              <w:pStyle w:val="110"/>
              <w:rPr>
                <w:color w:val="000000"/>
              </w:rPr>
            </w:pPr>
            <w:r>
              <w:rPr>
                <w:rFonts w:hint="eastAsia"/>
              </w:rPr>
              <w:t>7）</w:t>
            </w:r>
            <w:r>
              <w:t>厂界设置彩钢板等隔声措施，减小施工期对周边声环境的影响。</w:t>
            </w:r>
          </w:p>
          <w:p>
            <w:pPr>
              <w:pStyle w:val="110"/>
              <w:rPr>
                <w:color w:val="000000"/>
              </w:rPr>
            </w:pPr>
            <w:r>
              <w:rPr>
                <w:rFonts w:hint="eastAsia"/>
                <w:color w:val="000000"/>
              </w:rPr>
              <w:t>由于钻井期较短，施工噪声随钻井结束即可消失，通过采取上述措施后，项目施工期噪声能够满足</w:t>
            </w:r>
            <w:r>
              <w:rPr>
                <w:color w:val="000000"/>
              </w:rPr>
              <w:t>《建筑施工场界</w:t>
            </w:r>
            <w:r>
              <w:rPr>
                <w:rFonts w:hint="eastAsia"/>
                <w:color w:val="000000"/>
              </w:rPr>
              <w:t>环境</w:t>
            </w:r>
            <w:r>
              <w:rPr>
                <w:color w:val="000000"/>
              </w:rPr>
              <w:t>噪声</w:t>
            </w:r>
            <w:r>
              <w:rPr>
                <w:rFonts w:hint="eastAsia"/>
                <w:color w:val="000000"/>
              </w:rPr>
              <w:t>排放标准</w:t>
            </w:r>
            <w:r>
              <w:rPr>
                <w:color w:val="000000"/>
              </w:rPr>
              <w:t>》（GB</w:t>
            </w:r>
            <w:r>
              <w:rPr>
                <w:rFonts w:hint="eastAsia"/>
                <w:color w:val="000000"/>
              </w:rPr>
              <w:t xml:space="preserve"> </w:t>
            </w:r>
            <w:r>
              <w:rPr>
                <w:color w:val="000000"/>
              </w:rPr>
              <w:t>12523-</w:t>
            </w:r>
            <w:r>
              <w:rPr>
                <w:rFonts w:hint="eastAsia"/>
                <w:color w:val="000000"/>
              </w:rPr>
              <w:t>2011</w:t>
            </w:r>
            <w:r>
              <w:rPr>
                <w:color w:val="000000"/>
              </w:rPr>
              <w:t>）的要求</w:t>
            </w:r>
            <w:r>
              <w:rPr>
                <w:rFonts w:hint="eastAsia"/>
                <w:color w:val="000000"/>
              </w:rPr>
              <w:t>。因此，施工机械产生噪声对周围环境的影响较小。</w:t>
            </w:r>
          </w:p>
          <w:p>
            <w:pPr>
              <w:pStyle w:val="110"/>
              <w:rPr>
                <w:color w:val="000000"/>
              </w:rPr>
            </w:pPr>
          </w:p>
          <w:p>
            <w:pPr>
              <w:pStyle w:val="110"/>
              <w:rPr>
                <w:color w:val="000000"/>
              </w:rPr>
            </w:pPr>
          </w:p>
          <w:p>
            <w:pPr>
              <w:pStyle w:val="110"/>
              <w:rPr>
                <w:color w:val="000000"/>
              </w:rPr>
            </w:pPr>
          </w:p>
          <w:p>
            <w:pPr>
              <w:pStyle w:val="110"/>
              <w:rPr>
                <w:color w:val="000000"/>
              </w:rPr>
            </w:pPr>
          </w:p>
          <w:p>
            <w:pPr>
              <w:pStyle w:val="110"/>
              <w:rPr>
                <w:color w:val="000000"/>
              </w:rPr>
            </w:pPr>
          </w:p>
          <w:p>
            <w:pPr>
              <w:pStyle w:val="110"/>
              <w:rPr>
                <w:color w:val="000000"/>
              </w:rPr>
            </w:pPr>
          </w:p>
          <w:p>
            <w:pPr>
              <w:pStyle w:val="110"/>
              <w:rPr>
                <w:color w:val="000000"/>
              </w:rPr>
            </w:pPr>
          </w:p>
          <w:p>
            <w:pPr>
              <w:pStyle w:val="110"/>
              <w:rPr>
                <w:color w:val="000000"/>
              </w:rPr>
            </w:pPr>
          </w:p>
          <w:p>
            <w:pPr>
              <w:pStyle w:val="110"/>
              <w:rPr>
                <w:color w:val="000000"/>
              </w:rPr>
            </w:pPr>
          </w:p>
          <w:p>
            <w:pPr>
              <w:pStyle w:val="110"/>
              <w:rPr>
                <w:bCs/>
                <w:color w:val="00000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143" w:hRule="atLeast"/>
          <w:jc w:val="center"/>
        </w:trPr>
        <w:tc>
          <w:tcPr>
            <w:tcW w:w="426" w:type="dxa"/>
            <w:tcMar>
              <w:left w:w="28" w:type="dxa"/>
              <w:right w:w="28" w:type="dxa"/>
            </w:tcMar>
            <w:vAlign w:val="center"/>
          </w:tcPr>
          <w:p>
            <w:pPr>
              <w:pStyle w:val="26"/>
              <w:adjustRightInd w:val="0"/>
              <w:snapToGrid w:val="0"/>
              <w:spacing w:before="0" w:beforeAutospacing="0" w:after="0" w:afterAutospacing="0"/>
              <w:jc w:val="center"/>
              <w:rPr>
                <w:rFonts w:cs="宋体"/>
                <w:bCs/>
                <w:color w:val="000000"/>
                <w:kern w:val="2"/>
                <w:sz w:val="21"/>
                <w:szCs w:val="21"/>
              </w:rPr>
            </w:pPr>
            <w:r>
              <w:rPr>
                <w:rFonts w:hint="eastAsia" w:cs="宋体"/>
                <w:bCs/>
                <w:color w:val="000000"/>
                <w:spacing w:val="10"/>
                <w:kern w:val="2"/>
                <w:sz w:val="21"/>
                <w:szCs w:val="21"/>
              </w:rPr>
              <w:t>运营期生态环境影响分析</w:t>
            </w:r>
          </w:p>
        </w:tc>
        <w:tc>
          <w:tcPr>
            <w:tcW w:w="7860" w:type="dxa"/>
            <w:vAlign w:val="center"/>
          </w:tcPr>
          <w:p>
            <w:pPr>
              <w:pStyle w:val="110"/>
              <w:rPr>
                <w:snapToGrid w:val="0"/>
                <w:color w:val="000000"/>
              </w:rPr>
            </w:pPr>
            <w:r>
              <w:rPr>
                <w:rFonts w:hint="eastAsia"/>
                <w:snapToGrid w:val="0"/>
                <w:color w:val="000000"/>
              </w:rPr>
              <w:t>由于本项目部署3口勘探井，不涉及油气生产开采等工艺，本次探井若转为生产井，则须重新进行环境影响评价，对其环境影响进行分析预测，并提出相应的保护措施，因此本报告不对其运营期环境影响进行评价，但对闭井期的环境影响进行分析。</w:t>
            </w:r>
          </w:p>
          <w:p>
            <w:pPr>
              <w:pStyle w:val="110"/>
              <w:rPr>
                <w:color w:val="000000"/>
              </w:rPr>
            </w:pPr>
            <w:r>
              <w:rPr>
                <w:rFonts w:hint="eastAsia"/>
                <w:color w:val="000000"/>
              </w:rPr>
              <w:t>取芯等任务结束后，进行永久封井（向井管内全程灌注高密度水泥），</w:t>
            </w:r>
            <w:r>
              <w:rPr>
                <w:rFonts w:hint="eastAsia"/>
                <w:color w:val="000000"/>
                <w:kern w:val="0"/>
              </w:rPr>
              <w:t>具体做法是拆除地表井台水泥基础，地表无遗留</w:t>
            </w:r>
            <w:r>
              <w:rPr>
                <w:rFonts w:hint="eastAsia"/>
                <w:color w:val="000000"/>
              </w:rPr>
              <w:t>。</w:t>
            </w:r>
            <w:r>
              <w:rPr>
                <w:color w:val="000000"/>
              </w:rPr>
              <w:t>同时根据</w:t>
            </w:r>
            <w:r>
              <w:rPr>
                <w:rFonts w:hint="eastAsia"/>
                <w:color w:val="000000"/>
              </w:rPr>
              <w:t>《土地复垦条例》（2011年3月5日）</w:t>
            </w:r>
            <w:r>
              <w:rPr>
                <w:color w:val="000000"/>
              </w:rPr>
              <w:t>，编制土地利用复垦方案，对井场临时占地进行土地复垦，土地复垦应当坚持科学规划、因地制宜、综合治理、经济可行、合理利用的原则，应因地制宜地建立植被与恢复体系，同时遵循破坏土地与周边现状保持一致的原则</w:t>
            </w:r>
            <w:r>
              <w:rPr>
                <w:rFonts w:hint="eastAsia"/>
                <w:color w:val="000000"/>
              </w:rPr>
              <w:t>。</w:t>
            </w:r>
          </w:p>
          <w:p>
            <w:pPr>
              <w:pStyle w:val="110"/>
              <w:rPr>
                <w:color w:val="000000"/>
              </w:rPr>
            </w:pPr>
            <w:r>
              <w:rPr>
                <w:rFonts w:hint="eastAsia"/>
                <w:color w:val="000000"/>
              </w:rPr>
              <w:t>封井完成后，对钻井时产生的各种废弃物进行彻底清理，做到“工完、料尽、场地清”。将施工队伍使用的活动钢木基础、其他设备和活动营房拉走。及时对施工场地进行平整，尽量利用井场及临时道路施工时产生的表层土对临时占地进行覆盖，覆盖厚度根据植被恢复类型和场地用途决定；施工结束后地表植被自然恢复，临时占地内植被在未来3年～5年时间内通过自然降水及温度等因素得以恢复。</w:t>
            </w:r>
          </w:p>
          <w:p>
            <w:pPr>
              <w:pStyle w:val="110"/>
              <w:rPr>
                <w:color w:val="000000"/>
              </w:rPr>
            </w:pPr>
            <w:r>
              <w:rPr>
                <w:rFonts w:hint="eastAsia"/>
                <w:color w:val="000000"/>
              </w:rPr>
              <w:t>闭井</w:t>
            </w:r>
            <w:r>
              <w:rPr>
                <w:color w:val="000000"/>
              </w:rPr>
              <w:t>期，</w:t>
            </w:r>
            <w:r>
              <w:rPr>
                <w:rFonts w:hint="eastAsia"/>
                <w:color w:val="000000"/>
              </w:rPr>
              <w:t>井场和道路临时</w:t>
            </w:r>
            <w:r>
              <w:rPr>
                <w:color w:val="000000"/>
              </w:rPr>
              <w:t>占地</w:t>
            </w:r>
            <w:r>
              <w:rPr>
                <w:rFonts w:hint="eastAsia"/>
                <w:color w:val="000000"/>
              </w:rPr>
              <w:t>通过</w:t>
            </w:r>
            <w:r>
              <w:rPr>
                <w:color w:val="000000"/>
              </w:rPr>
              <w:t>采取</w:t>
            </w:r>
            <w:r>
              <w:rPr>
                <w:rFonts w:hint="eastAsia"/>
                <w:color w:val="000000"/>
              </w:rPr>
              <w:t>土地复垦</w:t>
            </w:r>
            <w:r>
              <w:rPr>
                <w:color w:val="000000"/>
              </w:rPr>
              <w:t>、植被恢复措施后，井场和道路均</w:t>
            </w:r>
            <w:r>
              <w:rPr>
                <w:rFonts w:hint="eastAsia"/>
                <w:color w:val="000000"/>
              </w:rPr>
              <w:t>可</w:t>
            </w:r>
            <w:r>
              <w:rPr>
                <w:color w:val="000000"/>
              </w:rPr>
              <w:t>恢复原貌，人工建筑物的拆除，使项目区内人工景观比例下降，有助于改善区域</w:t>
            </w:r>
            <w:r>
              <w:rPr>
                <w:rFonts w:hint="eastAsia"/>
                <w:color w:val="000000"/>
              </w:rPr>
              <w:t>生态</w:t>
            </w:r>
            <w:r>
              <w:rPr>
                <w:color w:val="000000"/>
              </w:rPr>
              <w:t>环境</w:t>
            </w:r>
            <w:r>
              <w:rPr>
                <w:rFonts w:hint="eastAsia"/>
                <w:color w:val="000000"/>
              </w:rPr>
              <w:t>质量。</w:t>
            </w:r>
          </w:p>
          <w:p>
            <w:pPr>
              <w:pStyle w:val="110"/>
              <w:rPr>
                <w:color w:val="000000"/>
              </w:rPr>
            </w:pPr>
          </w:p>
          <w:p>
            <w:pPr>
              <w:pStyle w:val="110"/>
              <w:rPr>
                <w:color w:val="000000"/>
              </w:rPr>
            </w:pPr>
          </w:p>
          <w:p>
            <w:pPr>
              <w:pStyle w:val="110"/>
              <w:rPr>
                <w:color w:val="000000"/>
              </w:rPr>
            </w:pPr>
          </w:p>
          <w:p>
            <w:pPr>
              <w:pStyle w:val="110"/>
              <w:rPr>
                <w:color w:val="000000"/>
              </w:rPr>
            </w:pPr>
          </w:p>
          <w:p>
            <w:pPr>
              <w:pStyle w:val="110"/>
              <w:rPr>
                <w:color w:val="000000"/>
              </w:rPr>
            </w:pPr>
          </w:p>
          <w:p>
            <w:pPr>
              <w:pStyle w:val="110"/>
              <w:rPr>
                <w:color w:val="000000"/>
              </w:rPr>
            </w:pPr>
          </w:p>
          <w:p>
            <w:pPr>
              <w:pStyle w:val="110"/>
              <w:rPr>
                <w:color w:val="000000"/>
              </w:rPr>
            </w:pPr>
          </w:p>
          <w:p>
            <w:pPr>
              <w:pStyle w:val="110"/>
              <w:rPr>
                <w:color w:val="000000"/>
              </w:rPr>
            </w:pPr>
          </w:p>
          <w:p>
            <w:pPr>
              <w:pStyle w:val="110"/>
              <w:rPr>
                <w:color w:val="000000"/>
              </w:rPr>
            </w:pPr>
          </w:p>
          <w:p>
            <w:pPr>
              <w:pStyle w:val="110"/>
              <w:rPr>
                <w:color w:val="000000"/>
              </w:rPr>
            </w:pPr>
          </w:p>
          <w:p>
            <w:pPr>
              <w:pStyle w:val="110"/>
              <w:rPr>
                <w:color w:val="000000"/>
              </w:rPr>
            </w:pPr>
          </w:p>
          <w:p>
            <w:pPr>
              <w:pStyle w:val="110"/>
              <w:rPr>
                <w:color w:val="000000"/>
              </w:rPr>
            </w:pPr>
          </w:p>
          <w:p>
            <w:pPr>
              <w:pStyle w:val="110"/>
              <w:rPr>
                <w:color w:val="000000"/>
              </w:rPr>
            </w:pPr>
          </w:p>
          <w:p>
            <w:pPr>
              <w:pStyle w:val="110"/>
              <w:rPr>
                <w:color w:val="000000"/>
              </w:rPr>
            </w:pPr>
          </w:p>
          <w:p>
            <w:pPr>
              <w:pStyle w:val="110"/>
              <w:rPr>
                <w:color w:val="000000"/>
              </w:rPr>
            </w:pPr>
          </w:p>
          <w:p>
            <w:pPr>
              <w:pStyle w:val="110"/>
              <w:rPr>
                <w:color w:val="000000"/>
              </w:rPr>
            </w:pPr>
          </w:p>
          <w:p>
            <w:pPr>
              <w:pStyle w:val="110"/>
              <w:rPr>
                <w:color w:val="000000"/>
              </w:rPr>
            </w:pPr>
          </w:p>
          <w:p>
            <w:pPr>
              <w:pStyle w:val="110"/>
              <w:rPr>
                <w:color w:val="000000"/>
              </w:rPr>
            </w:pPr>
          </w:p>
          <w:p>
            <w:pPr>
              <w:pStyle w:val="110"/>
              <w:rPr>
                <w:bCs/>
                <w:color w:val="00000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3740" w:hRule="atLeast"/>
          <w:jc w:val="center"/>
        </w:trPr>
        <w:tc>
          <w:tcPr>
            <w:tcW w:w="426" w:type="dxa"/>
            <w:vAlign w:val="center"/>
          </w:tcPr>
          <w:p>
            <w:pPr>
              <w:pStyle w:val="26"/>
              <w:adjustRightInd w:val="0"/>
              <w:snapToGrid w:val="0"/>
              <w:spacing w:before="0" w:beforeAutospacing="0" w:after="0" w:afterAutospacing="0"/>
              <w:jc w:val="center"/>
              <w:rPr>
                <w:rFonts w:cs="宋体"/>
                <w:bCs/>
                <w:color w:val="000000"/>
                <w:kern w:val="2"/>
                <w:sz w:val="21"/>
                <w:szCs w:val="21"/>
              </w:rPr>
            </w:pPr>
            <w:r>
              <w:rPr>
                <w:rFonts w:hint="eastAsia" w:cs="宋体"/>
                <w:bCs/>
                <w:color w:val="000000"/>
                <w:kern w:val="2"/>
                <w:sz w:val="21"/>
                <w:szCs w:val="21"/>
              </w:rPr>
              <w:t>选址选线环境合理性分析</w:t>
            </w:r>
          </w:p>
        </w:tc>
        <w:tc>
          <w:tcPr>
            <w:tcW w:w="7860" w:type="dxa"/>
            <w:vAlign w:val="center"/>
          </w:tcPr>
          <w:p>
            <w:pPr>
              <w:pStyle w:val="110"/>
              <w:rPr>
                <w:color w:val="000000"/>
              </w:rPr>
            </w:pPr>
            <w:r>
              <w:rPr>
                <w:rFonts w:hint="eastAsia"/>
                <w:color w:val="000000"/>
              </w:rPr>
              <w:t>1、拟使用林地现状情况</w:t>
            </w:r>
          </w:p>
          <w:p>
            <w:pPr>
              <w:pStyle w:val="110"/>
              <w:rPr>
                <w:color w:val="000000"/>
              </w:rPr>
            </w:pPr>
            <w:r>
              <w:rPr>
                <w:rFonts w:hint="eastAsia"/>
                <w:color w:val="000000"/>
              </w:rPr>
              <w:t>根据建设单位提供的钻井工程设计方案，本项目选址位于</w:t>
            </w:r>
            <w:r>
              <w:rPr>
                <w:rFonts w:hint="eastAsia"/>
              </w:rPr>
              <w:t>新疆维吾尔自治区昌吉回族自治州阜康市、吉木萨尔县</w:t>
            </w:r>
            <w:r>
              <w:rPr>
                <w:rFonts w:hint="eastAsia"/>
                <w:color w:val="000000"/>
              </w:rPr>
              <w:t>。项目总占地面积为</w:t>
            </w:r>
            <w:r>
              <w:rPr>
                <w:rFonts w:hint="eastAsia"/>
              </w:rPr>
              <w:t>11092</w:t>
            </w:r>
            <w:r>
              <w:rPr>
                <w:rFonts w:hint="eastAsia"/>
                <w:color w:val="000000"/>
              </w:rPr>
              <w:t>m</w:t>
            </w:r>
            <w:r>
              <w:rPr>
                <w:rFonts w:hint="eastAsia"/>
                <w:color w:val="000000"/>
                <w:vertAlign w:val="superscript"/>
              </w:rPr>
              <w:t>2</w:t>
            </w:r>
            <w:r>
              <w:rPr>
                <w:rFonts w:hint="eastAsia"/>
                <w:color w:val="000000"/>
              </w:rPr>
              <w:t>，均为临时占地，其中林地占用面积为</w:t>
            </w:r>
            <w:r>
              <w:rPr>
                <w:rFonts w:hint="eastAsia"/>
              </w:rPr>
              <w:t>2188</w:t>
            </w:r>
            <w:r>
              <w:rPr>
                <w:rFonts w:hint="eastAsia"/>
                <w:color w:val="000000"/>
              </w:rPr>
              <w:t>m</w:t>
            </w:r>
            <w:r>
              <w:rPr>
                <w:rFonts w:hint="eastAsia"/>
                <w:color w:val="000000"/>
                <w:vertAlign w:val="superscript"/>
              </w:rPr>
              <w:t>2</w:t>
            </w:r>
            <w:r>
              <w:rPr>
                <w:rFonts w:hint="eastAsia"/>
                <w:color w:val="000000"/>
              </w:rPr>
              <w:t>；项目拟使用林地归属吉木萨尔县林业和草原局管辖林区，不涉及自然保护区、风景名胜区、森林公园、重要湿地及人群密集区等生态敏感区域。</w:t>
            </w:r>
          </w:p>
          <w:p>
            <w:pPr>
              <w:pStyle w:val="110"/>
              <w:rPr>
                <w:color w:val="000000"/>
              </w:rPr>
            </w:pPr>
            <w:r>
              <w:rPr>
                <w:rFonts w:hint="eastAsia"/>
                <w:color w:val="000000"/>
              </w:rPr>
              <w:t>2、使用林地可行性分析</w:t>
            </w:r>
          </w:p>
          <w:p>
            <w:pPr>
              <w:pStyle w:val="110"/>
              <w:rPr>
                <w:color w:val="000000"/>
              </w:rPr>
            </w:pPr>
            <w:r>
              <w:rPr>
                <w:rFonts w:hint="eastAsia"/>
                <w:color w:val="000000"/>
              </w:rPr>
              <w:t>1）项目建设必要性分析</w:t>
            </w:r>
          </w:p>
          <w:p>
            <w:pPr>
              <w:pStyle w:val="110"/>
              <w:rPr>
                <w:color w:val="000000"/>
              </w:rPr>
            </w:pPr>
            <w:r>
              <w:rPr>
                <w:rFonts w:hint="eastAsia"/>
                <w:color w:val="000000"/>
              </w:rPr>
              <w:t>石油作为战略性物资，与国民经济的发展、国防和人们生活的关系极大。为了保证国家石油战略安全，石油进口依赖度将保持在</w:t>
            </w:r>
            <w:r>
              <w:rPr>
                <w:color w:val="000000"/>
              </w:rPr>
              <w:t>70%</w:t>
            </w:r>
            <w:r>
              <w:rPr>
                <w:rFonts w:hint="eastAsia"/>
                <w:color w:val="000000"/>
              </w:rPr>
              <w:t>左右，将加大国内勘探开发力度、建设石油战略储备、进口来源多元化。国家和地方先后出台了有关国土资源开发优惠政策和相应配套的各种费用征收管理办法、审核审批管理办法以及规范，中石化新疆新春石油开发有限责任公司下达了各年度油气开发生产任务，并作了总体部署，为保证国家石油战略安全和新疆经济建设的发展做出应有贡献。因此，从国家总体利益出发，配合国家重点项目的实施，石油勘探开发建设使用林地是完全必要的。</w:t>
            </w:r>
          </w:p>
          <w:p>
            <w:pPr>
              <w:pStyle w:val="110"/>
              <w:rPr>
                <w:color w:val="000000"/>
              </w:rPr>
            </w:pPr>
            <w:r>
              <w:rPr>
                <w:rFonts w:hint="eastAsia"/>
                <w:color w:val="000000"/>
              </w:rPr>
              <w:t>2）占用</w:t>
            </w:r>
            <w:r>
              <w:rPr>
                <w:color w:val="000000"/>
              </w:rPr>
              <w:t>公益林</w:t>
            </w:r>
            <w:r>
              <w:rPr>
                <w:rFonts w:hint="eastAsia"/>
                <w:color w:val="000000"/>
              </w:rPr>
              <w:t>管理要求</w:t>
            </w:r>
          </w:p>
          <w:p>
            <w:pPr>
              <w:pStyle w:val="110"/>
              <w:rPr>
                <w:iCs/>
                <w:color w:val="000000"/>
              </w:rPr>
            </w:pPr>
            <w:r>
              <w:rPr>
                <w:rFonts w:hint="eastAsia"/>
                <w:iCs/>
                <w:color w:val="000000"/>
              </w:rPr>
              <w:t>根据《</w:t>
            </w:r>
            <w:r>
              <w:rPr>
                <w:iCs/>
                <w:color w:val="000000"/>
              </w:rPr>
              <w:t>建设项目使用林地审核审批办法</w:t>
            </w:r>
            <w:r>
              <w:rPr>
                <w:rFonts w:hint="eastAsia"/>
                <w:iCs/>
                <w:color w:val="000000"/>
              </w:rPr>
              <w:t>》</w:t>
            </w:r>
            <w:r>
              <w:rPr>
                <w:iCs/>
                <w:color w:val="000000"/>
              </w:rPr>
              <w:t>(国家林业局令第35号) 第四条</w:t>
            </w:r>
            <w:r>
              <w:rPr>
                <w:rFonts w:hint="eastAsia"/>
                <w:iCs/>
                <w:color w:val="000000"/>
              </w:rPr>
              <w:t>：“</w:t>
            </w:r>
            <w:r>
              <w:rPr>
                <w:iCs/>
                <w:color w:val="000000"/>
              </w:rPr>
              <w:t>占用和临时占用林地的建设项目应当遵守林地分级管理的规定：（</w:t>
            </w:r>
            <w:r>
              <w:rPr>
                <w:rFonts w:hint="eastAsia"/>
                <w:iCs/>
                <w:color w:val="000000"/>
              </w:rPr>
              <w:t>1</w:t>
            </w:r>
            <w:r>
              <w:rPr>
                <w:iCs/>
                <w:color w:val="000000"/>
              </w:rPr>
              <w:t>）各类建设项目不得使用I级保护林地。（</w:t>
            </w:r>
            <w:r>
              <w:rPr>
                <w:rFonts w:hint="eastAsia"/>
                <w:iCs/>
                <w:color w:val="000000"/>
              </w:rPr>
              <w:t>5</w:t>
            </w:r>
            <w:r>
              <w:rPr>
                <w:iCs/>
                <w:color w:val="000000"/>
              </w:rPr>
              <w:t>）战略性新兴产业项目、勘查项目、大中型矿山、符合相关旅游规划的生态旅游开发项目，可以使用Ⅱ级及其以下保护林地。</w:t>
            </w:r>
            <w:r>
              <w:rPr>
                <w:rFonts w:hint="eastAsia"/>
                <w:iCs/>
                <w:color w:val="000000"/>
              </w:rPr>
              <w:t>”</w:t>
            </w:r>
          </w:p>
          <w:p>
            <w:pPr>
              <w:pStyle w:val="110"/>
              <w:rPr>
                <w:color w:val="000000"/>
              </w:rPr>
            </w:pPr>
            <w:r>
              <w:rPr>
                <w:rFonts w:hint="eastAsia"/>
                <w:iCs/>
                <w:color w:val="000000"/>
              </w:rPr>
              <w:t>建设单位已委托编制</w:t>
            </w:r>
            <w:r>
              <w:rPr>
                <w:rFonts w:hint="eastAsia"/>
                <w:color w:val="000000"/>
              </w:rPr>
              <w:t>建设项目临时占用林地可行性报告，根据调查结果</w:t>
            </w:r>
            <w:r>
              <w:rPr>
                <w:rFonts w:hint="eastAsia"/>
                <w:iCs/>
                <w:color w:val="000000"/>
              </w:rPr>
              <w:t>项目临时占用地方公益林地，不涉及国家一级公益林。</w:t>
            </w:r>
            <w:r>
              <w:rPr>
                <w:rFonts w:hint="eastAsia"/>
                <w:color w:val="000000"/>
              </w:rPr>
              <w:t>目前建设单位</w:t>
            </w:r>
            <w:r>
              <w:rPr>
                <w:rFonts w:hint="eastAsia"/>
                <w:color w:val="000000"/>
                <w:szCs w:val="21"/>
              </w:rPr>
              <w:t>正在办理用地审批手续，</w:t>
            </w:r>
            <w:r>
              <w:rPr>
                <w:rFonts w:hint="eastAsia"/>
                <w:color w:val="000000"/>
              </w:rPr>
              <w:t>建议在施工前按要求办理完成。</w:t>
            </w:r>
          </w:p>
          <w:p>
            <w:pPr>
              <w:pStyle w:val="110"/>
              <w:rPr>
                <w:color w:val="000000"/>
              </w:rPr>
            </w:pPr>
            <w:r>
              <w:rPr>
                <w:color w:val="000000"/>
              </w:rPr>
              <w:t>3</w:t>
            </w:r>
            <w:r>
              <w:rPr>
                <w:rFonts w:hint="eastAsia"/>
                <w:color w:val="000000"/>
              </w:rPr>
              <w:t>）征地补偿</w:t>
            </w:r>
          </w:p>
          <w:p>
            <w:pPr>
              <w:pStyle w:val="110"/>
              <w:rPr>
                <w:color w:val="000000"/>
                <w:szCs w:val="21"/>
              </w:rPr>
            </w:pPr>
            <w:r>
              <w:rPr>
                <w:rFonts w:hint="eastAsia"/>
                <w:color w:val="000000"/>
              </w:rPr>
              <w:t>因项目占地造成的植被损失应</w:t>
            </w:r>
            <w:r>
              <w:rPr>
                <w:rFonts w:hint="eastAsia"/>
                <w:color w:val="000000"/>
                <w:szCs w:val="21"/>
              </w:rPr>
              <w:t>按规定进行经济补偿，对无法避让而占毁的梭梭等自治区一级保护野生植物应按照《新疆维吾尔自治区野生植物保护条例》（2018年9月21日）等相关法律法规做到“占一补一”，对所占植被进行恢复。根据《自治区财政厅 林业厅关于印发&lt;新疆维吾尔自治区森林植被恢复费征收使用管理实施细则&gt;的通知》（新财非税[</w:t>
            </w:r>
            <w:r>
              <w:rPr>
                <w:color w:val="000000"/>
                <w:szCs w:val="21"/>
              </w:rPr>
              <w:t>2011]</w:t>
            </w:r>
            <w:r>
              <w:rPr>
                <w:rFonts w:hint="eastAsia"/>
                <w:color w:val="000000"/>
                <w:szCs w:val="21"/>
              </w:rPr>
              <w:t>34号）和《自治区财政厅林业厅关于调整自治区森林植被恢复费征收标准等有关问题的通知》（新财非税[</w:t>
            </w:r>
            <w:r>
              <w:rPr>
                <w:color w:val="000000"/>
                <w:szCs w:val="21"/>
              </w:rPr>
              <w:t>2016]</w:t>
            </w:r>
            <w:r>
              <w:rPr>
                <w:rFonts w:hint="eastAsia"/>
                <w:color w:val="000000"/>
                <w:szCs w:val="21"/>
              </w:rPr>
              <w:t>22号）相关规定，“用地单位应当按照本办法规定向县级以上林业主管部门预缴森林植被恢复费”、“县级以上林业主管部门应当按照规定编制森林植被恢复费收支预决算报同级财政部门审核，并按照批准的预算以及财政部门核拨的资金安排使用”、“森林植被恢复费用专项用于林业主管部门组织的恢复森林植被、植树造林，包括调查规划设计、整地、造林、抚育、护林防火、病虫害防治、资源管护等开支，不得平调、截留或挪作他用”。本工程植被恢复费用由建设单位按规定向林业主管部门缴纳，具体补种及植被恢复由林业主管部门负责实施。</w:t>
            </w:r>
          </w:p>
          <w:p>
            <w:pPr>
              <w:pStyle w:val="110"/>
              <w:rPr>
                <w:color w:val="000000"/>
                <w:szCs w:val="21"/>
              </w:rPr>
            </w:pPr>
            <w:bookmarkStart w:id="33" w:name="_Hlk55824183"/>
            <w:r>
              <w:rPr>
                <w:rFonts w:hint="eastAsia"/>
                <w:color w:val="000000"/>
                <w:szCs w:val="21"/>
              </w:rPr>
              <w:t>根据《中华人民共和国森林法》（</w:t>
            </w:r>
            <w:r>
              <w:rPr>
                <w:color w:val="000000"/>
                <w:kern w:val="0"/>
              </w:rPr>
              <w:t>2020</w:t>
            </w:r>
            <w:r>
              <w:rPr>
                <w:rFonts w:hint="eastAsia"/>
                <w:color w:val="000000"/>
                <w:kern w:val="0"/>
              </w:rPr>
              <w:t>年</w:t>
            </w:r>
            <w:r>
              <w:rPr>
                <w:color w:val="000000"/>
                <w:kern w:val="0"/>
              </w:rPr>
              <w:t>7</w:t>
            </w:r>
            <w:r>
              <w:rPr>
                <w:rFonts w:hint="eastAsia"/>
                <w:color w:val="000000"/>
                <w:kern w:val="0"/>
              </w:rPr>
              <w:t>月</w:t>
            </w:r>
            <w:r>
              <w:rPr>
                <w:color w:val="000000"/>
                <w:kern w:val="0"/>
              </w:rPr>
              <w:t>1</w:t>
            </w:r>
            <w:r>
              <w:rPr>
                <w:rFonts w:hint="eastAsia"/>
                <w:color w:val="000000"/>
                <w:kern w:val="0"/>
              </w:rPr>
              <w:t>日</w:t>
            </w:r>
            <w:r>
              <w:rPr>
                <w:rFonts w:hint="eastAsia"/>
                <w:color w:val="000000"/>
                <w:szCs w:val="21"/>
              </w:rPr>
              <w:t>）第三十七条规定：“矿藏勘查、开采以及其他各类工程建设，应当不占或者少占林地；确需占用林地的，应当经县级以上人民政府林业主管部门审核同意，依法办理建设用地审批手续。占用林地的单位应当缴纳森林植被恢复费。森林植被恢复费征收使用管理办法由国务院财政部门会同林业主管部门制定。</w:t>
            </w:r>
          </w:p>
          <w:p>
            <w:pPr>
              <w:pStyle w:val="110"/>
              <w:rPr>
                <w:color w:val="000000"/>
                <w:szCs w:val="21"/>
              </w:rPr>
            </w:pPr>
            <w:r>
              <w:rPr>
                <w:rFonts w:hint="eastAsia"/>
                <w:color w:val="000000"/>
                <w:szCs w:val="21"/>
              </w:rPr>
              <w:t>县级以上人民政府林业主管部门应当按照规定安排植树造林，恢复森林植被，植树造林面积不得少于因占用林地而减少的森林植被面积。上级林业主管部门应当定期督促下级林业主管部门组织植树造林、恢复森林植被，并进行检查。”</w:t>
            </w:r>
          </w:p>
          <w:p>
            <w:pPr>
              <w:pStyle w:val="110"/>
              <w:rPr>
                <w:color w:val="000000"/>
                <w:szCs w:val="21"/>
              </w:rPr>
            </w:pPr>
            <w:r>
              <w:rPr>
                <w:rFonts w:hint="eastAsia"/>
                <w:color w:val="000000"/>
                <w:szCs w:val="21"/>
              </w:rPr>
              <w:t>第三十八条规定：“临时使用林地的期限一般不超过二年，并不得在临时使用的林地上修建永久性建筑物。临时使用林地期满后一年内，用地单位或者个人应当恢复植被和林业生产条件。”</w:t>
            </w:r>
          </w:p>
          <w:p>
            <w:pPr>
              <w:pStyle w:val="110"/>
              <w:rPr>
                <w:color w:val="000000"/>
                <w:szCs w:val="21"/>
              </w:rPr>
            </w:pPr>
            <w:r>
              <w:rPr>
                <w:rFonts w:hint="eastAsia"/>
                <w:color w:val="000000"/>
                <w:szCs w:val="21"/>
              </w:rPr>
              <w:t>综上所述，本项目占地应依法办理建设用地审批手续，缴纳森林植被恢复费用，具体植被恢复由县级以上人民政府林业主管部门安排植树造林，恢复森林植被，植树造林面积不得少于因占用林地而减少的森林植被面积。不得在临时占地范围内建设永久建筑物，临时使用林地期满后一年内，建设单位应当恢复植被和林业生产条件，以便植被自然恢复</w:t>
            </w:r>
            <w:bookmarkEnd w:id="33"/>
            <w:r>
              <w:rPr>
                <w:rFonts w:hint="eastAsia"/>
                <w:color w:val="000000"/>
                <w:szCs w:val="21"/>
              </w:rPr>
              <w:t>。</w:t>
            </w:r>
          </w:p>
          <w:p>
            <w:pPr>
              <w:pStyle w:val="110"/>
              <w:rPr>
                <w:color w:val="000000"/>
                <w:szCs w:val="21"/>
              </w:rPr>
            </w:pPr>
            <w:r>
              <w:rPr>
                <w:rFonts w:hint="eastAsia"/>
                <w:color w:val="000000"/>
                <w:szCs w:val="21"/>
              </w:rPr>
              <w:t>4）保障措施</w:t>
            </w:r>
          </w:p>
          <w:p>
            <w:pPr>
              <w:pStyle w:val="110"/>
              <w:rPr>
                <w:color w:val="000000"/>
                <w:szCs w:val="21"/>
              </w:rPr>
            </w:pPr>
            <w:r>
              <w:rPr>
                <w:rFonts w:hint="eastAsia"/>
                <w:color w:val="000000"/>
                <w:szCs w:val="21"/>
              </w:rPr>
              <w:t>（1）在水土保持方面，按设计要求做好线路两侧自然环境保护及水源保护地的保护，将不利影响减到最低限度。防护取弃土场，防止造成新的水土流失源。</w:t>
            </w:r>
          </w:p>
          <w:p>
            <w:pPr>
              <w:pStyle w:val="110"/>
              <w:rPr>
                <w:color w:val="000000"/>
                <w:szCs w:val="21"/>
              </w:rPr>
            </w:pPr>
            <w:r>
              <w:rPr>
                <w:rFonts w:hint="eastAsia"/>
                <w:color w:val="000000"/>
                <w:szCs w:val="21"/>
              </w:rPr>
              <w:t>（2）在生物多样性保护方面，应采取封闭式文明作业，不许破坏作业区界限外的林木及林下植被；如施工过程中发现珍惜保护物种，应及时通知当地林业主管部门，采取异地迁移保护措施；空旷地多植树造林，尽量保护原有植被，减少破坏。项目建设的各种工程应以保护生物多样性为前提来进行。</w:t>
            </w:r>
          </w:p>
          <w:p>
            <w:pPr>
              <w:pStyle w:val="110"/>
              <w:rPr>
                <w:color w:val="000000"/>
                <w:szCs w:val="21"/>
              </w:rPr>
            </w:pPr>
            <w:r>
              <w:rPr>
                <w:rFonts w:hint="eastAsia"/>
                <w:color w:val="000000"/>
                <w:szCs w:val="21"/>
              </w:rPr>
              <w:t>（3）在生态环境保护方面，通过实施生态恢复治理措施，本项目的污染被减小，局部生态环境得到改善和恢复，详见本报告五、主要生态环境保护措施。</w:t>
            </w:r>
          </w:p>
          <w:p>
            <w:pPr>
              <w:pStyle w:val="110"/>
              <w:rPr>
                <w:color w:val="000000"/>
                <w:szCs w:val="21"/>
              </w:rPr>
            </w:pPr>
            <w:r>
              <w:rPr>
                <w:rFonts w:hint="eastAsia"/>
                <w:color w:val="000000"/>
                <w:szCs w:val="21"/>
              </w:rPr>
              <w:t>（4）在生态效能保护措施方面，合理安排施工顺序与时间，合理规划施工用地，减少对环境的影响，环保与施工同步，回复措施紧跟，施工中保护施工界外的地表植物。</w:t>
            </w:r>
          </w:p>
          <w:p>
            <w:pPr>
              <w:pStyle w:val="110"/>
              <w:rPr>
                <w:color w:val="000000"/>
                <w:szCs w:val="21"/>
              </w:rPr>
            </w:pPr>
            <w:r>
              <w:rPr>
                <w:rFonts w:hint="eastAsia"/>
                <w:color w:val="000000"/>
                <w:szCs w:val="21"/>
              </w:rPr>
              <w:t>（5）在林地林木管理方面，项目区内存在自治区级重点保护植物梭梭，应采取相应保护措施。施工进场前，应加强对施工人员的野生植物保护宣传教育在工作，施工过程中，要严禁乱砍滥伐，随意碾压破坏。</w:t>
            </w:r>
          </w:p>
          <w:p>
            <w:pPr>
              <w:pStyle w:val="110"/>
              <w:rPr>
                <w:color w:val="000000"/>
              </w:rPr>
            </w:pPr>
            <w:r>
              <w:rPr>
                <w:color w:val="000000"/>
              </w:rPr>
              <w:t>3</w:t>
            </w:r>
            <w:r>
              <w:rPr>
                <w:rFonts w:hint="eastAsia"/>
                <w:color w:val="000000"/>
              </w:rPr>
              <w:t>、选址合理性总结论</w:t>
            </w:r>
          </w:p>
          <w:p>
            <w:pPr>
              <w:pStyle w:val="110"/>
              <w:rPr>
                <w:color w:val="000000"/>
              </w:rPr>
            </w:pPr>
            <w:r>
              <w:rPr>
                <w:rFonts w:hint="eastAsia"/>
                <w:color w:val="000000"/>
              </w:rPr>
              <w:t>项目拟使用林地立项依据充分，建设条件具备，技术措施可行；拟使用林地对项目区经济和社会发展的正面影响是主要的，但也会对项目区环境和林业发展造成一定的负面影响，通过建设单位拟定的相关预防和保护措施的逐一落实，严格执行国家的有关政策法规、技术标准和规程规范，将得到有效地缓解和一定程度的恢复。</w:t>
            </w:r>
          </w:p>
          <w:p>
            <w:pPr>
              <w:pStyle w:val="110"/>
              <w:rPr>
                <w:color w:val="000000"/>
              </w:rPr>
            </w:pPr>
            <w:r>
              <w:rPr>
                <w:rFonts w:hint="eastAsia"/>
                <w:color w:val="000000"/>
              </w:rPr>
              <w:t>项目在勘察选址时就本着少占林地的原则，并对方案进行了比选和优化，经综合论证，现方案比较合理，使用林地面积少；施工区及各类建筑物尽量避让盖度较高的灌木林地，最大限度地减少了占用林地的面积，使用林地面积达到最小。</w:t>
            </w:r>
          </w:p>
          <w:p>
            <w:pPr>
              <w:pStyle w:val="110"/>
              <w:rPr>
                <w:color w:val="000000"/>
              </w:rPr>
            </w:pPr>
          </w:p>
        </w:tc>
      </w:tr>
    </w:tbl>
    <w:p>
      <w:pPr>
        <w:pStyle w:val="26"/>
        <w:jc w:val="center"/>
        <w:rPr>
          <w:rFonts w:ascii="黑体" w:hAnsi="黑体" w:eastAsia="黑体"/>
          <w:snapToGrid w:val="0"/>
          <w:color w:val="000000"/>
          <w:sz w:val="36"/>
          <w:szCs w:val="36"/>
        </w:rPr>
        <w:sectPr>
          <w:pgSz w:w="11906" w:h="16838"/>
          <w:pgMar w:top="1440" w:right="1800" w:bottom="1440" w:left="1800" w:header="851" w:footer="1077" w:gutter="0"/>
          <w:cols w:space="425" w:num="1"/>
          <w:docGrid w:linePitch="312" w:charSpace="0"/>
        </w:sectPr>
      </w:pPr>
    </w:p>
    <w:p>
      <w:pPr>
        <w:pStyle w:val="26"/>
        <w:adjustRightInd w:val="0"/>
        <w:snapToGrid w:val="0"/>
        <w:spacing w:before="0" w:beforeAutospacing="0" w:after="0" w:afterAutospacing="0"/>
        <w:jc w:val="center"/>
        <w:outlineLvl w:val="0"/>
        <w:rPr>
          <w:rFonts w:ascii="黑体" w:hAnsi="黑体" w:eastAsia="黑体"/>
          <w:snapToGrid w:val="0"/>
          <w:color w:val="000000"/>
          <w:sz w:val="30"/>
          <w:szCs w:val="30"/>
        </w:rPr>
      </w:pPr>
      <w:bookmarkStart w:id="34" w:name="_Toc110934648"/>
      <w:r>
        <w:rPr>
          <w:rFonts w:hint="eastAsia" w:ascii="黑体" w:hAnsi="黑体" w:eastAsia="黑体"/>
          <w:snapToGrid w:val="0"/>
          <w:color w:val="000000"/>
          <w:sz w:val="30"/>
          <w:szCs w:val="30"/>
        </w:rPr>
        <w:t>五、主要生态环境保护措施</w:t>
      </w:r>
      <w:bookmarkEnd w:id="34"/>
    </w:p>
    <w:tbl>
      <w:tblPr>
        <w:tblStyle w:val="29"/>
        <w:tblW w:w="8293"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57"/>
        <w:gridCol w:w="763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107" w:hRule="atLeast"/>
          <w:jc w:val="center"/>
        </w:trPr>
        <w:tc>
          <w:tcPr>
            <w:tcW w:w="657" w:type="dxa"/>
            <w:tcMar>
              <w:left w:w="28" w:type="dxa"/>
              <w:right w:w="28" w:type="dxa"/>
            </w:tcMar>
            <w:vAlign w:val="center"/>
          </w:tcPr>
          <w:p>
            <w:pPr>
              <w:adjustRightInd w:val="0"/>
              <w:snapToGrid w:val="0"/>
              <w:jc w:val="center"/>
              <w:rPr>
                <w:rFonts w:ascii="宋体" w:hAnsi="宋体"/>
                <w:bCs/>
                <w:color w:val="000000"/>
                <w:szCs w:val="21"/>
              </w:rPr>
            </w:pPr>
            <w:r>
              <w:rPr>
                <w:rFonts w:hint="eastAsia" w:ascii="宋体" w:hAnsi="宋体" w:cs="宋体"/>
                <w:bCs/>
                <w:color w:val="000000"/>
                <w:spacing w:val="10"/>
                <w:szCs w:val="21"/>
              </w:rPr>
              <w:t>施工期生态环境保护措施</w:t>
            </w:r>
          </w:p>
        </w:tc>
        <w:tc>
          <w:tcPr>
            <w:tcW w:w="7636" w:type="dxa"/>
          </w:tcPr>
          <w:p>
            <w:pPr>
              <w:pStyle w:val="110"/>
              <w:rPr>
                <w:color w:val="000000"/>
              </w:rPr>
            </w:pPr>
            <w:r>
              <w:rPr>
                <w:color w:val="000000"/>
              </w:rPr>
              <w:t>1</w:t>
            </w:r>
            <w:r>
              <w:rPr>
                <w:rFonts w:hint="eastAsia"/>
                <w:color w:val="000000"/>
              </w:rPr>
              <w:t>、生态保护措施</w:t>
            </w:r>
          </w:p>
          <w:p>
            <w:pPr>
              <w:pStyle w:val="110"/>
              <w:rPr>
                <w:color w:val="000000"/>
              </w:rPr>
            </w:pPr>
            <w:r>
              <w:rPr>
                <w:rFonts w:hint="eastAsia"/>
                <w:color w:val="000000"/>
              </w:rPr>
              <w:t>1）道路工程生态保护措施要求</w:t>
            </w:r>
          </w:p>
          <w:p>
            <w:pPr>
              <w:pStyle w:val="110"/>
              <w:rPr>
                <w:color w:val="000000"/>
              </w:rPr>
            </w:pPr>
            <w:r>
              <w:rPr>
                <w:rFonts w:hint="eastAsia"/>
                <w:color w:val="000000"/>
              </w:rPr>
              <w:t>（1）无道路区域作业车辆“一”字形行驶</w:t>
            </w:r>
          </w:p>
          <w:p>
            <w:pPr>
              <w:pStyle w:val="110"/>
              <w:rPr>
                <w:color w:val="000000"/>
              </w:rPr>
            </w:pPr>
            <w:r>
              <w:rPr>
                <w:rFonts w:hint="eastAsia"/>
                <w:color w:val="000000"/>
              </w:rPr>
              <w:t>道路施工时，注意保护原始地表与天然植被，划定施工活动范围，严格控制和管理车辆及重型机械的运行范围，所有车辆采用“一”字形作业法，不得并行开辟新路，以减少风蚀沙化活动的范围。</w:t>
            </w:r>
          </w:p>
          <w:p>
            <w:pPr>
              <w:pStyle w:val="110"/>
              <w:rPr>
                <w:color w:val="000000"/>
              </w:rPr>
            </w:pPr>
            <w:r>
              <w:rPr>
                <w:rFonts w:hint="eastAsia"/>
                <w:color w:val="000000"/>
              </w:rPr>
              <w:t>（2）道路选线过程中应尽量避让植被密集段。</w:t>
            </w:r>
          </w:p>
          <w:p>
            <w:pPr>
              <w:pStyle w:val="110"/>
              <w:rPr>
                <w:color w:val="000000"/>
              </w:rPr>
            </w:pPr>
            <w:r>
              <w:rPr>
                <w:rFonts w:hint="eastAsia"/>
                <w:color w:val="000000"/>
              </w:rPr>
              <w:t>（3）严禁在道路两侧取弃土。</w:t>
            </w:r>
          </w:p>
          <w:p>
            <w:pPr>
              <w:pStyle w:val="110"/>
              <w:rPr>
                <w:color w:val="000000"/>
              </w:rPr>
            </w:pPr>
            <w:r>
              <w:rPr>
                <w:rFonts w:hint="eastAsia"/>
                <w:color w:val="000000"/>
              </w:rPr>
              <w:t>2）井场工程生态保护措施要求</w:t>
            </w:r>
          </w:p>
          <w:p>
            <w:pPr>
              <w:pStyle w:val="110"/>
              <w:rPr>
                <w:color w:val="000000"/>
              </w:rPr>
            </w:pPr>
            <w:r>
              <w:rPr>
                <w:rFonts w:hint="eastAsia"/>
                <w:color w:val="000000"/>
              </w:rPr>
              <w:t>（1）</w:t>
            </w:r>
            <w:r>
              <w:rPr>
                <w:color w:val="000000"/>
              </w:rPr>
              <w:t>施工过程中会产生较大的扬尘，施工现场尽量适时洒水，减少扬尘，施工使用的粉状材料，运输、堆放时应有遮盖。</w:t>
            </w:r>
          </w:p>
          <w:p>
            <w:pPr>
              <w:pStyle w:val="110"/>
              <w:rPr>
                <w:color w:val="000000"/>
              </w:rPr>
            </w:pPr>
            <w:r>
              <w:rPr>
                <w:rFonts w:hint="eastAsia"/>
                <w:color w:val="000000"/>
              </w:rPr>
              <w:t>（2）严格界定施工活动范围，尽可能缩小施工作业区域宽度，</w:t>
            </w:r>
            <w:r>
              <w:rPr>
                <w:color w:val="000000"/>
              </w:rPr>
              <w:t>使用彩条带等措施严格限制施工活动范围</w:t>
            </w:r>
            <w:r>
              <w:rPr>
                <w:rFonts w:hint="eastAsia"/>
                <w:color w:val="000000"/>
              </w:rPr>
              <w:t>。</w:t>
            </w:r>
          </w:p>
          <w:p>
            <w:pPr>
              <w:pStyle w:val="110"/>
              <w:rPr>
                <w:color w:val="000000"/>
              </w:rPr>
            </w:pPr>
            <w:r>
              <w:rPr>
                <w:rFonts w:hint="eastAsia"/>
                <w:color w:val="000000"/>
              </w:rPr>
              <w:t>（3）钻井过程中严格执行钻井生产环境保护管理规定，钻井废水、废弃泥浆采用</w:t>
            </w:r>
            <w:r>
              <w:rPr>
                <w:color w:val="000000"/>
              </w:rPr>
              <w:t>“</w:t>
            </w:r>
            <w:r>
              <w:rPr>
                <w:rFonts w:hint="eastAsia"/>
                <w:color w:val="000000"/>
              </w:rPr>
              <w:t>泥浆不落地</w:t>
            </w:r>
            <w:r>
              <w:rPr>
                <w:color w:val="000000"/>
              </w:rPr>
              <w:t>”</w:t>
            </w:r>
            <w:r>
              <w:rPr>
                <w:rFonts w:hint="eastAsia"/>
                <w:color w:val="000000"/>
              </w:rPr>
              <w:t>设备进行处理。</w:t>
            </w:r>
          </w:p>
          <w:p>
            <w:pPr>
              <w:pStyle w:val="110"/>
              <w:rPr>
                <w:color w:val="000000"/>
              </w:rPr>
            </w:pPr>
            <w:r>
              <w:rPr>
                <w:rFonts w:hint="eastAsia"/>
                <w:color w:val="000000"/>
              </w:rPr>
              <w:t>（4）严格做好防渗处理，并设置规范化的环保标识，防止污染土壤及地下水。</w:t>
            </w:r>
          </w:p>
          <w:p>
            <w:pPr>
              <w:pStyle w:val="110"/>
              <w:rPr>
                <w:color w:val="000000"/>
              </w:rPr>
            </w:pPr>
            <w:r>
              <w:rPr>
                <w:rFonts w:hint="eastAsia"/>
                <w:color w:val="000000"/>
              </w:rPr>
              <w:t>（5）项目建设完成后，对施工场地的废渣及一切废弃物资、设备应及时清理，对工地、料场、取土等地方，使用后应立即恢复原状，完井后井场须平整，做到无油污，无地坑，无三废，确保周围环境无污染。</w:t>
            </w:r>
          </w:p>
          <w:p>
            <w:pPr>
              <w:pStyle w:val="110"/>
              <w:rPr>
                <w:color w:val="000000"/>
              </w:rPr>
            </w:pPr>
            <w:r>
              <w:rPr>
                <w:color w:val="000000"/>
              </w:rPr>
              <w:t>3</w:t>
            </w:r>
            <w:r>
              <w:rPr>
                <w:rFonts w:hint="eastAsia"/>
                <w:color w:val="000000"/>
              </w:rPr>
              <w:t>）对林地、草地的生态保护措施要求</w:t>
            </w:r>
          </w:p>
          <w:p>
            <w:pPr>
              <w:pStyle w:val="110"/>
              <w:rPr>
                <w:color w:val="000000"/>
              </w:rPr>
            </w:pPr>
            <w:r>
              <w:rPr>
                <w:rFonts w:hint="eastAsia"/>
                <w:color w:val="000000"/>
              </w:rPr>
              <w:t>（1）本项目钻井、施工前，应向当地相关主管部门办理征地手续，按照相关法律法规进行补偿和恢复。</w:t>
            </w:r>
          </w:p>
          <w:p>
            <w:pPr>
              <w:pStyle w:val="110"/>
              <w:rPr>
                <w:color w:val="000000"/>
              </w:rPr>
            </w:pPr>
            <w:r>
              <w:rPr>
                <w:rFonts w:hint="eastAsia"/>
                <w:color w:val="000000"/>
              </w:rPr>
              <w:t>（2）本项目在设计选址过程中，尽量避开植被较丰富的区域。对井场、道路临时性占地等合理规划，严格控制占地面积，最大限度减少对植被生存环境的践踏破坏。</w:t>
            </w:r>
          </w:p>
          <w:p>
            <w:pPr>
              <w:pStyle w:val="110"/>
              <w:rPr>
                <w:color w:val="000000"/>
              </w:rPr>
            </w:pPr>
            <w:r>
              <w:rPr>
                <w:rFonts w:hint="eastAsia"/>
                <w:color w:val="000000"/>
              </w:rPr>
              <w:t>（</w:t>
            </w:r>
            <w:r>
              <w:rPr>
                <w:color w:val="000000"/>
              </w:rPr>
              <w:t>3</w:t>
            </w:r>
            <w:r>
              <w:rPr>
                <w:rFonts w:hint="eastAsia"/>
                <w:color w:val="000000"/>
              </w:rPr>
              <w:t>）严格控制和管理车辆及重型机械的运行范围，所有车辆采用“一”字形作业法，避免并行开辟新路，以减少对地表植被的破坏。</w:t>
            </w:r>
          </w:p>
          <w:p>
            <w:pPr>
              <w:pStyle w:val="110"/>
              <w:rPr>
                <w:color w:val="000000"/>
              </w:rPr>
            </w:pPr>
            <w:r>
              <w:rPr>
                <w:rFonts w:hint="eastAsia"/>
                <w:color w:val="000000"/>
              </w:rPr>
              <w:t>（</w:t>
            </w:r>
            <w:r>
              <w:rPr>
                <w:color w:val="000000"/>
              </w:rPr>
              <w:t>4</w:t>
            </w:r>
            <w:r>
              <w:rPr>
                <w:rFonts w:hint="eastAsia"/>
                <w:color w:val="000000"/>
              </w:rPr>
              <w:t>）制定严格的施工操作规范，加强对施工人员的宣传和教育，确保各环保设施正常运行，污水进罐、固体废物填埋，避免各种污染物对土壤环境的影响，甚至进一步影响其上部生长的植被。</w:t>
            </w:r>
          </w:p>
          <w:p>
            <w:pPr>
              <w:pStyle w:val="110"/>
              <w:rPr>
                <w:color w:val="000000"/>
              </w:rPr>
            </w:pPr>
            <w:r>
              <w:rPr>
                <w:rFonts w:hint="eastAsia"/>
                <w:color w:val="000000"/>
              </w:rPr>
              <w:t>4）对特殊植被（梭梭等）的生态保护措施要求</w:t>
            </w:r>
          </w:p>
          <w:p>
            <w:pPr>
              <w:pStyle w:val="110"/>
              <w:rPr>
                <w:color w:val="000000"/>
              </w:rPr>
            </w:pPr>
            <w:r>
              <w:rPr>
                <w:rFonts w:hint="eastAsia"/>
                <w:color w:val="000000"/>
              </w:rPr>
              <w:t>（</w:t>
            </w:r>
            <w:r>
              <w:rPr>
                <w:color w:val="000000"/>
              </w:rPr>
              <w:t>1</w:t>
            </w:r>
            <w:r>
              <w:rPr>
                <w:rFonts w:hint="eastAsia"/>
                <w:color w:val="000000"/>
              </w:rPr>
              <w:t>）施工结束后（恢复期），对工程征占范围内的植被（尤其是梭梭）进行自然恢复，</w:t>
            </w:r>
            <w:r>
              <w:rPr>
                <w:rFonts w:hint="eastAsia"/>
                <w:color w:val="000000"/>
                <w:szCs w:val="21"/>
              </w:rPr>
              <w:t>临时占地内植被在未来3年～5年时间内通过植物生长季节和气象条件等因素进行恢复。恢复后的植被覆盖率不低于区域范围内同类型土地植被覆盖率</w:t>
            </w:r>
            <w:r>
              <w:rPr>
                <w:rFonts w:hint="eastAsia"/>
                <w:color w:val="000000"/>
              </w:rPr>
              <w:t>。</w:t>
            </w:r>
          </w:p>
          <w:p>
            <w:pPr>
              <w:pStyle w:val="110"/>
              <w:rPr>
                <w:color w:val="000000"/>
              </w:rPr>
            </w:pPr>
            <w:r>
              <w:rPr>
                <w:rFonts w:hint="eastAsia"/>
                <w:color w:val="000000"/>
              </w:rPr>
              <w:t>（</w:t>
            </w:r>
            <w:r>
              <w:rPr>
                <w:color w:val="000000"/>
              </w:rPr>
              <w:t>2</w:t>
            </w:r>
            <w:r>
              <w:rPr>
                <w:rFonts w:hint="eastAsia"/>
                <w:color w:val="000000"/>
              </w:rPr>
              <w:t>）施工时若发生井喷事故，事故状态对植被的影响主要分为三种途径，一是原油直接粘附于植物体阻断植物的光合作用，使植物枯萎、死亡；二是污染土壤造成的土壤理性化性状变化间接影响植物生长，严重时会导致植物死亡；三是泄漏物质中的轻组分挥发，在对空气环境产生影响的同时，也对周围植物产生影响。</w:t>
            </w:r>
          </w:p>
          <w:p>
            <w:pPr>
              <w:pStyle w:val="110"/>
              <w:rPr>
                <w:color w:val="000000"/>
              </w:rPr>
            </w:pPr>
            <w:r>
              <w:rPr>
                <w:rFonts w:hint="eastAsia"/>
                <w:color w:val="000000"/>
              </w:rPr>
              <w:t>发生事故后，及时启动应急疏散预案，在保障安全情况下设置林地隔离带，井场配备了消防物资，可及时消灭可能引起的林地火灾；事故后对可能污染的区域进行评估，包括植被和土壤，已受到污染的由有相应处理资质单位转运、处理，污染区土地及植被在事故评估后进行恢复。</w:t>
            </w:r>
          </w:p>
          <w:p>
            <w:pPr>
              <w:pStyle w:val="110"/>
              <w:rPr>
                <w:color w:val="000000"/>
              </w:rPr>
            </w:pPr>
            <w:r>
              <w:rPr>
                <w:rFonts w:hint="eastAsia"/>
                <w:color w:val="000000"/>
              </w:rPr>
              <w:t>建设单位以及施工钻井队结合行业作业规范，设置有专职安全环保管理人员，采取有效风险防范措施尽量避免事故发生，因此事故状态对周边保护植物的影响不大。</w:t>
            </w:r>
          </w:p>
          <w:p>
            <w:pPr>
              <w:pStyle w:val="110"/>
              <w:rPr>
                <w:color w:val="000000"/>
              </w:rPr>
            </w:pPr>
            <w:r>
              <w:rPr>
                <w:color w:val="000000"/>
              </w:rPr>
              <w:t>5</w:t>
            </w:r>
            <w:r>
              <w:rPr>
                <w:rFonts w:hint="eastAsia"/>
                <w:color w:val="000000"/>
              </w:rPr>
              <w:t>）对野生动物的生态保护措施要求</w:t>
            </w:r>
          </w:p>
          <w:p>
            <w:pPr>
              <w:pStyle w:val="110"/>
              <w:rPr>
                <w:color w:val="000000"/>
              </w:rPr>
            </w:pPr>
            <w:r>
              <w:rPr>
                <w:rFonts w:hint="eastAsia"/>
                <w:color w:val="000000"/>
              </w:rPr>
              <w:t>（1）设计选线过程中，最大限度避免破坏野生动物的活动场所和生存环境。</w:t>
            </w:r>
          </w:p>
          <w:p>
            <w:pPr>
              <w:pStyle w:val="110"/>
              <w:rPr>
                <w:color w:val="000000"/>
              </w:rPr>
            </w:pPr>
            <w:r>
              <w:rPr>
                <w:rFonts w:hint="eastAsia"/>
                <w:color w:val="000000"/>
              </w:rPr>
              <w:t>（2）为了更好的保护野生动物，建设单位在项目实施过程中要严格规定工作人员的活动范围，使之限于在施工作业区域范围内活动，尽量不侵扰野生动物的栖息地。</w:t>
            </w:r>
          </w:p>
          <w:p>
            <w:pPr>
              <w:pStyle w:val="110"/>
              <w:rPr>
                <w:color w:val="000000"/>
              </w:rPr>
            </w:pPr>
            <w:r>
              <w:rPr>
                <w:rFonts w:hint="eastAsia"/>
                <w:color w:val="000000"/>
              </w:rPr>
              <w:t>（3）对施工人员开展保护野生动物宣传教育工作，强化保护野生动物的观念，禁止施工人员随意惊吓、捕猎、宰杀野生动物。</w:t>
            </w:r>
          </w:p>
          <w:p>
            <w:pPr>
              <w:pStyle w:val="110"/>
              <w:rPr>
                <w:color w:val="000000"/>
              </w:rPr>
            </w:pPr>
            <w:r>
              <w:rPr>
                <w:rFonts w:hint="eastAsia"/>
                <w:color w:val="000000"/>
              </w:rPr>
              <w:t>（</w:t>
            </w:r>
            <w:r>
              <w:rPr>
                <w:color w:val="000000"/>
              </w:rPr>
              <w:t>4</w:t>
            </w:r>
            <w:r>
              <w:rPr>
                <w:rFonts w:hint="eastAsia"/>
                <w:color w:val="000000"/>
              </w:rPr>
              <w:t>）加强管理，确保各生产设施的正常运行，避免强噪声环境的出现，避免对野生动物的惊扰。</w:t>
            </w:r>
          </w:p>
          <w:p>
            <w:pPr>
              <w:pStyle w:val="110"/>
              <w:rPr>
                <w:color w:val="000000"/>
              </w:rPr>
            </w:pPr>
            <w:r>
              <w:rPr>
                <w:rFonts w:hint="eastAsia"/>
                <w:color w:val="000000"/>
              </w:rPr>
              <w:t>6）防沙治沙保护措施</w:t>
            </w:r>
          </w:p>
          <w:p>
            <w:pPr>
              <w:pStyle w:val="110"/>
              <w:rPr>
                <w:color w:val="000000"/>
              </w:rPr>
            </w:pPr>
            <w:r>
              <w:rPr>
                <w:rFonts w:hint="eastAsia"/>
                <w:color w:val="000000"/>
              </w:rPr>
              <w:t>（</w:t>
            </w:r>
            <w:r>
              <w:rPr>
                <w:color w:val="000000"/>
              </w:rPr>
              <w:t>1）防沙治沙内容及措施：</w:t>
            </w:r>
          </w:p>
          <w:p>
            <w:pPr>
              <w:pStyle w:val="110"/>
              <w:rPr>
                <w:color w:val="000000"/>
              </w:rPr>
            </w:pPr>
            <w:r>
              <w:rPr>
                <w:rFonts w:hint="eastAsia"/>
                <w:color w:val="000000"/>
              </w:rPr>
              <w:t>①</w:t>
            </w:r>
            <w:r>
              <w:rPr>
                <w:color w:val="000000"/>
              </w:rPr>
              <w:t>采取的技术规范、标准</w:t>
            </w:r>
          </w:p>
          <w:p>
            <w:pPr>
              <w:pStyle w:val="110"/>
              <w:rPr>
                <w:color w:val="000000"/>
              </w:rPr>
            </w:pPr>
            <w:r>
              <w:rPr>
                <w:color w:val="000000"/>
              </w:rPr>
              <w:t>a.</w:t>
            </w:r>
            <w:r>
              <w:rPr>
                <w:rFonts w:hint="eastAsia"/>
                <w:color w:val="000000"/>
              </w:rPr>
              <w:t>《中华人民共和国防沙治沙法》（</w:t>
            </w:r>
            <w:r>
              <w:rPr>
                <w:color w:val="000000"/>
              </w:rPr>
              <w:t>2018年10月26日）；</w:t>
            </w:r>
          </w:p>
          <w:p>
            <w:pPr>
              <w:pStyle w:val="110"/>
              <w:rPr>
                <w:color w:val="000000"/>
              </w:rPr>
            </w:pPr>
            <w:r>
              <w:rPr>
                <w:color w:val="000000"/>
              </w:rPr>
              <w:t>b.《关于做好沙区开发建设项目环评中防沙治沙内容评价工作的意见》(林沙发[2013]136号)；</w:t>
            </w:r>
          </w:p>
          <w:p>
            <w:pPr>
              <w:pStyle w:val="110"/>
              <w:rPr>
                <w:color w:val="000000"/>
              </w:rPr>
            </w:pPr>
            <w:r>
              <w:rPr>
                <w:color w:val="000000"/>
              </w:rPr>
              <w:t>c.《关于加强沙区建设项目环境影响评价工作的通知》（新环环评发[2020]138号）；</w:t>
            </w:r>
          </w:p>
          <w:p>
            <w:pPr>
              <w:pStyle w:val="110"/>
              <w:rPr>
                <w:color w:val="000000"/>
              </w:rPr>
            </w:pPr>
            <w:r>
              <w:rPr>
                <w:color w:val="000000"/>
              </w:rPr>
              <w:t>d.《防沙治沙技术规范》（GB/T 21141-2007）</w:t>
            </w:r>
            <w:r>
              <w:rPr>
                <w:rFonts w:hint="eastAsia"/>
                <w:color w:val="000000"/>
              </w:rPr>
              <w:t>。</w:t>
            </w:r>
          </w:p>
          <w:p>
            <w:pPr>
              <w:pStyle w:val="110"/>
              <w:rPr>
                <w:color w:val="000000"/>
              </w:rPr>
            </w:pPr>
            <w:r>
              <w:rPr>
                <w:rFonts w:hint="eastAsia"/>
                <w:color w:val="000000"/>
              </w:rPr>
              <w:t>（</w:t>
            </w:r>
            <w:r>
              <w:rPr>
                <w:color w:val="000000"/>
              </w:rPr>
              <w:t>2）制定方案的原则与目标</w:t>
            </w:r>
          </w:p>
          <w:p>
            <w:pPr>
              <w:pStyle w:val="110"/>
              <w:rPr>
                <w:color w:val="000000"/>
              </w:rPr>
            </w:pPr>
            <w:r>
              <w:rPr>
                <w:color w:val="000000"/>
              </w:rPr>
              <w:t>制定方案的原则：</w:t>
            </w:r>
          </w:p>
          <w:p>
            <w:pPr>
              <w:pStyle w:val="110"/>
              <w:rPr>
                <w:color w:val="000000"/>
              </w:rPr>
            </w:pPr>
            <w:r>
              <w:rPr>
                <w:color w:val="000000"/>
              </w:rPr>
              <w:t>①科学性、前瞻性与可行性相结合；②定性目标与定量指标相结合；③注重生态效益与关注民生、发展产业相结合；④节约用水和合理用水相结合；⑤坚持因地制宜的原则。</w:t>
            </w:r>
          </w:p>
          <w:p>
            <w:pPr>
              <w:pStyle w:val="110"/>
              <w:rPr>
                <w:color w:val="000000"/>
              </w:rPr>
            </w:pPr>
            <w:r>
              <w:rPr>
                <w:color w:val="000000"/>
              </w:rPr>
              <w:t>制定方案的目标：通过</w:t>
            </w:r>
            <w:r>
              <w:rPr>
                <w:rFonts w:hint="eastAsia"/>
                <w:color w:val="000000"/>
              </w:rPr>
              <w:t>项目</w:t>
            </w:r>
            <w:r>
              <w:rPr>
                <w:color w:val="000000"/>
              </w:rPr>
              <w:t>建设，维持区域现有植被覆盖度，区域生态环境</w:t>
            </w:r>
            <w:r>
              <w:rPr>
                <w:rFonts w:hint="eastAsia"/>
                <w:color w:val="000000"/>
              </w:rPr>
              <w:t>质量不降低</w:t>
            </w:r>
            <w:r>
              <w:rPr>
                <w:color w:val="000000"/>
              </w:rPr>
              <w:t>。</w:t>
            </w:r>
          </w:p>
          <w:p>
            <w:pPr>
              <w:pStyle w:val="110"/>
              <w:rPr>
                <w:color w:val="000000"/>
              </w:rPr>
            </w:pPr>
            <w:r>
              <w:rPr>
                <w:rFonts w:hint="eastAsia"/>
                <w:color w:val="000000"/>
              </w:rPr>
              <w:t>（</w:t>
            </w:r>
            <w:r>
              <w:rPr>
                <w:color w:val="000000"/>
              </w:rPr>
              <w:t>3）工程措施</w:t>
            </w:r>
          </w:p>
          <w:p>
            <w:pPr>
              <w:pStyle w:val="110"/>
              <w:rPr>
                <w:color w:val="000000"/>
              </w:rPr>
            </w:pPr>
            <w:r>
              <w:rPr>
                <w:color w:val="000000"/>
              </w:rPr>
              <w:t>本项目不涉及物理、化学固沙及其他机械固沙措施。</w:t>
            </w:r>
          </w:p>
          <w:p>
            <w:pPr>
              <w:pStyle w:val="110"/>
              <w:rPr>
                <w:color w:val="000000"/>
              </w:rPr>
            </w:pPr>
            <w:r>
              <w:rPr>
                <w:rFonts w:hint="eastAsia"/>
                <w:color w:val="000000"/>
              </w:rPr>
              <w:t>（</w:t>
            </w:r>
            <w:r>
              <w:rPr>
                <w:color w:val="000000"/>
              </w:rPr>
              <w:t>4）植物措施</w:t>
            </w:r>
          </w:p>
          <w:p>
            <w:pPr>
              <w:pStyle w:val="110"/>
              <w:rPr>
                <w:color w:val="000000"/>
              </w:rPr>
            </w:pPr>
            <w:r>
              <w:rPr>
                <w:color w:val="000000"/>
              </w:rPr>
              <w:t>①</w:t>
            </w:r>
            <w:r>
              <w:rPr>
                <w:rFonts w:hint="eastAsia"/>
                <w:color w:val="000000"/>
              </w:rPr>
              <w:t>项目</w:t>
            </w:r>
            <w:r>
              <w:rPr>
                <w:color w:val="000000"/>
              </w:rPr>
              <w:t>施工完毕后的3</w:t>
            </w:r>
            <w:r>
              <w:rPr>
                <w:rFonts w:hint="eastAsia"/>
                <w:color w:val="000000"/>
              </w:rPr>
              <w:t>～</w:t>
            </w:r>
            <w:r>
              <w:rPr>
                <w:color w:val="000000"/>
              </w:rPr>
              <w:t>5年内90%的区域自然植被可恢复至施工前状态，对于难以恢复的区域应人工辅助恢复；</w:t>
            </w:r>
          </w:p>
          <w:p>
            <w:pPr>
              <w:pStyle w:val="110"/>
              <w:rPr>
                <w:color w:val="000000"/>
              </w:rPr>
            </w:pPr>
            <w:r>
              <w:rPr>
                <w:color w:val="000000"/>
              </w:rPr>
              <w:t>②施工期临时占地应避开植被覆盖度较高的区域位置，最大限度的减少占地产生的不利影响，减少对土壤的扰动、植被破坏</w:t>
            </w:r>
            <w:r>
              <w:rPr>
                <w:rFonts w:hint="eastAsia"/>
                <w:color w:val="000000"/>
              </w:rPr>
              <w:t>；</w:t>
            </w:r>
          </w:p>
          <w:p>
            <w:pPr>
              <w:pStyle w:val="110"/>
              <w:rPr>
                <w:color w:val="000000"/>
              </w:rPr>
            </w:pPr>
            <w:r>
              <w:rPr>
                <w:color w:val="000000"/>
              </w:rPr>
              <w:t>③植被覆盖度高的区域，</w:t>
            </w:r>
            <w:r>
              <w:rPr>
                <w:rFonts w:hint="eastAsia"/>
                <w:color w:val="000000"/>
              </w:rPr>
              <w:t>临时施工时</w:t>
            </w:r>
            <w:r>
              <w:rPr>
                <w:color w:val="000000"/>
              </w:rPr>
              <w:t>采取分层开挖、分层回填措施，避免破坏区域土壤肥力。</w:t>
            </w:r>
          </w:p>
          <w:p>
            <w:pPr>
              <w:pStyle w:val="110"/>
              <w:rPr>
                <w:color w:val="000000"/>
              </w:rPr>
            </w:pPr>
            <w:r>
              <w:rPr>
                <w:rFonts w:hint="eastAsia"/>
                <w:color w:val="000000"/>
              </w:rPr>
              <w:t>（</w:t>
            </w:r>
            <w:r>
              <w:rPr>
                <w:color w:val="000000"/>
              </w:rPr>
              <w:t>5）其他措施</w:t>
            </w:r>
          </w:p>
          <w:p>
            <w:pPr>
              <w:pStyle w:val="110"/>
              <w:rPr>
                <w:color w:val="000000"/>
              </w:rPr>
            </w:pPr>
            <w:r>
              <w:rPr>
                <w:color w:val="000000"/>
              </w:rPr>
              <w:t>针对</w:t>
            </w:r>
            <w:r>
              <w:rPr>
                <w:rFonts w:hint="eastAsia"/>
                <w:color w:val="000000"/>
              </w:rPr>
              <w:t>钻井</w:t>
            </w:r>
            <w:r>
              <w:rPr>
                <w:color w:val="000000"/>
              </w:rPr>
              <w:t>过程，提出如下措施：①</w:t>
            </w:r>
            <w:r>
              <w:rPr>
                <w:rFonts w:hint="eastAsia"/>
                <w:color w:val="000000"/>
              </w:rPr>
              <w:t>临时占地区域</w:t>
            </w:r>
            <w:r>
              <w:rPr>
                <w:color w:val="000000"/>
              </w:rPr>
              <w:t>平整后，采取砾石压盖；②井场位置应根据场地周边植被分布情况，在满足设计要求的前提下进行适当的调整，以减少占地。</w:t>
            </w:r>
          </w:p>
          <w:p>
            <w:pPr>
              <w:pStyle w:val="110"/>
              <w:rPr>
                <w:color w:val="000000"/>
              </w:rPr>
            </w:pPr>
            <w:r>
              <w:rPr>
                <w:color w:val="000000"/>
              </w:rPr>
              <w:t>针对施工机械及运输车辆，提出如下措施：施工期间应划定施工活动范围，严格控制和管理运输车辆及重型机械的运行线路和范围，不得离开运输道路及随意行驶，由专人负责，以防破坏土壤和植被，加剧土地荒漠化。</w:t>
            </w:r>
          </w:p>
          <w:p>
            <w:pPr>
              <w:pStyle w:val="110"/>
              <w:rPr>
                <w:color w:val="000000"/>
              </w:rPr>
            </w:pPr>
            <w:r>
              <w:rPr>
                <w:rFonts w:hint="eastAsia"/>
                <w:color w:val="000000"/>
              </w:rPr>
              <w:t>（</w:t>
            </w:r>
            <w:r>
              <w:rPr>
                <w:color w:val="000000"/>
              </w:rPr>
              <w:t>6）各种措施总量和年度实施计划、完成期限等</w:t>
            </w:r>
          </w:p>
          <w:p>
            <w:pPr>
              <w:pStyle w:val="110"/>
              <w:rPr>
                <w:color w:val="000000"/>
              </w:rPr>
            </w:pPr>
            <w:r>
              <w:rPr>
                <w:color w:val="000000"/>
              </w:rPr>
              <w:t>工程措施、植被措施及其他措施，要求在</w:t>
            </w:r>
            <w:r>
              <w:rPr>
                <w:rFonts w:hint="eastAsia"/>
                <w:color w:val="000000"/>
              </w:rPr>
              <w:t>施工后及时</w:t>
            </w:r>
            <w:r>
              <w:rPr>
                <w:color w:val="000000"/>
              </w:rPr>
              <w:t>完成，严禁防沙治沙措施未完成即</w:t>
            </w:r>
            <w:r>
              <w:rPr>
                <w:rFonts w:hint="eastAsia"/>
                <w:color w:val="000000"/>
              </w:rPr>
              <w:t>验收</w:t>
            </w:r>
            <w:r>
              <w:rPr>
                <w:color w:val="000000"/>
              </w:rPr>
              <w:t>。</w:t>
            </w:r>
          </w:p>
          <w:p>
            <w:pPr>
              <w:pStyle w:val="110"/>
              <w:rPr>
                <w:color w:val="000000"/>
              </w:rPr>
            </w:pPr>
            <w:r>
              <w:rPr>
                <w:rFonts w:hint="eastAsia"/>
                <w:color w:val="000000"/>
              </w:rPr>
              <w:t>（</w:t>
            </w:r>
            <w:r>
              <w:rPr>
                <w:color w:val="000000"/>
              </w:rPr>
              <w:t>2）方案实施保障措施</w:t>
            </w:r>
          </w:p>
          <w:p>
            <w:pPr>
              <w:pStyle w:val="110"/>
              <w:rPr>
                <w:color w:val="000000"/>
              </w:rPr>
            </w:pPr>
            <w:r>
              <w:rPr>
                <w:rFonts w:hint="eastAsia"/>
                <w:color w:val="000000"/>
              </w:rPr>
              <w:t>①</w:t>
            </w:r>
            <w:r>
              <w:rPr>
                <w:color w:val="000000"/>
              </w:rPr>
              <w:t>组织领导措施</w:t>
            </w:r>
          </w:p>
          <w:p>
            <w:pPr>
              <w:pStyle w:val="110"/>
              <w:rPr>
                <w:color w:val="000000"/>
              </w:rPr>
            </w:pPr>
            <w:r>
              <w:rPr>
                <w:color w:val="000000"/>
              </w:rPr>
              <w:t>防沙治沙是维护生态安全，促进经济发展和人与自然和谐相处的重要举措。本项目防沙治沙工程中</w:t>
            </w:r>
            <w:r>
              <w:rPr>
                <w:rFonts w:hint="eastAsia"/>
                <w:color w:val="000000"/>
              </w:rPr>
              <w:t>建设单位为</w:t>
            </w:r>
            <w:r>
              <w:rPr>
                <w:color w:val="000000"/>
              </w:rPr>
              <w:t>第一责任人，各钻井队、施工队作为措施落实方，属于主要责任人。</w:t>
            </w:r>
            <w:r>
              <w:rPr>
                <w:rFonts w:hint="eastAsia"/>
                <w:color w:val="000000"/>
              </w:rPr>
              <w:t>建设单位</w:t>
            </w:r>
            <w:r>
              <w:rPr>
                <w:color w:val="000000"/>
              </w:rPr>
              <w:t>应在各钻井队、施工队施工过程中，提出具体的目标及要求，并落实到具体人员。</w:t>
            </w:r>
          </w:p>
          <w:p>
            <w:pPr>
              <w:pStyle w:val="110"/>
              <w:rPr>
                <w:color w:val="000000"/>
              </w:rPr>
            </w:pPr>
            <w:r>
              <w:rPr>
                <w:rFonts w:hint="eastAsia"/>
                <w:color w:val="000000"/>
              </w:rPr>
              <w:t>②</w:t>
            </w:r>
            <w:r>
              <w:rPr>
                <w:color w:val="000000"/>
              </w:rPr>
              <w:t>技术保证措施</w:t>
            </w:r>
          </w:p>
          <w:p>
            <w:pPr>
              <w:pStyle w:val="110"/>
              <w:rPr>
                <w:color w:val="000000"/>
              </w:rPr>
            </w:pPr>
            <w:r>
              <w:rPr>
                <w:color w:val="000000"/>
              </w:rPr>
              <w:t>a.邀请各级</w:t>
            </w:r>
            <w:r>
              <w:rPr>
                <w:rFonts w:hint="eastAsia"/>
                <w:color w:val="000000"/>
              </w:rPr>
              <w:t>林草</w:t>
            </w:r>
            <w:r>
              <w:rPr>
                <w:color w:val="000000"/>
              </w:rPr>
              <w:t>部门组织开展多层次、多形式的技术培训，加强参与防沙治沙工程的人员的培训工作，使其掌握防沙治沙工程建设、管理的基本技术要求，增强人员主动参与防沙治沙能力和积极性。</w:t>
            </w:r>
          </w:p>
          <w:p>
            <w:pPr>
              <w:pStyle w:val="110"/>
              <w:rPr>
                <w:color w:val="000000"/>
              </w:rPr>
            </w:pPr>
            <w:r>
              <w:rPr>
                <w:color w:val="000000"/>
              </w:rPr>
              <w:t>b.区域水资源短缺，项目建设的各个环节过程中，加强人员的节水意识，避免铺张浪费，提高水的重复利用性。</w:t>
            </w:r>
          </w:p>
          <w:p>
            <w:pPr>
              <w:pStyle w:val="110"/>
              <w:rPr>
                <w:color w:val="000000"/>
              </w:rPr>
            </w:pPr>
            <w:r>
              <w:rPr>
                <w:rFonts w:hint="eastAsia"/>
                <w:color w:val="000000"/>
              </w:rPr>
              <w:t>③</w:t>
            </w:r>
            <w:r>
              <w:rPr>
                <w:color w:val="000000"/>
              </w:rPr>
              <w:t>防沙治沙措施投资概算及资金筹措情况</w:t>
            </w:r>
          </w:p>
          <w:p>
            <w:pPr>
              <w:pStyle w:val="110"/>
              <w:rPr>
                <w:color w:val="000000"/>
              </w:rPr>
            </w:pPr>
            <w:r>
              <w:rPr>
                <w:color w:val="000000"/>
              </w:rPr>
              <w:t>本项目防沙治沙措施投资概算预计2万，由</w:t>
            </w:r>
            <w:r>
              <w:rPr>
                <w:rFonts w:hint="eastAsia"/>
                <w:color w:val="000000"/>
              </w:rPr>
              <w:t>建设单位</w:t>
            </w:r>
            <w:r>
              <w:rPr>
                <w:color w:val="000000"/>
              </w:rPr>
              <w:t>自行筹措。</w:t>
            </w:r>
          </w:p>
          <w:p>
            <w:pPr>
              <w:pStyle w:val="110"/>
              <w:rPr>
                <w:color w:val="000000"/>
              </w:rPr>
            </w:pPr>
            <w:r>
              <w:rPr>
                <w:rFonts w:hint="eastAsia"/>
                <w:color w:val="000000"/>
              </w:rPr>
              <w:t>④</w:t>
            </w:r>
            <w:r>
              <w:rPr>
                <w:color w:val="000000"/>
              </w:rPr>
              <w:t>生态、经济效益预测</w:t>
            </w:r>
          </w:p>
          <w:p>
            <w:pPr>
              <w:pStyle w:val="110"/>
              <w:rPr>
                <w:color w:val="000000"/>
              </w:rPr>
            </w:pPr>
            <w:r>
              <w:rPr>
                <w:color w:val="000000"/>
              </w:rPr>
              <w:t>本项目防沙治沙措施实施后，预计区域植被覆盖度能维持现状，区域生态环境有所改善</w:t>
            </w:r>
            <w:r>
              <w:rPr>
                <w:rFonts w:hint="eastAsia"/>
                <w:color w:val="000000"/>
              </w:rPr>
              <w:t>。</w:t>
            </w:r>
          </w:p>
          <w:p>
            <w:pPr>
              <w:pStyle w:val="110"/>
              <w:rPr>
                <w:color w:val="000000"/>
              </w:rPr>
            </w:pPr>
            <w:r>
              <w:rPr>
                <w:color w:val="000000"/>
              </w:rPr>
              <w:t>7</w:t>
            </w:r>
            <w:r>
              <w:rPr>
                <w:rFonts w:hint="eastAsia"/>
                <w:color w:val="000000"/>
              </w:rPr>
              <w:t>）</w:t>
            </w:r>
            <w:r>
              <w:rPr>
                <w:color w:val="000000"/>
              </w:rPr>
              <w:t>其他生态保护措施要求</w:t>
            </w:r>
          </w:p>
          <w:p>
            <w:pPr>
              <w:pStyle w:val="110"/>
              <w:rPr>
                <w:color w:val="000000"/>
              </w:rPr>
            </w:pPr>
            <w:r>
              <w:rPr>
                <w:rFonts w:hint="eastAsia"/>
                <w:color w:val="000000"/>
              </w:rPr>
              <w:t>（1）</w:t>
            </w:r>
            <w:r>
              <w:rPr>
                <w:color w:val="000000"/>
              </w:rPr>
              <w:t>严禁施工人员进行非石油生产的其他活动，如：狩猎、采集动植物等。车辆在有野生动物的地区行驶时，禁鸣喇叭。</w:t>
            </w:r>
          </w:p>
          <w:p>
            <w:pPr>
              <w:pStyle w:val="110"/>
              <w:rPr>
                <w:color w:val="000000"/>
              </w:rPr>
            </w:pPr>
            <w:r>
              <w:rPr>
                <w:rFonts w:hint="eastAsia"/>
                <w:color w:val="000000"/>
              </w:rPr>
              <w:t>（2）</w:t>
            </w:r>
            <w:r>
              <w:rPr>
                <w:color w:val="000000"/>
              </w:rPr>
              <w:t>施工期避开大风天气作业，避免风蚀引起的水土流失。</w:t>
            </w:r>
          </w:p>
          <w:p>
            <w:pPr>
              <w:pStyle w:val="110"/>
              <w:rPr>
                <w:color w:val="000000"/>
              </w:rPr>
            </w:pPr>
            <w:r>
              <w:rPr>
                <w:rFonts w:hint="eastAsia"/>
                <w:color w:val="000000"/>
              </w:rPr>
              <w:t>（3）</w:t>
            </w:r>
            <w:r>
              <w:rPr>
                <w:color w:val="000000"/>
              </w:rPr>
              <w:t>施工结束后，恢复地表原状，将施工迹地平整压实，做</w:t>
            </w:r>
            <w:r>
              <w:rPr>
                <w:rFonts w:hint="eastAsia"/>
                <w:color w:val="000000"/>
              </w:rPr>
              <w:t>到</w:t>
            </w:r>
            <w:r>
              <w:rPr>
                <w:color w:val="000000"/>
              </w:rPr>
              <w:t>工完料净场地清，以利于植被的恢复。</w:t>
            </w:r>
          </w:p>
          <w:p>
            <w:pPr>
              <w:pStyle w:val="110"/>
              <w:rPr>
                <w:color w:val="000000"/>
                <w:szCs w:val="21"/>
              </w:rPr>
            </w:pPr>
            <w:r>
              <w:rPr>
                <w:color w:val="000000"/>
                <w:szCs w:val="21"/>
              </w:rPr>
              <w:t>2</w:t>
            </w:r>
            <w:r>
              <w:rPr>
                <w:rFonts w:hint="eastAsia"/>
                <w:color w:val="000000"/>
                <w:szCs w:val="21"/>
              </w:rPr>
              <w:t>、本项目生态环境</w:t>
            </w:r>
            <w:r>
              <w:rPr>
                <w:color w:val="000000"/>
                <w:szCs w:val="21"/>
              </w:rPr>
              <w:t>恢复治理方案</w:t>
            </w:r>
          </w:p>
          <w:p>
            <w:pPr>
              <w:pStyle w:val="110"/>
              <w:rPr>
                <w:color w:val="000000"/>
                <w:szCs w:val="21"/>
              </w:rPr>
            </w:pPr>
            <w:r>
              <w:rPr>
                <w:rFonts w:hint="eastAsia"/>
                <w:color w:val="000000"/>
                <w:szCs w:val="21"/>
              </w:rPr>
              <w:t>1）井场生态恢复</w:t>
            </w:r>
          </w:p>
          <w:p>
            <w:pPr>
              <w:pStyle w:val="110"/>
              <w:rPr>
                <w:color w:val="000000"/>
                <w:szCs w:val="21"/>
              </w:rPr>
            </w:pPr>
            <w:r>
              <w:rPr>
                <w:rFonts w:hint="eastAsia"/>
                <w:color w:val="000000"/>
                <w:szCs w:val="21"/>
              </w:rPr>
              <w:t>工程施工结束后，及时撤离井场设备，妥善处置固体废物，现场禁止遗留；土地进行平整，恢复原地貌。临时占地内植被在未来3年～5年时间内通过植物生长季节和气象条件等因素自然恢复。</w:t>
            </w:r>
          </w:p>
          <w:p>
            <w:pPr>
              <w:pStyle w:val="110"/>
              <w:rPr>
                <w:color w:val="000000"/>
                <w:szCs w:val="21"/>
              </w:rPr>
            </w:pPr>
            <w:r>
              <w:rPr>
                <w:rFonts w:hint="eastAsia"/>
                <w:color w:val="000000"/>
                <w:szCs w:val="21"/>
              </w:rPr>
              <w:t>2）</w:t>
            </w:r>
            <w:r>
              <w:rPr>
                <w:rFonts w:hint="eastAsia"/>
                <w:color w:val="000000"/>
                <w:kern w:val="24"/>
                <w:szCs w:val="21"/>
              </w:rPr>
              <w:t>道路生态恢复</w:t>
            </w:r>
          </w:p>
          <w:p>
            <w:pPr>
              <w:pStyle w:val="110"/>
              <w:rPr>
                <w:color w:val="000000"/>
                <w:szCs w:val="21"/>
              </w:rPr>
            </w:pPr>
            <w:r>
              <w:rPr>
                <w:rFonts w:hint="eastAsia"/>
                <w:color w:val="000000"/>
                <w:szCs w:val="21"/>
              </w:rPr>
              <w:t>施工前对</w:t>
            </w:r>
            <w:r>
              <w:rPr>
                <w:rFonts w:hint="eastAsia"/>
                <w:color w:val="000000"/>
                <w:kern w:val="24"/>
                <w:szCs w:val="21"/>
              </w:rPr>
              <w:t>道路</w:t>
            </w:r>
            <w:r>
              <w:rPr>
                <w:rFonts w:hint="eastAsia"/>
                <w:color w:val="000000"/>
                <w:szCs w:val="21"/>
              </w:rPr>
              <w:t>占地范围内表层土剥离，剥离厚度20cm～50cm，剥离表层土集中专门堆放，并做好排水引流。施工结束后，及时回填、平整、压实，充分利用前期收集的表层土覆盖表层，对临时占地进行植被和景观恢复，与原有地貌和景观协调。</w:t>
            </w:r>
          </w:p>
          <w:p>
            <w:pPr>
              <w:pStyle w:val="110"/>
              <w:rPr>
                <w:color w:val="000000"/>
                <w:szCs w:val="21"/>
              </w:rPr>
            </w:pPr>
            <w:r>
              <w:rPr>
                <w:rFonts w:hint="eastAsia"/>
                <w:color w:val="000000"/>
                <w:szCs w:val="21"/>
              </w:rPr>
              <w:t>3）地表植被恢复</w:t>
            </w:r>
          </w:p>
          <w:p>
            <w:pPr>
              <w:pStyle w:val="110"/>
              <w:rPr>
                <w:color w:val="000000"/>
                <w:szCs w:val="21"/>
              </w:rPr>
            </w:pPr>
            <w:r>
              <w:rPr>
                <w:rFonts w:hint="eastAsia"/>
                <w:color w:val="000000"/>
              </w:rPr>
              <w:t>施工结束后地表植被自然恢复，</w:t>
            </w:r>
            <w:r>
              <w:rPr>
                <w:rFonts w:hint="eastAsia"/>
                <w:color w:val="000000"/>
                <w:szCs w:val="21"/>
              </w:rPr>
              <w:t>临时占地内植被在未来3年～5年时间内通过植物生长季节和气象条件等因素进行恢复。恢复后的植被覆盖率不低于区域范围内同类型土地植被覆盖率。</w:t>
            </w:r>
          </w:p>
          <w:p>
            <w:pPr>
              <w:pStyle w:val="110"/>
              <w:rPr>
                <w:color w:val="000000"/>
                <w:szCs w:val="21"/>
              </w:rPr>
            </w:pPr>
            <w:r>
              <w:rPr>
                <w:rFonts w:hint="eastAsia"/>
                <w:color w:val="000000"/>
                <w:szCs w:val="21"/>
              </w:rPr>
              <w:t>4）防风固沙措施</w:t>
            </w:r>
          </w:p>
          <w:p>
            <w:pPr>
              <w:pStyle w:val="110"/>
              <w:rPr>
                <w:color w:val="000000"/>
              </w:rPr>
            </w:pPr>
            <w:r>
              <w:rPr>
                <w:color w:val="000000"/>
              </w:rPr>
              <w:t>（1）施工中严格控制作业区范围，临时占地避开植被生长较好的区域，施工人员不得随意破坏植被</w:t>
            </w:r>
            <w:r>
              <w:rPr>
                <w:rFonts w:hint="eastAsia"/>
                <w:color w:val="000000"/>
              </w:rPr>
              <w:t>；</w:t>
            </w:r>
          </w:p>
          <w:p>
            <w:pPr>
              <w:pStyle w:val="110"/>
              <w:rPr>
                <w:color w:val="000000"/>
              </w:rPr>
            </w:pPr>
            <w:r>
              <w:rPr>
                <w:color w:val="000000"/>
              </w:rPr>
              <w:t>（2）减少施工便道修筑，施工便道宽度控制在红线范围内，严禁车辆随意行驶，规范车辆行驶路线</w:t>
            </w:r>
            <w:r>
              <w:rPr>
                <w:rFonts w:hint="eastAsia"/>
                <w:color w:val="000000"/>
              </w:rPr>
              <w:t>；</w:t>
            </w:r>
          </w:p>
          <w:p>
            <w:pPr>
              <w:pStyle w:val="110"/>
              <w:rPr>
                <w:color w:val="000000"/>
              </w:rPr>
            </w:pPr>
            <w:r>
              <w:rPr>
                <w:color w:val="000000"/>
              </w:rPr>
              <w:t>（3）临时施工场所、施工机械行走路线应设置在无植被或少植被区域</w:t>
            </w:r>
            <w:r>
              <w:rPr>
                <w:rFonts w:hint="eastAsia"/>
                <w:color w:val="000000"/>
              </w:rPr>
              <w:t>；</w:t>
            </w:r>
          </w:p>
          <w:p>
            <w:pPr>
              <w:pStyle w:val="110"/>
              <w:rPr>
                <w:color w:val="000000"/>
              </w:rPr>
            </w:pPr>
            <w:r>
              <w:rPr>
                <w:color w:val="000000"/>
              </w:rPr>
              <w:t>（4）在施工过程中需加强管理，严禁不按操作规程野蛮施工</w:t>
            </w:r>
            <w:r>
              <w:rPr>
                <w:rFonts w:hint="eastAsia"/>
                <w:color w:val="000000"/>
              </w:rPr>
              <w:t>；</w:t>
            </w:r>
          </w:p>
          <w:p>
            <w:pPr>
              <w:pStyle w:val="110"/>
              <w:rPr>
                <w:color w:val="000000"/>
              </w:rPr>
            </w:pPr>
            <w:r>
              <w:rPr>
                <w:color w:val="000000"/>
              </w:rPr>
              <w:t>（5）施工后期对施工迹地进行平整，保持一定的粗糙度，利于植被自然恢复。在工程施工保护措施的同时开展防沙治沙人为参与治理方式</w:t>
            </w:r>
            <w:r>
              <w:rPr>
                <w:rFonts w:hint="eastAsia"/>
                <w:color w:val="000000"/>
              </w:rPr>
              <w:t>。</w:t>
            </w:r>
          </w:p>
          <w:p>
            <w:pPr>
              <w:pStyle w:val="110"/>
              <w:rPr>
                <w:color w:val="000000"/>
                <w:szCs w:val="21"/>
              </w:rPr>
            </w:pPr>
            <w:r>
              <w:rPr>
                <w:color w:val="000000"/>
              </w:rPr>
              <w:t>工程施工结束后采用自</w:t>
            </w:r>
            <w:r>
              <w:rPr>
                <w:rFonts w:ascii="Times New Roman" w:hAnsi="Times New Roman"/>
                <w:color w:val="000000"/>
              </w:rPr>
              <w:t>然恢复的方式进行恢复区域植被，临时占地内</w:t>
            </w:r>
            <w:r>
              <w:rPr>
                <w:color w:val="000000"/>
              </w:rPr>
              <w:t>植被在未来3</w:t>
            </w:r>
            <w:r>
              <w:rPr>
                <w:rFonts w:hint="eastAsia"/>
                <w:color w:val="000000"/>
              </w:rPr>
              <w:t>～</w:t>
            </w:r>
            <w:r>
              <w:rPr>
                <w:color w:val="000000"/>
              </w:rPr>
              <w:t>5年时间内通过自然降水及温度等因素得以恢复。对于恢复状态不好且</w:t>
            </w:r>
            <w:r>
              <w:rPr>
                <w:rFonts w:ascii="Times New Roman" w:hAnsi="Times New Roman"/>
                <w:color w:val="000000"/>
              </w:rPr>
              <w:t>易发生沙化的地段，根据实际情况对地表进行人工固沙处理</w:t>
            </w:r>
            <w:r>
              <w:rPr>
                <w:rFonts w:hint="eastAsia"/>
                <w:color w:val="000000"/>
                <w:szCs w:val="21"/>
              </w:rPr>
              <w:t>。</w:t>
            </w:r>
          </w:p>
          <w:p>
            <w:pPr>
              <w:pStyle w:val="110"/>
              <w:rPr>
                <w:color w:val="000000"/>
                <w:szCs w:val="21"/>
              </w:rPr>
            </w:pPr>
            <w:r>
              <w:rPr>
                <w:color w:val="000000"/>
                <w:szCs w:val="21"/>
              </w:rPr>
              <w:t>5</w:t>
            </w:r>
            <w:r>
              <w:rPr>
                <w:rFonts w:hint="eastAsia"/>
                <w:color w:val="000000"/>
                <w:szCs w:val="21"/>
              </w:rPr>
              <w:t>）水土流失防治</w:t>
            </w:r>
          </w:p>
          <w:p>
            <w:pPr>
              <w:pStyle w:val="110"/>
              <w:rPr>
                <w:color w:val="000000"/>
                <w:szCs w:val="21"/>
              </w:rPr>
            </w:pPr>
            <w:r>
              <w:rPr>
                <w:rFonts w:hint="eastAsia"/>
                <w:color w:val="000000"/>
                <w:szCs w:val="21"/>
              </w:rPr>
              <w:t>本项目施工时，首先要特别注意保护地表与植被，划定施工活动范围，严格控制和管理车辆及重型机械的行驶范围，所有车辆采用“一”字形作业法，避免并行开辟新路，以减少风蚀沙化活动的范围；施工中严格按照施工占地要求，划定适宜的堆料场。路基修筑开挖等作业避免在大风天施工；严格按规划的施工范围进行施工作业，不得随意开辟施工便道。施工车辆不得随意驶离便道。施工后期，及时做好施工后期的迹地恢复工作，包括土地平整，创造局部小环境以利于植被的恢复等。建设单位在保证做到以上措施的情况下，对防止风沙流动、促进生态环境的恢复会起到良好作用，可将水土流失的程度降低到最小限度。</w:t>
            </w:r>
          </w:p>
          <w:p>
            <w:pPr>
              <w:pStyle w:val="110"/>
              <w:rPr>
                <w:color w:val="000000"/>
                <w:szCs w:val="21"/>
              </w:rPr>
            </w:pPr>
            <w:r>
              <w:rPr>
                <w:color w:val="000000"/>
                <w:szCs w:val="21"/>
              </w:rPr>
              <w:t>6</w:t>
            </w:r>
            <w:r>
              <w:rPr>
                <w:rFonts w:hint="eastAsia"/>
                <w:color w:val="000000"/>
                <w:szCs w:val="21"/>
              </w:rPr>
              <w:t>）保障措施</w:t>
            </w:r>
          </w:p>
          <w:p>
            <w:pPr>
              <w:pStyle w:val="110"/>
              <w:rPr>
                <w:color w:val="000000"/>
                <w:szCs w:val="21"/>
              </w:rPr>
            </w:pPr>
            <w:r>
              <w:rPr>
                <w:rFonts w:hint="eastAsia"/>
                <w:color w:val="000000"/>
                <w:szCs w:val="21"/>
              </w:rPr>
              <w:t>（1）组织领导</w:t>
            </w:r>
          </w:p>
          <w:p>
            <w:pPr>
              <w:pStyle w:val="110"/>
              <w:rPr>
                <w:color w:val="000000"/>
                <w:szCs w:val="21"/>
              </w:rPr>
            </w:pPr>
            <w:r>
              <w:rPr>
                <w:rFonts w:hint="eastAsia"/>
                <w:color w:val="000000"/>
                <w:szCs w:val="21"/>
              </w:rPr>
              <w:t>项目场地应成立专门的环境保护行动领导小组，由一名项目班组长专门负责环保行动的顺利有序进行，对项目区环境保护设备加以保护和检修，以保证其正常运行。</w:t>
            </w:r>
          </w:p>
          <w:p>
            <w:pPr>
              <w:pStyle w:val="110"/>
              <w:rPr>
                <w:color w:val="000000"/>
                <w:szCs w:val="21"/>
              </w:rPr>
            </w:pPr>
            <w:r>
              <w:rPr>
                <w:rFonts w:hint="eastAsia"/>
                <w:color w:val="000000"/>
                <w:szCs w:val="21"/>
              </w:rPr>
              <w:t>（2）资金保障</w:t>
            </w:r>
          </w:p>
          <w:p>
            <w:pPr>
              <w:pStyle w:val="110"/>
              <w:rPr>
                <w:color w:val="000000"/>
                <w:szCs w:val="21"/>
              </w:rPr>
            </w:pPr>
            <w:r>
              <w:rPr>
                <w:rFonts w:hint="eastAsia"/>
                <w:color w:val="000000"/>
                <w:szCs w:val="21"/>
              </w:rPr>
              <w:t>从项目总投资中设立环保专用资金，用于迹地恢复、水土保持以及各项环境保护处理措施的顺利进行。一定做到专款专用，保证环保资金用于环境保护行动中，禁止挪用环保专用资金。</w:t>
            </w:r>
          </w:p>
          <w:p>
            <w:pPr>
              <w:pStyle w:val="110"/>
              <w:rPr>
                <w:color w:val="000000"/>
                <w:szCs w:val="21"/>
              </w:rPr>
            </w:pPr>
            <w:r>
              <w:rPr>
                <w:rFonts w:hint="eastAsia"/>
                <w:color w:val="000000"/>
                <w:szCs w:val="21"/>
              </w:rPr>
              <w:t>（3）宣传教育</w:t>
            </w:r>
          </w:p>
          <w:p>
            <w:pPr>
              <w:pStyle w:val="110"/>
              <w:rPr>
                <w:color w:val="000000"/>
                <w:szCs w:val="21"/>
              </w:rPr>
            </w:pPr>
            <w:r>
              <w:rPr>
                <w:rFonts w:hint="eastAsia"/>
                <w:color w:val="000000"/>
                <w:szCs w:val="21"/>
              </w:rPr>
              <w:t>加强对施工人员的宣传教育力度，使其懂得环境保护的重要性，能够养成良好的习惯，积极主动加入到环境保护的行列。</w:t>
            </w:r>
          </w:p>
          <w:p>
            <w:pPr>
              <w:pStyle w:val="110"/>
              <w:rPr>
                <w:color w:val="000000"/>
                <w:szCs w:val="21"/>
              </w:rPr>
            </w:pPr>
            <w:r>
              <w:rPr>
                <w:color w:val="000000"/>
                <w:szCs w:val="21"/>
              </w:rPr>
              <w:t>7</w:t>
            </w:r>
            <w:r>
              <w:rPr>
                <w:rFonts w:hint="eastAsia"/>
                <w:color w:val="000000"/>
                <w:szCs w:val="21"/>
              </w:rPr>
              <w:t>）小结</w:t>
            </w:r>
          </w:p>
          <w:p>
            <w:pPr>
              <w:pStyle w:val="110"/>
              <w:rPr>
                <w:color w:val="000000"/>
                <w:szCs w:val="21"/>
              </w:rPr>
            </w:pPr>
            <w:r>
              <w:rPr>
                <w:rFonts w:hint="eastAsia"/>
                <w:color w:val="000000"/>
                <w:szCs w:val="21"/>
              </w:rPr>
              <w:t>本项目生态恢复治理措施全面实施后，破坏的植被可逐步恢复，可有效的吸滞扬尘，净化空气，提高环境空气质量，还可防风固沙，减少水土流失、减少土壤水分蒸发，改善土地利用状况。总之，通过实施生态恢复治理措施，本项目的污染被减小，局部生态环境得到改善和恢复。</w:t>
            </w:r>
          </w:p>
          <w:p>
            <w:pPr>
              <w:pStyle w:val="110"/>
              <w:rPr>
                <w:color w:val="000000"/>
              </w:rPr>
            </w:pPr>
            <w:r>
              <w:rPr>
                <w:color w:val="000000"/>
              </w:rPr>
              <w:t>3</w:t>
            </w:r>
            <w:r>
              <w:rPr>
                <w:rFonts w:hint="eastAsia"/>
                <w:color w:val="000000"/>
              </w:rPr>
              <w:t>、风险影响分析</w:t>
            </w:r>
          </w:p>
          <w:p>
            <w:pPr>
              <w:pStyle w:val="110"/>
              <w:rPr>
                <w:color w:val="000000"/>
              </w:rPr>
            </w:pPr>
            <w:r>
              <w:rPr>
                <w:rFonts w:hint="eastAsia"/>
                <w:color w:val="000000"/>
              </w:rPr>
              <w:t>本项目</w:t>
            </w:r>
            <w:r>
              <w:rPr>
                <w:color w:val="000000"/>
              </w:rPr>
              <w:t>污染物排放以正常排放为主，但也存在危害工程安全和环境的危险因素，这些危险因素的存在有可能引起突发性</w:t>
            </w:r>
            <w:r>
              <w:rPr>
                <w:rFonts w:hint="eastAsia"/>
                <w:color w:val="000000"/>
              </w:rPr>
              <w:t>环境</w:t>
            </w:r>
            <w:r>
              <w:rPr>
                <w:color w:val="000000"/>
              </w:rPr>
              <w:t>事故，造成人员伤亡或环境污染。</w:t>
            </w:r>
          </w:p>
          <w:p>
            <w:pPr>
              <w:pStyle w:val="110"/>
              <w:rPr>
                <w:color w:val="000000"/>
              </w:rPr>
            </w:pPr>
            <w:r>
              <w:rPr>
                <w:rFonts w:hint="eastAsia"/>
                <w:color w:val="000000"/>
              </w:rPr>
              <w:t>1）风险调查</w:t>
            </w:r>
          </w:p>
          <w:p>
            <w:pPr>
              <w:pStyle w:val="110"/>
              <w:rPr>
                <w:color w:val="000000"/>
              </w:rPr>
            </w:pPr>
            <w:r>
              <w:rPr>
                <w:rFonts w:hint="eastAsia"/>
                <w:color w:val="000000"/>
              </w:rPr>
              <w:t>风险源调查范围主要是主体工程、辅助工程、公用工程、环保工程等环节涉及的生产设施。</w:t>
            </w:r>
            <w:r>
              <w:rPr>
                <w:color w:val="000000"/>
              </w:rPr>
              <w:t>本项目主要环境风险是</w:t>
            </w:r>
            <w:r>
              <w:rPr>
                <w:rFonts w:hint="eastAsia"/>
                <w:color w:val="000000"/>
              </w:rPr>
              <w:t>施工期钻井井场、</w:t>
            </w:r>
            <w:r>
              <w:rPr>
                <w:color w:val="000000"/>
              </w:rPr>
              <w:t>井喷和硫化氢中毒，其对项目区及周边土壤环境、大气环境和地下水环境的影响均较大。统计新疆近几年油田所发生的风险事故，发生于钻井阶段的占65.9%，油气生产过程中为10.6%，还有23.5%发生于其他生产过程。由此可见，钻井阶段是油田开发建设的事故多发阶段。</w:t>
            </w:r>
          </w:p>
          <w:p>
            <w:pPr>
              <w:pStyle w:val="110"/>
              <w:rPr>
                <w:color w:val="000000"/>
              </w:rPr>
            </w:pPr>
            <w:r>
              <w:rPr>
                <w:rFonts w:hint="eastAsia"/>
                <w:color w:val="000000"/>
              </w:rPr>
              <w:t>钻井过程中</w:t>
            </w:r>
            <w:r>
              <w:rPr>
                <w:color w:val="000000"/>
              </w:rPr>
              <w:t>主要环境风险是井喷和硫化氢中毒</w:t>
            </w:r>
            <w:r>
              <w:rPr>
                <w:rFonts w:hint="eastAsia"/>
                <w:color w:val="000000"/>
              </w:rPr>
              <w:t>、柴油储罐火灾爆炸。</w:t>
            </w:r>
          </w:p>
          <w:p>
            <w:pPr>
              <w:pStyle w:val="110"/>
              <w:rPr>
                <w:color w:val="000000"/>
              </w:rPr>
            </w:pPr>
            <w:r>
              <w:rPr>
                <w:rFonts w:hint="eastAsia"/>
                <w:color w:val="000000"/>
              </w:rPr>
              <w:t>（1）井喷</w:t>
            </w:r>
          </w:p>
          <w:p>
            <w:pPr>
              <w:pStyle w:val="110"/>
              <w:rPr>
                <w:color w:val="000000"/>
              </w:rPr>
            </w:pPr>
            <w:r>
              <w:rPr>
                <w:rFonts w:hint="eastAsia"/>
                <w:color w:val="000000"/>
              </w:rPr>
              <w:t>钻井过程中遇到地下油、气、水层时，油、气或水窜进井内的钻井液里，加快了钻井液流动和循环的速度。如果井底压力小于地层压力，地层流体将进入井筒并推动钻井液外溢，即发生溢流。此时，如果对地下油、气压力平衡控制不当，不能及时控制溢流，会造成油、气、水或其他混合物迅速喷到地面，即发生井喷。井喷会引发油气泄漏及火灾爆炸，对空气环境、水环境及生态环境造成危害，致使人员伤亡、财产损失。</w:t>
            </w:r>
          </w:p>
          <w:p>
            <w:pPr>
              <w:pStyle w:val="110"/>
              <w:rPr>
                <w:color w:val="000000"/>
              </w:rPr>
            </w:pPr>
            <w:r>
              <w:rPr>
                <w:rFonts w:hint="eastAsia"/>
                <w:color w:val="000000"/>
              </w:rPr>
              <w:t>另外</w:t>
            </w:r>
            <w:r>
              <w:rPr>
                <w:color w:val="000000"/>
              </w:rPr>
              <w:t>在注水泥作业后，由于水泥浆体系设计不合理，或固井工程设计不合理，或注水泥施工操作不合理，水泥浆未能完全充满待封固的环形空间</w:t>
            </w:r>
            <w:r>
              <w:rPr>
                <w:rFonts w:hint="eastAsia"/>
                <w:color w:val="000000"/>
              </w:rPr>
              <w:t>等原因</w:t>
            </w:r>
            <w:r>
              <w:rPr>
                <w:color w:val="000000"/>
              </w:rPr>
              <w:t>，不能有效密封环空而</w:t>
            </w:r>
            <w:r>
              <w:rPr>
                <w:rFonts w:hint="eastAsia"/>
                <w:color w:val="000000"/>
              </w:rPr>
              <w:t>可能</w:t>
            </w:r>
            <w:r>
              <w:rPr>
                <w:color w:val="000000"/>
              </w:rPr>
              <w:t>导致井口冒油、气、水，或油、气、水在地下层间互窜</w:t>
            </w:r>
            <w:r>
              <w:rPr>
                <w:rFonts w:hint="eastAsia"/>
                <w:color w:val="000000"/>
              </w:rPr>
              <w:t>。</w:t>
            </w:r>
          </w:p>
          <w:p>
            <w:pPr>
              <w:pStyle w:val="110"/>
              <w:rPr>
                <w:color w:val="000000"/>
              </w:rPr>
            </w:pPr>
            <w:r>
              <w:rPr>
                <w:rFonts w:hint="eastAsia"/>
                <w:color w:val="000000"/>
              </w:rPr>
              <w:t>（2）硫化氢中毒</w:t>
            </w:r>
          </w:p>
          <w:p>
            <w:pPr>
              <w:pStyle w:val="110"/>
              <w:rPr>
                <w:color w:val="000000"/>
              </w:rPr>
            </w:pPr>
            <w:r>
              <w:rPr>
                <w:rFonts w:hint="eastAsia"/>
                <w:color w:val="000000"/>
              </w:rPr>
              <w:t>H</w:t>
            </w:r>
            <w:r>
              <w:rPr>
                <w:rFonts w:hint="eastAsia"/>
                <w:color w:val="000000"/>
                <w:vertAlign w:val="subscript"/>
              </w:rPr>
              <w:t>2</w:t>
            </w:r>
            <w:r>
              <w:rPr>
                <w:rFonts w:hint="eastAsia"/>
                <w:color w:val="000000"/>
              </w:rPr>
              <w:t>S气体不仅严重威胁着人们的生命安全，造成环境恶性污染，同时，它对金属设备、工具及用具也将造成严重的腐蚀破坏</w:t>
            </w:r>
            <w:r>
              <w:rPr>
                <w:color w:val="000000"/>
              </w:rPr>
              <w:t>。</w:t>
            </w:r>
          </w:p>
          <w:p>
            <w:pPr>
              <w:pStyle w:val="110"/>
              <w:rPr>
                <w:color w:val="000000"/>
              </w:rPr>
            </w:pPr>
            <w:r>
              <w:rPr>
                <w:rFonts w:hint="eastAsia"/>
                <w:color w:val="000000"/>
              </w:rPr>
              <w:t>（3）柴油储罐火灾爆炸</w:t>
            </w:r>
          </w:p>
          <w:p>
            <w:pPr>
              <w:pStyle w:val="110"/>
              <w:rPr>
                <w:color w:val="000000"/>
              </w:rPr>
            </w:pPr>
            <w:r>
              <w:rPr>
                <w:rFonts w:hint="eastAsia"/>
                <w:color w:val="000000"/>
              </w:rPr>
              <w:t>储罐内油气通过人孔法兰盖间隙外溢，与空气形成爆炸性混合物，污染大气环境。环境风险事故主要是柴油储罐火灾爆炸。</w:t>
            </w:r>
          </w:p>
          <w:p>
            <w:pPr>
              <w:pStyle w:val="110"/>
              <w:rPr>
                <w:color w:val="000000"/>
              </w:rPr>
            </w:pPr>
            <w:r>
              <w:rPr>
                <w:rFonts w:hint="eastAsia"/>
                <w:color w:val="000000"/>
              </w:rPr>
              <w:t>2）项目区环境敏感目标情况</w:t>
            </w:r>
          </w:p>
          <w:p>
            <w:pPr>
              <w:pStyle w:val="110"/>
              <w:rPr>
                <w:color w:val="000000"/>
              </w:rPr>
            </w:pPr>
            <w:r>
              <w:rPr>
                <w:rFonts w:hint="eastAsia"/>
                <w:color w:val="000000"/>
              </w:rPr>
              <w:t>根据现场勘查，本次部署的评价井井口周围</w:t>
            </w:r>
            <w:r>
              <w:rPr>
                <w:color w:val="000000"/>
              </w:rPr>
              <w:t>1</w:t>
            </w:r>
            <w:r>
              <w:rPr>
                <w:rFonts w:hint="eastAsia"/>
                <w:color w:val="000000"/>
              </w:rPr>
              <w:t>km范围内无自然保护区、风景名胜区、水源保护区，其他环境敏感目标详见</w:t>
            </w:r>
            <w:r>
              <w:rPr>
                <w:rFonts w:hint="eastAsia"/>
                <w:color w:val="000000"/>
                <w:szCs w:val="21"/>
              </w:rPr>
              <w:t xml:space="preserve">表 </w:t>
            </w:r>
            <w:r>
              <w:rPr>
                <w:color w:val="000000"/>
                <w:szCs w:val="21"/>
              </w:rPr>
              <w:t>15</w:t>
            </w:r>
            <w:r>
              <w:rPr>
                <w:rFonts w:hint="eastAsia"/>
                <w:color w:val="000000"/>
              </w:rPr>
              <w:t>。</w:t>
            </w:r>
          </w:p>
          <w:p>
            <w:pPr>
              <w:pStyle w:val="110"/>
              <w:rPr>
                <w:color w:val="000000"/>
              </w:rPr>
            </w:pPr>
            <w:r>
              <w:rPr>
                <w:rFonts w:hint="eastAsia"/>
                <w:color w:val="000000"/>
              </w:rPr>
              <w:t>3）环境风险识别</w:t>
            </w:r>
          </w:p>
          <w:p>
            <w:pPr>
              <w:pStyle w:val="110"/>
              <w:rPr>
                <w:color w:val="000000"/>
              </w:rPr>
            </w:pPr>
            <w:r>
              <w:rPr>
                <w:rFonts w:hint="eastAsia"/>
                <w:color w:val="000000"/>
              </w:rPr>
              <w:t>项目钻井过程中涉及到的物质主要为柴油。</w:t>
            </w:r>
          </w:p>
          <w:p>
            <w:pPr>
              <w:pStyle w:val="110"/>
              <w:rPr>
                <w:color w:val="000000"/>
              </w:rPr>
            </w:pPr>
            <w:r>
              <w:rPr>
                <w:rFonts w:hint="eastAsia"/>
                <w:color w:val="000000"/>
              </w:rPr>
              <w:t xml:space="preserve">项目钻井过程中需用柴油作为发电和提供动力的燃料。柴油具有麻痹和刺激的毒性，其理化性质及危害见表 </w:t>
            </w:r>
            <w:r>
              <w:rPr>
                <w:color w:val="000000"/>
              </w:rPr>
              <w:t>19</w:t>
            </w:r>
            <w:r>
              <w:rPr>
                <w:rFonts w:hint="eastAsia"/>
                <w:color w:val="000000"/>
              </w:rPr>
              <w:t>。</w:t>
            </w:r>
          </w:p>
          <w:p>
            <w:pPr>
              <w:pStyle w:val="12"/>
              <w:spacing w:before="120"/>
              <w:rPr>
                <w:color w:val="000000"/>
              </w:rPr>
            </w:pPr>
            <w:bookmarkStart w:id="35" w:name="_Ref38547579"/>
            <w:r>
              <w:rPr>
                <w:rFonts w:hint="eastAsia"/>
                <w:color w:val="000000"/>
              </w:rPr>
              <w:t xml:space="preserve">表 </w:t>
            </w:r>
            <w:r>
              <w:rPr>
                <w:color w:val="000000"/>
              </w:rPr>
              <w:t>19</w:t>
            </w:r>
            <w:bookmarkEnd w:id="35"/>
            <w:r>
              <w:rPr>
                <w:color w:val="000000"/>
              </w:rPr>
              <w:t xml:space="preserve">  </w:t>
            </w:r>
            <w:r>
              <w:rPr>
                <w:rFonts w:hint="eastAsia"/>
                <w:snapToGrid w:val="0"/>
                <w:color w:val="000000"/>
              </w:rPr>
              <w:t>柴油的理化性质及危害特征</w:t>
            </w:r>
          </w:p>
          <w:tbl>
            <w:tblPr>
              <w:tblStyle w:val="29"/>
              <w:tblW w:w="74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3369"/>
              <w:gridCol w:w="33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659" w:type="dxa"/>
                  <w:shd w:val="clear" w:color="auto" w:fill="auto"/>
                  <w:vAlign w:val="center"/>
                </w:tcPr>
                <w:p>
                  <w:pPr>
                    <w:pStyle w:val="70"/>
                    <w:rPr>
                      <w:color w:val="000000"/>
                    </w:rPr>
                  </w:pPr>
                  <w:r>
                    <w:rPr>
                      <w:rFonts w:hint="eastAsia"/>
                      <w:color w:val="000000"/>
                    </w:rPr>
                    <w:t>标识</w:t>
                  </w:r>
                </w:p>
              </w:tc>
              <w:tc>
                <w:tcPr>
                  <w:tcW w:w="3369" w:type="dxa"/>
                  <w:shd w:val="clear" w:color="auto" w:fill="auto"/>
                  <w:vAlign w:val="center"/>
                </w:tcPr>
                <w:p>
                  <w:pPr>
                    <w:pStyle w:val="70"/>
                    <w:rPr>
                      <w:color w:val="000000"/>
                    </w:rPr>
                  </w:pPr>
                  <w:r>
                    <w:rPr>
                      <w:rFonts w:hint="eastAsia"/>
                      <w:color w:val="000000"/>
                    </w:rPr>
                    <w:t>中文名：柴油</w:t>
                  </w:r>
                </w:p>
              </w:tc>
              <w:tc>
                <w:tcPr>
                  <w:tcW w:w="3382" w:type="dxa"/>
                  <w:shd w:val="clear" w:color="auto" w:fill="auto"/>
                  <w:vAlign w:val="center"/>
                </w:tcPr>
                <w:p>
                  <w:pPr>
                    <w:pStyle w:val="70"/>
                    <w:rPr>
                      <w:color w:val="000000"/>
                    </w:rPr>
                  </w:pPr>
                  <w:r>
                    <w:rPr>
                      <w:rFonts w:hint="eastAsia"/>
                      <w:color w:val="000000"/>
                    </w:rPr>
                    <w:t>英文名：diesel oil；diesel fuel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659" w:type="dxa"/>
                  <w:vMerge w:val="restart"/>
                  <w:shd w:val="clear" w:color="auto" w:fill="auto"/>
                  <w:vAlign w:val="center"/>
                </w:tcPr>
                <w:p>
                  <w:pPr>
                    <w:pStyle w:val="70"/>
                    <w:rPr>
                      <w:color w:val="000000"/>
                    </w:rPr>
                  </w:pPr>
                  <w:r>
                    <w:rPr>
                      <w:rFonts w:hint="eastAsia"/>
                      <w:color w:val="000000"/>
                    </w:rPr>
                    <w:t>理化性质</w:t>
                  </w:r>
                </w:p>
              </w:tc>
              <w:tc>
                <w:tcPr>
                  <w:tcW w:w="6751" w:type="dxa"/>
                  <w:gridSpan w:val="2"/>
                  <w:shd w:val="clear" w:color="auto" w:fill="auto"/>
                  <w:vAlign w:val="center"/>
                </w:tcPr>
                <w:p>
                  <w:pPr>
                    <w:pStyle w:val="70"/>
                    <w:rPr>
                      <w:color w:val="000000"/>
                    </w:rPr>
                  </w:pPr>
                  <w:r>
                    <w:rPr>
                      <w:rFonts w:hint="eastAsia"/>
                      <w:color w:val="000000"/>
                    </w:rPr>
                    <w:t>外观与形状：稍有粘性的浅黄至棕色液体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659" w:type="dxa"/>
                  <w:vMerge w:val="continue"/>
                  <w:shd w:val="clear" w:color="auto" w:fill="auto"/>
                  <w:vAlign w:val="center"/>
                </w:tcPr>
                <w:p>
                  <w:pPr>
                    <w:pStyle w:val="70"/>
                    <w:rPr>
                      <w:color w:val="000000"/>
                    </w:rPr>
                  </w:pPr>
                </w:p>
              </w:tc>
              <w:tc>
                <w:tcPr>
                  <w:tcW w:w="6751" w:type="dxa"/>
                  <w:gridSpan w:val="2"/>
                  <w:shd w:val="clear" w:color="auto" w:fill="auto"/>
                  <w:vAlign w:val="center"/>
                </w:tcPr>
                <w:p>
                  <w:pPr>
                    <w:pStyle w:val="70"/>
                    <w:rPr>
                      <w:color w:val="000000"/>
                    </w:rPr>
                  </w:pPr>
                  <w:r>
                    <w:rPr>
                      <w:rFonts w:hint="eastAsia"/>
                      <w:color w:val="000000"/>
                    </w:rPr>
                    <w:t>主要成分：烷烃、芳烃、烯烃等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659" w:type="dxa"/>
                  <w:vMerge w:val="continue"/>
                  <w:shd w:val="clear" w:color="auto" w:fill="auto"/>
                  <w:vAlign w:val="center"/>
                </w:tcPr>
                <w:p>
                  <w:pPr>
                    <w:pStyle w:val="70"/>
                    <w:rPr>
                      <w:color w:val="000000"/>
                    </w:rPr>
                  </w:pPr>
                </w:p>
              </w:tc>
              <w:tc>
                <w:tcPr>
                  <w:tcW w:w="3369" w:type="dxa"/>
                  <w:shd w:val="clear" w:color="auto" w:fill="auto"/>
                  <w:vAlign w:val="center"/>
                </w:tcPr>
                <w:p>
                  <w:pPr>
                    <w:pStyle w:val="70"/>
                    <w:rPr>
                      <w:color w:val="000000"/>
                    </w:rPr>
                  </w:pPr>
                  <w:r>
                    <w:rPr>
                      <w:color w:val="000000"/>
                    </w:rPr>
                    <w:t>熔点（</w:t>
                  </w:r>
                  <w:r>
                    <w:rPr>
                      <w:rFonts w:hint="eastAsia" w:ascii="Calibri" w:hAnsi="Calibri"/>
                      <w:color w:val="000000"/>
                    </w:rPr>
                    <w:t>℃</w:t>
                  </w:r>
                  <w:r>
                    <w:rPr>
                      <w:color w:val="000000"/>
                    </w:rPr>
                    <w:t>）：</w:t>
                  </w:r>
                  <w:r>
                    <w:rPr>
                      <w:rFonts w:hint="eastAsia"/>
                      <w:color w:val="000000"/>
                    </w:rPr>
                    <w:t>-35～20</w:t>
                  </w:r>
                </w:p>
              </w:tc>
              <w:tc>
                <w:tcPr>
                  <w:tcW w:w="3382" w:type="dxa"/>
                  <w:shd w:val="clear" w:color="auto" w:fill="auto"/>
                  <w:vAlign w:val="center"/>
                </w:tcPr>
                <w:p>
                  <w:pPr>
                    <w:pStyle w:val="70"/>
                    <w:rPr>
                      <w:color w:val="000000"/>
                    </w:rPr>
                  </w:pPr>
                  <w:r>
                    <w:rPr>
                      <w:rFonts w:hint="eastAsia"/>
                      <w:color w:val="000000"/>
                    </w:rPr>
                    <w:t>沸点</w:t>
                  </w:r>
                  <w:r>
                    <w:rPr>
                      <w:color w:val="000000"/>
                    </w:rPr>
                    <w:t>（℃）：</w:t>
                  </w:r>
                  <w:r>
                    <w:rPr>
                      <w:rFonts w:hint="eastAsia"/>
                      <w:color w:val="000000"/>
                    </w:rPr>
                    <w:t>280～370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659" w:type="dxa"/>
                  <w:vMerge w:val="continue"/>
                  <w:shd w:val="clear" w:color="auto" w:fill="auto"/>
                  <w:vAlign w:val="center"/>
                </w:tcPr>
                <w:p>
                  <w:pPr>
                    <w:pStyle w:val="70"/>
                    <w:rPr>
                      <w:color w:val="000000"/>
                    </w:rPr>
                  </w:pPr>
                </w:p>
              </w:tc>
              <w:tc>
                <w:tcPr>
                  <w:tcW w:w="3369" w:type="dxa"/>
                  <w:shd w:val="clear" w:color="auto" w:fill="auto"/>
                  <w:vAlign w:val="center"/>
                </w:tcPr>
                <w:p>
                  <w:pPr>
                    <w:pStyle w:val="70"/>
                    <w:rPr>
                      <w:color w:val="000000"/>
                    </w:rPr>
                  </w:pPr>
                  <w:r>
                    <w:rPr>
                      <w:rFonts w:hint="eastAsia"/>
                      <w:color w:val="000000"/>
                    </w:rPr>
                    <w:t>相对密度（水=1）：0.8～0.9</w:t>
                  </w:r>
                </w:p>
              </w:tc>
              <w:tc>
                <w:tcPr>
                  <w:tcW w:w="3382" w:type="dxa"/>
                  <w:shd w:val="clear" w:color="auto" w:fill="auto"/>
                  <w:vAlign w:val="center"/>
                </w:tcPr>
                <w:p>
                  <w:pPr>
                    <w:pStyle w:val="70"/>
                    <w:rPr>
                      <w:color w:val="000000"/>
                    </w:rPr>
                  </w:pPr>
                  <w:r>
                    <w:rPr>
                      <w:rFonts w:hint="eastAsia"/>
                      <w:color w:val="000000"/>
                    </w:rPr>
                    <w:t>禁忌物：强化剂、卤素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659" w:type="dxa"/>
                  <w:vMerge w:val="continue"/>
                  <w:shd w:val="clear" w:color="auto" w:fill="auto"/>
                  <w:vAlign w:val="center"/>
                </w:tcPr>
                <w:p>
                  <w:pPr>
                    <w:pStyle w:val="70"/>
                    <w:rPr>
                      <w:color w:val="000000"/>
                    </w:rPr>
                  </w:pPr>
                </w:p>
              </w:tc>
              <w:tc>
                <w:tcPr>
                  <w:tcW w:w="3369" w:type="dxa"/>
                  <w:shd w:val="clear" w:color="auto" w:fill="auto"/>
                  <w:vAlign w:val="center"/>
                </w:tcPr>
                <w:p>
                  <w:pPr>
                    <w:pStyle w:val="70"/>
                    <w:rPr>
                      <w:color w:val="000000"/>
                    </w:rPr>
                  </w:pPr>
                  <w:r>
                    <w:rPr>
                      <w:rFonts w:hint="eastAsia"/>
                      <w:color w:val="000000"/>
                    </w:rPr>
                    <w:t>稳定性：稳定</w:t>
                  </w:r>
                </w:p>
              </w:tc>
              <w:tc>
                <w:tcPr>
                  <w:tcW w:w="3382" w:type="dxa"/>
                  <w:shd w:val="clear" w:color="auto" w:fill="auto"/>
                  <w:vAlign w:val="center"/>
                </w:tcPr>
                <w:p>
                  <w:pPr>
                    <w:pStyle w:val="70"/>
                    <w:rPr>
                      <w:color w:val="000000"/>
                    </w:rPr>
                  </w:pPr>
                  <w:r>
                    <w:rPr>
                      <w:rFonts w:hint="eastAsia"/>
                      <w:color w:val="000000"/>
                    </w:rPr>
                    <w:t>聚合危害：不聚合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659" w:type="dxa"/>
                  <w:vMerge w:val="restart"/>
                  <w:shd w:val="clear" w:color="auto" w:fill="auto"/>
                  <w:vAlign w:val="center"/>
                </w:tcPr>
                <w:p>
                  <w:pPr>
                    <w:pStyle w:val="70"/>
                    <w:rPr>
                      <w:color w:val="000000"/>
                    </w:rPr>
                  </w:pPr>
                  <w:r>
                    <w:rPr>
                      <w:rFonts w:hint="eastAsia"/>
                      <w:color w:val="000000"/>
                    </w:rPr>
                    <w:t>危险特性</w:t>
                  </w:r>
                </w:p>
              </w:tc>
              <w:tc>
                <w:tcPr>
                  <w:tcW w:w="3369" w:type="dxa"/>
                  <w:shd w:val="clear" w:color="auto" w:fill="auto"/>
                  <w:vAlign w:val="center"/>
                </w:tcPr>
                <w:p>
                  <w:pPr>
                    <w:pStyle w:val="70"/>
                    <w:rPr>
                      <w:color w:val="000000"/>
                    </w:rPr>
                  </w:pPr>
                  <w:r>
                    <w:rPr>
                      <w:rFonts w:hint="eastAsia"/>
                      <w:color w:val="000000"/>
                    </w:rPr>
                    <w:t>危险性类别：丙A类易燃液体</w:t>
                  </w:r>
                </w:p>
              </w:tc>
              <w:tc>
                <w:tcPr>
                  <w:tcW w:w="3382" w:type="dxa"/>
                  <w:shd w:val="clear" w:color="auto" w:fill="auto"/>
                  <w:vAlign w:val="center"/>
                </w:tcPr>
                <w:p>
                  <w:pPr>
                    <w:pStyle w:val="70"/>
                    <w:rPr>
                      <w:color w:val="000000"/>
                    </w:rPr>
                  </w:pPr>
                  <w:r>
                    <w:rPr>
                      <w:rFonts w:hint="eastAsia"/>
                      <w:color w:val="000000"/>
                    </w:rPr>
                    <w:t>燃烧性：易燃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659" w:type="dxa"/>
                  <w:vMerge w:val="continue"/>
                  <w:shd w:val="clear" w:color="auto" w:fill="auto"/>
                  <w:vAlign w:val="center"/>
                </w:tcPr>
                <w:p>
                  <w:pPr>
                    <w:pStyle w:val="70"/>
                    <w:rPr>
                      <w:color w:val="000000"/>
                    </w:rPr>
                  </w:pPr>
                </w:p>
              </w:tc>
              <w:tc>
                <w:tcPr>
                  <w:tcW w:w="3369" w:type="dxa"/>
                  <w:shd w:val="clear" w:color="auto" w:fill="auto"/>
                  <w:vAlign w:val="center"/>
                </w:tcPr>
                <w:p>
                  <w:pPr>
                    <w:pStyle w:val="70"/>
                    <w:rPr>
                      <w:color w:val="000000"/>
                    </w:rPr>
                  </w:pPr>
                  <w:r>
                    <w:rPr>
                      <w:rFonts w:hint="eastAsia"/>
                      <w:color w:val="000000"/>
                    </w:rPr>
                    <w:t>自然温度（℃）：257</w:t>
                  </w:r>
                </w:p>
              </w:tc>
              <w:tc>
                <w:tcPr>
                  <w:tcW w:w="3382" w:type="dxa"/>
                  <w:shd w:val="clear" w:color="auto" w:fill="auto"/>
                  <w:vAlign w:val="center"/>
                </w:tcPr>
                <w:p>
                  <w:pPr>
                    <w:pStyle w:val="70"/>
                    <w:rPr>
                      <w:color w:val="000000"/>
                    </w:rPr>
                  </w:pPr>
                  <w:r>
                    <w:rPr>
                      <w:rFonts w:hint="eastAsia"/>
                      <w:color w:val="000000"/>
                    </w:rPr>
                    <w:t>闪点（℃）：易燃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659" w:type="dxa"/>
                  <w:vMerge w:val="continue"/>
                  <w:shd w:val="clear" w:color="auto" w:fill="auto"/>
                  <w:vAlign w:val="center"/>
                </w:tcPr>
                <w:p>
                  <w:pPr>
                    <w:pStyle w:val="70"/>
                    <w:rPr>
                      <w:color w:val="000000"/>
                    </w:rPr>
                  </w:pPr>
                </w:p>
              </w:tc>
              <w:tc>
                <w:tcPr>
                  <w:tcW w:w="3369" w:type="dxa"/>
                  <w:shd w:val="clear" w:color="auto" w:fill="auto"/>
                  <w:vAlign w:val="center"/>
                </w:tcPr>
                <w:p>
                  <w:pPr>
                    <w:pStyle w:val="70"/>
                    <w:rPr>
                      <w:color w:val="000000"/>
                    </w:rPr>
                  </w:pPr>
                  <w:r>
                    <w:rPr>
                      <w:rFonts w:hint="eastAsia"/>
                      <w:color w:val="000000"/>
                    </w:rPr>
                    <w:t>爆炸下限（%）：1.5</w:t>
                  </w:r>
                </w:p>
              </w:tc>
              <w:tc>
                <w:tcPr>
                  <w:tcW w:w="3382" w:type="dxa"/>
                  <w:shd w:val="clear" w:color="auto" w:fill="auto"/>
                  <w:vAlign w:val="center"/>
                </w:tcPr>
                <w:p>
                  <w:pPr>
                    <w:pStyle w:val="70"/>
                    <w:rPr>
                      <w:color w:val="000000"/>
                    </w:rPr>
                  </w:pPr>
                  <w:r>
                    <w:rPr>
                      <w:rFonts w:hint="eastAsia"/>
                      <w:color w:val="000000"/>
                    </w:rPr>
                    <w:t>爆炸上限（%）：4.5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659" w:type="dxa"/>
                  <w:vMerge w:val="continue"/>
                  <w:shd w:val="clear" w:color="auto" w:fill="auto"/>
                  <w:vAlign w:val="center"/>
                </w:tcPr>
                <w:p>
                  <w:pPr>
                    <w:pStyle w:val="70"/>
                    <w:rPr>
                      <w:color w:val="000000"/>
                    </w:rPr>
                  </w:pPr>
                </w:p>
              </w:tc>
              <w:tc>
                <w:tcPr>
                  <w:tcW w:w="3369" w:type="dxa"/>
                  <w:shd w:val="clear" w:color="auto" w:fill="auto"/>
                  <w:vAlign w:val="center"/>
                </w:tcPr>
                <w:p>
                  <w:pPr>
                    <w:pStyle w:val="70"/>
                    <w:rPr>
                      <w:color w:val="000000"/>
                    </w:rPr>
                  </w:pPr>
                  <w:r>
                    <w:rPr>
                      <w:rFonts w:hint="eastAsia"/>
                      <w:color w:val="000000"/>
                    </w:rPr>
                    <w:t>燃烧热（KJ/kg）：43732</w:t>
                  </w:r>
                </w:p>
              </w:tc>
              <w:tc>
                <w:tcPr>
                  <w:tcW w:w="3382" w:type="dxa"/>
                  <w:shd w:val="clear" w:color="auto" w:fill="auto"/>
                  <w:vAlign w:val="center"/>
                </w:tcPr>
                <w:p>
                  <w:pPr>
                    <w:pStyle w:val="70"/>
                    <w:rPr>
                      <w:color w:val="000000"/>
                    </w:rPr>
                  </w:pPr>
                  <w:r>
                    <w:rPr>
                      <w:rFonts w:hint="eastAsia"/>
                      <w:color w:val="000000"/>
                    </w:rPr>
                    <w:t>燃烧（分解）产物：CO、CO</w:t>
                  </w:r>
                  <w:r>
                    <w:rPr>
                      <w:rFonts w:hint="eastAsia"/>
                      <w:color w:val="000000"/>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659" w:type="dxa"/>
                  <w:vMerge w:val="continue"/>
                  <w:shd w:val="clear" w:color="auto" w:fill="auto"/>
                  <w:vAlign w:val="center"/>
                </w:tcPr>
                <w:p>
                  <w:pPr>
                    <w:pStyle w:val="70"/>
                    <w:rPr>
                      <w:color w:val="000000"/>
                    </w:rPr>
                  </w:pPr>
                </w:p>
              </w:tc>
              <w:tc>
                <w:tcPr>
                  <w:tcW w:w="6751" w:type="dxa"/>
                  <w:gridSpan w:val="2"/>
                  <w:shd w:val="clear" w:color="auto" w:fill="auto"/>
                  <w:vAlign w:val="center"/>
                </w:tcPr>
                <w:p>
                  <w:pPr>
                    <w:pStyle w:val="70"/>
                    <w:rPr>
                      <w:color w:val="000000"/>
                    </w:rPr>
                  </w:pPr>
                  <w:r>
                    <w:rPr>
                      <w:rFonts w:hint="eastAsia"/>
                      <w:color w:val="000000"/>
                    </w:rPr>
                    <w:t>危险特性：遇明火、高温或与氧化剂接触，有引起燃烧爆炸的危险。若遇高热，容器压力增大，有开裂和爆炸的危险。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659" w:type="dxa"/>
                  <w:vMerge w:val="continue"/>
                  <w:shd w:val="clear" w:color="auto" w:fill="auto"/>
                  <w:vAlign w:val="center"/>
                </w:tcPr>
                <w:p>
                  <w:pPr>
                    <w:pStyle w:val="70"/>
                    <w:rPr>
                      <w:color w:val="000000"/>
                    </w:rPr>
                  </w:pPr>
                </w:p>
              </w:tc>
              <w:tc>
                <w:tcPr>
                  <w:tcW w:w="6751" w:type="dxa"/>
                  <w:gridSpan w:val="2"/>
                  <w:shd w:val="clear" w:color="auto" w:fill="auto"/>
                  <w:vAlign w:val="center"/>
                </w:tcPr>
                <w:p>
                  <w:pPr>
                    <w:pStyle w:val="70"/>
                    <w:rPr>
                      <w:color w:val="000000"/>
                    </w:rPr>
                  </w:pPr>
                  <w:r>
                    <w:rPr>
                      <w:rFonts w:hint="eastAsia"/>
                      <w:color w:val="000000"/>
                    </w:rPr>
                    <w:t>灭火的方法：喷水冷却容器，可能的话将容器从火场移至空旷处。灭火剂：泡沫、干粉、二氧化碳。用水灭火无效。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659" w:type="dxa"/>
                  <w:vMerge w:val="restart"/>
                  <w:shd w:val="clear" w:color="auto" w:fill="auto"/>
                  <w:vAlign w:val="center"/>
                </w:tcPr>
                <w:p>
                  <w:pPr>
                    <w:pStyle w:val="70"/>
                    <w:rPr>
                      <w:color w:val="000000"/>
                    </w:rPr>
                  </w:pPr>
                  <w:r>
                    <w:rPr>
                      <w:rFonts w:hint="eastAsia"/>
                      <w:color w:val="000000"/>
                    </w:rPr>
                    <w:t>健康危害</w:t>
                  </w:r>
                </w:p>
              </w:tc>
              <w:tc>
                <w:tcPr>
                  <w:tcW w:w="6751" w:type="dxa"/>
                  <w:gridSpan w:val="2"/>
                  <w:shd w:val="clear" w:color="auto" w:fill="auto"/>
                  <w:vAlign w:val="center"/>
                </w:tcPr>
                <w:p>
                  <w:pPr>
                    <w:pStyle w:val="70"/>
                    <w:rPr>
                      <w:color w:val="000000"/>
                    </w:rPr>
                  </w:pPr>
                  <w:r>
                    <w:rPr>
                      <w:rFonts w:hint="eastAsia"/>
                      <w:color w:val="000000"/>
                    </w:rPr>
                    <w:t>侵入途径：吸入、食入、经皮吸收。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659" w:type="dxa"/>
                  <w:vMerge w:val="continue"/>
                  <w:shd w:val="clear" w:color="auto" w:fill="auto"/>
                  <w:vAlign w:val="center"/>
                </w:tcPr>
                <w:p>
                  <w:pPr>
                    <w:pStyle w:val="70"/>
                    <w:rPr>
                      <w:color w:val="000000"/>
                    </w:rPr>
                  </w:pPr>
                </w:p>
              </w:tc>
              <w:tc>
                <w:tcPr>
                  <w:tcW w:w="6751" w:type="dxa"/>
                  <w:gridSpan w:val="2"/>
                  <w:shd w:val="clear" w:color="auto" w:fill="auto"/>
                  <w:vAlign w:val="center"/>
                </w:tcPr>
                <w:p>
                  <w:pPr>
                    <w:pStyle w:val="70"/>
                    <w:rPr>
                      <w:color w:val="000000"/>
                    </w:rPr>
                  </w:pPr>
                  <w:r>
                    <w:rPr>
                      <w:rFonts w:hint="eastAsia"/>
                      <w:color w:val="000000"/>
                    </w:rPr>
                    <w:t>皮肤接触可为主要吸收途径，可致急性肾脏损害。柴油可引起接触性皮炎、油性痤疮。吸入其零滴或液体呛入可引起吸入性肺炎。能经胎盘进入胎儿血中。柴油废气可引起眼、鼻刺激症状，头晕及头痛。</w:t>
                  </w:r>
                </w:p>
              </w:tc>
            </w:tr>
          </w:tbl>
          <w:p>
            <w:pPr>
              <w:pStyle w:val="99"/>
              <w:ind w:firstLine="480"/>
              <w:rPr>
                <w:color w:val="000000"/>
              </w:rPr>
            </w:pPr>
          </w:p>
          <w:p>
            <w:pPr>
              <w:pStyle w:val="110"/>
              <w:rPr>
                <w:color w:val="000000"/>
              </w:rPr>
            </w:pPr>
            <w:r>
              <w:rPr>
                <w:rFonts w:hint="eastAsia"/>
                <w:color w:val="000000"/>
              </w:rPr>
              <w:t>4）环境风险潜势初判</w:t>
            </w:r>
          </w:p>
          <w:p>
            <w:pPr>
              <w:pStyle w:val="110"/>
              <w:rPr>
                <w:color w:val="000000"/>
              </w:rPr>
            </w:pPr>
            <w:r>
              <w:rPr>
                <w:rFonts w:hint="eastAsia"/>
                <w:color w:val="000000"/>
              </w:rPr>
              <w:t>根据《建设项目环境风险评价技术导则》（HJ 169-2018），定量分析危险物质数量与临界量的比值（Q）和所属行业及生产工艺特点（M），按照附录C对危险物质及工艺系统危险性（P）等级进行判断。本项目首先确定危险物质数量与临界量的比值（Q）。</w:t>
            </w:r>
          </w:p>
          <w:p>
            <w:pPr>
              <w:pStyle w:val="110"/>
              <w:rPr>
                <w:color w:val="000000"/>
              </w:rPr>
            </w:pPr>
            <w:r>
              <w:rPr>
                <w:rFonts w:hint="eastAsia"/>
                <w:color w:val="000000"/>
              </w:rPr>
              <w:t xml:space="preserve">根据《建设项目环境风险评价技术导则》（HJ 169-2018）中附录C要求，本项目选取危险物质最大存在总量进行计算，最大危险物质分布和数量见表 </w:t>
            </w:r>
            <w:r>
              <w:rPr>
                <w:color w:val="000000"/>
              </w:rPr>
              <w:t>20</w:t>
            </w:r>
            <w:r>
              <w:rPr>
                <w:rFonts w:hint="eastAsia"/>
                <w:color w:val="000000"/>
              </w:rPr>
              <w:t>。</w:t>
            </w:r>
          </w:p>
          <w:p>
            <w:pPr>
              <w:spacing w:before="120" w:beforeLines="50" w:line="360" w:lineRule="auto"/>
              <w:jc w:val="center"/>
              <w:rPr>
                <w:rFonts w:ascii="宋体" w:hAnsi="宋体"/>
                <w:bCs/>
                <w:color w:val="000000"/>
                <w:szCs w:val="21"/>
              </w:rPr>
            </w:pPr>
            <w:bookmarkStart w:id="36" w:name="_Ref38547593"/>
            <w:r>
              <w:rPr>
                <w:rFonts w:hint="eastAsia" w:ascii="宋体" w:hAnsi="宋体"/>
                <w:color w:val="000000"/>
              </w:rPr>
              <w:t xml:space="preserve">表 </w:t>
            </w:r>
            <w:r>
              <w:rPr>
                <w:rFonts w:ascii="宋体" w:hAnsi="宋体"/>
                <w:color w:val="000000"/>
              </w:rPr>
              <w:t>20</w:t>
            </w:r>
            <w:bookmarkEnd w:id="36"/>
            <w:r>
              <w:rPr>
                <w:rFonts w:ascii="宋体" w:hAnsi="宋体"/>
                <w:color w:val="000000"/>
              </w:rPr>
              <w:t xml:space="preserve">  </w:t>
            </w:r>
            <w:r>
              <w:rPr>
                <w:rFonts w:hint="eastAsia" w:ascii="宋体" w:hAnsi="宋体"/>
                <w:snapToGrid w:val="0"/>
                <w:color w:val="000000"/>
              </w:rPr>
              <w:t>最大危险物质</w:t>
            </w:r>
            <w:r>
              <w:rPr>
                <w:rFonts w:ascii="宋体" w:hAnsi="宋体"/>
                <w:snapToGrid w:val="0"/>
                <w:color w:val="000000"/>
              </w:rPr>
              <w:t>分布及存在数量一览表</w:t>
            </w:r>
          </w:p>
          <w:tbl>
            <w:tblPr>
              <w:tblStyle w:val="29"/>
              <w:tblW w:w="74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5"/>
              <w:gridCol w:w="939"/>
              <w:gridCol w:w="899"/>
              <w:gridCol w:w="779"/>
              <w:gridCol w:w="1377"/>
              <w:gridCol w:w="1140"/>
              <w:gridCol w:w="820"/>
              <w:gridCol w:w="7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trPr>
              <w:tc>
                <w:tcPr>
                  <w:tcW w:w="715" w:type="dxa"/>
                  <w:vMerge w:val="restart"/>
                  <w:shd w:val="clear" w:color="auto" w:fill="auto"/>
                  <w:vAlign w:val="center"/>
                </w:tcPr>
                <w:p>
                  <w:pPr>
                    <w:pStyle w:val="70"/>
                    <w:rPr>
                      <w:color w:val="000000"/>
                    </w:rPr>
                  </w:pPr>
                  <w:r>
                    <w:rPr>
                      <w:rFonts w:hint="eastAsia"/>
                      <w:color w:val="000000"/>
                    </w:rPr>
                    <w:t>时期</w:t>
                  </w:r>
                </w:p>
              </w:tc>
              <w:tc>
                <w:tcPr>
                  <w:tcW w:w="939" w:type="dxa"/>
                  <w:vMerge w:val="restart"/>
                  <w:vAlign w:val="center"/>
                </w:tcPr>
                <w:p>
                  <w:pPr>
                    <w:pStyle w:val="70"/>
                    <w:rPr>
                      <w:color w:val="000000"/>
                    </w:rPr>
                  </w:pPr>
                  <w:r>
                    <w:rPr>
                      <w:rFonts w:hint="eastAsia"/>
                      <w:color w:val="000000"/>
                    </w:rPr>
                    <w:t>独立单元名称</w:t>
                  </w:r>
                </w:p>
              </w:tc>
              <w:tc>
                <w:tcPr>
                  <w:tcW w:w="899" w:type="dxa"/>
                  <w:vMerge w:val="restart"/>
                  <w:shd w:val="clear" w:color="auto" w:fill="auto"/>
                  <w:vAlign w:val="center"/>
                </w:tcPr>
                <w:p>
                  <w:pPr>
                    <w:pStyle w:val="70"/>
                    <w:rPr>
                      <w:color w:val="000000"/>
                    </w:rPr>
                  </w:pPr>
                  <w:r>
                    <w:rPr>
                      <w:rFonts w:hint="eastAsia"/>
                      <w:color w:val="000000"/>
                    </w:rPr>
                    <w:t>危险物质</w:t>
                  </w:r>
                </w:p>
              </w:tc>
              <w:tc>
                <w:tcPr>
                  <w:tcW w:w="779" w:type="dxa"/>
                  <w:vMerge w:val="restart"/>
                  <w:shd w:val="clear" w:color="auto" w:fill="auto"/>
                  <w:vAlign w:val="center"/>
                </w:tcPr>
                <w:p>
                  <w:pPr>
                    <w:pStyle w:val="70"/>
                    <w:rPr>
                      <w:color w:val="000000"/>
                    </w:rPr>
                  </w:pPr>
                  <w:r>
                    <w:rPr>
                      <w:rFonts w:hint="eastAsia"/>
                      <w:color w:val="000000"/>
                    </w:rPr>
                    <w:t>存储设施</w:t>
                  </w:r>
                  <w:r>
                    <w:rPr>
                      <w:color w:val="000000"/>
                    </w:rPr>
                    <w:t>名称</w:t>
                  </w:r>
                </w:p>
              </w:tc>
              <w:tc>
                <w:tcPr>
                  <w:tcW w:w="1377" w:type="dxa"/>
                  <w:vMerge w:val="restart"/>
                  <w:shd w:val="clear" w:color="auto" w:fill="auto"/>
                  <w:vAlign w:val="center"/>
                </w:tcPr>
                <w:p>
                  <w:pPr>
                    <w:pStyle w:val="70"/>
                    <w:rPr>
                      <w:color w:val="000000"/>
                    </w:rPr>
                  </w:pPr>
                  <w:r>
                    <w:rPr>
                      <w:rFonts w:hint="eastAsia"/>
                      <w:color w:val="000000"/>
                    </w:rPr>
                    <w:t>设施</w:t>
                  </w:r>
                  <w:r>
                    <w:rPr>
                      <w:color w:val="000000"/>
                    </w:rPr>
                    <w:t>规格</w:t>
                  </w:r>
                  <w:r>
                    <w:rPr>
                      <w:rFonts w:hint="eastAsia"/>
                      <w:color w:val="000000"/>
                    </w:rPr>
                    <w:t>及规模</w:t>
                  </w:r>
                </w:p>
              </w:tc>
              <w:tc>
                <w:tcPr>
                  <w:tcW w:w="1140" w:type="dxa"/>
                  <w:shd w:val="clear" w:color="auto" w:fill="auto"/>
                  <w:vAlign w:val="center"/>
                </w:tcPr>
                <w:p>
                  <w:pPr>
                    <w:pStyle w:val="70"/>
                    <w:rPr>
                      <w:color w:val="000000"/>
                    </w:rPr>
                  </w:pPr>
                  <w:r>
                    <w:rPr>
                      <w:rFonts w:hint="eastAsia"/>
                      <w:color w:val="000000"/>
                    </w:rPr>
                    <w:t>最大存在量</w:t>
                  </w:r>
                </w:p>
              </w:tc>
              <w:tc>
                <w:tcPr>
                  <w:tcW w:w="820" w:type="dxa"/>
                  <w:vAlign w:val="center"/>
                </w:tcPr>
                <w:p>
                  <w:pPr>
                    <w:pStyle w:val="70"/>
                    <w:rPr>
                      <w:color w:val="000000"/>
                    </w:rPr>
                  </w:pPr>
                  <w:r>
                    <w:rPr>
                      <w:rFonts w:hint="eastAsia"/>
                      <w:color w:val="000000"/>
                    </w:rPr>
                    <w:t>临界量</w:t>
                  </w:r>
                </w:p>
              </w:tc>
              <w:tc>
                <w:tcPr>
                  <w:tcW w:w="741" w:type="dxa"/>
                  <w:vMerge w:val="restart"/>
                  <w:vAlign w:val="center"/>
                </w:tcPr>
                <w:p>
                  <w:pPr>
                    <w:pStyle w:val="70"/>
                    <w:rPr>
                      <w:color w:val="000000"/>
                    </w:rPr>
                  </w:pPr>
                  <w:r>
                    <w:rPr>
                      <w:rFonts w:hint="eastAsia"/>
                      <w:color w:val="000000"/>
                    </w:rPr>
                    <w:t>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40" w:hRule="atLeast"/>
                <w:tblHeader/>
              </w:trPr>
              <w:tc>
                <w:tcPr>
                  <w:tcW w:w="715" w:type="dxa"/>
                  <w:vMerge w:val="continue"/>
                  <w:vAlign w:val="center"/>
                </w:tcPr>
                <w:p>
                  <w:pPr>
                    <w:pStyle w:val="70"/>
                    <w:rPr>
                      <w:color w:val="000000"/>
                    </w:rPr>
                  </w:pPr>
                </w:p>
              </w:tc>
              <w:tc>
                <w:tcPr>
                  <w:tcW w:w="939" w:type="dxa"/>
                  <w:vMerge w:val="continue"/>
                  <w:vAlign w:val="center"/>
                </w:tcPr>
                <w:p>
                  <w:pPr>
                    <w:pStyle w:val="70"/>
                    <w:rPr>
                      <w:color w:val="000000"/>
                    </w:rPr>
                  </w:pPr>
                </w:p>
              </w:tc>
              <w:tc>
                <w:tcPr>
                  <w:tcW w:w="899" w:type="dxa"/>
                  <w:vMerge w:val="continue"/>
                  <w:vAlign w:val="center"/>
                </w:tcPr>
                <w:p>
                  <w:pPr>
                    <w:pStyle w:val="70"/>
                    <w:rPr>
                      <w:color w:val="000000"/>
                    </w:rPr>
                  </w:pPr>
                </w:p>
              </w:tc>
              <w:tc>
                <w:tcPr>
                  <w:tcW w:w="779" w:type="dxa"/>
                  <w:vMerge w:val="continue"/>
                  <w:vAlign w:val="center"/>
                </w:tcPr>
                <w:p>
                  <w:pPr>
                    <w:pStyle w:val="70"/>
                    <w:rPr>
                      <w:color w:val="000000"/>
                    </w:rPr>
                  </w:pPr>
                </w:p>
              </w:tc>
              <w:tc>
                <w:tcPr>
                  <w:tcW w:w="1377" w:type="dxa"/>
                  <w:vMerge w:val="continue"/>
                  <w:vAlign w:val="center"/>
                </w:tcPr>
                <w:p>
                  <w:pPr>
                    <w:pStyle w:val="70"/>
                    <w:rPr>
                      <w:color w:val="000000"/>
                    </w:rPr>
                  </w:pPr>
                </w:p>
              </w:tc>
              <w:tc>
                <w:tcPr>
                  <w:tcW w:w="1140" w:type="dxa"/>
                  <w:shd w:val="clear" w:color="auto" w:fill="auto"/>
                  <w:vAlign w:val="center"/>
                </w:tcPr>
                <w:p>
                  <w:pPr>
                    <w:pStyle w:val="70"/>
                    <w:rPr>
                      <w:color w:val="000000"/>
                    </w:rPr>
                  </w:pPr>
                  <w:r>
                    <w:rPr>
                      <w:rFonts w:hint="eastAsia"/>
                      <w:color w:val="000000"/>
                    </w:rPr>
                    <w:t>q</w:t>
                  </w:r>
                  <w:r>
                    <w:rPr>
                      <w:rFonts w:hint="eastAsia"/>
                      <w:color w:val="000000"/>
                      <w:vertAlign w:val="subscript"/>
                    </w:rPr>
                    <w:t>i</w:t>
                  </w:r>
                  <w:r>
                    <w:rPr>
                      <w:rFonts w:hint="eastAsia"/>
                      <w:color w:val="000000"/>
                    </w:rPr>
                    <w:t>（t）</w:t>
                  </w:r>
                </w:p>
              </w:tc>
              <w:tc>
                <w:tcPr>
                  <w:tcW w:w="820" w:type="dxa"/>
                  <w:vAlign w:val="center"/>
                </w:tcPr>
                <w:p>
                  <w:pPr>
                    <w:pStyle w:val="70"/>
                    <w:rPr>
                      <w:color w:val="000000"/>
                    </w:rPr>
                  </w:pPr>
                  <w:r>
                    <w:rPr>
                      <w:rFonts w:hint="eastAsia"/>
                      <w:color w:val="000000"/>
                    </w:rPr>
                    <w:t>Q</w:t>
                  </w:r>
                  <w:r>
                    <w:rPr>
                      <w:color w:val="000000"/>
                      <w:vertAlign w:val="subscript"/>
                    </w:rPr>
                    <w:t>i</w:t>
                  </w:r>
                  <w:r>
                    <w:rPr>
                      <w:rFonts w:hint="eastAsia"/>
                      <w:color w:val="000000"/>
                    </w:rPr>
                    <w:t>（t）</w:t>
                  </w:r>
                </w:p>
              </w:tc>
              <w:tc>
                <w:tcPr>
                  <w:tcW w:w="741" w:type="dxa"/>
                  <w:vMerge w:val="continue"/>
                  <w:vAlign w:val="center"/>
                </w:tcPr>
                <w:p>
                  <w:pPr>
                    <w:pStyle w:val="70"/>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trPr>
              <w:tc>
                <w:tcPr>
                  <w:tcW w:w="715" w:type="dxa"/>
                  <w:vAlign w:val="center"/>
                </w:tcPr>
                <w:p>
                  <w:pPr>
                    <w:pStyle w:val="70"/>
                    <w:rPr>
                      <w:color w:val="000000"/>
                    </w:rPr>
                  </w:pPr>
                  <w:r>
                    <w:rPr>
                      <w:rFonts w:hint="eastAsia"/>
                      <w:color w:val="000000"/>
                    </w:rPr>
                    <w:t>施工期</w:t>
                  </w:r>
                </w:p>
              </w:tc>
              <w:tc>
                <w:tcPr>
                  <w:tcW w:w="939" w:type="dxa"/>
                  <w:vAlign w:val="center"/>
                </w:tcPr>
                <w:p>
                  <w:pPr>
                    <w:pStyle w:val="70"/>
                    <w:rPr>
                      <w:color w:val="000000"/>
                    </w:rPr>
                  </w:pPr>
                  <w:r>
                    <w:rPr>
                      <w:rFonts w:hint="eastAsia"/>
                      <w:color w:val="000000"/>
                    </w:rPr>
                    <w:t>钻井井场</w:t>
                  </w:r>
                </w:p>
              </w:tc>
              <w:tc>
                <w:tcPr>
                  <w:tcW w:w="899" w:type="dxa"/>
                  <w:vAlign w:val="center"/>
                </w:tcPr>
                <w:p>
                  <w:pPr>
                    <w:pStyle w:val="70"/>
                    <w:rPr>
                      <w:color w:val="000000"/>
                    </w:rPr>
                  </w:pPr>
                  <w:r>
                    <w:rPr>
                      <w:rFonts w:hint="eastAsia"/>
                      <w:color w:val="000000"/>
                    </w:rPr>
                    <w:t>柴油</w:t>
                  </w:r>
                </w:p>
              </w:tc>
              <w:tc>
                <w:tcPr>
                  <w:tcW w:w="779" w:type="dxa"/>
                  <w:vAlign w:val="center"/>
                </w:tcPr>
                <w:p>
                  <w:pPr>
                    <w:pStyle w:val="70"/>
                    <w:rPr>
                      <w:color w:val="000000"/>
                    </w:rPr>
                  </w:pPr>
                  <w:r>
                    <w:rPr>
                      <w:rFonts w:hint="eastAsia"/>
                      <w:color w:val="000000"/>
                    </w:rPr>
                    <w:t>柴油罐</w:t>
                  </w:r>
                </w:p>
              </w:tc>
              <w:tc>
                <w:tcPr>
                  <w:tcW w:w="1377" w:type="dxa"/>
                  <w:vAlign w:val="center"/>
                </w:tcPr>
                <w:p>
                  <w:pPr>
                    <w:pStyle w:val="70"/>
                    <w:rPr>
                      <w:color w:val="000000"/>
                    </w:rPr>
                  </w:pPr>
                  <w:r>
                    <w:rPr>
                      <w:rFonts w:hint="eastAsia"/>
                      <w:color w:val="000000"/>
                    </w:rPr>
                    <w:t>40</w:t>
                  </w:r>
                  <w:r>
                    <w:rPr>
                      <w:color w:val="000000"/>
                    </w:rPr>
                    <w:t>m</w:t>
                  </w:r>
                  <w:r>
                    <w:rPr>
                      <w:color w:val="000000"/>
                      <w:vertAlign w:val="superscript"/>
                    </w:rPr>
                    <w:t>3</w:t>
                  </w:r>
                </w:p>
              </w:tc>
              <w:tc>
                <w:tcPr>
                  <w:tcW w:w="1140" w:type="dxa"/>
                  <w:shd w:val="clear" w:color="auto" w:fill="auto"/>
                  <w:vAlign w:val="center"/>
                </w:tcPr>
                <w:p>
                  <w:pPr>
                    <w:pStyle w:val="70"/>
                    <w:rPr>
                      <w:color w:val="000000"/>
                    </w:rPr>
                  </w:pPr>
                  <w:r>
                    <w:rPr>
                      <w:rFonts w:hint="eastAsia"/>
                      <w:color w:val="000000"/>
                    </w:rPr>
                    <w:t>34.00</w:t>
                  </w:r>
                </w:p>
              </w:tc>
              <w:tc>
                <w:tcPr>
                  <w:tcW w:w="820" w:type="dxa"/>
                  <w:vAlign w:val="center"/>
                </w:tcPr>
                <w:p>
                  <w:pPr>
                    <w:pStyle w:val="70"/>
                    <w:rPr>
                      <w:color w:val="000000"/>
                    </w:rPr>
                  </w:pPr>
                  <w:r>
                    <w:rPr>
                      <w:rFonts w:hint="eastAsia"/>
                      <w:color w:val="000000"/>
                    </w:rPr>
                    <w:t>2</w:t>
                  </w:r>
                  <w:r>
                    <w:rPr>
                      <w:color w:val="000000"/>
                    </w:rPr>
                    <w:t>500</w:t>
                  </w:r>
                </w:p>
              </w:tc>
              <w:tc>
                <w:tcPr>
                  <w:tcW w:w="741" w:type="dxa"/>
                  <w:vAlign w:val="center"/>
                </w:tcPr>
                <w:p>
                  <w:pPr>
                    <w:pStyle w:val="70"/>
                    <w:rPr>
                      <w:color w:val="000000"/>
                    </w:rPr>
                  </w:pPr>
                  <w:r>
                    <w:rPr>
                      <w:rFonts w:hint="eastAsia"/>
                      <w:color w:val="000000"/>
                    </w:rPr>
                    <w:t>0</w:t>
                  </w:r>
                  <w:r>
                    <w:rPr>
                      <w:color w:val="000000"/>
                    </w:rPr>
                    <w:t>.014</w:t>
                  </w:r>
                </w:p>
              </w:tc>
            </w:tr>
          </w:tbl>
          <w:p>
            <w:pPr>
              <w:pStyle w:val="99"/>
              <w:ind w:firstLine="480"/>
              <w:rPr>
                <w:color w:val="000000"/>
              </w:rPr>
            </w:pPr>
          </w:p>
          <w:p>
            <w:pPr>
              <w:pStyle w:val="110"/>
              <w:rPr>
                <w:color w:val="000000"/>
              </w:rPr>
            </w:pPr>
            <w:r>
              <w:rPr>
                <w:color w:val="000000"/>
              </w:rPr>
              <w:t>从</w:t>
            </w:r>
            <w:r>
              <w:rPr>
                <w:rFonts w:hint="eastAsia"/>
                <w:color w:val="000000"/>
              </w:rPr>
              <w:t xml:space="preserve">表 </w:t>
            </w:r>
            <w:r>
              <w:rPr>
                <w:color w:val="000000"/>
              </w:rPr>
              <w:t>20可以看出，本项目</w:t>
            </w:r>
            <w:r>
              <w:rPr>
                <w:rFonts w:hint="eastAsia"/>
                <w:color w:val="000000"/>
              </w:rPr>
              <w:t>危险物质</w:t>
            </w:r>
            <w:r>
              <w:rPr>
                <w:color w:val="000000"/>
              </w:rPr>
              <w:t>数量</w:t>
            </w:r>
            <w:r>
              <w:rPr>
                <w:rFonts w:hint="eastAsia"/>
                <w:color w:val="000000"/>
              </w:rPr>
              <w:t>与</w:t>
            </w:r>
            <w:r>
              <w:rPr>
                <w:color w:val="000000"/>
              </w:rPr>
              <w:t>临界量</w:t>
            </w:r>
            <w:r>
              <w:rPr>
                <w:rFonts w:hint="eastAsia"/>
                <w:color w:val="000000"/>
              </w:rPr>
              <w:t>比值</w:t>
            </w:r>
            <w:r>
              <w:rPr>
                <w:rFonts w:hint="eastAsia"/>
                <w:color w:val="000000"/>
                <w:vertAlign w:val="subscript"/>
              </w:rPr>
              <w:t>Q</w:t>
            </w:r>
            <w:r>
              <w:rPr>
                <w:color w:val="000000"/>
                <w:vertAlign w:val="subscript"/>
              </w:rPr>
              <w:t>max</w:t>
            </w:r>
            <w:r>
              <w:rPr>
                <w:rFonts w:hint="eastAsia"/>
                <w:color w:val="000000"/>
              </w:rPr>
              <w:t>为</w:t>
            </w:r>
            <w:r>
              <w:rPr>
                <w:color w:val="000000"/>
              </w:rPr>
              <w:t>0.014</w:t>
            </w:r>
            <w:r>
              <w:rPr>
                <w:rFonts w:hint="eastAsia"/>
                <w:color w:val="000000"/>
              </w:rPr>
              <w:t>＜</w:t>
            </w:r>
            <w:r>
              <w:rPr>
                <w:color w:val="000000"/>
              </w:rPr>
              <w:t>1</w:t>
            </w:r>
            <w:r>
              <w:rPr>
                <w:rFonts w:hint="eastAsia"/>
                <w:color w:val="000000"/>
              </w:rPr>
              <w:t>。根据《建设项目环境风险评价技术导则》（HJ 169-2018）中附录C要求，当Q</w:t>
            </w:r>
            <w:r>
              <w:rPr>
                <w:color w:val="000000"/>
                <w:vertAlign w:val="subscript"/>
              </w:rPr>
              <w:t>max</w:t>
            </w:r>
            <w:r>
              <w:rPr>
                <w:rFonts w:hint="eastAsia"/>
                <w:color w:val="000000"/>
              </w:rPr>
              <w:t>＜</w:t>
            </w:r>
            <w:r>
              <w:rPr>
                <w:color w:val="000000"/>
              </w:rPr>
              <w:t>1</w:t>
            </w:r>
            <w:r>
              <w:rPr>
                <w:rFonts w:hint="eastAsia"/>
                <w:color w:val="000000"/>
              </w:rPr>
              <w:t>，</w:t>
            </w:r>
            <w:r>
              <w:rPr>
                <w:color w:val="000000"/>
              </w:rPr>
              <w:t>则直接判定该项目</w:t>
            </w:r>
            <w:r>
              <w:rPr>
                <w:rFonts w:hint="eastAsia"/>
                <w:color w:val="000000"/>
              </w:rPr>
              <w:t>环境</w:t>
            </w:r>
            <w:r>
              <w:rPr>
                <w:color w:val="000000"/>
              </w:rPr>
              <w:t>风险潜</w:t>
            </w:r>
            <w:r>
              <w:rPr>
                <w:rFonts w:hint="eastAsia"/>
                <w:color w:val="000000"/>
              </w:rPr>
              <w:t>势为Ⅰ。</w:t>
            </w:r>
          </w:p>
          <w:p>
            <w:pPr>
              <w:pStyle w:val="110"/>
              <w:rPr>
                <w:color w:val="000000"/>
              </w:rPr>
            </w:pPr>
            <w:r>
              <w:rPr>
                <w:color w:val="000000"/>
              </w:rPr>
              <w:t>按照</w:t>
            </w:r>
            <w:r>
              <w:rPr>
                <w:rFonts w:hint="eastAsia"/>
                <w:color w:val="000000"/>
              </w:rPr>
              <w:t>《建设项目环境风险评价技术导则》（HJ 169-2018）</w:t>
            </w:r>
            <w:r>
              <w:rPr>
                <w:color w:val="000000"/>
              </w:rPr>
              <w:t>中的有关规定，风险评价工作等级划分如</w:t>
            </w:r>
            <w:r>
              <w:rPr>
                <w:rFonts w:hint="eastAsia"/>
                <w:color w:val="000000"/>
              </w:rPr>
              <w:t xml:space="preserve">表 </w:t>
            </w:r>
            <w:r>
              <w:rPr>
                <w:color w:val="000000"/>
              </w:rPr>
              <w:t>21。</w:t>
            </w:r>
          </w:p>
          <w:p>
            <w:pPr>
              <w:spacing w:before="120" w:beforeLines="50" w:line="360" w:lineRule="auto"/>
              <w:jc w:val="center"/>
              <w:rPr>
                <w:rFonts w:ascii="宋体" w:hAnsi="宋体"/>
                <w:bCs/>
                <w:color w:val="000000"/>
                <w:szCs w:val="21"/>
              </w:rPr>
            </w:pPr>
            <w:bookmarkStart w:id="37" w:name="_Ref38547621"/>
            <w:r>
              <w:rPr>
                <w:rFonts w:hint="eastAsia" w:ascii="宋体" w:hAnsi="宋体"/>
                <w:color w:val="000000"/>
              </w:rPr>
              <w:t xml:space="preserve">表 </w:t>
            </w:r>
            <w:r>
              <w:rPr>
                <w:rFonts w:ascii="宋体" w:hAnsi="宋体"/>
                <w:color w:val="000000"/>
              </w:rPr>
              <w:t>21</w:t>
            </w:r>
            <w:bookmarkEnd w:id="37"/>
            <w:r>
              <w:rPr>
                <w:rFonts w:ascii="宋体" w:hAnsi="宋体"/>
                <w:color w:val="000000"/>
              </w:rPr>
              <w:t xml:space="preserve">  </w:t>
            </w:r>
            <w:r>
              <w:rPr>
                <w:rFonts w:ascii="宋体" w:hAnsi="宋体"/>
                <w:snapToGrid w:val="0"/>
                <w:color w:val="000000"/>
              </w:rPr>
              <w:t>风险评价工作级别表</w:t>
            </w:r>
          </w:p>
          <w:tbl>
            <w:tblPr>
              <w:tblStyle w:val="29"/>
              <w:tblW w:w="741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pct20" w:color="auto" w:fill="auto"/>
              <w:tblLayout w:type="fixed"/>
              <w:tblCellMar>
                <w:top w:w="0" w:type="dxa"/>
                <w:left w:w="108" w:type="dxa"/>
                <w:bottom w:w="0" w:type="dxa"/>
                <w:right w:w="108" w:type="dxa"/>
              </w:tblCellMar>
            </w:tblPr>
            <w:tblGrid>
              <w:gridCol w:w="1723"/>
              <w:gridCol w:w="1484"/>
              <w:gridCol w:w="1237"/>
              <w:gridCol w:w="1483"/>
              <w:gridCol w:w="14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pct20" w:color="auto" w:fill="auto"/>
                <w:tblLayout w:type="fixed"/>
                <w:tblCellMar>
                  <w:top w:w="0" w:type="dxa"/>
                  <w:left w:w="108" w:type="dxa"/>
                  <w:bottom w:w="0" w:type="dxa"/>
                  <w:right w:w="108" w:type="dxa"/>
                </w:tblCellMar>
              </w:tblPrEx>
              <w:trPr>
                <w:cantSplit/>
                <w:trHeight w:val="340" w:hRule="atLeast"/>
                <w:jc w:val="center"/>
              </w:trPr>
              <w:tc>
                <w:tcPr>
                  <w:tcW w:w="1723" w:type="dxa"/>
                  <w:shd w:val="clear" w:color="auto" w:fill="auto"/>
                  <w:vAlign w:val="center"/>
                </w:tcPr>
                <w:p>
                  <w:pPr>
                    <w:pStyle w:val="70"/>
                    <w:rPr>
                      <w:color w:val="000000"/>
                    </w:rPr>
                  </w:pPr>
                  <w:r>
                    <w:rPr>
                      <w:rFonts w:hint="eastAsia"/>
                      <w:color w:val="000000"/>
                    </w:rPr>
                    <w:t>环境风险潜势</w:t>
                  </w:r>
                </w:p>
              </w:tc>
              <w:tc>
                <w:tcPr>
                  <w:tcW w:w="1484" w:type="dxa"/>
                  <w:shd w:val="clear" w:color="auto" w:fill="auto"/>
                  <w:vAlign w:val="center"/>
                </w:tcPr>
                <w:p>
                  <w:pPr>
                    <w:pStyle w:val="70"/>
                    <w:rPr>
                      <w:color w:val="000000"/>
                    </w:rPr>
                  </w:pPr>
                  <w:r>
                    <w:rPr>
                      <w:rFonts w:hint="eastAsia"/>
                      <w:color w:val="000000"/>
                    </w:rPr>
                    <w:t>Ⅳ、Ⅳ</w:t>
                  </w:r>
                  <w:r>
                    <w:rPr>
                      <w:rFonts w:hint="eastAsia"/>
                      <w:color w:val="000000"/>
                      <w:vertAlign w:val="superscript"/>
                    </w:rPr>
                    <w:t>＋</w:t>
                  </w:r>
                </w:p>
              </w:tc>
              <w:tc>
                <w:tcPr>
                  <w:tcW w:w="1237" w:type="dxa"/>
                  <w:shd w:val="clear" w:color="auto" w:fill="auto"/>
                  <w:vAlign w:val="center"/>
                </w:tcPr>
                <w:p>
                  <w:pPr>
                    <w:pStyle w:val="70"/>
                    <w:rPr>
                      <w:color w:val="000000"/>
                    </w:rPr>
                  </w:pPr>
                  <w:r>
                    <w:rPr>
                      <w:rFonts w:hint="eastAsia"/>
                      <w:color w:val="000000"/>
                    </w:rPr>
                    <w:t>Ⅲ</w:t>
                  </w:r>
                </w:p>
              </w:tc>
              <w:tc>
                <w:tcPr>
                  <w:tcW w:w="1483" w:type="dxa"/>
                  <w:shd w:val="clear" w:color="auto" w:fill="auto"/>
                  <w:vAlign w:val="center"/>
                </w:tcPr>
                <w:p>
                  <w:pPr>
                    <w:pStyle w:val="70"/>
                    <w:rPr>
                      <w:color w:val="000000"/>
                    </w:rPr>
                  </w:pPr>
                  <w:r>
                    <w:rPr>
                      <w:rFonts w:hint="eastAsia"/>
                      <w:color w:val="000000"/>
                    </w:rPr>
                    <w:t>Ⅱ</w:t>
                  </w:r>
                </w:p>
              </w:tc>
              <w:tc>
                <w:tcPr>
                  <w:tcW w:w="1483" w:type="dxa"/>
                  <w:shd w:val="pct20" w:color="auto" w:fill="auto"/>
                  <w:vAlign w:val="center"/>
                </w:tcPr>
                <w:p>
                  <w:pPr>
                    <w:pStyle w:val="70"/>
                    <w:rPr>
                      <w:color w:val="000000"/>
                    </w:rPr>
                  </w:pPr>
                  <w:r>
                    <w:rPr>
                      <w:rFonts w:hint="eastAsia"/>
                      <w:color w:val="000000"/>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pct20" w:color="auto" w:fill="auto"/>
                <w:tblLayout w:type="fixed"/>
                <w:tblCellMar>
                  <w:top w:w="0" w:type="dxa"/>
                  <w:left w:w="108" w:type="dxa"/>
                  <w:bottom w:w="0" w:type="dxa"/>
                  <w:right w:w="108" w:type="dxa"/>
                </w:tblCellMar>
              </w:tblPrEx>
              <w:trPr>
                <w:cantSplit/>
                <w:trHeight w:val="340" w:hRule="atLeast"/>
                <w:jc w:val="center"/>
              </w:trPr>
              <w:tc>
                <w:tcPr>
                  <w:tcW w:w="1723" w:type="dxa"/>
                  <w:shd w:val="clear" w:color="auto" w:fill="auto"/>
                  <w:vAlign w:val="center"/>
                </w:tcPr>
                <w:p>
                  <w:pPr>
                    <w:pStyle w:val="70"/>
                    <w:rPr>
                      <w:color w:val="000000"/>
                    </w:rPr>
                  </w:pPr>
                  <w:r>
                    <w:rPr>
                      <w:rFonts w:hint="eastAsia"/>
                      <w:color w:val="000000"/>
                    </w:rPr>
                    <w:t>评价工作等级</w:t>
                  </w:r>
                </w:p>
              </w:tc>
              <w:tc>
                <w:tcPr>
                  <w:tcW w:w="1484" w:type="dxa"/>
                  <w:shd w:val="clear" w:color="auto" w:fill="auto"/>
                  <w:vAlign w:val="center"/>
                </w:tcPr>
                <w:p>
                  <w:pPr>
                    <w:pStyle w:val="70"/>
                    <w:rPr>
                      <w:color w:val="000000"/>
                    </w:rPr>
                  </w:pPr>
                  <w:r>
                    <w:rPr>
                      <w:color w:val="000000"/>
                    </w:rPr>
                    <w:t>一</w:t>
                  </w:r>
                </w:p>
              </w:tc>
              <w:tc>
                <w:tcPr>
                  <w:tcW w:w="1237" w:type="dxa"/>
                  <w:shd w:val="clear" w:color="auto" w:fill="auto"/>
                  <w:vAlign w:val="center"/>
                </w:tcPr>
                <w:p>
                  <w:pPr>
                    <w:pStyle w:val="70"/>
                    <w:rPr>
                      <w:color w:val="000000"/>
                    </w:rPr>
                  </w:pPr>
                  <w:r>
                    <w:rPr>
                      <w:color w:val="000000"/>
                    </w:rPr>
                    <w:t>二</w:t>
                  </w:r>
                </w:p>
              </w:tc>
              <w:tc>
                <w:tcPr>
                  <w:tcW w:w="1483" w:type="dxa"/>
                  <w:shd w:val="clear" w:color="auto" w:fill="auto"/>
                  <w:vAlign w:val="center"/>
                </w:tcPr>
                <w:p>
                  <w:pPr>
                    <w:pStyle w:val="70"/>
                    <w:rPr>
                      <w:color w:val="000000"/>
                    </w:rPr>
                  </w:pPr>
                  <w:r>
                    <w:rPr>
                      <w:rFonts w:hint="eastAsia"/>
                      <w:color w:val="000000"/>
                    </w:rPr>
                    <w:t>三</w:t>
                  </w:r>
                </w:p>
              </w:tc>
              <w:tc>
                <w:tcPr>
                  <w:tcW w:w="1483" w:type="dxa"/>
                  <w:shd w:val="pct20" w:color="auto" w:fill="auto"/>
                  <w:vAlign w:val="center"/>
                </w:tcPr>
                <w:p>
                  <w:pPr>
                    <w:pStyle w:val="70"/>
                    <w:rPr>
                      <w:color w:val="000000"/>
                    </w:rPr>
                  </w:pPr>
                  <w:r>
                    <w:rPr>
                      <w:rFonts w:hint="eastAsia"/>
                      <w:color w:val="000000"/>
                    </w:rPr>
                    <w:t>简单分析</w:t>
                  </w:r>
                </w:p>
              </w:tc>
            </w:tr>
          </w:tbl>
          <w:p>
            <w:pPr>
              <w:pStyle w:val="99"/>
              <w:ind w:firstLine="480"/>
              <w:rPr>
                <w:color w:val="000000"/>
              </w:rPr>
            </w:pPr>
          </w:p>
          <w:p>
            <w:pPr>
              <w:pStyle w:val="110"/>
              <w:rPr>
                <w:color w:val="000000"/>
              </w:rPr>
            </w:pPr>
            <w:r>
              <w:rPr>
                <w:rFonts w:hint="eastAsia"/>
                <w:color w:val="000000"/>
              </w:rPr>
              <w:t>本项目环境</w:t>
            </w:r>
            <w:r>
              <w:rPr>
                <w:color w:val="000000"/>
              </w:rPr>
              <w:t>风险潜</w:t>
            </w:r>
            <w:r>
              <w:rPr>
                <w:rFonts w:hint="eastAsia"/>
                <w:color w:val="000000"/>
              </w:rPr>
              <w:t>势</w:t>
            </w:r>
            <w:r>
              <w:rPr>
                <w:color w:val="000000"/>
              </w:rPr>
              <w:t>为</w:t>
            </w:r>
            <w:r>
              <w:rPr>
                <w:rFonts w:hint="eastAsia"/>
                <w:color w:val="000000"/>
              </w:rPr>
              <w:t>Ⅰ，按照《建设项目环境风险评价技术导则》（HJ 169-2018）附录A要求风险</w:t>
            </w:r>
            <w:r>
              <w:rPr>
                <w:color w:val="000000"/>
              </w:rPr>
              <w:t>评价</w:t>
            </w:r>
            <w:r>
              <w:rPr>
                <w:rFonts w:hint="eastAsia"/>
                <w:color w:val="000000"/>
              </w:rPr>
              <w:t>可开展简单分析。</w:t>
            </w:r>
          </w:p>
          <w:p>
            <w:pPr>
              <w:pStyle w:val="110"/>
              <w:rPr>
                <w:color w:val="000000"/>
              </w:rPr>
            </w:pPr>
            <w:r>
              <w:rPr>
                <w:rFonts w:hint="eastAsia"/>
                <w:color w:val="000000"/>
              </w:rPr>
              <w:t>5）</w:t>
            </w:r>
            <w:r>
              <w:rPr>
                <w:color w:val="000000"/>
              </w:rPr>
              <w:t>风险防范措施</w:t>
            </w:r>
          </w:p>
          <w:p>
            <w:pPr>
              <w:pStyle w:val="110"/>
              <w:rPr>
                <w:color w:val="000000"/>
              </w:rPr>
            </w:pPr>
            <w:r>
              <w:rPr>
                <w:rFonts w:hint="eastAsia"/>
                <w:color w:val="000000"/>
              </w:rPr>
              <w:t>（1）</w:t>
            </w:r>
            <w:r>
              <w:rPr>
                <w:color w:val="000000"/>
              </w:rPr>
              <w:t>管理措施</w:t>
            </w:r>
          </w:p>
          <w:p>
            <w:pPr>
              <w:pStyle w:val="110"/>
              <w:rPr>
                <w:color w:val="000000"/>
              </w:rPr>
            </w:pPr>
            <w:r>
              <w:rPr>
                <w:color w:val="000000"/>
              </w:rPr>
              <w:t>建设单位以及施工钻井队结合行业作业规范，设置有专职安全环保管理人员，把安全、环境管理纳入生产管理的各个环节，为防止事故的发生能起到非常积极的作用。</w:t>
            </w:r>
          </w:p>
          <w:p>
            <w:pPr>
              <w:pStyle w:val="110"/>
              <w:rPr>
                <w:color w:val="000000"/>
              </w:rPr>
            </w:pPr>
            <w:r>
              <w:rPr>
                <w:color w:val="000000"/>
              </w:rPr>
              <w:t>建设单位依托项目管理部门负责指导本项目的环境保护和安全工作，建立事故应急领导小组，设置抢险组、消防组、救护组、警戒组和环境保护组，负责整个工程的环境风险管理，建立与地方政府的环境风险应急联动机制。本项目按照</w:t>
            </w:r>
            <w:r>
              <w:rPr>
                <w:rFonts w:hint="eastAsia"/>
                <w:color w:val="000000"/>
              </w:rPr>
              <w:t>二</w:t>
            </w:r>
            <w:r>
              <w:rPr>
                <w:color w:val="000000"/>
              </w:rPr>
              <w:t>级井控要求落实好环境风险防范、应急措施以及管理措施。</w:t>
            </w:r>
          </w:p>
          <w:p>
            <w:pPr>
              <w:pStyle w:val="110"/>
              <w:rPr>
                <w:color w:val="000000"/>
              </w:rPr>
            </w:pPr>
            <w:r>
              <w:rPr>
                <w:rFonts w:hint="eastAsia"/>
                <w:color w:val="000000"/>
              </w:rPr>
              <w:t>（2）</w:t>
            </w:r>
            <w:r>
              <w:rPr>
                <w:color w:val="000000"/>
              </w:rPr>
              <w:t>井喷失控风险防范措施</w:t>
            </w:r>
          </w:p>
          <w:p>
            <w:pPr>
              <w:pStyle w:val="110"/>
              <w:rPr>
                <w:color w:val="000000"/>
              </w:rPr>
            </w:pPr>
            <w:r>
              <w:rPr>
                <w:rFonts w:hint="eastAsia"/>
                <w:color w:val="000000"/>
              </w:rPr>
              <w:t>①</w:t>
            </w:r>
            <w:r>
              <w:rPr>
                <w:color w:val="000000"/>
              </w:rPr>
              <w:t>钻井工程中确保钻井液密度及其他性能符合设计要求，并按设计要求储备压井液、加重剂、堵漏材料和其他处理剂，储备加重钻井液定期循环处理，防止沉淀；准备一根防喷单根或防喷立柱（上端接旋塞），防喷单根（防喷立柱）在提下钻铤前，应置于坡道或便于快速取用的位置；各岗位必须按分工规定，对井控装置进行维护、保养、检查，保证井控装置及工具灵活好用，始终处于待命状态；落实溢流监测岗位、关井操作岗和钻井队干部24h值班制度；严格执行钻开油气层前的申报、审批制度以及程序。</w:t>
            </w:r>
          </w:p>
          <w:p>
            <w:pPr>
              <w:pStyle w:val="110"/>
              <w:rPr>
                <w:color w:val="000000"/>
              </w:rPr>
            </w:pPr>
            <w:r>
              <w:rPr>
                <w:rFonts w:hint="eastAsia"/>
                <w:color w:val="000000"/>
              </w:rPr>
              <w:t>②</w:t>
            </w:r>
            <w:r>
              <w:rPr>
                <w:color w:val="000000"/>
              </w:rPr>
              <w:t>钻进油层后：落实专人坐岗观察井口和循环池液面变化，发现溢流立即关井，疑似液流关井检查；加强溢流预兆显示的观察，及时发现溢流。坐岗人员发现溢流、井漏及油气显示等异常情况，应立即报告司钻；若发现油气显示，每次起下钻（活动时间间隔超过5d）对闸板防喷器及手动锁紧装置开关活动一次，定期对井控装置进行试压；起钻杆时每3～5柱向环空灌满钻井液，起钻铤要连续灌浆，做好记录、校对，若灌入钻井液量大于或小于灌入量，均应停止起钻作业，进行观察。如有溢流，应及时关井。如有井漏，应及时采取相应措施。起完钻要及时下钻，检修设备时应保持井内有一定数量的钻具，并安排专人观察出口罐钻井液返出情况。严禁在空井情况下检修设备；钻开油气层后，所有车辆应停放在距井口30m以外，必须进入距井口30m以内的车辆，应安装阻火器，车头朝外停放。</w:t>
            </w:r>
          </w:p>
          <w:p>
            <w:pPr>
              <w:pStyle w:val="110"/>
              <w:rPr>
                <w:color w:val="000000"/>
              </w:rPr>
            </w:pPr>
            <w:r>
              <w:rPr>
                <w:color w:val="000000"/>
              </w:rPr>
              <w:t>③溢流处理和压井措施：最大允许关井套压不得超过井口装置额定工作压力、套管抗内压强度的80%和薄弱地层破裂压力所允许关井套压三者中的最小值。在允许关井套压内严禁放喷。天然气溢流不允许长时间关井不作处理。在等候加重材料或加重过程中，视情况间隔一段时间向井内灌注加重钻井液，同时用节流管汇控制回压，保持井底压力要略大于地层压力，排放井口附近含气钻井液。若等候时间长，应及时实施司钻法第一时间排除溢流，防止井口压力过高。空井溢流关井后，根据溢流的严重程度，可采用强行下钻分段压井法、置换法、压回法等方法进行处置。</w:t>
            </w:r>
          </w:p>
          <w:p>
            <w:pPr>
              <w:pStyle w:val="110"/>
              <w:rPr>
                <w:color w:val="000000"/>
              </w:rPr>
            </w:pPr>
            <w:r>
              <w:rPr>
                <w:rFonts w:hint="eastAsia"/>
                <w:color w:val="000000"/>
              </w:rPr>
              <w:t>④</w:t>
            </w:r>
            <w:r>
              <w:rPr>
                <w:color w:val="000000"/>
              </w:rPr>
              <w:t>测井、固井、完井等作业时，要严格执行安全操作规程和井控措施，避免发生井下复杂情况和井喷失控事故。</w:t>
            </w:r>
          </w:p>
          <w:p>
            <w:pPr>
              <w:pStyle w:val="110"/>
              <w:rPr>
                <w:color w:val="000000"/>
              </w:rPr>
            </w:pPr>
            <w:r>
              <w:rPr>
                <w:color w:val="000000"/>
              </w:rPr>
              <w:t>（</w:t>
            </w:r>
            <w:r>
              <w:rPr>
                <w:rFonts w:hint="eastAsia"/>
                <w:color w:val="000000"/>
              </w:rPr>
              <w:t>3）</w:t>
            </w:r>
            <w:r>
              <w:rPr>
                <w:color w:val="000000"/>
              </w:rPr>
              <w:t>硫化氢防范措施</w:t>
            </w:r>
          </w:p>
          <w:p>
            <w:pPr>
              <w:pStyle w:val="110"/>
              <w:rPr>
                <w:color w:val="000000"/>
              </w:rPr>
            </w:pPr>
            <w:r>
              <w:rPr>
                <w:rFonts w:hint="eastAsia"/>
                <w:color w:val="000000"/>
              </w:rPr>
              <w:t>①</w:t>
            </w:r>
            <w:r>
              <w:rPr>
                <w:color w:val="000000"/>
              </w:rPr>
              <w:t>在钻井过程中配备便携式硫化氢监测仪，做好硫化氢监测预警工作，并制定防硫化氢应急预案。</w:t>
            </w:r>
          </w:p>
          <w:p>
            <w:pPr>
              <w:pStyle w:val="110"/>
              <w:rPr>
                <w:color w:val="000000"/>
              </w:rPr>
            </w:pPr>
            <w:r>
              <w:rPr>
                <w:rFonts w:hint="eastAsia"/>
                <w:color w:val="000000"/>
              </w:rPr>
              <w:t>②钻井期</w:t>
            </w:r>
            <w:r>
              <w:rPr>
                <w:color w:val="000000"/>
              </w:rPr>
              <w:t>在作业现场显著位置设置</w:t>
            </w:r>
            <w:r>
              <w:rPr>
                <w:rFonts w:hint="eastAsia"/>
                <w:color w:val="000000"/>
              </w:rPr>
              <w:t>5</w:t>
            </w:r>
            <w:r>
              <w:rPr>
                <w:color w:val="000000"/>
              </w:rPr>
              <w:t>处风向标</w:t>
            </w:r>
            <w:r>
              <w:rPr>
                <w:rFonts w:hint="eastAsia"/>
                <w:color w:val="000000"/>
              </w:rPr>
              <w:t>，</w:t>
            </w:r>
            <w:r>
              <w:rPr>
                <w:color w:val="000000"/>
              </w:rPr>
              <w:t>并在不同方向上划定2个紧急集合点，并规划撤离路线，发生紧急情况时向上风向撤离。</w:t>
            </w:r>
          </w:p>
          <w:p>
            <w:pPr>
              <w:pStyle w:val="110"/>
              <w:rPr>
                <w:color w:val="000000"/>
              </w:rPr>
            </w:pPr>
            <w:r>
              <w:rPr>
                <w:rFonts w:hint="eastAsia"/>
                <w:color w:val="000000"/>
              </w:rPr>
              <w:t>③</w:t>
            </w:r>
            <w:r>
              <w:rPr>
                <w:color w:val="000000"/>
              </w:rPr>
              <w:t>当监测到硫化氢浓度大于75mg/m</w:t>
            </w:r>
            <w:r>
              <w:rPr>
                <w:color w:val="000000"/>
                <w:vertAlign w:val="superscript"/>
              </w:rPr>
              <w:t>3</w:t>
            </w:r>
            <w:r>
              <w:rPr>
                <w:color w:val="000000"/>
              </w:rPr>
              <w:t>（50ppm）时，按照含硫油气井作业规程执行。</w:t>
            </w:r>
          </w:p>
          <w:p>
            <w:pPr>
              <w:pStyle w:val="110"/>
              <w:rPr>
                <w:color w:val="000000"/>
              </w:rPr>
            </w:pPr>
            <w:r>
              <w:rPr>
                <w:color w:val="000000"/>
              </w:rPr>
              <w:t>（</w:t>
            </w:r>
            <w:r>
              <w:rPr>
                <w:rFonts w:hint="eastAsia"/>
                <w:color w:val="000000"/>
              </w:rPr>
              <w:t>4）</w:t>
            </w:r>
            <w:r>
              <w:rPr>
                <w:color w:val="000000"/>
              </w:rPr>
              <w:t>柴油罐环境风险防范措施</w:t>
            </w:r>
          </w:p>
          <w:p>
            <w:pPr>
              <w:pStyle w:val="110"/>
              <w:rPr>
                <w:color w:val="000000"/>
              </w:rPr>
            </w:pPr>
            <w:r>
              <w:rPr>
                <w:color w:val="000000"/>
              </w:rPr>
              <w:t>柴油罐区周边设置警示标识，严禁烟火和不相关人员靠近。日常加强油罐的管理及安全检查，防止发生泄漏等安全事故。为尽量避免</w:t>
            </w:r>
            <w:r>
              <w:rPr>
                <w:rFonts w:hint="eastAsia"/>
                <w:color w:val="000000"/>
              </w:rPr>
              <w:t>罐体</w:t>
            </w:r>
            <w:r>
              <w:rPr>
                <w:color w:val="000000"/>
              </w:rPr>
              <w:t>破裂事故的发生，减轻泄漏事故对环境的影响，应该采取以下安全环保措施：</w:t>
            </w:r>
          </w:p>
          <w:p>
            <w:pPr>
              <w:pStyle w:val="110"/>
              <w:rPr>
                <w:color w:val="000000"/>
              </w:rPr>
            </w:pPr>
            <w:r>
              <w:rPr>
                <w:rFonts w:hint="eastAsia"/>
                <w:color w:val="000000"/>
              </w:rPr>
              <w:t>①设置一定容积的围堰，确保在发生罐体泄漏时采出液不会发生溢散；</w:t>
            </w:r>
          </w:p>
          <w:p>
            <w:pPr>
              <w:pStyle w:val="110"/>
              <w:rPr>
                <w:color w:val="000000"/>
              </w:rPr>
            </w:pPr>
            <w:r>
              <w:rPr>
                <w:rFonts w:hint="eastAsia"/>
                <w:color w:val="000000"/>
              </w:rPr>
              <w:t>②围堰下方铺设有</w:t>
            </w:r>
            <w:r>
              <w:rPr>
                <w:rFonts w:hint="eastAsia"/>
                <w:snapToGrid w:val="0"/>
                <w:color w:val="000000"/>
                <w:szCs w:val="21"/>
              </w:rPr>
              <w:t>3mm防渗布（渗透系数≤10</w:t>
            </w:r>
            <w:r>
              <w:rPr>
                <w:snapToGrid w:val="0"/>
                <w:color w:val="000000"/>
                <w:szCs w:val="21"/>
                <w:vertAlign w:val="superscript"/>
              </w:rPr>
              <w:t>-7</w:t>
            </w:r>
            <w:r>
              <w:rPr>
                <w:rFonts w:hint="eastAsia"/>
                <w:snapToGrid w:val="0"/>
                <w:color w:val="000000"/>
                <w:szCs w:val="21"/>
              </w:rPr>
              <w:t>cm/s）来进行防渗处理；</w:t>
            </w:r>
          </w:p>
          <w:p>
            <w:pPr>
              <w:pStyle w:val="110"/>
              <w:rPr>
                <w:color w:val="000000"/>
              </w:rPr>
            </w:pPr>
            <w:r>
              <w:rPr>
                <w:rFonts w:hint="eastAsia"/>
                <w:color w:val="000000"/>
              </w:rPr>
              <w:t>③加强</w:t>
            </w:r>
            <w:r>
              <w:rPr>
                <w:color w:val="000000"/>
              </w:rPr>
              <w:t>巡检，发现问题及时处理</w:t>
            </w:r>
            <w:r>
              <w:rPr>
                <w:rFonts w:hint="eastAsia"/>
                <w:color w:val="000000"/>
              </w:rPr>
              <w:t>；</w:t>
            </w:r>
          </w:p>
          <w:p>
            <w:pPr>
              <w:pStyle w:val="110"/>
              <w:rPr>
                <w:color w:val="000000"/>
              </w:rPr>
            </w:pPr>
            <w:r>
              <w:rPr>
                <w:rFonts w:hint="eastAsia"/>
                <w:color w:val="000000"/>
              </w:rPr>
              <w:t>④</w:t>
            </w:r>
            <w:r>
              <w:rPr>
                <w:color w:val="000000"/>
              </w:rPr>
              <w:t>加强防腐措施</w:t>
            </w:r>
            <w:r>
              <w:rPr>
                <w:rFonts w:hint="eastAsia"/>
                <w:color w:val="000000"/>
              </w:rPr>
              <w:t>。</w:t>
            </w:r>
            <w:r>
              <w:rPr>
                <w:color w:val="000000"/>
              </w:rPr>
              <w:t>金属腐蚀的本质在于金属原子在腐蚀介质的作用下，失去电子变成离子而转移到腐蚀介质中，导致金属发生破坏。</w:t>
            </w:r>
            <w:r>
              <w:rPr>
                <w:rFonts w:hint="eastAsia"/>
                <w:color w:val="000000"/>
              </w:rPr>
              <w:t>本项目采用</w:t>
            </w:r>
            <w:r>
              <w:rPr>
                <w:color w:val="000000"/>
              </w:rPr>
              <w:t>良好的绝缘涂层隔断金属表面与腐蚀介质的接触，阻止电子从金属表面流动腐蚀介质中，使金属免遭腐蚀</w:t>
            </w:r>
            <w:r>
              <w:rPr>
                <w:rFonts w:hint="eastAsia"/>
                <w:color w:val="000000"/>
              </w:rPr>
              <w:t>。</w:t>
            </w:r>
          </w:p>
          <w:p>
            <w:pPr>
              <w:pStyle w:val="110"/>
              <w:rPr>
                <w:color w:val="000000"/>
              </w:rPr>
            </w:pPr>
            <w:r>
              <w:rPr>
                <w:rFonts w:hint="eastAsia"/>
                <w:color w:val="000000"/>
              </w:rPr>
              <w:t>6）</w:t>
            </w:r>
            <w:r>
              <w:rPr>
                <w:color w:val="000000"/>
              </w:rPr>
              <w:t>加强</w:t>
            </w:r>
            <w:r>
              <w:rPr>
                <w:rFonts w:hint="eastAsia"/>
                <w:color w:val="000000"/>
              </w:rPr>
              <w:t>环境风险管理</w:t>
            </w:r>
            <w:r>
              <w:rPr>
                <w:color w:val="000000"/>
              </w:rPr>
              <w:t>监督，</w:t>
            </w:r>
            <w:r>
              <w:rPr>
                <w:rFonts w:hint="eastAsia"/>
                <w:color w:val="000000"/>
              </w:rPr>
              <w:t>完善的技术措施和管理制度</w:t>
            </w:r>
          </w:p>
          <w:p>
            <w:pPr>
              <w:pStyle w:val="110"/>
              <w:rPr>
                <w:color w:val="000000"/>
              </w:rPr>
            </w:pPr>
            <w:r>
              <w:rPr>
                <w:rFonts w:hint="eastAsia"/>
                <w:color w:val="000000"/>
              </w:rPr>
              <w:t>根据中石化新疆新春石油开发有限责任公司在环境风险管理上建立的健康、安全与环境管理体系，减少项目施工对周围环境的影响，落实各项环保和安全措施。不断完善的技术措施和管理制度，用于消除人为的操作风险。</w:t>
            </w:r>
          </w:p>
          <w:p>
            <w:pPr>
              <w:pStyle w:val="110"/>
              <w:rPr>
                <w:color w:val="000000"/>
              </w:rPr>
            </w:pPr>
            <w:r>
              <w:rPr>
                <w:rFonts w:hint="eastAsia"/>
                <w:color w:val="000000"/>
              </w:rPr>
              <w:t>7）</w:t>
            </w:r>
            <w:r>
              <w:rPr>
                <w:color w:val="000000"/>
              </w:rPr>
              <w:t>环境风险应急预案</w:t>
            </w:r>
          </w:p>
          <w:p>
            <w:pPr>
              <w:pStyle w:val="110"/>
              <w:rPr>
                <w:color w:val="000000"/>
              </w:rPr>
            </w:pPr>
            <w:r>
              <w:rPr>
                <w:rFonts w:hint="eastAsia"/>
                <w:color w:val="000000"/>
              </w:rPr>
              <w:t>（1）</w:t>
            </w:r>
            <w:r>
              <w:rPr>
                <w:color w:val="000000"/>
              </w:rPr>
              <w:t>应急预案编制</w:t>
            </w:r>
          </w:p>
          <w:p>
            <w:pPr>
              <w:pStyle w:val="110"/>
              <w:rPr>
                <w:color w:val="000000"/>
              </w:rPr>
            </w:pPr>
            <w:r>
              <w:rPr>
                <w:color w:val="000000"/>
              </w:rPr>
              <w:t>根据钻井工程特点和经验，从环境保护角度，</w:t>
            </w:r>
            <w:r>
              <w:rPr>
                <w:rFonts w:hint="eastAsia"/>
                <w:color w:val="000000"/>
              </w:rPr>
              <w:t>有完备的井控措施和</w:t>
            </w:r>
            <w:r>
              <w:rPr>
                <w:color w:val="000000"/>
              </w:rPr>
              <w:t>《井喷及井喷失控应急预案》。应急预案应包括针对井喷失控的应急监测、抢险、救援、疏散及消除、减缓、控制技术方法和设施等相关内容。</w:t>
            </w:r>
          </w:p>
          <w:p>
            <w:pPr>
              <w:pStyle w:val="110"/>
              <w:rPr>
                <w:color w:val="000000"/>
              </w:rPr>
            </w:pPr>
            <w:r>
              <w:rPr>
                <w:rFonts w:hint="eastAsia"/>
                <w:color w:val="000000"/>
              </w:rPr>
              <w:t>（2）</w:t>
            </w:r>
            <w:r>
              <w:rPr>
                <w:color w:val="000000"/>
              </w:rPr>
              <w:t>应急演练和物资储备</w:t>
            </w:r>
          </w:p>
          <w:p>
            <w:pPr>
              <w:pStyle w:val="110"/>
              <w:rPr>
                <w:color w:val="000000"/>
              </w:rPr>
            </w:pPr>
            <w:r>
              <w:rPr>
                <w:color w:val="000000"/>
              </w:rPr>
              <w:t>应急演练应定期开展，通过演练掌握应急人员在应急抢险中对预案的熟悉程度和能力，同时加强抢险应急设备的维护保养，检查是否备足所需应急材料。</w:t>
            </w:r>
          </w:p>
          <w:p>
            <w:pPr>
              <w:pStyle w:val="110"/>
              <w:rPr>
                <w:color w:val="000000"/>
              </w:rPr>
            </w:pPr>
            <w:r>
              <w:rPr>
                <w:rFonts w:hint="eastAsia"/>
                <w:color w:val="000000"/>
              </w:rPr>
              <w:t>8）结论</w:t>
            </w:r>
          </w:p>
          <w:p>
            <w:pPr>
              <w:pStyle w:val="110"/>
              <w:rPr>
                <w:color w:val="000000"/>
              </w:rPr>
            </w:pPr>
            <w:r>
              <w:rPr>
                <w:bCs/>
                <w:color w:val="000000"/>
              </w:rPr>
              <w:t>本项目发生井喷事件的概率极小，</w:t>
            </w:r>
            <w:r>
              <w:rPr>
                <w:color w:val="000000"/>
              </w:rPr>
              <w:t>本</w:t>
            </w:r>
            <w:r>
              <w:rPr>
                <w:rFonts w:hint="eastAsia"/>
                <w:color w:val="000000"/>
              </w:rPr>
              <w:t>项目</w:t>
            </w:r>
            <w:r>
              <w:rPr>
                <w:color w:val="000000"/>
              </w:rPr>
              <w:t>制定了较为周全的风险事故防范措施和事故应急预案，当发生风险事故时立即启动事故应急预案，确保事故不扩大，不会对周边环境造成较大危害。在采取严格安全防护和风险防范措施后，风险处于环境可接受水平。</w:t>
            </w:r>
          </w:p>
          <w:p>
            <w:pPr>
              <w:pStyle w:val="110"/>
              <w:rPr>
                <w:color w:val="000000"/>
              </w:rPr>
            </w:pPr>
            <w:r>
              <w:rPr>
                <w:color w:val="000000"/>
              </w:rPr>
              <w:t>4</w:t>
            </w:r>
            <w:r>
              <w:rPr>
                <w:rFonts w:hint="eastAsia"/>
                <w:color w:val="000000"/>
              </w:rPr>
              <w:t>、环境管理</w:t>
            </w:r>
          </w:p>
          <w:p>
            <w:pPr>
              <w:pStyle w:val="110"/>
              <w:rPr>
                <w:color w:val="000000"/>
              </w:rPr>
            </w:pPr>
            <w:r>
              <w:rPr>
                <w:rFonts w:hint="eastAsia"/>
                <w:color w:val="000000"/>
              </w:rPr>
              <w:t>本项目实施过程中，将根据中石化新疆新春石油开发有限责任公司在环境管理上建立的健康、安全与环境管理体系（</w:t>
            </w:r>
            <w:r>
              <w:rPr>
                <w:color w:val="000000"/>
              </w:rPr>
              <w:t>HSE</w:t>
            </w:r>
            <w:r>
              <w:rPr>
                <w:rFonts w:hint="eastAsia"/>
                <w:color w:val="000000"/>
              </w:rPr>
              <w:t xml:space="preserve">管理体系），减少项目开发对周围环境的影响，落实各项环保和安全措施。为确保本项目环保措施的落实，最大限度地减轻施工作业对环境的影响，本报告提出的环境管理主要内容见表 </w:t>
            </w:r>
            <w:r>
              <w:rPr>
                <w:color w:val="000000"/>
              </w:rPr>
              <w:t>22</w:t>
            </w:r>
            <w:r>
              <w:rPr>
                <w:rFonts w:hint="eastAsia"/>
                <w:color w:val="000000"/>
              </w:rPr>
              <w:t>。</w:t>
            </w:r>
          </w:p>
          <w:p>
            <w:pPr>
              <w:spacing w:before="100" w:beforeAutospacing="1" w:line="360" w:lineRule="auto"/>
              <w:jc w:val="center"/>
              <w:rPr>
                <w:rFonts w:ascii="宋体" w:hAnsi="宋体"/>
                <w:bCs/>
                <w:color w:val="000000"/>
                <w:szCs w:val="21"/>
              </w:rPr>
            </w:pPr>
            <w:bookmarkStart w:id="38" w:name="_Ref58344485"/>
            <w:r>
              <w:rPr>
                <w:rFonts w:hint="eastAsia" w:ascii="宋体" w:hAnsi="宋体"/>
                <w:color w:val="000000"/>
              </w:rPr>
              <w:t xml:space="preserve">表 </w:t>
            </w:r>
            <w:r>
              <w:rPr>
                <w:rFonts w:ascii="宋体" w:hAnsi="宋体"/>
                <w:color w:val="000000"/>
              </w:rPr>
              <w:t>22</w:t>
            </w:r>
            <w:bookmarkEnd w:id="38"/>
            <w:r>
              <w:rPr>
                <w:rFonts w:ascii="宋体" w:hAnsi="宋体"/>
                <w:color w:val="000000"/>
              </w:rPr>
              <w:t xml:space="preserve">  </w:t>
            </w:r>
            <w:r>
              <w:rPr>
                <w:rFonts w:hint="eastAsia" w:ascii="宋体" w:hAnsi="宋体"/>
                <w:bCs/>
                <w:color w:val="000000"/>
                <w:szCs w:val="21"/>
              </w:rPr>
              <w:t>施工期</w:t>
            </w:r>
            <w:r>
              <w:rPr>
                <w:rFonts w:hint="eastAsia"/>
                <w:color w:val="000000"/>
              </w:rPr>
              <w:t>环境管理一览表</w:t>
            </w:r>
          </w:p>
          <w:tbl>
            <w:tblPr>
              <w:tblStyle w:val="29"/>
              <w:tblW w:w="74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918"/>
              <w:gridCol w:w="6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26" w:type="dxa"/>
                  <w:shd w:val="clear" w:color="auto" w:fill="auto"/>
                  <w:vAlign w:val="center"/>
                </w:tcPr>
                <w:p>
                  <w:pPr>
                    <w:pStyle w:val="70"/>
                    <w:rPr>
                      <w:bCs/>
                      <w:color w:val="000000"/>
                    </w:rPr>
                  </w:pPr>
                  <w:r>
                    <w:rPr>
                      <w:rFonts w:hint="eastAsia"/>
                      <w:color w:val="000000"/>
                    </w:rPr>
                    <w:t>序号</w:t>
                  </w:r>
                </w:p>
              </w:tc>
              <w:tc>
                <w:tcPr>
                  <w:tcW w:w="918" w:type="dxa"/>
                  <w:shd w:val="clear" w:color="auto" w:fill="auto"/>
                  <w:vAlign w:val="center"/>
                </w:tcPr>
                <w:p>
                  <w:pPr>
                    <w:pStyle w:val="70"/>
                    <w:rPr>
                      <w:bCs/>
                      <w:color w:val="000000"/>
                    </w:rPr>
                  </w:pPr>
                  <w:r>
                    <w:rPr>
                      <w:rFonts w:hint="eastAsia"/>
                      <w:color w:val="000000"/>
                    </w:rPr>
                    <w:t>影响因素</w:t>
                  </w:r>
                </w:p>
              </w:tc>
              <w:tc>
                <w:tcPr>
                  <w:tcW w:w="6066" w:type="dxa"/>
                  <w:shd w:val="clear" w:color="auto" w:fill="auto"/>
                  <w:vAlign w:val="center"/>
                </w:tcPr>
                <w:p>
                  <w:pPr>
                    <w:pStyle w:val="70"/>
                    <w:rPr>
                      <w:bCs/>
                      <w:color w:val="000000"/>
                    </w:rPr>
                  </w:pPr>
                  <w:r>
                    <w:rPr>
                      <w:rFonts w:hint="eastAsia"/>
                      <w:color w:val="000000"/>
                    </w:rPr>
                    <w:t>环境管理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26" w:type="dxa"/>
                  <w:shd w:val="clear" w:color="auto" w:fill="auto"/>
                  <w:vAlign w:val="center"/>
                </w:tcPr>
                <w:p>
                  <w:pPr>
                    <w:pStyle w:val="70"/>
                    <w:rPr>
                      <w:bCs/>
                      <w:color w:val="000000"/>
                    </w:rPr>
                  </w:pPr>
                  <w:r>
                    <w:rPr>
                      <w:rFonts w:hint="eastAsia"/>
                      <w:color w:val="000000"/>
                    </w:rPr>
                    <w:t>1</w:t>
                  </w:r>
                </w:p>
              </w:tc>
              <w:tc>
                <w:tcPr>
                  <w:tcW w:w="918" w:type="dxa"/>
                  <w:shd w:val="clear" w:color="auto" w:fill="auto"/>
                  <w:vAlign w:val="center"/>
                </w:tcPr>
                <w:p>
                  <w:pPr>
                    <w:pStyle w:val="70"/>
                    <w:rPr>
                      <w:bCs/>
                      <w:color w:val="000000"/>
                    </w:rPr>
                  </w:pPr>
                  <w:r>
                    <w:rPr>
                      <w:rFonts w:hint="eastAsia"/>
                      <w:color w:val="000000"/>
                    </w:rPr>
                    <w:t>大气环境</w:t>
                  </w:r>
                </w:p>
              </w:tc>
              <w:tc>
                <w:tcPr>
                  <w:tcW w:w="6066" w:type="dxa"/>
                  <w:shd w:val="clear" w:color="auto" w:fill="auto"/>
                  <w:vAlign w:val="center"/>
                </w:tcPr>
                <w:p>
                  <w:pPr>
                    <w:pStyle w:val="70"/>
                    <w:rPr>
                      <w:bCs/>
                      <w:color w:val="000000"/>
                    </w:rPr>
                  </w:pPr>
                  <w:r>
                    <w:rPr>
                      <w:rFonts w:hint="eastAsia"/>
                      <w:color w:val="000000"/>
                    </w:rPr>
                    <w:t>施工单位在钻井时应使用符合国家标准的柴油，并定期对设备进行保养维护，柴油机燃烧充分，合理匹配载荷。严禁焚烧各类废弃物。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26" w:type="dxa"/>
                  <w:shd w:val="clear" w:color="auto" w:fill="auto"/>
                  <w:vAlign w:val="center"/>
                </w:tcPr>
                <w:p>
                  <w:pPr>
                    <w:pStyle w:val="70"/>
                    <w:rPr>
                      <w:bCs/>
                      <w:color w:val="000000"/>
                    </w:rPr>
                  </w:pPr>
                  <w:r>
                    <w:rPr>
                      <w:rFonts w:hint="eastAsia"/>
                      <w:color w:val="000000"/>
                    </w:rPr>
                    <w:t>2</w:t>
                  </w:r>
                </w:p>
              </w:tc>
              <w:tc>
                <w:tcPr>
                  <w:tcW w:w="918" w:type="dxa"/>
                  <w:shd w:val="clear" w:color="auto" w:fill="auto"/>
                  <w:vAlign w:val="center"/>
                </w:tcPr>
                <w:p>
                  <w:pPr>
                    <w:pStyle w:val="70"/>
                    <w:rPr>
                      <w:bCs/>
                      <w:color w:val="000000"/>
                    </w:rPr>
                  </w:pPr>
                  <w:r>
                    <w:rPr>
                      <w:rFonts w:hint="eastAsia"/>
                      <w:color w:val="000000"/>
                    </w:rPr>
                    <w:t>声环境</w:t>
                  </w:r>
                </w:p>
              </w:tc>
              <w:tc>
                <w:tcPr>
                  <w:tcW w:w="6066" w:type="dxa"/>
                  <w:shd w:val="clear" w:color="auto" w:fill="auto"/>
                  <w:vAlign w:val="center"/>
                </w:tcPr>
                <w:p>
                  <w:pPr>
                    <w:pStyle w:val="70"/>
                    <w:rPr>
                      <w:bCs/>
                      <w:color w:val="000000"/>
                    </w:rPr>
                  </w:pPr>
                  <w:r>
                    <w:rPr>
                      <w:rFonts w:hint="eastAsia"/>
                      <w:color w:val="000000"/>
                    </w:rPr>
                    <w:t>施工单位应使用低噪声的施工设备、机械，并定期进行检修和维护，使其处于运行良好的状态，受噪声影响的工作人员应佩戴个人防护用品。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26" w:type="dxa"/>
                  <w:shd w:val="clear" w:color="auto" w:fill="auto"/>
                  <w:vAlign w:val="center"/>
                </w:tcPr>
                <w:p>
                  <w:pPr>
                    <w:pStyle w:val="70"/>
                    <w:rPr>
                      <w:bCs/>
                      <w:color w:val="000000"/>
                    </w:rPr>
                  </w:pPr>
                  <w:r>
                    <w:rPr>
                      <w:rFonts w:hint="eastAsia"/>
                      <w:color w:val="000000"/>
                    </w:rPr>
                    <w:t>3</w:t>
                  </w:r>
                </w:p>
              </w:tc>
              <w:tc>
                <w:tcPr>
                  <w:tcW w:w="918" w:type="dxa"/>
                  <w:shd w:val="clear" w:color="auto" w:fill="auto"/>
                  <w:vAlign w:val="center"/>
                </w:tcPr>
                <w:p>
                  <w:pPr>
                    <w:pStyle w:val="70"/>
                    <w:rPr>
                      <w:bCs/>
                      <w:color w:val="000000"/>
                    </w:rPr>
                  </w:pPr>
                  <w:r>
                    <w:rPr>
                      <w:rFonts w:hint="eastAsia"/>
                      <w:color w:val="000000"/>
                    </w:rPr>
                    <w:t>水环境</w:t>
                  </w:r>
                </w:p>
              </w:tc>
              <w:tc>
                <w:tcPr>
                  <w:tcW w:w="6066" w:type="dxa"/>
                  <w:shd w:val="clear" w:color="auto" w:fill="auto"/>
                  <w:vAlign w:val="center"/>
                </w:tcPr>
                <w:p>
                  <w:pPr>
                    <w:pStyle w:val="70"/>
                    <w:rPr>
                      <w:color w:val="000000"/>
                    </w:rPr>
                  </w:pPr>
                  <w:r>
                    <w:rPr>
                      <w:rFonts w:hint="eastAsia"/>
                      <w:color w:val="000000"/>
                    </w:rPr>
                    <w:t>生活污水排入旱厕由当地农户定期清理，用做农肥；钻井废水全部</w:t>
                  </w:r>
                  <w:r>
                    <w:rPr>
                      <w:color w:val="000000"/>
                    </w:rPr>
                    <w:t>排入</w:t>
                  </w:r>
                  <w:r>
                    <w:rPr>
                      <w:rFonts w:hint="eastAsia"/>
                      <w:color w:val="000000"/>
                    </w:rPr>
                    <w:t>“泥浆不落地”泥浆</w:t>
                  </w:r>
                  <w:r>
                    <w:rPr>
                      <w:color w:val="000000"/>
                    </w:rPr>
                    <w:t>槽中</w:t>
                  </w:r>
                  <w:r>
                    <w:rPr>
                      <w:rFonts w:hint="eastAsia"/>
                      <w:color w:val="000000"/>
                    </w:rPr>
                    <w:t>进行</w:t>
                  </w:r>
                  <w:r>
                    <w:rPr>
                      <w:color w:val="000000"/>
                    </w:rPr>
                    <w:t>循环利用，</w:t>
                  </w:r>
                  <w:r>
                    <w:rPr>
                      <w:rFonts w:hint="eastAsia"/>
                      <w:color w:val="000000"/>
                    </w:rPr>
                    <w:t>完井后废水运至春风一号联合站处理达标后用于产能开发回注地层。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26" w:type="dxa"/>
                  <w:shd w:val="clear" w:color="auto" w:fill="auto"/>
                  <w:vAlign w:val="center"/>
                </w:tcPr>
                <w:p>
                  <w:pPr>
                    <w:pStyle w:val="70"/>
                    <w:rPr>
                      <w:bCs/>
                      <w:color w:val="000000"/>
                    </w:rPr>
                  </w:pPr>
                  <w:r>
                    <w:rPr>
                      <w:rFonts w:hint="eastAsia"/>
                      <w:color w:val="000000"/>
                    </w:rPr>
                    <w:t>4</w:t>
                  </w:r>
                </w:p>
              </w:tc>
              <w:tc>
                <w:tcPr>
                  <w:tcW w:w="918" w:type="dxa"/>
                  <w:shd w:val="clear" w:color="auto" w:fill="auto"/>
                  <w:vAlign w:val="center"/>
                </w:tcPr>
                <w:p>
                  <w:pPr>
                    <w:pStyle w:val="70"/>
                    <w:rPr>
                      <w:bCs/>
                      <w:color w:val="000000"/>
                    </w:rPr>
                  </w:pPr>
                  <w:r>
                    <w:rPr>
                      <w:rFonts w:hint="eastAsia"/>
                      <w:color w:val="000000"/>
                    </w:rPr>
                    <w:t>固体废物</w:t>
                  </w:r>
                </w:p>
              </w:tc>
              <w:tc>
                <w:tcPr>
                  <w:tcW w:w="6066" w:type="dxa"/>
                  <w:shd w:val="clear" w:color="auto" w:fill="auto"/>
                  <w:vAlign w:val="center"/>
                </w:tcPr>
                <w:p>
                  <w:pPr>
                    <w:pStyle w:val="70"/>
                    <w:rPr>
                      <w:color w:val="000000"/>
                    </w:rPr>
                  </w:pPr>
                  <w:r>
                    <w:rPr>
                      <w:rFonts w:hint="eastAsia"/>
                      <w:color w:val="000000"/>
                    </w:rPr>
                    <w:t>生活垃圾集中在生活垃圾收集箱内，定期拉运至附近生活垃圾暂存点，交由环卫部门进行统一处理。</w:t>
                  </w:r>
                  <w:r>
                    <w:rPr>
                      <w:color w:val="000000"/>
                    </w:rPr>
                    <w:t>钻井固废经</w:t>
                  </w:r>
                  <w:r>
                    <w:rPr>
                      <w:rFonts w:hAnsi="宋体"/>
                      <w:color w:val="000000"/>
                    </w:rPr>
                    <w:t>“</w:t>
                  </w:r>
                  <w:r>
                    <w:rPr>
                      <w:rFonts w:hint="eastAsia" w:hAnsi="宋体"/>
                      <w:color w:val="000000"/>
                    </w:rPr>
                    <w:t>泥浆不落地</w:t>
                  </w:r>
                  <w:r>
                    <w:rPr>
                      <w:rFonts w:hAnsi="宋体"/>
                      <w:color w:val="000000"/>
                    </w:rPr>
                    <w:t>”</w:t>
                  </w:r>
                  <w:r>
                    <w:rPr>
                      <w:rFonts w:hint="eastAsia"/>
                      <w:color w:val="000000"/>
                    </w:rPr>
                    <w:t>设备分离后拉运至克拉玛依前山石油工程服务有限公司处理</w:t>
                  </w:r>
                  <w:r>
                    <w:rPr>
                      <w:color w:val="000000"/>
                    </w:rPr>
                    <w:t>，检测达到《油气田钻井固体废物综合利用污染控制要求》（DB65/T 3997-2017）相关标准限值后用于铺路、铺垫井场综合利用，未达标的产物将进入处置系统再次进行处理，不得随意排放</w:t>
                  </w:r>
                  <w:r>
                    <w:rPr>
                      <w:rFonts w:hint="eastAsia"/>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26" w:type="dxa"/>
                  <w:shd w:val="clear" w:color="auto" w:fill="auto"/>
                  <w:vAlign w:val="center"/>
                </w:tcPr>
                <w:p>
                  <w:pPr>
                    <w:pStyle w:val="70"/>
                    <w:rPr>
                      <w:bCs/>
                      <w:color w:val="000000"/>
                    </w:rPr>
                  </w:pPr>
                  <w:r>
                    <w:rPr>
                      <w:rFonts w:hint="eastAsia"/>
                      <w:color w:val="000000"/>
                    </w:rPr>
                    <w:t>5</w:t>
                  </w:r>
                </w:p>
              </w:tc>
              <w:tc>
                <w:tcPr>
                  <w:tcW w:w="918" w:type="dxa"/>
                  <w:shd w:val="clear" w:color="auto" w:fill="auto"/>
                  <w:vAlign w:val="center"/>
                </w:tcPr>
                <w:p>
                  <w:pPr>
                    <w:pStyle w:val="70"/>
                    <w:rPr>
                      <w:bCs/>
                      <w:color w:val="000000"/>
                    </w:rPr>
                  </w:pPr>
                  <w:r>
                    <w:rPr>
                      <w:rFonts w:hint="eastAsia"/>
                      <w:color w:val="000000"/>
                    </w:rPr>
                    <w:t>生态环境</w:t>
                  </w:r>
                </w:p>
              </w:tc>
              <w:tc>
                <w:tcPr>
                  <w:tcW w:w="6066" w:type="dxa"/>
                  <w:shd w:val="clear" w:color="auto" w:fill="auto"/>
                  <w:vAlign w:val="center"/>
                </w:tcPr>
                <w:p>
                  <w:pPr>
                    <w:pStyle w:val="70"/>
                    <w:rPr>
                      <w:bCs/>
                      <w:color w:val="000000"/>
                    </w:rPr>
                  </w:pPr>
                  <w:bookmarkStart w:id="39" w:name="_Hlk41985386"/>
                  <w:r>
                    <w:rPr>
                      <w:rFonts w:hint="eastAsia"/>
                      <w:color w:val="000000"/>
                    </w:rPr>
                    <w:t>用地面积按实际征地面积划定，</w:t>
                  </w:r>
                  <w:bookmarkEnd w:id="39"/>
                  <w:r>
                    <w:rPr>
                      <w:rFonts w:hint="eastAsia"/>
                      <w:color w:val="000000"/>
                    </w:rPr>
                    <w:t>不得超过规定面积。施工车辆严格按规定路线行驶，严禁随意开道，碾压植被、扰动土壤。严禁破坏植被、捕杀野生动物。施工结束后应对施工场地进行平整，恢复地貌。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26" w:type="dxa"/>
                  <w:shd w:val="clear" w:color="auto" w:fill="auto"/>
                  <w:vAlign w:val="center"/>
                </w:tcPr>
                <w:p>
                  <w:pPr>
                    <w:pStyle w:val="70"/>
                    <w:rPr>
                      <w:bCs/>
                      <w:color w:val="000000"/>
                    </w:rPr>
                  </w:pPr>
                  <w:r>
                    <w:rPr>
                      <w:rFonts w:hint="eastAsia"/>
                      <w:color w:val="000000"/>
                    </w:rPr>
                    <w:t>6</w:t>
                  </w:r>
                </w:p>
              </w:tc>
              <w:tc>
                <w:tcPr>
                  <w:tcW w:w="918" w:type="dxa"/>
                  <w:shd w:val="clear" w:color="auto" w:fill="auto"/>
                  <w:vAlign w:val="center"/>
                </w:tcPr>
                <w:p>
                  <w:pPr>
                    <w:pStyle w:val="70"/>
                    <w:rPr>
                      <w:bCs/>
                      <w:color w:val="000000"/>
                    </w:rPr>
                  </w:pPr>
                  <w:r>
                    <w:rPr>
                      <w:rFonts w:hint="eastAsia"/>
                      <w:color w:val="000000"/>
                    </w:rPr>
                    <w:t>环境管理</w:t>
                  </w:r>
                </w:p>
              </w:tc>
              <w:tc>
                <w:tcPr>
                  <w:tcW w:w="6066" w:type="dxa"/>
                  <w:shd w:val="clear" w:color="auto" w:fill="auto"/>
                  <w:vAlign w:val="center"/>
                </w:tcPr>
                <w:p>
                  <w:pPr>
                    <w:pStyle w:val="70"/>
                    <w:rPr>
                      <w:color w:val="000000"/>
                    </w:rPr>
                  </w:pPr>
                  <w:r>
                    <w:rPr>
                      <w:rFonts w:hint="eastAsia"/>
                      <w:color w:val="000000"/>
                    </w:rPr>
                    <w:t>①施工单位应建立环境保护档案，保存施工前后项目区的影像资料，使施工全过程各类污染物产生、去向和各个污染措施及实施情况均记录在案。建设单位要求施工单位在钻井工程开工前进行环保自查，建设单位安全环保部门对施工单位钻井期间进行环保日常检查并做好记录；完工交井前，建设单位主管部门现场验收，合格后方可记录为完工，做到工完料净场地清，并做好记录。</w:t>
                  </w:r>
                </w:p>
                <w:p>
                  <w:pPr>
                    <w:pStyle w:val="70"/>
                    <w:rPr>
                      <w:color w:val="000000"/>
                    </w:rPr>
                  </w:pPr>
                  <w:r>
                    <w:rPr>
                      <w:rFonts w:hint="eastAsia"/>
                      <w:color w:val="000000"/>
                    </w:rPr>
                    <w:t>②根据《关于进一步加强和规范油气田开发项目环境保护管理工作的通知》（新环发[</w:t>
                  </w:r>
                  <w:r>
                    <w:rPr>
                      <w:color w:val="000000"/>
                    </w:rPr>
                    <w:t>2018]1</w:t>
                  </w:r>
                  <w:r>
                    <w:rPr>
                      <w:rFonts w:hint="eastAsia"/>
                      <w:color w:val="000000"/>
                    </w:rPr>
                    <w:t>33号）要求：“油气田开发建设项目的建设运营单位（即项目业主单位）为油气田勘探开发活动环保责任单位，对在其作业区域内生开运营活动负有监督和管理的责任。业主单位责任人为该油气田开发区域内环保第一责任人，要切实履行好监督管理的责任。”</w:t>
                  </w:r>
                </w:p>
                <w:p>
                  <w:pPr>
                    <w:pStyle w:val="70"/>
                    <w:rPr>
                      <w:bCs/>
                      <w:color w:val="000000"/>
                    </w:rPr>
                  </w:pPr>
                  <w:r>
                    <w:rPr>
                      <w:rFonts w:hint="eastAsia"/>
                      <w:color w:val="000000"/>
                    </w:rPr>
                    <w:t>③按照</w:t>
                  </w:r>
                  <w:r>
                    <w:rPr>
                      <w:rFonts w:hint="eastAsia"/>
                      <w:snapToGrid w:val="0"/>
                      <w:color w:val="000000"/>
                    </w:rPr>
                    <w:t>“油气田开采项目须按分类管理和分级审批要求编制环堤影响报告书并报有审批权限的生态环堤部门审批，不得‘以探代采’”要求，本项目依法开展环境影响评价工作；若转为生产井，则须重新进行环境影响评价，对其环境影响进行分析预测，并提出相应的保护措施。</w:t>
                  </w:r>
                </w:p>
              </w:tc>
            </w:tr>
          </w:tbl>
          <w:p>
            <w:pPr>
              <w:pStyle w:val="99"/>
              <w:ind w:firstLine="0" w:firstLineChars="0"/>
              <w:rPr>
                <w:color w:val="000000"/>
              </w:rPr>
            </w:pPr>
          </w:p>
          <w:p>
            <w:pPr>
              <w:pStyle w:val="110"/>
              <w:rPr>
                <w:color w:val="000000"/>
              </w:rPr>
            </w:pPr>
            <w:r>
              <w:rPr>
                <w:rFonts w:hint="eastAsia"/>
                <w:color w:val="000000"/>
              </w:rPr>
              <w:t>5、环境监理</w:t>
            </w:r>
          </w:p>
          <w:p>
            <w:pPr>
              <w:pStyle w:val="99"/>
              <w:ind w:firstLine="420"/>
              <w:rPr>
                <w:rFonts w:cs="宋体"/>
                <w:color w:val="000000"/>
                <w:kern w:val="2"/>
                <w:sz w:val="21"/>
                <w:szCs w:val="20"/>
              </w:rPr>
            </w:pPr>
            <w:r>
              <w:rPr>
                <w:rFonts w:hint="eastAsia" w:cs="宋体"/>
                <w:color w:val="000000"/>
                <w:kern w:val="2"/>
                <w:sz w:val="21"/>
                <w:szCs w:val="20"/>
              </w:rPr>
              <w:t>为减轻国家重点工程对环境的影响，将环境管理制度从事后管理转变为全过程管理，建议本项目充分借鉴同类相关项目工程环境监理经验，实行工程环境监理。由建设单位聘请相关环境监理机构对环保法律、法规、制度、标准、规范的情况依法进行监督检查，特别是加强施工现场的环境监理检查工作，目的是协助建设单位落实施工期间的各项环境保护要求和施工合同中的环保规定，确保本项目的建设符合有关环保法律法规的要求。因此建议建设单位聘用环保专业人员，对各作业段进行环境监理工作。</w:t>
            </w:r>
          </w:p>
          <w:p>
            <w:pPr>
              <w:pStyle w:val="99"/>
              <w:ind w:firstLine="420"/>
              <w:rPr>
                <w:rFonts w:cs="宋体"/>
                <w:color w:val="000000"/>
                <w:kern w:val="2"/>
                <w:sz w:val="21"/>
                <w:szCs w:val="20"/>
              </w:rPr>
            </w:pPr>
            <w:r>
              <w:rPr>
                <w:rFonts w:hint="eastAsia" w:cs="宋体"/>
                <w:color w:val="000000"/>
                <w:kern w:val="2"/>
                <w:sz w:val="21"/>
                <w:szCs w:val="20"/>
              </w:rPr>
              <w:t>1）环境监理人员要求</w:t>
            </w:r>
          </w:p>
          <w:p>
            <w:pPr>
              <w:pStyle w:val="99"/>
              <w:ind w:firstLine="420"/>
              <w:rPr>
                <w:rFonts w:cs="宋体"/>
                <w:color w:val="000000"/>
                <w:kern w:val="2"/>
                <w:sz w:val="21"/>
                <w:szCs w:val="20"/>
              </w:rPr>
            </w:pPr>
            <w:r>
              <w:rPr>
                <w:rFonts w:hint="eastAsia" w:cs="宋体"/>
                <w:color w:val="000000"/>
                <w:kern w:val="2"/>
                <w:sz w:val="21"/>
                <w:szCs w:val="20"/>
              </w:rPr>
              <w:t>（1）环境监理人员必须具备环保专业知识，精通国家环境法律、法规和政策，了解当地环保部门的要求和环境标准。</w:t>
            </w:r>
          </w:p>
          <w:p>
            <w:pPr>
              <w:pStyle w:val="99"/>
              <w:ind w:firstLine="420"/>
              <w:rPr>
                <w:rFonts w:cs="宋体"/>
                <w:color w:val="000000"/>
                <w:kern w:val="2"/>
                <w:sz w:val="21"/>
                <w:szCs w:val="20"/>
              </w:rPr>
            </w:pPr>
            <w:r>
              <w:rPr>
                <w:rFonts w:hint="eastAsia" w:cs="宋体"/>
                <w:color w:val="000000"/>
                <w:kern w:val="2"/>
                <w:sz w:val="21"/>
                <w:szCs w:val="20"/>
              </w:rPr>
              <w:t>（2）必须接受HSE专门培训，有较长的从事环保工作经历。</w:t>
            </w:r>
          </w:p>
          <w:p>
            <w:pPr>
              <w:pStyle w:val="99"/>
              <w:ind w:firstLine="420"/>
              <w:rPr>
                <w:rFonts w:cs="宋体"/>
                <w:color w:val="000000"/>
                <w:kern w:val="2"/>
                <w:sz w:val="21"/>
                <w:szCs w:val="20"/>
              </w:rPr>
            </w:pPr>
            <w:r>
              <w:rPr>
                <w:rFonts w:hint="eastAsia" w:cs="宋体"/>
                <w:color w:val="000000"/>
                <w:kern w:val="2"/>
                <w:sz w:val="21"/>
                <w:szCs w:val="20"/>
              </w:rPr>
              <w:t>（3）具有一定的现场施工经验。</w:t>
            </w:r>
          </w:p>
          <w:p>
            <w:pPr>
              <w:pStyle w:val="99"/>
              <w:ind w:firstLine="420"/>
              <w:rPr>
                <w:rFonts w:cs="宋体"/>
                <w:color w:val="000000"/>
                <w:kern w:val="2"/>
                <w:sz w:val="21"/>
                <w:szCs w:val="20"/>
              </w:rPr>
            </w:pPr>
            <w:r>
              <w:rPr>
                <w:rFonts w:hint="eastAsia" w:cs="宋体"/>
                <w:color w:val="000000"/>
                <w:kern w:val="2"/>
                <w:sz w:val="21"/>
                <w:szCs w:val="20"/>
              </w:rPr>
              <w:t>（4）可由具备以上要求的施工监理代管。</w:t>
            </w:r>
          </w:p>
          <w:p>
            <w:pPr>
              <w:pStyle w:val="99"/>
              <w:ind w:firstLine="420"/>
              <w:rPr>
                <w:rFonts w:cs="宋体"/>
                <w:color w:val="000000"/>
                <w:kern w:val="2"/>
                <w:sz w:val="21"/>
                <w:szCs w:val="20"/>
              </w:rPr>
            </w:pPr>
            <w:r>
              <w:rPr>
                <w:rFonts w:hint="eastAsia" w:cs="宋体"/>
                <w:color w:val="000000"/>
                <w:kern w:val="2"/>
                <w:sz w:val="21"/>
                <w:szCs w:val="20"/>
              </w:rPr>
              <w:t>2）环境监理人员主要职责</w:t>
            </w:r>
          </w:p>
          <w:p>
            <w:pPr>
              <w:pStyle w:val="99"/>
              <w:ind w:firstLine="420"/>
              <w:rPr>
                <w:rFonts w:cs="宋体"/>
                <w:color w:val="000000"/>
                <w:kern w:val="2"/>
                <w:sz w:val="21"/>
                <w:szCs w:val="20"/>
              </w:rPr>
            </w:pPr>
            <w:r>
              <w:rPr>
                <w:rFonts w:hint="eastAsia" w:cs="宋体"/>
                <w:color w:val="000000"/>
                <w:kern w:val="2"/>
                <w:sz w:val="21"/>
                <w:szCs w:val="20"/>
              </w:rPr>
              <w:t>（1）监督施工现场对“环境管理方案”的落实。</w:t>
            </w:r>
          </w:p>
          <w:p>
            <w:pPr>
              <w:pStyle w:val="99"/>
              <w:ind w:firstLine="420"/>
              <w:rPr>
                <w:rFonts w:cs="宋体"/>
                <w:color w:val="000000"/>
                <w:kern w:val="2"/>
                <w:sz w:val="21"/>
                <w:szCs w:val="20"/>
              </w:rPr>
            </w:pPr>
            <w:r>
              <w:rPr>
                <w:rFonts w:hint="eastAsia" w:cs="宋体"/>
                <w:color w:val="000000"/>
                <w:kern w:val="2"/>
                <w:sz w:val="21"/>
                <w:szCs w:val="20"/>
              </w:rPr>
              <w:t>（2）及时向HSE部门负责人汇报环境管理现状，并根据发现的问题提出合理化建议。</w:t>
            </w:r>
          </w:p>
          <w:p>
            <w:pPr>
              <w:pStyle w:val="99"/>
              <w:ind w:firstLine="420"/>
              <w:rPr>
                <w:rFonts w:cs="宋体"/>
                <w:color w:val="000000"/>
                <w:kern w:val="2"/>
                <w:sz w:val="21"/>
                <w:szCs w:val="20"/>
              </w:rPr>
            </w:pPr>
            <w:r>
              <w:rPr>
                <w:rFonts w:hint="eastAsia" w:cs="宋体"/>
                <w:color w:val="000000"/>
                <w:kern w:val="2"/>
                <w:sz w:val="21"/>
                <w:szCs w:val="20"/>
              </w:rPr>
              <w:t>（3）协助HSE部门负责人宣传贯彻国家和当地政府有关环境方面的法律和法规。</w:t>
            </w:r>
          </w:p>
          <w:p>
            <w:pPr>
              <w:pStyle w:val="99"/>
              <w:ind w:firstLine="420"/>
              <w:rPr>
                <w:rFonts w:cs="宋体"/>
                <w:color w:val="000000"/>
                <w:kern w:val="2"/>
                <w:sz w:val="21"/>
                <w:szCs w:val="20"/>
              </w:rPr>
            </w:pPr>
            <w:r>
              <w:rPr>
                <w:rFonts w:hint="eastAsia" w:cs="宋体"/>
                <w:color w:val="000000"/>
                <w:kern w:val="2"/>
                <w:sz w:val="21"/>
                <w:szCs w:val="20"/>
              </w:rPr>
              <w:t>（4）对HSE工作的真实性、合法性、效益性进行审查，评价其责任，并提出改进意见。</w:t>
            </w:r>
          </w:p>
          <w:p>
            <w:pPr>
              <w:pStyle w:val="99"/>
              <w:ind w:firstLine="420"/>
              <w:rPr>
                <w:rFonts w:cs="宋体"/>
                <w:color w:val="000000"/>
                <w:kern w:val="2"/>
                <w:sz w:val="21"/>
                <w:szCs w:val="20"/>
              </w:rPr>
            </w:pPr>
            <w:r>
              <w:rPr>
                <w:rFonts w:hint="eastAsia" w:cs="宋体"/>
                <w:color w:val="000000"/>
                <w:kern w:val="2"/>
                <w:sz w:val="21"/>
                <w:szCs w:val="20"/>
              </w:rPr>
              <w:t>3）环境监理范围</w:t>
            </w:r>
          </w:p>
          <w:p>
            <w:pPr>
              <w:pStyle w:val="99"/>
              <w:ind w:firstLine="420"/>
              <w:rPr>
                <w:rFonts w:cs="宋体"/>
                <w:color w:val="000000"/>
                <w:kern w:val="2"/>
                <w:sz w:val="21"/>
                <w:szCs w:val="20"/>
              </w:rPr>
            </w:pPr>
            <w:r>
              <w:rPr>
                <w:rFonts w:hint="eastAsia" w:cs="宋体"/>
                <w:color w:val="000000"/>
                <w:kern w:val="2"/>
                <w:sz w:val="21"/>
                <w:szCs w:val="20"/>
              </w:rPr>
              <w:t>本项目不占用自然保护区、风景名胜区、水源保护区及文物保护区等特殊保护目标，环境监理范围为工程扰动范围。</w:t>
            </w:r>
          </w:p>
          <w:p>
            <w:pPr>
              <w:pStyle w:val="99"/>
              <w:ind w:firstLine="420"/>
              <w:rPr>
                <w:rFonts w:cs="宋体"/>
                <w:color w:val="000000"/>
                <w:kern w:val="2"/>
                <w:sz w:val="21"/>
                <w:szCs w:val="20"/>
              </w:rPr>
            </w:pPr>
            <w:r>
              <w:rPr>
                <w:rFonts w:hint="eastAsia" w:cs="宋体"/>
                <w:color w:val="000000"/>
                <w:kern w:val="2"/>
                <w:sz w:val="21"/>
                <w:szCs w:val="20"/>
              </w:rPr>
              <w:t>4）环境监理内容</w:t>
            </w:r>
          </w:p>
          <w:p>
            <w:pPr>
              <w:pStyle w:val="110"/>
              <w:rPr>
                <w:color w:val="000000"/>
              </w:rPr>
            </w:pPr>
            <w:r>
              <w:rPr>
                <w:rFonts w:hint="eastAsia"/>
                <w:color w:val="000000"/>
              </w:rPr>
              <w:t>施工期环境监理主要内容针对施工期钻井废水、生活污水的环境保护处理措施，钻井柴油机燃料燃烧烟气、无组织废气、汽车尾气、施工扬沙的大气环境影响控制措施，钻井柴油机、钻机、机泵及运输车辆的声环境控制措施，废弃泥浆及岩屑、废防渗材料等固体废物主要处理措施，进行环境监理，必要时采取旁站的形式完成监理工作。另外，还应对施工期的生态保护措施及恢复方案进行监理。</w:t>
            </w:r>
          </w:p>
          <w:p>
            <w:pPr>
              <w:pStyle w:val="110"/>
              <w:rPr>
                <w:color w:val="000000"/>
              </w:rPr>
            </w:pPr>
            <w:r>
              <w:rPr>
                <w:rFonts w:hint="eastAsia"/>
                <w:color w:val="000000"/>
              </w:rPr>
              <w:t>6、环境监测</w:t>
            </w:r>
          </w:p>
          <w:p>
            <w:pPr>
              <w:pStyle w:val="99"/>
              <w:ind w:firstLine="420"/>
              <w:rPr>
                <w:color w:val="000000"/>
              </w:rPr>
            </w:pPr>
            <w:r>
              <w:rPr>
                <w:rFonts w:hint="eastAsia" w:cs="宋体"/>
                <w:color w:val="000000"/>
                <w:kern w:val="2"/>
                <w:sz w:val="21"/>
                <w:szCs w:val="20"/>
              </w:rPr>
              <w:t xml:space="preserve">本次施工期监测对象主要是作业场所及其附近植被和土壤，对作业场所监测可视具体情况、当地生态环境保护部门要求等情况而定。施工期环境监测计划见表 </w:t>
            </w:r>
            <w:r>
              <w:rPr>
                <w:rFonts w:cs="宋体"/>
                <w:color w:val="000000"/>
                <w:kern w:val="2"/>
                <w:sz w:val="21"/>
                <w:szCs w:val="20"/>
              </w:rPr>
              <w:t>23</w:t>
            </w:r>
            <w:r>
              <w:rPr>
                <w:rFonts w:hint="eastAsia" w:cs="宋体"/>
                <w:color w:val="000000"/>
                <w:kern w:val="2"/>
                <w:sz w:val="21"/>
                <w:szCs w:val="20"/>
              </w:rPr>
              <w:t>。</w:t>
            </w:r>
          </w:p>
          <w:p>
            <w:pPr>
              <w:pStyle w:val="12"/>
              <w:spacing w:before="120"/>
              <w:rPr>
                <w:bCs/>
                <w:color w:val="000000"/>
                <w:szCs w:val="21"/>
              </w:rPr>
            </w:pPr>
            <w:bookmarkStart w:id="40" w:name="_Ref38547835"/>
            <w:r>
              <w:rPr>
                <w:rFonts w:hint="eastAsia"/>
                <w:color w:val="000000"/>
              </w:rPr>
              <w:t xml:space="preserve">表 </w:t>
            </w:r>
            <w:r>
              <w:rPr>
                <w:color w:val="000000"/>
              </w:rPr>
              <w:t>23</w:t>
            </w:r>
            <w:bookmarkEnd w:id="40"/>
            <w:r>
              <w:rPr>
                <w:rFonts w:hint="eastAsia"/>
                <w:color w:val="000000"/>
              </w:rPr>
              <w:t xml:space="preserve">  </w:t>
            </w:r>
            <w:r>
              <w:rPr>
                <w:rFonts w:hint="eastAsia"/>
                <w:bCs/>
                <w:color w:val="000000"/>
                <w:szCs w:val="21"/>
              </w:rPr>
              <w:t>环境监测计划</w:t>
            </w:r>
          </w:p>
          <w:tbl>
            <w:tblPr>
              <w:tblStyle w:val="29"/>
              <w:tblW w:w="741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8"/>
              <w:gridCol w:w="630"/>
              <w:gridCol w:w="1469"/>
              <w:gridCol w:w="2303"/>
              <w:gridCol w:w="1191"/>
              <w:gridCol w:w="13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78" w:type="dxa"/>
                  <w:tcBorders>
                    <w:top w:val="single" w:color="auto" w:sz="4" w:space="0"/>
                    <w:left w:val="single" w:color="auto" w:sz="4" w:space="0"/>
                    <w:bottom w:val="single" w:color="auto" w:sz="4" w:space="0"/>
                    <w:right w:val="single" w:color="auto" w:sz="4" w:space="0"/>
                  </w:tcBorders>
                  <w:vAlign w:val="center"/>
                </w:tcPr>
                <w:p>
                  <w:pPr>
                    <w:pStyle w:val="47"/>
                    <w:spacing w:beforeLines="0" w:afterLines="0" w:line="240" w:lineRule="auto"/>
                    <w:rPr>
                      <w:color w:val="000000"/>
                      <w:sz w:val="21"/>
                    </w:rPr>
                  </w:pPr>
                  <w:r>
                    <w:rPr>
                      <w:rFonts w:hint="eastAsia"/>
                      <w:color w:val="000000"/>
                      <w:sz w:val="21"/>
                    </w:rPr>
                    <w:t>序号</w:t>
                  </w:r>
                </w:p>
              </w:tc>
              <w:tc>
                <w:tcPr>
                  <w:tcW w:w="630" w:type="dxa"/>
                  <w:tcBorders>
                    <w:top w:val="single" w:color="auto" w:sz="4" w:space="0"/>
                    <w:left w:val="single" w:color="auto" w:sz="4" w:space="0"/>
                    <w:bottom w:val="single" w:color="auto" w:sz="4" w:space="0"/>
                    <w:right w:val="single" w:color="auto" w:sz="4" w:space="0"/>
                  </w:tcBorders>
                  <w:vAlign w:val="center"/>
                </w:tcPr>
                <w:p>
                  <w:pPr>
                    <w:pStyle w:val="47"/>
                    <w:spacing w:beforeLines="0" w:afterLines="0" w:line="240" w:lineRule="auto"/>
                    <w:rPr>
                      <w:color w:val="000000"/>
                      <w:sz w:val="21"/>
                    </w:rPr>
                  </w:pPr>
                  <w:r>
                    <w:rPr>
                      <w:rFonts w:hint="eastAsia"/>
                      <w:color w:val="000000"/>
                      <w:sz w:val="21"/>
                    </w:rPr>
                    <w:t>环境要素</w:t>
                  </w:r>
                </w:p>
              </w:tc>
              <w:tc>
                <w:tcPr>
                  <w:tcW w:w="1469" w:type="dxa"/>
                  <w:tcBorders>
                    <w:top w:val="single" w:color="auto" w:sz="4" w:space="0"/>
                    <w:left w:val="single" w:color="auto" w:sz="4" w:space="0"/>
                    <w:bottom w:val="single" w:color="auto" w:sz="4" w:space="0"/>
                    <w:right w:val="single" w:color="auto" w:sz="4" w:space="0"/>
                  </w:tcBorders>
                  <w:vAlign w:val="center"/>
                </w:tcPr>
                <w:p>
                  <w:pPr>
                    <w:pStyle w:val="47"/>
                    <w:spacing w:beforeLines="0" w:afterLines="0" w:line="240" w:lineRule="auto"/>
                    <w:rPr>
                      <w:color w:val="000000"/>
                      <w:sz w:val="21"/>
                    </w:rPr>
                  </w:pPr>
                  <w:r>
                    <w:rPr>
                      <w:rFonts w:hint="eastAsia"/>
                      <w:color w:val="000000"/>
                      <w:sz w:val="21"/>
                    </w:rPr>
                    <w:t>监测地点</w:t>
                  </w:r>
                </w:p>
              </w:tc>
              <w:tc>
                <w:tcPr>
                  <w:tcW w:w="2303" w:type="dxa"/>
                  <w:tcBorders>
                    <w:top w:val="single" w:color="auto" w:sz="4" w:space="0"/>
                    <w:left w:val="single" w:color="auto" w:sz="4" w:space="0"/>
                    <w:bottom w:val="single" w:color="auto" w:sz="4" w:space="0"/>
                    <w:right w:val="single" w:color="auto" w:sz="4" w:space="0"/>
                  </w:tcBorders>
                  <w:vAlign w:val="center"/>
                </w:tcPr>
                <w:p>
                  <w:pPr>
                    <w:pStyle w:val="47"/>
                    <w:spacing w:beforeLines="0" w:afterLines="0" w:line="240" w:lineRule="auto"/>
                    <w:rPr>
                      <w:color w:val="000000"/>
                      <w:sz w:val="21"/>
                    </w:rPr>
                  </w:pPr>
                  <w:r>
                    <w:rPr>
                      <w:rFonts w:hint="eastAsia"/>
                      <w:color w:val="000000"/>
                      <w:sz w:val="21"/>
                    </w:rPr>
                    <w:t>监测项目</w:t>
                  </w:r>
                </w:p>
              </w:tc>
              <w:tc>
                <w:tcPr>
                  <w:tcW w:w="1191" w:type="dxa"/>
                  <w:tcBorders>
                    <w:top w:val="single" w:color="auto" w:sz="4" w:space="0"/>
                    <w:left w:val="single" w:color="auto" w:sz="4" w:space="0"/>
                    <w:bottom w:val="single" w:color="auto" w:sz="4" w:space="0"/>
                    <w:right w:val="single" w:color="auto" w:sz="4" w:space="0"/>
                  </w:tcBorders>
                  <w:vAlign w:val="center"/>
                </w:tcPr>
                <w:p>
                  <w:pPr>
                    <w:pStyle w:val="47"/>
                    <w:spacing w:beforeLines="0" w:afterLines="0" w:line="240" w:lineRule="auto"/>
                    <w:rPr>
                      <w:color w:val="000000"/>
                      <w:sz w:val="21"/>
                    </w:rPr>
                  </w:pPr>
                  <w:r>
                    <w:rPr>
                      <w:rFonts w:hint="eastAsia"/>
                      <w:color w:val="000000"/>
                      <w:sz w:val="21"/>
                    </w:rPr>
                    <w:t>监测频次</w:t>
                  </w:r>
                </w:p>
              </w:tc>
              <w:tc>
                <w:tcPr>
                  <w:tcW w:w="1339" w:type="dxa"/>
                  <w:tcBorders>
                    <w:top w:val="single" w:color="auto" w:sz="4" w:space="0"/>
                    <w:left w:val="single" w:color="auto" w:sz="4" w:space="0"/>
                    <w:bottom w:val="single" w:color="auto" w:sz="4" w:space="0"/>
                    <w:right w:val="single" w:color="auto" w:sz="4" w:space="0"/>
                  </w:tcBorders>
                  <w:vAlign w:val="center"/>
                </w:tcPr>
                <w:p>
                  <w:pPr>
                    <w:pStyle w:val="47"/>
                    <w:spacing w:beforeLines="0" w:afterLines="0" w:line="240" w:lineRule="auto"/>
                    <w:rPr>
                      <w:color w:val="000000"/>
                      <w:sz w:val="21"/>
                    </w:rPr>
                  </w:pPr>
                  <w:r>
                    <w:rPr>
                      <w:rFonts w:hint="eastAsia"/>
                      <w:color w:val="000000"/>
                      <w:sz w:val="21"/>
                    </w:rPr>
                    <w:t>监测时间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78" w:type="dxa"/>
                  <w:tcBorders>
                    <w:top w:val="single" w:color="auto" w:sz="4" w:space="0"/>
                    <w:left w:val="single" w:color="auto" w:sz="4" w:space="0"/>
                    <w:bottom w:val="single" w:color="auto" w:sz="4" w:space="0"/>
                    <w:right w:val="single" w:color="auto" w:sz="4" w:space="0"/>
                  </w:tcBorders>
                  <w:vAlign w:val="center"/>
                </w:tcPr>
                <w:p>
                  <w:pPr>
                    <w:pStyle w:val="47"/>
                    <w:spacing w:beforeLines="0" w:afterLines="0" w:line="240" w:lineRule="auto"/>
                    <w:rPr>
                      <w:color w:val="000000"/>
                      <w:sz w:val="21"/>
                    </w:rPr>
                  </w:pPr>
                  <w:r>
                    <w:rPr>
                      <w:rFonts w:hint="eastAsia"/>
                      <w:color w:val="000000"/>
                      <w:sz w:val="21"/>
                    </w:rPr>
                    <w:t>1</w:t>
                  </w:r>
                </w:p>
              </w:tc>
              <w:tc>
                <w:tcPr>
                  <w:tcW w:w="630" w:type="dxa"/>
                  <w:tcBorders>
                    <w:top w:val="single" w:color="auto" w:sz="4" w:space="0"/>
                    <w:left w:val="single" w:color="auto" w:sz="4" w:space="0"/>
                    <w:bottom w:val="single" w:color="auto" w:sz="4" w:space="0"/>
                    <w:right w:val="single" w:color="auto" w:sz="4" w:space="0"/>
                  </w:tcBorders>
                  <w:vAlign w:val="center"/>
                </w:tcPr>
                <w:p>
                  <w:pPr>
                    <w:pStyle w:val="47"/>
                    <w:spacing w:beforeLines="0" w:afterLines="0" w:line="240" w:lineRule="auto"/>
                    <w:rPr>
                      <w:color w:val="000000"/>
                      <w:sz w:val="21"/>
                    </w:rPr>
                  </w:pPr>
                  <w:r>
                    <w:rPr>
                      <w:rFonts w:hint="eastAsia"/>
                      <w:color w:val="000000"/>
                      <w:sz w:val="21"/>
                    </w:rPr>
                    <w:t>土壤环境</w:t>
                  </w:r>
                </w:p>
              </w:tc>
              <w:tc>
                <w:tcPr>
                  <w:tcW w:w="1469" w:type="dxa"/>
                  <w:tcBorders>
                    <w:top w:val="single" w:color="auto" w:sz="4" w:space="0"/>
                    <w:left w:val="single" w:color="auto" w:sz="4" w:space="0"/>
                    <w:bottom w:val="single" w:color="auto" w:sz="4" w:space="0"/>
                    <w:right w:val="single" w:color="auto" w:sz="4" w:space="0"/>
                  </w:tcBorders>
                  <w:vAlign w:val="center"/>
                </w:tcPr>
                <w:p>
                  <w:pPr>
                    <w:pStyle w:val="47"/>
                    <w:spacing w:beforeLines="0" w:afterLines="0" w:line="240" w:lineRule="auto"/>
                    <w:rPr>
                      <w:color w:val="000000"/>
                      <w:sz w:val="21"/>
                    </w:rPr>
                  </w:pPr>
                  <w:r>
                    <w:rPr>
                      <w:rFonts w:hint="eastAsia"/>
                      <w:color w:val="000000"/>
                      <w:sz w:val="21"/>
                    </w:rPr>
                    <w:t>井场及井场周围10m、20m、30m和50m</w:t>
                  </w:r>
                </w:p>
              </w:tc>
              <w:tc>
                <w:tcPr>
                  <w:tcW w:w="2303" w:type="dxa"/>
                  <w:tcBorders>
                    <w:top w:val="single" w:color="auto" w:sz="4" w:space="0"/>
                    <w:left w:val="single" w:color="auto" w:sz="4" w:space="0"/>
                    <w:bottom w:val="single" w:color="auto" w:sz="4" w:space="0"/>
                    <w:right w:val="single" w:color="auto" w:sz="4" w:space="0"/>
                  </w:tcBorders>
                  <w:vAlign w:val="center"/>
                </w:tcPr>
                <w:p>
                  <w:pPr>
                    <w:pStyle w:val="47"/>
                    <w:spacing w:beforeLines="0" w:afterLines="0" w:line="240" w:lineRule="auto"/>
                    <w:rPr>
                      <w:color w:val="000000"/>
                      <w:sz w:val="21"/>
                    </w:rPr>
                  </w:pPr>
                  <w:r>
                    <w:rPr>
                      <w:rFonts w:hint="eastAsia"/>
                      <w:color w:val="000000"/>
                      <w:sz w:val="21"/>
                    </w:rPr>
                    <w:t>石油烃（C</w:t>
                  </w:r>
                  <w:r>
                    <w:rPr>
                      <w:rFonts w:hint="eastAsia"/>
                      <w:color w:val="000000"/>
                      <w:sz w:val="21"/>
                      <w:vertAlign w:val="subscript"/>
                    </w:rPr>
                    <w:t>10</w:t>
                  </w:r>
                  <w:r>
                    <w:rPr>
                      <w:rFonts w:hint="eastAsia"/>
                      <w:color w:val="000000"/>
                      <w:sz w:val="21"/>
                    </w:rPr>
                    <w:t>-C</w:t>
                  </w:r>
                  <w:r>
                    <w:rPr>
                      <w:rFonts w:hint="eastAsia"/>
                      <w:color w:val="000000"/>
                      <w:sz w:val="21"/>
                      <w:vertAlign w:val="subscript"/>
                    </w:rPr>
                    <w:t>40</w:t>
                  </w:r>
                  <w:r>
                    <w:rPr>
                      <w:rFonts w:hint="eastAsia"/>
                      <w:color w:val="000000"/>
                      <w:sz w:val="21"/>
                    </w:rPr>
                    <w:t>）</w:t>
                  </w:r>
                </w:p>
              </w:tc>
              <w:tc>
                <w:tcPr>
                  <w:tcW w:w="1191" w:type="dxa"/>
                  <w:tcBorders>
                    <w:top w:val="single" w:color="auto" w:sz="4" w:space="0"/>
                    <w:left w:val="single" w:color="auto" w:sz="4" w:space="0"/>
                    <w:bottom w:val="single" w:color="auto" w:sz="4" w:space="0"/>
                    <w:right w:val="single" w:color="auto" w:sz="4" w:space="0"/>
                  </w:tcBorders>
                  <w:vAlign w:val="center"/>
                </w:tcPr>
                <w:p>
                  <w:pPr>
                    <w:pStyle w:val="47"/>
                    <w:spacing w:beforeLines="0" w:afterLines="0" w:line="240" w:lineRule="auto"/>
                    <w:rPr>
                      <w:color w:val="000000"/>
                      <w:sz w:val="21"/>
                    </w:rPr>
                  </w:pPr>
                  <w:r>
                    <w:rPr>
                      <w:rFonts w:hint="eastAsia"/>
                      <w:color w:val="000000"/>
                      <w:sz w:val="21"/>
                    </w:rPr>
                    <w:t>1次/钻井周期</w:t>
                  </w:r>
                </w:p>
              </w:tc>
              <w:tc>
                <w:tcPr>
                  <w:tcW w:w="1339" w:type="dxa"/>
                  <w:tcBorders>
                    <w:top w:val="single" w:color="auto" w:sz="4" w:space="0"/>
                    <w:left w:val="single" w:color="auto" w:sz="4" w:space="0"/>
                    <w:bottom w:val="single" w:color="auto" w:sz="4" w:space="0"/>
                    <w:right w:val="single" w:color="auto" w:sz="4" w:space="0"/>
                  </w:tcBorders>
                  <w:vAlign w:val="center"/>
                </w:tcPr>
                <w:p>
                  <w:pPr>
                    <w:pStyle w:val="47"/>
                    <w:spacing w:beforeLines="0" w:afterLines="0" w:line="240" w:lineRule="auto"/>
                    <w:rPr>
                      <w:color w:val="000000"/>
                      <w:sz w:val="21"/>
                    </w:rPr>
                  </w:pPr>
                  <w:r>
                    <w:rPr>
                      <w:rFonts w:hint="eastAsia"/>
                      <w:color w:val="000000"/>
                      <w:sz w:val="21"/>
                    </w:rPr>
                    <w:t>完井后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78" w:type="dxa"/>
                  <w:tcBorders>
                    <w:top w:val="single" w:color="auto" w:sz="4" w:space="0"/>
                    <w:left w:val="single" w:color="auto" w:sz="4" w:space="0"/>
                    <w:bottom w:val="single" w:color="auto" w:sz="4" w:space="0"/>
                    <w:right w:val="single" w:color="auto" w:sz="4" w:space="0"/>
                  </w:tcBorders>
                  <w:vAlign w:val="center"/>
                </w:tcPr>
                <w:p>
                  <w:pPr>
                    <w:pStyle w:val="47"/>
                    <w:spacing w:beforeLines="0" w:afterLines="0" w:line="240" w:lineRule="auto"/>
                    <w:rPr>
                      <w:color w:val="000000"/>
                      <w:sz w:val="21"/>
                    </w:rPr>
                  </w:pPr>
                  <w:r>
                    <w:rPr>
                      <w:rFonts w:hint="eastAsia"/>
                      <w:color w:val="000000"/>
                      <w:sz w:val="21"/>
                    </w:rPr>
                    <w:t>2</w:t>
                  </w:r>
                </w:p>
              </w:tc>
              <w:tc>
                <w:tcPr>
                  <w:tcW w:w="630" w:type="dxa"/>
                  <w:tcBorders>
                    <w:top w:val="single" w:color="auto" w:sz="4" w:space="0"/>
                    <w:left w:val="single" w:color="auto" w:sz="4" w:space="0"/>
                    <w:bottom w:val="single" w:color="auto" w:sz="4" w:space="0"/>
                    <w:right w:val="single" w:color="auto" w:sz="4" w:space="0"/>
                  </w:tcBorders>
                  <w:vAlign w:val="center"/>
                </w:tcPr>
                <w:p>
                  <w:pPr>
                    <w:pStyle w:val="47"/>
                    <w:spacing w:beforeLines="0" w:afterLines="0" w:line="240" w:lineRule="auto"/>
                    <w:rPr>
                      <w:color w:val="000000"/>
                      <w:sz w:val="21"/>
                    </w:rPr>
                  </w:pPr>
                  <w:r>
                    <w:rPr>
                      <w:rFonts w:hint="eastAsia"/>
                      <w:color w:val="000000"/>
                      <w:sz w:val="21"/>
                    </w:rPr>
                    <w:t>大气环境</w:t>
                  </w:r>
                </w:p>
              </w:tc>
              <w:tc>
                <w:tcPr>
                  <w:tcW w:w="1469" w:type="dxa"/>
                  <w:tcBorders>
                    <w:top w:val="single" w:color="auto" w:sz="4" w:space="0"/>
                    <w:left w:val="single" w:color="auto" w:sz="4" w:space="0"/>
                    <w:bottom w:val="single" w:color="auto" w:sz="4" w:space="0"/>
                    <w:right w:val="single" w:color="auto" w:sz="4" w:space="0"/>
                  </w:tcBorders>
                  <w:vAlign w:val="center"/>
                </w:tcPr>
                <w:p>
                  <w:pPr>
                    <w:pStyle w:val="47"/>
                    <w:spacing w:beforeLines="0" w:afterLines="0" w:line="240" w:lineRule="auto"/>
                    <w:rPr>
                      <w:color w:val="000000"/>
                      <w:sz w:val="21"/>
                    </w:rPr>
                  </w:pPr>
                  <w:r>
                    <w:rPr>
                      <w:rFonts w:hint="eastAsia"/>
                      <w:color w:val="000000"/>
                      <w:sz w:val="21"/>
                    </w:rPr>
                    <w:t>项目区</w:t>
                  </w:r>
                </w:p>
              </w:tc>
              <w:tc>
                <w:tcPr>
                  <w:tcW w:w="2303" w:type="dxa"/>
                  <w:tcBorders>
                    <w:top w:val="single" w:color="auto" w:sz="4" w:space="0"/>
                    <w:left w:val="single" w:color="auto" w:sz="4" w:space="0"/>
                    <w:bottom w:val="single" w:color="auto" w:sz="4" w:space="0"/>
                    <w:right w:val="single" w:color="auto" w:sz="4" w:space="0"/>
                  </w:tcBorders>
                  <w:vAlign w:val="center"/>
                </w:tcPr>
                <w:p>
                  <w:pPr>
                    <w:pStyle w:val="47"/>
                    <w:spacing w:beforeLines="0" w:afterLines="0" w:line="240" w:lineRule="auto"/>
                    <w:rPr>
                      <w:color w:val="000000"/>
                      <w:sz w:val="21"/>
                    </w:rPr>
                  </w:pPr>
                  <w:r>
                    <w:rPr>
                      <w:rFonts w:hint="eastAsia"/>
                      <w:color w:val="000000"/>
                      <w:sz w:val="21"/>
                    </w:rPr>
                    <w:t>TSP、非甲烷总烃、H</w:t>
                  </w:r>
                  <w:r>
                    <w:rPr>
                      <w:rFonts w:hint="eastAsia"/>
                      <w:color w:val="000000"/>
                      <w:sz w:val="21"/>
                      <w:vertAlign w:val="subscript"/>
                    </w:rPr>
                    <w:t>2</w:t>
                  </w:r>
                  <w:r>
                    <w:rPr>
                      <w:rFonts w:hint="eastAsia"/>
                      <w:color w:val="000000"/>
                      <w:sz w:val="21"/>
                    </w:rPr>
                    <w:t>S</w:t>
                  </w:r>
                </w:p>
              </w:tc>
              <w:tc>
                <w:tcPr>
                  <w:tcW w:w="1191" w:type="dxa"/>
                  <w:tcBorders>
                    <w:top w:val="single" w:color="auto" w:sz="4" w:space="0"/>
                    <w:left w:val="single" w:color="auto" w:sz="4" w:space="0"/>
                    <w:bottom w:val="single" w:color="auto" w:sz="4" w:space="0"/>
                    <w:right w:val="single" w:color="auto" w:sz="4" w:space="0"/>
                  </w:tcBorders>
                  <w:vAlign w:val="center"/>
                </w:tcPr>
                <w:p>
                  <w:pPr>
                    <w:pStyle w:val="47"/>
                    <w:spacing w:beforeLines="0" w:afterLines="0" w:line="240" w:lineRule="auto"/>
                    <w:rPr>
                      <w:color w:val="000000"/>
                      <w:sz w:val="21"/>
                    </w:rPr>
                  </w:pPr>
                  <w:r>
                    <w:rPr>
                      <w:rFonts w:hint="eastAsia"/>
                      <w:color w:val="000000"/>
                      <w:sz w:val="21"/>
                    </w:rPr>
                    <w:t>1次/月或随机抽检</w:t>
                  </w:r>
                </w:p>
              </w:tc>
              <w:tc>
                <w:tcPr>
                  <w:tcW w:w="1339" w:type="dxa"/>
                  <w:tcBorders>
                    <w:top w:val="single" w:color="auto" w:sz="4" w:space="0"/>
                    <w:left w:val="single" w:color="auto" w:sz="4" w:space="0"/>
                    <w:bottom w:val="single" w:color="auto" w:sz="4" w:space="0"/>
                    <w:right w:val="single" w:color="auto" w:sz="4" w:space="0"/>
                  </w:tcBorders>
                  <w:vAlign w:val="center"/>
                </w:tcPr>
                <w:p>
                  <w:pPr>
                    <w:pStyle w:val="47"/>
                    <w:spacing w:beforeLines="0" w:afterLines="0" w:line="240" w:lineRule="auto"/>
                    <w:rPr>
                      <w:color w:val="000000"/>
                      <w:sz w:val="21"/>
                    </w:rPr>
                  </w:pPr>
                  <w:r>
                    <w:rPr>
                      <w:rFonts w:hint="eastAsia"/>
                      <w:color w:val="000000"/>
                      <w:sz w:val="21"/>
                    </w:rPr>
                    <w:t>3天/次，每天保证12小时采样时间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78" w:type="dxa"/>
                  <w:tcBorders>
                    <w:top w:val="single" w:color="auto" w:sz="4" w:space="0"/>
                    <w:left w:val="single" w:color="auto" w:sz="4" w:space="0"/>
                    <w:bottom w:val="single" w:color="auto" w:sz="4" w:space="0"/>
                    <w:right w:val="single" w:color="auto" w:sz="4" w:space="0"/>
                  </w:tcBorders>
                  <w:vAlign w:val="center"/>
                </w:tcPr>
                <w:p>
                  <w:pPr>
                    <w:pStyle w:val="47"/>
                    <w:spacing w:beforeLines="0" w:afterLines="0" w:line="240" w:lineRule="auto"/>
                    <w:rPr>
                      <w:color w:val="000000"/>
                      <w:sz w:val="21"/>
                    </w:rPr>
                  </w:pPr>
                  <w:r>
                    <w:rPr>
                      <w:rFonts w:hint="eastAsia"/>
                      <w:color w:val="000000"/>
                      <w:sz w:val="21"/>
                    </w:rPr>
                    <w:t>3</w:t>
                  </w:r>
                </w:p>
              </w:tc>
              <w:tc>
                <w:tcPr>
                  <w:tcW w:w="630" w:type="dxa"/>
                  <w:tcBorders>
                    <w:top w:val="single" w:color="auto" w:sz="4" w:space="0"/>
                    <w:left w:val="single" w:color="auto" w:sz="4" w:space="0"/>
                    <w:bottom w:val="single" w:color="auto" w:sz="4" w:space="0"/>
                    <w:right w:val="single" w:color="auto" w:sz="4" w:space="0"/>
                  </w:tcBorders>
                  <w:vAlign w:val="center"/>
                </w:tcPr>
                <w:p>
                  <w:pPr>
                    <w:pStyle w:val="47"/>
                    <w:spacing w:beforeLines="0" w:afterLines="0" w:line="240" w:lineRule="auto"/>
                    <w:rPr>
                      <w:color w:val="000000"/>
                      <w:sz w:val="21"/>
                    </w:rPr>
                  </w:pPr>
                  <w:r>
                    <w:rPr>
                      <w:rFonts w:hint="eastAsia"/>
                      <w:color w:val="000000"/>
                      <w:sz w:val="21"/>
                    </w:rPr>
                    <w:t>水环境</w:t>
                  </w:r>
                </w:p>
              </w:tc>
              <w:tc>
                <w:tcPr>
                  <w:tcW w:w="1469" w:type="dxa"/>
                  <w:tcBorders>
                    <w:top w:val="single" w:color="auto" w:sz="4" w:space="0"/>
                    <w:left w:val="single" w:color="auto" w:sz="4" w:space="0"/>
                    <w:bottom w:val="single" w:color="auto" w:sz="4" w:space="0"/>
                    <w:right w:val="single" w:color="auto" w:sz="4" w:space="0"/>
                  </w:tcBorders>
                  <w:vAlign w:val="center"/>
                </w:tcPr>
                <w:p>
                  <w:pPr>
                    <w:pStyle w:val="47"/>
                    <w:spacing w:beforeLines="0" w:afterLines="0" w:line="240" w:lineRule="auto"/>
                    <w:rPr>
                      <w:color w:val="000000"/>
                      <w:sz w:val="21"/>
                    </w:rPr>
                  </w:pPr>
                  <w:r>
                    <w:rPr>
                      <w:rFonts w:hint="eastAsia"/>
                      <w:color w:val="000000"/>
                      <w:sz w:val="21"/>
                    </w:rPr>
                    <w:t>项目区地下水</w:t>
                  </w:r>
                </w:p>
              </w:tc>
              <w:tc>
                <w:tcPr>
                  <w:tcW w:w="2303" w:type="dxa"/>
                  <w:tcBorders>
                    <w:top w:val="single" w:color="auto" w:sz="4" w:space="0"/>
                    <w:left w:val="single" w:color="auto" w:sz="4" w:space="0"/>
                    <w:bottom w:val="single" w:color="auto" w:sz="4" w:space="0"/>
                    <w:right w:val="single" w:color="auto" w:sz="4" w:space="0"/>
                  </w:tcBorders>
                  <w:vAlign w:val="center"/>
                </w:tcPr>
                <w:p>
                  <w:pPr>
                    <w:pStyle w:val="47"/>
                    <w:spacing w:beforeLines="0" w:afterLines="0" w:line="240" w:lineRule="auto"/>
                    <w:rPr>
                      <w:color w:val="000000"/>
                      <w:sz w:val="21"/>
                    </w:rPr>
                  </w:pPr>
                  <w:r>
                    <w:rPr>
                      <w:rFonts w:hint="eastAsia"/>
                      <w:color w:val="000000"/>
                      <w:sz w:val="21"/>
                    </w:rPr>
                    <w:t>石油类、耗氧量、氨氮</w:t>
                  </w:r>
                </w:p>
              </w:tc>
              <w:tc>
                <w:tcPr>
                  <w:tcW w:w="1191" w:type="dxa"/>
                  <w:tcBorders>
                    <w:top w:val="single" w:color="auto" w:sz="4" w:space="0"/>
                    <w:left w:val="single" w:color="auto" w:sz="4" w:space="0"/>
                    <w:bottom w:val="single" w:color="auto" w:sz="4" w:space="0"/>
                    <w:right w:val="single" w:color="auto" w:sz="4" w:space="0"/>
                  </w:tcBorders>
                  <w:vAlign w:val="center"/>
                </w:tcPr>
                <w:p>
                  <w:pPr>
                    <w:pStyle w:val="47"/>
                    <w:spacing w:beforeLines="0" w:afterLines="0" w:line="240" w:lineRule="auto"/>
                    <w:rPr>
                      <w:color w:val="000000"/>
                      <w:sz w:val="21"/>
                    </w:rPr>
                  </w:pPr>
                  <w:r>
                    <w:rPr>
                      <w:rFonts w:hint="eastAsia"/>
                      <w:color w:val="000000"/>
                      <w:sz w:val="21"/>
                    </w:rPr>
                    <w:t>1次/季度</w:t>
                  </w:r>
                </w:p>
              </w:tc>
              <w:tc>
                <w:tcPr>
                  <w:tcW w:w="1339" w:type="dxa"/>
                  <w:tcBorders>
                    <w:top w:val="single" w:color="auto" w:sz="4" w:space="0"/>
                    <w:left w:val="single" w:color="auto" w:sz="4" w:space="0"/>
                    <w:bottom w:val="single" w:color="auto" w:sz="4" w:space="0"/>
                    <w:right w:val="single" w:color="auto" w:sz="4" w:space="0"/>
                  </w:tcBorders>
                  <w:vAlign w:val="center"/>
                </w:tcPr>
                <w:p>
                  <w:pPr>
                    <w:pStyle w:val="47"/>
                    <w:spacing w:beforeLines="0" w:afterLines="0" w:line="240" w:lineRule="auto"/>
                    <w:rPr>
                      <w:color w:val="000000"/>
                      <w:sz w:val="21"/>
                    </w:rPr>
                  </w:pPr>
                  <w:r>
                    <w:rPr>
                      <w:rFonts w:hint="eastAsia"/>
                      <w:color w:val="000000"/>
                      <w:sz w:val="21"/>
                    </w:rPr>
                    <w:t>1天/次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78" w:type="dxa"/>
                  <w:tcBorders>
                    <w:top w:val="single" w:color="auto" w:sz="4" w:space="0"/>
                    <w:left w:val="single" w:color="auto" w:sz="4" w:space="0"/>
                    <w:bottom w:val="single" w:color="auto" w:sz="4" w:space="0"/>
                    <w:right w:val="single" w:color="auto" w:sz="4" w:space="0"/>
                  </w:tcBorders>
                  <w:vAlign w:val="center"/>
                </w:tcPr>
                <w:p>
                  <w:pPr>
                    <w:pStyle w:val="47"/>
                    <w:spacing w:beforeLines="0" w:afterLines="0" w:line="240" w:lineRule="auto"/>
                    <w:rPr>
                      <w:color w:val="000000"/>
                      <w:sz w:val="21"/>
                    </w:rPr>
                  </w:pPr>
                  <w:r>
                    <w:rPr>
                      <w:rFonts w:hint="eastAsia"/>
                      <w:color w:val="000000"/>
                      <w:sz w:val="21"/>
                    </w:rPr>
                    <w:t>4</w:t>
                  </w:r>
                </w:p>
              </w:tc>
              <w:tc>
                <w:tcPr>
                  <w:tcW w:w="630" w:type="dxa"/>
                  <w:tcBorders>
                    <w:top w:val="single" w:color="auto" w:sz="4" w:space="0"/>
                    <w:left w:val="single" w:color="auto" w:sz="4" w:space="0"/>
                    <w:bottom w:val="single" w:color="auto" w:sz="4" w:space="0"/>
                    <w:right w:val="single" w:color="auto" w:sz="4" w:space="0"/>
                  </w:tcBorders>
                  <w:vAlign w:val="center"/>
                </w:tcPr>
                <w:p>
                  <w:pPr>
                    <w:pStyle w:val="47"/>
                    <w:spacing w:beforeLines="0" w:afterLines="0" w:line="240" w:lineRule="auto"/>
                    <w:rPr>
                      <w:color w:val="000000"/>
                      <w:sz w:val="21"/>
                    </w:rPr>
                  </w:pPr>
                  <w:r>
                    <w:rPr>
                      <w:rFonts w:hint="eastAsia"/>
                      <w:color w:val="000000"/>
                      <w:sz w:val="21"/>
                    </w:rPr>
                    <w:t>噪声</w:t>
                  </w:r>
                </w:p>
              </w:tc>
              <w:tc>
                <w:tcPr>
                  <w:tcW w:w="1469" w:type="dxa"/>
                  <w:tcBorders>
                    <w:top w:val="single" w:color="auto" w:sz="4" w:space="0"/>
                    <w:left w:val="single" w:color="auto" w:sz="4" w:space="0"/>
                    <w:bottom w:val="single" w:color="auto" w:sz="4" w:space="0"/>
                    <w:right w:val="single" w:color="auto" w:sz="4" w:space="0"/>
                  </w:tcBorders>
                  <w:vAlign w:val="center"/>
                </w:tcPr>
                <w:p>
                  <w:pPr>
                    <w:pStyle w:val="47"/>
                    <w:spacing w:beforeLines="0" w:afterLines="0" w:line="240" w:lineRule="auto"/>
                    <w:rPr>
                      <w:color w:val="000000"/>
                      <w:sz w:val="21"/>
                    </w:rPr>
                  </w:pPr>
                  <w:r>
                    <w:rPr>
                      <w:rFonts w:hint="eastAsia"/>
                      <w:color w:val="000000"/>
                      <w:sz w:val="21"/>
                    </w:rPr>
                    <w:t>项目区</w:t>
                  </w:r>
                </w:p>
              </w:tc>
              <w:tc>
                <w:tcPr>
                  <w:tcW w:w="2303" w:type="dxa"/>
                  <w:tcBorders>
                    <w:top w:val="single" w:color="auto" w:sz="4" w:space="0"/>
                    <w:left w:val="single" w:color="auto" w:sz="4" w:space="0"/>
                    <w:bottom w:val="single" w:color="auto" w:sz="4" w:space="0"/>
                    <w:right w:val="single" w:color="auto" w:sz="4" w:space="0"/>
                  </w:tcBorders>
                  <w:vAlign w:val="center"/>
                </w:tcPr>
                <w:p>
                  <w:pPr>
                    <w:pStyle w:val="47"/>
                    <w:spacing w:beforeLines="0" w:afterLines="0" w:line="240" w:lineRule="auto"/>
                    <w:rPr>
                      <w:color w:val="000000"/>
                      <w:sz w:val="21"/>
                    </w:rPr>
                  </w:pPr>
                  <w:r>
                    <w:rPr>
                      <w:rFonts w:hint="eastAsia"/>
                      <w:color w:val="000000"/>
                      <w:sz w:val="21"/>
                    </w:rPr>
                    <w:t>Leq（A）</w:t>
                  </w:r>
                </w:p>
              </w:tc>
              <w:tc>
                <w:tcPr>
                  <w:tcW w:w="1191" w:type="dxa"/>
                  <w:tcBorders>
                    <w:top w:val="single" w:color="auto" w:sz="4" w:space="0"/>
                    <w:left w:val="single" w:color="auto" w:sz="4" w:space="0"/>
                    <w:bottom w:val="single" w:color="auto" w:sz="4" w:space="0"/>
                    <w:right w:val="single" w:color="auto" w:sz="4" w:space="0"/>
                  </w:tcBorders>
                  <w:vAlign w:val="center"/>
                </w:tcPr>
                <w:p>
                  <w:pPr>
                    <w:pStyle w:val="47"/>
                    <w:spacing w:beforeLines="0" w:afterLines="0" w:line="240" w:lineRule="auto"/>
                    <w:rPr>
                      <w:color w:val="000000"/>
                      <w:sz w:val="21"/>
                    </w:rPr>
                  </w:pPr>
                  <w:r>
                    <w:rPr>
                      <w:rFonts w:hint="eastAsia"/>
                      <w:color w:val="000000"/>
                      <w:sz w:val="21"/>
                    </w:rPr>
                    <w:t>1次/月</w:t>
                  </w:r>
                </w:p>
              </w:tc>
              <w:tc>
                <w:tcPr>
                  <w:tcW w:w="1339" w:type="dxa"/>
                  <w:tcBorders>
                    <w:top w:val="single" w:color="auto" w:sz="4" w:space="0"/>
                    <w:left w:val="single" w:color="auto" w:sz="4" w:space="0"/>
                    <w:bottom w:val="single" w:color="auto" w:sz="4" w:space="0"/>
                    <w:right w:val="single" w:color="auto" w:sz="4" w:space="0"/>
                  </w:tcBorders>
                  <w:vAlign w:val="center"/>
                </w:tcPr>
                <w:p>
                  <w:pPr>
                    <w:pStyle w:val="47"/>
                    <w:spacing w:beforeLines="0" w:afterLines="0" w:line="240" w:lineRule="auto"/>
                    <w:rPr>
                      <w:color w:val="000000"/>
                      <w:sz w:val="21"/>
                    </w:rPr>
                  </w:pPr>
                  <w:r>
                    <w:rPr>
                      <w:rFonts w:hint="eastAsia"/>
                      <w:color w:val="000000"/>
                      <w:sz w:val="21"/>
                    </w:rPr>
                    <w:t>2天/次，每天昼、夜间各监测1次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78" w:type="dxa"/>
                  <w:tcBorders>
                    <w:top w:val="single" w:color="auto" w:sz="4" w:space="0"/>
                    <w:left w:val="single" w:color="auto" w:sz="4" w:space="0"/>
                    <w:bottom w:val="single" w:color="auto" w:sz="4" w:space="0"/>
                    <w:right w:val="single" w:color="auto" w:sz="4" w:space="0"/>
                  </w:tcBorders>
                  <w:vAlign w:val="center"/>
                </w:tcPr>
                <w:p>
                  <w:pPr>
                    <w:pStyle w:val="47"/>
                    <w:spacing w:beforeLines="0" w:afterLines="0" w:line="240" w:lineRule="auto"/>
                    <w:rPr>
                      <w:color w:val="000000"/>
                      <w:sz w:val="21"/>
                    </w:rPr>
                  </w:pPr>
                  <w:r>
                    <w:rPr>
                      <w:rFonts w:hint="eastAsia"/>
                      <w:color w:val="000000"/>
                      <w:sz w:val="21"/>
                    </w:rPr>
                    <w:t>5</w:t>
                  </w:r>
                </w:p>
              </w:tc>
              <w:tc>
                <w:tcPr>
                  <w:tcW w:w="630" w:type="dxa"/>
                  <w:tcBorders>
                    <w:top w:val="single" w:color="auto" w:sz="4" w:space="0"/>
                    <w:left w:val="single" w:color="auto" w:sz="4" w:space="0"/>
                    <w:bottom w:val="single" w:color="auto" w:sz="4" w:space="0"/>
                    <w:right w:val="single" w:color="auto" w:sz="4" w:space="0"/>
                  </w:tcBorders>
                  <w:vAlign w:val="center"/>
                </w:tcPr>
                <w:p>
                  <w:pPr>
                    <w:pStyle w:val="47"/>
                    <w:spacing w:beforeLines="0" w:afterLines="0" w:line="240" w:lineRule="auto"/>
                    <w:rPr>
                      <w:color w:val="000000"/>
                      <w:sz w:val="21"/>
                    </w:rPr>
                  </w:pPr>
                  <w:r>
                    <w:rPr>
                      <w:rFonts w:hint="eastAsia"/>
                      <w:color w:val="000000"/>
                      <w:sz w:val="21"/>
                    </w:rPr>
                    <w:t>污染物监测</w:t>
                  </w:r>
                </w:p>
              </w:tc>
              <w:tc>
                <w:tcPr>
                  <w:tcW w:w="1469" w:type="dxa"/>
                  <w:tcBorders>
                    <w:top w:val="single" w:color="auto" w:sz="4" w:space="0"/>
                    <w:left w:val="single" w:color="auto" w:sz="4" w:space="0"/>
                    <w:bottom w:val="single" w:color="auto" w:sz="4" w:space="0"/>
                    <w:right w:val="single" w:color="auto" w:sz="4" w:space="0"/>
                  </w:tcBorders>
                  <w:vAlign w:val="center"/>
                </w:tcPr>
                <w:p>
                  <w:pPr>
                    <w:pStyle w:val="47"/>
                    <w:spacing w:beforeLines="0" w:afterLines="0" w:line="240" w:lineRule="auto"/>
                    <w:rPr>
                      <w:color w:val="000000"/>
                      <w:sz w:val="21"/>
                    </w:rPr>
                  </w:pPr>
                  <w:r>
                    <w:rPr>
                      <w:rFonts w:hint="eastAsia"/>
                      <w:color w:val="000000"/>
                      <w:sz w:val="21"/>
                    </w:rPr>
                    <w:t>钻井固废</w:t>
                  </w:r>
                </w:p>
              </w:tc>
              <w:tc>
                <w:tcPr>
                  <w:tcW w:w="2303" w:type="dxa"/>
                  <w:tcBorders>
                    <w:top w:val="single" w:color="auto" w:sz="4" w:space="0"/>
                    <w:left w:val="single" w:color="auto" w:sz="4" w:space="0"/>
                    <w:bottom w:val="single" w:color="auto" w:sz="4" w:space="0"/>
                    <w:right w:val="single" w:color="auto" w:sz="4" w:space="0"/>
                  </w:tcBorders>
                  <w:vAlign w:val="center"/>
                </w:tcPr>
                <w:p>
                  <w:pPr>
                    <w:pStyle w:val="47"/>
                    <w:spacing w:beforeLines="0" w:afterLines="0" w:line="240" w:lineRule="auto"/>
                    <w:rPr>
                      <w:color w:val="000000"/>
                      <w:sz w:val="21"/>
                    </w:rPr>
                  </w:pPr>
                  <w:r>
                    <w:rPr>
                      <w:rFonts w:hint="eastAsia"/>
                      <w:color w:val="000000"/>
                      <w:sz w:val="21"/>
                    </w:rPr>
                    <w:t>pH、六价铬、铜、锌、镍、铅、镉、砷、苯并（a）芘、含油率、含水率</w:t>
                  </w:r>
                </w:p>
              </w:tc>
              <w:tc>
                <w:tcPr>
                  <w:tcW w:w="1191" w:type="dxa"/>
                  <w:tcBorders>
                    <w:top w:val="single" w:color="auto" w:sz="4" w:space="0"/>
                    <w:left w:val="single" w:color="auto" w:sz="4" w:space="0"/>
                    <w:bottom w:val="single" w:color="auto" w:sz="4" w:space="0"/>
                    <w:right w:val="single" w:color="auto" w:sz="4" w:space="0"/>
                  </w:tcBorders>
                  <w:vAlign w:val="center"/>
                </w:tcPr>
                <w:p>
                  <w:pPr>
                    <w:pStyle w:val="47"/>
                    <w:spacing w:beforeLines="0" w:afterLines="0" w:line="240" w:lineRule="auto"/>
                    <w:rPr>
                      <w:color w:val="000000"/>
                      <w:sz w:val="21"/>
                    </w:rPr>
                  </w:pPr>
                  <w:r>
                    <w:rPr>
                      <w:rFonts w:hint="eastAsia"/>
                      <w:color w:val="000000"/>
                      <w:sz w:val="21"/>
                    </w:rPr>
                    <w:t>1次/钻井周期</w:t>
                  </w:r>
                </w:p>
              </w:tc>
              <w:tc>
                <w:tcPr>
                  <w:tcW w:w="1339" w:type="dxa"/>
                  <w:tcBorders>
                    <w:top w:val="single" w:color="auto" w:sz="4" w:space="0"/>
                    <w:left w:val="single" w:color="auto" w:sz="4" w:space="0"/>
                    <w:bottom w:val="single" w:color="auto" w:sz="4" w:space="0"/>
                    <w:right w:val="single" w:color="auto" w:sz="4" w:space="0"/>
                  </w:tcBorders>
                  <w:vAlign w:val="center"/>
                </w:tcPr>
                <w:p>
                  <w:pPr>
                    <w:pStyle w:val="47"/>
                    <w:spacing w:beforeLines="0" w:afterLines="0" w:line="240" w:lineRule="auto"/>
                    <w:rPr>
                      <w:color w:val="000000"/>
                      <w:sz w:val="21"/>
                    </w:rPr>
                  </w:pPr>
                  <w:r>
                    <w:rPr>
                      <w:rFonts w:hint="eastAsia"/>
                      <w:color w:val="000000"/>
                      <w:sz w:val="21"/>
                    </w:rPr>
                    <w:t>钻井固废处理后</w:t>
                  </w:r>
                </w:p>
              </w:tc>
            </w:tr>
          </w:tbl>
          <w:p>
            <w:pPr>
              <w:adjustRightInd w:val="0"/>
              <w:snapToGrid w:val="0"/>
              <w:rPr>
                <w:rFonts w:ascii="宋体" w:hAnsi="宋体" w:cs="宋体"/>
                <w:bCs/>
                <w:color w:val="000000"/>
                <w:spacing w:val="1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619" w:hRule="atLeast"/>
          <w:jc w:val="center"/>
        </w:trPr>
        <w:tc>
          <w:tcPr>
            <w:tcW w:w="657" w:type="dxa"/>
            <w:tcMar>
              <w:left w:w="28" w:type="dxa"/>
              <w:right w:w="28" w:type="dxa"/>
            </w:tcMar>
            <w:vAlign w:val="center"/>
          </w:tcPr>
          <w:p>
            <w:pPr>
              <w:adjustRightInd w:val="0"/>
              <w:snapToGrid w:val="0"/>
              <w:jc w:val="center"/>
              <w:rPr>
                <w:rFonts w:ascii="宋体" w:hAnsi="宋体" w:cs="宋体"/>
                <w:bCs/>
                <w:color w:val="000000"/>
                <w:spacing w:val="10"/>
                <w:szCs w:val="21"/>
              </w:rPr>
            </w:pPr>
            <w:r>
              <w:rPr>
                <w:rFonts w:hint="eastAsia" w:ascii="宋体" w:hAnsi="宋体" w:cs="宋体"/>
                <w:bCs/>
                <w:color w:val="000000"/>
                <w:spacing w:val="10"/>
                <w:szCs w:val="21"/>
              </w:rPr>
              <w:t>运营期生态环境保护措施</w:t>
            </w:r>
          </w:p>
        </w:tc>
        <w:tc>
          <w:tcPr>
            <w:tcW w:w="7636" w:type="dxa"/>
            <w:vAlign w:val="center"/>
          </w:tcPr>
          <w:p>
            <w:pPr>
              <w:pStyle w:val="110"/>
              <w:rPr>
                <w:bCs/>
                <w:color w:val="000000"/>
                <w:spacing w:val="10"/>
              </w:rPr>
            </w:pPr>
            <w:r>
              <w:rPr>
                <w:rFonts w:hint="eastAsia"/>
                <w:snapToGrid w:val="0"/>
                <w:color w:val="000000"/>
              </w:rPr>
              <w:t>由于本项目部署3口勘探井，不涉及油气生产开采等工艺，本次探井若转为生产井，则须重新进行环境影响评价，对其环境影响进行分析预测，并提出相应的保护措施，因此本报告不对其运营期环境影响进行评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11" w:hRule="atLeast"/>
          <w:jc w:val="center"/>
        </w:trPr>
        <w:tc>
          <w:tcPr>
            <w:tcW w:w="657" w:type="dxa"/>
            <w:vAlign w:val="center"/>
          </w:tcPr>
          <w:p>
            <w:pPr>
              <w:adjustRightInd w:val="0"/>
              <w:snapToGrid w:val="0"/>
              <w:jc w:val="center"/>
              <w:rPr>
                <w:rFonts w:ascii="宋体" w:hAnsi="宋体" w:cs="宋体"/>
                <w:bCs/>
                <w:color w:val="000000"/>
                <w:spacing w:val="10"/>
                <w:szCs w:val="21"/>
              </w:rPr>
            </w:pPr>
            <w:r>
              <w:rPr>
                <w:rFonts w:hint="eastAsia" w:ascii="宋体" w:hAnsi="宋体"/>
                <w:bCs/>
                <w:color w:val="000000"/>
                <w:szCs w:val="21"/>
              </w:rPr>
              <w:t>其他</w:t>
            </w:r>
          </w:p>
        </w:tc>
        <w:tc>
          <w:tcPr>
            <w:tcW w:w="7636" w:type="dxa"/>
            <w:vAlign w:val="center"/>
          </w:tcPr>
          <w:p>
            <w:pPr>
              <w:pStyle w:val="110"/>
              <w:jc w:val="center"/>
              <w:rPr>
                <w:color w:val="000000"/>
              </w:rPr>
            </w:pPr>
          </w:p>
          <w:p>
            <w:pPr>
              <w:pStyle w:val="110"/>
              <w:jc w:val="center"/>
              <w:rPr>
                <w:color w:val="000000"/>
              </w:rPr>
            </w:pPr>
          </w:p>
          <w:p>
            <w:pPr>
              <w:pStyle w:val="110"/>
              <w:jc w:val="center"/>
              <w:rPr>
                <w:color w:val="000000"/>
              </w:rPr>
            </w:pPr>
          </w:p>
          <w:p>
            <w:pPr>
              <w:pStyle w:val="110"/>
              <w:jc w:val="center"/>
              <w:rPr>
                <w:color w:val="000000"/>
              </w:rPr>
            </w:pPr>
          </w:p>
          <w:p>
            <w:pPr>
              <w:pStyle w:val="110"/>
              <w:jc w:val="center"/>
              <w:rPr>
                <w:color w:val="000000"/>
              </w:rPr>
            </w:pPr>
          </w:p>
          <w:p>
            <w:pPr>
              <w:pStyle w:val="110"/>
              <w:jc w:val="center"/>
              <w:rPr>
                <w:color w:val="000000"/>
              </w:rPr>
            </w:pPr>
          </w:p>
          <w:p>
            <w:pPr>
              <w:pStyle w:val="110"/>
              <w:jc w:val="center"/>
              <w:rPr>
                <w:color w:val="000000"/>
              </w:rPr>
            </w:pPr>
          </w:p>
          <w:p>
            <w:pPr>
              <w:pStyle w:val="110"/>
              <w:jc w:val="center"/>
              <w:rPr>
                <w:color w:val="000000"/>
              </w:rPr>
            </w:pPr>
          </w:p>
          <w:p>
            <w:pPr>
              <w:pStyle w:val="110"/>
              <w:jc w:val="center"/>
              <w:rPr>
                <w:color w:val="000000"/>
              </w:rPr>
            </w:pPr>
          </w:p>
          <w:p>
            <w:pPr>
              <w:pStyle w:val="110"/>
              <w:jc w:val="center"/>
              <w:rPr>
                <w:color w:val="000000"/>
              </w:rPr>
            </w:pPr>
          </w:p>
          <w:p>
            <w:pPr>
              <w:pStyle w:val="110"/>
              <w:jc w:val="center"/>
              <w:rPr>
                <w:color w:val="000000"/>
              </w:rPr>
            </w:pPr>
          </w:p>
          <w:p>
            <w:pPr>
              <w:pStyle w:val="110"/>
              <w:jc w:val="center"/>
              <w:rPr>
                <w:color w:val="000000"/>
              </w:rPr>
            </w:pPr>
          </w:p>
          <w:p>
            <w:pPr>
              <w:pStyle w:val="110"/>
              <w:jc w:val="center"/>
              <w:rPr>
                <w:color w:val="000000"/>
              </w:rPr>
            </w:pPr>
            <w:r>
              <w:rPr>
                <w:rFonts w:hint="eastAsia"/>
                <w:color w:val="000000"/>
              </w:rPr>
              <w:t>无</w:t>
            </w:r>
          </w:p>
          <w:p>
            <w:pPr>
              <w:pStyle w:val="110"/>
              <w:jc w:val="center"/>
              <w:rPr>
                <w:color w:val="000000"/>
              </w:rPr>
            </w:pPr>
          </w:p>
          <w:p>
            <w:pPr>
              <w:pStyle w:val="110"/>
              <w:jc w:val="center"/>
              <w:rPr>
                <w:color w:val="000000"/>
              </w:rPr>
            </w:pPr>
          </w:p>
          <w:p>
            <w:pPr>
              <w:pStyle w:val="110"/>
              <w:jc w:val="center"/>
              <w:rPr>
                <w:color w:val="000000"/>
              </w:rPr>
            </w:pPr>
          </w:p>
          <w:p>
            <w:pPr>
              <w:pStyle w:val="110"/>
              <w:jc w:val="center"/>
              <w:rPr>
                <w:color w:val="000000"/>
              </w:rPr>
            </w:pPr>
          </w:p>
          <w:p>
            <w:pPr>
              <w:pStyle w:val="110"/>
              <w:jc w:val="center"/>
              <w:rPr>
                <w:color w:val="000000"/>
              </w:rPr>
            </w:pPr>
          </w:p>
          <w:p>
            <w:pPr>
              <w:pStyle w:val="110"/>
              <w:jc w:val="center"/>
              <w:rPr>
                <w:color w:val="000000"/>
              </w:rPr>
            </w:pPr>
          </w:p>
          <w:p>
            <w:pPr>
              <w:pStyle w:val="110"/>
              <w:jc w:val="center"/>
              <w:rPr>
                <w:color w:val="000000"/>
              </w:rPr>
            </w:pPr>
          </w:p>
          <w:p>
            <w:pPr>
              <w:pStyle w:val="110"/>
              <w:jc w:val="center"/>
              <w:rPr>
                <w:color w:val="000000"/>
              </w:rPr>
            </w:pPr>
          </w:p>
          <w:p>
            <w:pPr>
              <w:pStyle w:val="110"/>
              <w:jc w:val="center"/>
              <w:rPr>
                <w:color w:val="000000"/>
              </w:rPr>
            </w:pPr>
          </w:p>
          <w:p>
            <w:pPr>
              <w:pStyle w:val="110"/>
              <w:jc w:val="center"/>
              <w:rPr>
                <w:color w:val="00000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3740" w:hRule="atLeast"/>
          <w:jc w:val="center"/>
        </w:trPr>
        <w:tc>
          <w:tcPr>
            <w:tcW w:w="657" w:type="dxa"/>
            <w:vAlign w:val="center"/>
          </w:tcPr>
          <w:p>
            <w:pPr>
              <w:adjustRightInd w:val="0"/>
              <w:snapToGrid w:val="0"/>
              <w:jc w:val="center"/>
              <w:rPr>
                <w:rFonts w:ascii="宋体" w:hAnsi="宋体" w:cs="宋体"/>
                <w:bCs/>
                <w:color w:val="000000"/>
                <w:spacing w:val="10"/>
                <w:szCs w:val="21"/>
              </w:rPr>
            </w:pPr>
            <w:r>
              <w:rPr>
                <w:rFonts w:hint="eastAsia" w:ascii="宋体" w:hAnsi="宋体"/>
                <w:bCs/>
                <w:color w:val="000000"/>
                <w:szCs w:val="21"/>
              </w:rPr>
              <w:t>环保投资</w:t>
            </w:r>
          </w:p>
        </w:tc>
        <w:tc>
          <w:tcPr>
            <w:tcW w:w="7636" w:type="dxa"/>
          </w:tcPr>
          <w:p>
            <w:pPr>
              <w:pStyle w:val="110"/>
              <w:rPr>
                <w:color w:val="000000"/>
              </w:rPr>
            </w:pPr>
            <w:r>
              <w:rPr>
                <w:rFonts w:hint="eastAsia"/>
                <w:color w:val="000000"/>
              </w:rPr>
              <w:t>本项目总投资为337.5万元，其中</w:t>
            </w:r>
            <w:r>
              <w:rPr>
                <w:color w:val="000000"/>
              </w:rPr>
              <w:t>环保投资</w:t>
            </w:r>
            <w:r>
              <w:rPr>
                <w:rFonts w:hint="eastAsia"/>
                <w:color w:val="000000"/>
              </w:rPr>
              <w:t>30万元</w:t>
            </w:r>
            <w:r>
              <w:rPr>
                <w:color w:val="000000"/>
              </w:rPr>
              <w:t>，占总投资的</w:t>
            </w:r>
            <w:r>
              <w:rPr>
                <w:rFonts w:hint="eastAsia"/>
                <w:color w:val="000000"/>
              </w:rPr>
              <w:t>8.89</w:t>
            </w:r>
            <w:r>
              <w:rPr>
                <w:color w:val="000000"/>
              </w:rPr>
              <w:t>%</w:t>
            </w:r>
            <w:r>
              <w:rPr>
                <w:rFonts w:hint="eastAsia"/>
                <w:color w:val="000000"/>
              </w:rPr>
              <w:t xml:space="preserve">，环保工程清单及投资见表 </w:t>
            </w:r>
            <w:r>
              <w:rPr>
                <w:color w:val="000000"/>
              </w:rPr>
              <w:t>24</w:t>
            </w:r>
            <w:r>
              <w:rPr>
                <w:rFonts w:hint="eastAsia"/>
                <w:color w:val="000000"/>
              </w:rPr>
              <w:t>。</w:t>
            </w:r>
          </w:p>
          <w:p>
            <w:pPr>
              <w:spacing w:before="120" w:beforeLines="50" w:line="360" w:lineRule="auto"/>
              <w:jc w:val="center"/>
              <w:rPr>
                <w:rFonts w:ascii="宋体" w:hAnsi="宋体"/>
                <w:bCs/>
                <w:color w:val="000000"/>
                <w:szCs w:val="21"/>
              </w:rPr>
            </w:pPr>
            <w:bookmarkStart w:id="41" w:name="_Ref38547814"/>
            <w:r>
              <w:rPr>
                <w:rFonts w:hint="eastAsia" w:ascii="宋体" w:hAnsi="宋体"/>
                <w:color w:val="000000"/>
              </w:rPr>
              <w:t xml:space="preserve">表 </w:t>
            </w:r>
            <w:r>
              <w:rPr>
                <w:rFonts w:ascii="宋体" w:hAnsi="宋体"/>
                <w:color w:val="000000"/>
              </w:rPr>
              <w:t>24</w:t>
            </w:r>
            <w:bookmarkEnd w:id="41"/>
            <w:r>
              <w:rPr>
                <w:rFonts w:ascii="宋体" w:hAnsi="宋体"/>
                <w:color w:val="000000"/>
              </w:rPr>
              <w:t xml:space="preserve">  </w:t>
            </w:r>
            <w:r>
              <w:rPr>
                <w:rFonts w:hint="eastAsia" w:ascii="宋体" w:hAnsi="宋体"/>
                <w:bCs/>
                <w:color w:val="000000"/>
                <w:szCs w:val="21"/>
              </w:rPr>
              <w:t>环保工程清单及投资估算</w:t>
            </w:r>
          </w:p>
          <w:tbl>
            <w:tblPr>
              <w:tblStyle w:val="29"/>
              <w:tblW w:w="741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8"/>
              <w:gridCol w:w="2035"/>
              <w:gridCol w:w="2982"/>
              <w:gridCol w:w="1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cantSplit/>
                <w:trHeight w:val="340" w:hRule="atLeast"/>
                <w:jc w:val="center"/>
              </w:trPr>
              <w:tc>
                <w:tcPr>
                  <w:tcW w:w="3193" w:type="dxa"/>
                  <w:gridSpan w:val="2"/>
                  <w:vAlign w:val="center"/>
                </w:tcPr>
                <w:p>
                  <w:pPr>
                    <w:pStyle w:val="115"/>
                    <w:rPr>
                      <w:color w:val="000000"/>
                    </w:rPr>
                  </w:pPr>
                  <w:r>
                    <w:rPr>
                      <w:rFonts w:hint="eastAsia"/>
                      <w:color w:val="000000"/>
                    </w:rPr>
                    <w:t>项目</w:t>
                  </w:r>
                </w:p>
              </w:tc>
              <w:tc>
                <w:tcPr>
                  <w:tcW w:w="2982" w:type="dxa"/>
                  <w:vAlign w:val="center"/>
                </w:tcPr>
                <w:p>
                  <w:pPr>
                    <w:pStyle w:val="115"/>
                    <w:rPr>
                      <w:color w:val="000000"/>
                    </w:rPr>
                  </w:pPr>
                  <w:r>
                    <w:rPr>
                      <w:color w:val="000000"/>
                    </w:rPr>
                    <w:t>作用</w:t>
                  </w:r>
                </w:p>
              </w:tc>
              <w:tc>
                <w:tcPr>
                  <w:tcW w:w="1235" w:type="dxa"/>
                  <w:vAlign w:val="center"/>
                </w:tcPr>
                <w:p>
                  <w:pPr>
                    <w:pStyle w:val="115"/>
                    <w:rPr>
                      <w:color w:val="000000"/>
                    </w:rPr>
                  </w:pPr>
                  <w:r>
                    <w:rPr>
                      <w:color w:val="000000"/>
                    </w:rPr>
                    <w:t>投资估算</w:t>
                  </w:r>
                </w:p>
                <w:p>
                  <w:pPr>
                    <w:pStyle w:val="115"/>
                    <w:rPr>
                      <w:color w:val="000000"/>
                    </w:rPr>
                  </w:pPr>
                  <w:r>
                    <w:rPr>
                      <w:color w:val="000000"/>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158" w:type="dxa"/>
                  <w:vAlign w:val="center"/>
                </w:tcPr>
                <w:p>
                  <w:pPr>
                    <w:pStyle w:val="115"/>
                    <w:rPr>
                      <w:color w:val="000000"/>
                    </w:rPr>
                  </w:pPr>
                  <w:r>
                    <w:rPr>
                      <w:rFonts w:hint="eastAsia"/>
                      <w:color w:val="000000"/>
                    </w:rPr>
                    <w:t>废气处理设施</w:t>
                  </w:r>
                </w:p>
              </w:tc>
              <w:tc>
                <w:tcPr>
                  <w:tcW w:w="2035" w:type="dxa"/>
                  <w:vAlign w:val="center"/>
                </w:tcPr>
                <w:p>
                  <w:pPr>
                    <w:pStyle w:val="115"/>
                    <w:rPr>
                      <w:color w:val="000000"/>
                    </w:rPr>
                  </w:pPr>
                  <w:r>
                    <w:rPr>
                      <w:rFonts w:hint="eastAsia"/>
                      <w:color w:val="000000"/>
                    </w:rPr>
                    <w:t>围挡、遮盖措施</w:t>
                  </w:r>
                </w:p>
              </w:tc>
              <w:tc>
                <w:tcPr>
                  <w:tcW w:w="2982" w:type="dxa"/>
                  <w:vAlign w:val="center"/>
                </w:tcPr>
                <w:p>
                  <w:pPr>
                    <w:pStyle w:val="115"/>
                    <w:rPr>
                      <w:color w:val="000000"/>
                    </w:rPr>
                  </w:pPr>
                  <w:r>
                    <w:rPr>
                      <w:rFonts w:hint="eastAsia"/>
                      <w:snapToGrid w:val="0"/>
                      <w:color w:val="000000"/>
                    </w:rPr>
                    <w:t>采取洒水、围挡、遮盖措施</w:t>
                  </w:r>
                </w:p>
              </w:tc>
              <w:tc>
                <w:tcPr>
                  <w:tcW w:w="1235" w:type="dxa"/>
                  <w:vAlign w:val="center"/>
                </w:tcPr>
                <w:p>
                  <w:pPr>
                    <w:pStyle w:val="115"/>
                    <w:rPr>
                      <w:color w:val="000000"/>
                      <w:kern w:val="0"/>
                    </w:rPr>
                  </w:pPr>
                  <w:r>
                    <w:rPr>
                      <w:color w:val="00000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158" w:type="dxa"/>
                  <w:vAlign w:val="center"/>
                </w:tcPr>
                <w:p>
                  <w:pPr>
                    <w:pStyle w:val="115"/>
                    <w:rPr>
                      <w:color w:val="000000"/>
                    </w:rPr>
                  </w:pPr>
                  <w:r>
                    <w:rPr>
                      <w:color w:val="000000"/>
                    </w:rPr>
                    <w:t>废水处理</w:t>
                  </w:r>
                </w:p>
                <w:p>
                  <w:pPr>
                    <w:pStyle w:val="115"/>
                    <w:rPr>
                      <w:color w:val="000000"/>
                    </w:rPr>
                  </w:pPr>
                  <w:r>
                    <w:rPr>
                      <w:color w:val="000000"/>
                    </w:rPr>
                    <w:t>设施</w:t>
                  </w:r>
                </w:p>
              </w:tc>
              <w:tc>
                <w:tcPr>
                  <w:tcW w:w="2035" w:type="dxa"/>
                  <w:vAlign w:val="center"/>
                </w:tcPr>
                <w:p>
                  <w:pPr>
                    <w:pStyle w:val="115"/>
                    <w:rPr>
                      <w:color w:val="000000"/>
                    </w:rPr>
                  </w:pPr>
                  <w:r>
                    <w:rPr>
                      <w:color w:val="000000"/>
                    </w:rPr>
                    <w:t>生活污水处理</w:t>
                  </w:r>
                </w:p>
              </w:tc>
              <w:tc>
                <w:tcPr>
                  <w:tcW w:w="2982" w:type="dxa"/>
                  <w:vAlign w:val="center"/>
                </w:tcPr>
                <w:p>
                  <w:pPr>
                    <w:pStyle w:val="115"/>
                    <w:rPr>
                      <w:color w:val="000000"/>
                    </w:rPr>
                  </w:pPr>
                  <w:r>
                    <w:rPr>
                      <w:rFonts w:hint="eastAsia"/>
                      <w:color w:val="000000"/>
                    </w:rPr>
                    <w:t>旱厕及清运费用</w:t>
                  </w:r>
                </w:p>
              </w:tc>
              <w:tc>
                <w:tcPr>
                  <w:tcW w:w="1235" w:type="dxa"/>
                  <w:vAlign w:val="center"/>
                </w:tcPr>
                <w:p>
                  <w:pPr>
                    <w:pStyle w:val="115"/>
                    <w:rPr>
                      <w:color w:val="000000"/>
                    </w:rPr>
                  </w:pPr>
                  <w:r>
                    <w:rPr>
                      <w:color w:val="000000"/>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158" w:type="dxa"/>
                  <w:vMerge w:val="restart"/>
                  <w:vAlign w:val="center"/>
                </w:tcPr>
                <w:p>
                  <w:pPr>
                    <w:pStyle w:val="115"/>
                    <w:rPr>
                      <w:color w:val="000000"/>
                    </w:rPr>
                  </w:pPr>
                  <w:r>
                    <w:rPr>
                      <w:color w:val="000000"/>
                    </w:rPr>
                    <w:t>固体废物处理设施</w:t>
                  </w:r>
                </w:p>
              </w:tc>
              <w:tc>
                <w:tcPr>
                  <w:tcW w:w="2035" w:type="dxa"/>
                  <w:vAlign w:val="center"/>
                </w:tcPr>
                <w:p>
                  <w:pPr>
                    <w:pStyle w:val="115"/>
                    <w:rPr>
                      <w:color w:val="000000"/>
                    </w:rPr>
                  </w:pPr>
                  <w:r>
                    <w:rPr>
                      <w:color w:val="000000"/>
                    </w:rPr>
                    <w:t>生活垃圾收集</w:t>
                  </w:r>
                  <w:r>
                    <w:rPr>
                      <w:rFonts w:hint="eastAsia"/>
                      <w:color w:val="000000"/>
                    </w:rPr>
                    <w:t>清运</w:t>
                  </w:r>
                </w:p>
              </w:tc>
              <w:tc>
                <w:tcPr>
                  <w:tcW w:w="2982" w:type="dxa"/>
                  <w:vAlign w:val="center"/>
                </w:tcPr>
                <w:p>
                  <w:pPr>
                    <w:pStyle w:val="115"/>
                    <w:rPr>
                      <w:color w:val="000000"/>
                    </w:rPr>
                  </w:pPr>
                  <w:r>
                    <w:rPr>
                      <w:color w:val="000000"/>
                    </w:rPr>
                    <w:t>收集、清运</w:t>
                  </w:r>
                </w:p>
              </w:tc>
              <w:tc>
                <w:tcPr>
                  <w:tcW w:w="1235" w:type="dxa"/>
                  <w:vAlign w:val="center"/>
                </w:tcPr>
                <w:p>
                  <w:pPr>
                    <w:pStyle w:val="115"/>
                    <w:rPr>
                      <w:color w:val="000000"/>
                    </w:rPr>
                  </w:pPr>
                  <w:r>
                    <w:rPr>
                      <w:color w:val="000000"/>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158" w:type="dxa"/>
                  <w:vMerge w:val="continue"/>
                  <w:vAlign w:val="center"/>
                </w:tcPr>
                <w:p>
                  <w:pPr>
                    <w:pStyle w:val="115"/>
                    <w:rPr>
                      <w:color w:val="000000"/>
                    </w:rPr>
                  </w:pPr>
                </w:p>
              </w:tc>
              <w:tc>
                <w:tcPr>
                  <w:tcW w:w="2035" w:type="dxa"/>
                  <w:vAlign w:val="center"/>
                </w:tcPr>
                <w:p>
                  <w:pPr>
                    <w:pStyle w:val="115"/>
                    <w:rPr>
                      <w:color w:val="000000"/>
                    </w:rPr>
                  </w:pPr>
                  <w:r>
                    <w:rPr>
                      <w:rFonts w:hint="eastAsia"/>
                      <w:color w:val="000000"/>
                    </w:rPr>
                    <w:t>危废处置</w:t>
                  </w:r>
                </w:p>
              </w:tc>
              <w:tc>
                <w:tcPr>
                  <w:tcW w:w="2982" w:type="dxa"/>
                  <w:vAlign w:val="center"/>
                </w:tcPr>
                <w:p>
                  <w:pPr>
                    <w:pStyle w:val="115"/>
                    <w:rPr>
                      <w:color w:val="000000"/>
                    </w:rPr>
                  </w:pPr>
                  <w:r>
                    <w:rPr>
                      <w:rFonts w:hint="eastAsia"/>
                      <w:color w:val="000000"/>
                    </w:rPr>
                    <w:t>危险废物委托有资质单位处理</w:t>
                  </w:r>
                </w:p>
              </w:tc>
              <w:tc>
                <w:tcPr>
                  <w:tcW w:w="1235" w:type="dxa"/>
                  <w:vAlign w:val="center"/>
                </w:tcPr>
                <w:p>
                  <w:pPr>
                    <w:pStyle w:val="115"/>
                    <w:rPr>
                      <w:color w:val="000000"/>
                    </w:rPr>
                  </w:pPr>
                  <w:r>
                    <w:rPr>
                      <w:color w:val="00000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158" w:type="dxa"/>
                  <w:vMerge w:val="continue"/>
                  <w:vAlign w:val="center"/>
                </w:tcPr>
                <w:p>
                  <w:pPr>
                    <w:pStyle w:val="115"/>
                    <w:rPr>
                      <w:color w:val="000000"/>
                    </w:rPr>
                  </w:pPr>
                </w:p>
              </w:tc>
              <w:tc>
                <w:tcPr>
                  <w:tcW w:w="2035" w:type="dxa"/>
                  <w:vAlign w:val="center"/>
                </w:tcPr>
                <w:p>
                  <w:pPr>
                    <w:pStyle w:val="115"/>
                    <w:rPr>
                      <w:color w:val="000000"/>
                    </w:rPr>
                  </w:pPr>
                  <w:r>
                    <w:rPr>
                      <w:rFonts w:hint="eastAsia"/>
                      <w:color w:val="000000"/>
                    </w:rPr>
                    <w:t>泥浆</w:t>
                  </w:r>
                  <w:r>
                    <w:rPr>
                      <w:color w:val="000000"/>
                    </w:rPr>
                    <w:t>不落地系统</w:t>
                  </w:r>
                </w:p>
              </w:tc>
              <w:tc>
                <w:tcPr>
                  <w:tcW w:w="2982" w:type="dxa"/>
                  <w:vAlign w:val="center"/>
                </w:tcPr>
                <w:p>
                  <w:pPr>
                    <w:pStyle w:val="115"/>
                    <w:rPr>
                      <w:color w:val="000000"/>
                    </w:rPr>
                  </w:pPr>
                  <w:r>
                    <w:rPr>
                      <w:color w:val="000000"/>
                    </w:rPr>
                    <w:t>钻井废水、岩屑、</w:t>
                  </w:r>
                  <w:r>
                    <w:rPr>
                      <w:rFonts w:hint="eastAsia"/>
                      <w:color w:val="000000"/>
                    </w:rPr>
                    <w:t>钻井泥浆处理</w:t>
                  </w:r>
                </w:p>
              </w:tc>
              <w:tc>
                <w:tcPr>
                  <w:tcW w:w="1235" w:type="dxa"/>
                  <w:vAlign w:val="center"/>
                </w:tcPr>
                <w:p>
                  <w:pPr>
                    <w:pStyle w:val="115"/>
                    <w:rPr>
                      <w:color w:val="000000"/>
                    </w:rPr>
                  </w:pPr>
                  <w:r>
                    <w:rPr>
                      <w:color w:val="000000"/>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158" w:type="dxa"/>
                  <w:vMerge w:val="restart"/>
                  <w:vAlign w:val="center"/>
                </w:tcPr>
                <w:p>
                  <w:pPr>
                    <w:pStyle w:val="115"/>
                    <w:rPr>
                      <w:color w:val="000000"/>
                    </w:rPr>
                  </w:pPr>
                  <w:r>
                    <w:rPr>
                      <w:color w:val="000000"/>
                    </w:rPr>
                    <w:t>生态与水土保持</w:t>
                  </w:r>
                </w:p>
              </w:tc>
              <w:tc>
                <w:tcPr>
                  <w:tcW w:w="2035" w:type="dxa"/>
                  <w:vAlign w:val="center"/>
                </w:tcPr>
                <w:p>
                  <w:pPr>
                    <w:pStyle w:val="115"/>
                    <w:rPr>
                      <w:color w:val="000000"/>
                    </w:rPr>
                  </w:pPr>
                  <w:r>
                    <w:rPr>
                      <w:color w:val="000000"/>
                    </w:rPr>
                    <w:t>井场</w:t>
                  </w:r>
                  <w:r>
                    <w:rPr>
                      <w:rFonts w:hint="eastAsia"/>
                      <w:color w:val="000000"/>
                    </w:rPr>
                    <w:t>平整</w:t>
                  </w:r>
                </w:p>
              </w:tc>
              <w:tc>
                <w:tcPr>
                  <w:tcW w:w="2982" w:type="dxa"/>
                  <w:vAlign w:val="center"/>
                </w:tcPr>
                <w:p>
                  <w:pPr>
                    <w:pStyle w:val="115"/>
                    <w:rPr>
                      <w:color w:val="000000"/>
                    </w:rPr>
                  </w:pPr>
                  <w:r>
                    <w:rPr>
                      <w:rFonts w:hint="eastAsia"/>
                      <w:color w:val="000000"/>
                    </w:rPr>
                    <w:t>临时占地平整</w:t>
                  </w:r>
                </w:p>
              </w:tc>
              <w:tc>
                <w:tcPr>
                  <w:tcW w:w="1235" w:type="dxa"/>
                  <w:vAlign w:val="center"/>
                </w:tcPr>
                <w:p>
                  <w:pPr>
                    <w:pStyle w:val="115"/>
                    <w:rPr>
                      <w:color w:val="000000"/>
                    </w:rPr>
                  </w:pPr>
                  <w:r>
                    <w:rPr>
                      <w:color w:val="00000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158" w:type="dxa"/>
                  <w:vMerge w:val="continue"/>
                  <w:vAlign w:val="center"/>
                </w:tcPr>
                <w:p>
                  <w:pPr>
                    <w:pStyle w:val="115"/>
                    <w:rPr>
                      <w:color w:val="000000"/>
                    </w:rPr>
                  </w:pPr>
                </w:p>
              </w:tc>
              <w:tc>
                <w:tcPr>
                  <w:tcW w:w="2035" w:type="dxa"/>
                  <w:vAlign w:val="center"/>
                </w:tcPr>
                <w:p>
                  <w:pPr>
                    <w:pStyle w:val="115"/>
                    <w:rPr>
                      <w:color w:val="000000"/>
                    </w:rPr>
                  </w:pPr>
                  <w:r>
                    <w:rPr>
                      <w:color w:val="000000"/>
                    </w:rPr>
                    <w:t>路面硬化</w:t>
                  </w:r>
                </w:p>
              </w:tc>
              <w:tc>
                <w:tcPr>
                  <w:tcW w:w="2982" w:type="dxa"/>
                  <w:vAlign w:val="center"/>
                </w:tcPr>
                <w:p>
                  <w:pPr>
                    <w:pStyle w:val="115"/>
                    <w:rPr>
                      <w:color w:val="000000"/>
                    </w:rPr>
                  </w:pPr>
                  <w:r>
                    <w:rPr>
                      <w:color w:val="000000"/>
                    </w:rPr>
                    <w:t>降尘、防水土流失</w:t>
                  </w:r>
                </w:p>
              </w:tc>
              <w:tc>
                <w:tcPr>
                  <w:tcW w:w="1235" w:type="dxa"/>
                  <w:vAlign w:val="center"/>
                </w:tcPr>
                <w:p>
                  <w:pPr>
                    <w:pStyle w:val="115"/>
                    <w:rPr>
                      <w:color w:val="000000"/>
                    </w:rPr>
                  </w:pPr>
                  <w:r>
                    <w:rPr>
                      <w:color w:val="00000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158" w:type="dxa"/>
                  <w:vMerge w:val="continue"/>
                  <w:vAlign w:val="center"/>
                </w:tcPr>
                <w:p>
                  <w:pPr>
                    <w:pStyle w:val="115"/>
                    <w:rPr>
                      <w:color w:val="000000"/>
                    </w:rPr>
                  </w:pPr>
                </w:p>
              </w:tc>
              <w:tc>
                <w:tcPr>
                  <w:tcW w:w="2035" w:type="dxa"/>
                  <w:vAlign w:val="center"/>
                </w:tcPr>
                <w:p>
                  <w:pPr>
                    <w:pStyle w:val="70"/>
                    <w:rPr>
                      <w:color w:val="000000"/>
                    </w:rPr>
                  </w:pPr>
                  <w:r>
                    <w:rPr>
                      <w:rFonts w:hint="eastAsia"/>
                      <w:color w:val="000000"/>
                    </w:rPr>
                    <w:t>防沙治沙</w:t>
                  </w:r>
                </w:p>
              </w:tc>
              <w:tc>
                <w:tcPr>
                  <w:tcW w:w="2982" w:type="dxa"/>
                  <w:vAlign w:val="center"/>
                </w:tcPr>
                <w:p>
                  <w:pPr>
                    <w:pStyle w:val="70"/>
                    <w:rPr>
                      <w:color w:val="000000"/>
                    </w:rPr>
                  </w:pPr>
                  <w:r>
                    <w:rPr>
                      <w:rFonts w:hint="eastAsia"/>
                      <w:color w:val="000000"/>
                    </w:rPr>
                    <w:t>保护区域生态环境</w:t>
                  </w:r>
                </w:p>
              </w:tc>
              <w:tc>
                <w:tcPr>
                  <w:tcW w:w="1235" w:type="dxa"/>
                  <w:vAlign w:val="center"/>
                </w:tcPr>
                <w:p>
                  <w:pPr>
                    <w:pStyle w:val="70"/>
                    <w:rPr>
                      <w:color w:val="000000"/>
                    </w:rPr>
                  </w:pPr>
                  <w:r>
                    <w:rPr>
                      <w:color w:val="00000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158" w:type="dxa"/>
                  <w:vAlign w:val="center"/>
                </w:tcPr>
                <w:p>
                  <w:pPr>
                    <w:pStyle w:val="115"/>
                    <w:rPr>
                      <w:color w:val="000000"/>
                    </w:rPr>
                  </w:pPr>
                  <w:r>
                    <w:rPr>
                      <w:rFonts w:hint="eastAsia"/>
                      <w:color w:val="000000"/>
                    </w:rPr>
                    <w:t>噪声</w:t>
                  </w:r>
                  <w:r>
                    <w:rPr>
                      <w:color w:val="000000"/>
                    </w:rPr>
                    <w:t>治理</w:t>
                  </w:r>
                </w:p>
              </w:tc>
              <w:tc>
                <w:tcPr>
                  <w:tcW w:w="2035" w:type="dxa"/>
                  <w:vAlign w:val="center"/>
                </w:tcPr>
                <w:p>
                  <w:pPr>
                    <w:pStyle w:val="115"/>
                    <w:rPr>
                      <w:color w:val="000000"/>
                    </w:rPr>
                  </w:pPr>
                  <w:r>
                    <w:rPr>
                      <w:rFonts w:hint="eastAsia"/>
                      <w:color w:val="000000"/>
                    </w:rPr>
                    <w:t>基础减振</w:t>
                  </w:r>
                </w:p>
              </w:tc>
              <w:tc>
                <w:tcPr>
                  <w:tcW w:w="2982" w:type="dxa"/>
                  <w:vAlign w:val="center"/>
                </w:tcPr>
                <w:p>
                  <w:pPr>
                    <w:pStyle w:val="115"/>
                    <w:rPr>
                      <w:color w:val="000000"/>
                    </w:rPr>
                  </w:pPr>
                  <w:r>
                    <w:rPr>
                      <w:rFonts w:hint="eastAsia"/>
                      <w:color w:val="000000"/>
                    </w:rPr>
                    <w:t>噪声</w:t>
                  </w:r>
                  <w:r>
                    <w:rPr>
                      <w:color w:val="000000"/>
                    </w:rPr>
                    <w:t>治理</w:t>
                  </w:r>
                </w:p>
              </w:tc>
              <w:tc>
                <w:tcPr>
                  <w:tcW w:w="1235" w:type="dxa"/>
                  <w:vAlign w:val="center"/>
                </w:tcPr>
                <w:p>
                  <w:pPr>
                    <w:pStyle w:val="115"/>
                    <w:rPr>
                      <w:color w:val="000000"/>
                    </w:rPr>
                  </w:pPr>
                  <w:r>
                    <w:rPr>
                      <w:color w:val="00000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158" w:type="dxa"/>
                  <w:vAlign w:val="center"/>
                </w:tcPr>
                <w:p>
                  <w:pPr>
                    <w:pStyle w:val="115"/>
                    <w:rPr>
                      <w:color w:val="000000"/>
                    </w:rPr>
                  </w:pPr>
                  <w:r>
                    <w:rPr>
                      <w:rFonts w:hint="eastAsia"/>
                      <w:color w:val="000000"/>
                    </w:rPr>
                    <w:t>生态修复工程</w:t>
                  </w:r>
                </w:p>
              </w:tc>
              <w:tc>
                <w:tcPr>
                  <w:tcW w:w="2035" w:type="dxa"/>
                  <w:vAlign w:val="center"/>
                </w:tcPr>
                <w:p>
                  <w:pPr>
                    <w:pStyle w:val="115"/>
                    <w:rPr>
                      <w:color w:val="000000"/>
                    </w:rPr>
                  </w:pPr>
                  <w:r>
                    <w:rPr>
                      <w:rFonts w:hint="eastAsia"/>
                      <w:color w:val="000000"/>
                    </w:rPr>
                    <w:t>临时占地恢复</w:t>
                  </w:r>
                </w:p>
              </w:tc>
              <w:tc>
                <w:tcPr>
                  <w:tcW w:w="2982" w:type="dxa"/>
                  <w:vAlign w:val="center"/>
                </w:tcPr>
                <w:p>
                  <w:pPr>
                    <w:pStyle w:val="115"/>
                    <w:rPr>
                      <w:color w:val="000000"/>
                    </w:rPr>
                  </w:pPr>
                  <w:r>
                    <w:rPr>
                      <w:rFonts w:hint="eastAsia"/>
                      <w:color w:val="000000"/>
                    </w:rPr>
                    <w:t>临时占地生态恢复，林地、林木补偿</w:t>
                  </w:r>
                </w:p>
              </w:tc>
              <w:tc>
                <w:tcPr>
                  <w:tcW w:w="1235" w:type="dxa"/>
                  <w:vAlign w:val="center"/>
                </w:tcPr>
                <w:p>
                  <w:pPr>
                    <w:pStyle w:val="115"/>
                    <w:rPr>
                      <w:color w:val="000000"/>
                    </w:rPr>
                  </w:pPr>
                  <w:r>
                    <w:rPr>
                      <w:color w:val="00000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6175" w:type="dxa"/>
                  <w:gridSpan w:val="3"/>
                  <w:vAlign w:val="center"/>
                </w:tcPr>
                <w:p>
                  <w:pPr>
                    <w:pStyle w:val="115"/>
                    <w:rPr>
                      <w:color w:val="000000"/>
                    </w:rPr>
                  </w:pPr>
                  <w:r>
                    <w:rPr>
                      <w:color w:val="000000"/>
                    </w:rPr>
                    <w:t>合  计</w:t>
                  </w:r>
                </w:p>
              </w:tc>
              <w:tc>
                <w:tcPr>
                  <w:tcW w:w="1235" w:type="dxa"/>
                  <w:vAlign w:val="center"/>
                </w:tcPr>
                <w:p>
                  <w:pPr>
                    <w:pStyle w:val="115"/>
                    <w:rPr>
                      <w:color w:val="000000"/>
                    </w:rPr>
                  </w:pPr>
                  <w:r>
                    <w:rPr>
                      <w:rFonts w:hint="eastAsia"/>
                    </w:rPr>
                    <w:t>30</w:t>
                  </w:r>
                </w:p>
              </w:tc>
            </w:tr>
          </w:tbl>
          <w:p>
            <w:pPr>
              <w:adjustRightInd w:val="0"/>
              <w:snapToGrid w:val="0"/>
              <w:rPr>
                <w:rFonts w:ascii="宋体" w:hAnsi="宋体" w:cs="宋体"/>
                <w:bCs/>
                <w:color w:val="000000"/>
                <w:spacing w:val="10"/>
                <w:szCs w:val="21"/>
              </w:rPr>
            </w:pPr>
          </w:p>
        </w:tc>
      </w:tr>
    </w:tbl>
    <w:p>
      <w:pPr>
        <w:rPr>
          <w:color w:val="000000"/>
        </w:rPr>
        <w:sectPr>
          <w:pgSz w:w="11907" w:h="16840"/>
          <w:pgMar w:top="1440" w:right="1797" w:bottom="1440" w:left="1797" w:header="851" w:footer="1077" w:gutter="0"/>
          <w:cols w:space="425" w:num="1"/>
          <w:docGrid w:linePitch="312" w:charSpace="0"/>
        </w:sectPr>
      </w:pPr>
    </w:p>
    <w:p>
      <w:pPr>
        <w:pStyle w:val="26"/>
        <w:adjustRightInd w:val="0"/>
        <w:snapToGrid w:val="0"/>
        <w:spacing w:before="0" w:beforeAutospacing="0" w:after="0" w:afterAutospacing="0"/>
        <w:jc w:val="center"/>
        <w:outlineLvl w:val="0"/>
        <w:rPr>
          <w:rFonts w:ascii="黑体" w:hAnsi="黑体" w:eastAsia="黑体"/>
          <w:snapToGrid w:val="0"/>
          <w:color w:val="000000"/>
          <w:sz w:val="30"/>
          <w:szCs w:val="30"/>
        </w:rPr>
      </w:pPr>
      <w:bookmarkStart w:id="42" w:name="_Toc110934649"/>
      <w:r>
        <w:rPr>
          <w:rFonts w:hint="eastAsia" w:ascii="黑体" w:hAnsi="黑体" w:eastAsia="黑体"/>
          <w:snapToGrid w:val="0"/>
          <w:color w:val="000000"/>
          <w:sz w:val="30"/>
          <w:szCs w:val="30"/>
        </w:rPr>
        <w:t>六、生态环境保护措施监督检查清单</w:t>
      </w:r>
      <w:bookmarkEnd w:id="42"/>
    </w:p>
    <w:tbl>
      <w:tblPr>
        <w:tblStyle w:val="29"/>
        <w:tblW w:w="8286"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24"/>
        <w:gridCol w:w="3702"/>
        <w:gridCol w:w="2910"/>
        <w:gridCol w:w="688"/>
        <w:gridCol w:w="46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524" w:type="dxa"/>
            <w:vMerge w:val="restart"/>
            <w:tcBorders>
              <w:tl2br w:val="single" w:color="auto" w:sz="4" w:space="0"/>
            </w:tcBorders>
          </w:tcPr>
          <w:p>
            <w:pPr>
              <w:pStyle w:val="26"/>
              <w:adjustRightInd w:val="0"/>
              <w:snapToGrid w:val="0"/>
              <w:spacing w:before="72" w:beforeLines="30" w:beforeAutospacing="0" w:after="0" w:afterAutospacing="0"/>
              <w:rPr>
                <w:rFonts w:cs="宋体"/>
                <w:color w:val="000000"/>
                <w:kern w:val="2"/>
                <w:sz w:val="21"/>
                <w:szCs w:val="21"/>
              </w:rPr>
            </w:pPr>
            <w:r>
              <w:rPr>
                <w:rFonts w:hint="eastAsia" w:cs="宋体"/>
                <w:color w:val="000000"/>
                <w:kern w:val="2"/>
                <w:sz w:val="21"/>
                <w:szCs w:val="21"/>
              </w:rPr>
              <w:t xml:space="preserve">    内容</w:t>
            </w:r>
          </w:p>
          <w:p>
            <w:pPr>
              <w:pStyle w:val="26"/>
              <w:adjustRightInd w:val="0"/>
              <w:snapToGrid w:val="0"/>
              <w:spacing w:before="0" w:beforeAutospacing="0" w:after="0" w:afterAutospacing="0" w:line="14" w:lineRule="auto"/>
              <w:rPr>
                <w:rFonts w:cs="宋体"/>
                <w:color w:val="000000"/>
                <w:kern w:val="2"/>
                <w:sz w:val="21"/>
                <w:szCs w:val="21"/>
              </w:rPr>
            </w:pPr>
            <w:r>
              <w:rPr>
                <w:rFonts w:hint="eastAsia" w:cs="宋体"/>
                <w:color w:val="000000"/>
                <w:kern w:val="2"/>
                <w:sz w:val="21"/>
                <w:szCs w:val="21"/>
              </w:rPr>
              <w:t xml:space="preserve">  </w:t>
            </w:r>
          </w:p>
          <w:p>
            <w:pPr>
              <w:pStyle w:val="26"/>
              <w:adjustRightInd w:val="0"/>
              <w:snapToGrid w:val="0"/>
              <w:spacing w:before="0" w:beforeAutospacing="0" w:after="0" w:afterAutospacing="0"/>
              <w:rPr>
                <w:rFonts w:cs="宋体"/>
                <w:color w:val="000000"/>
                <w:kern w:val="2"/>
                <w:sz w:val="21"/>
                <w:szCs w:val="21"/>
              </w:rPr>
            </w:pPr>
            <w:r>
              <w:rPr>
                <w:rFonts w:hint="eastAsia" w:cs="宋体"/>
                <w:color w:val="000000"/>
                <w:kern w:val="2"/>
                <w:sz w:val="21"/>
                <w:szCs w:val="21"/>
              </w:rPr>
              <w:t>要素</w:t>
            </w:r>
          </w:p>
        </w:tc>
        <w:tc>
          <w:tcPr>
            <w:tcW w:w="6612" w:type="dxa"/>
            <w:gridSpan w:val="2"/>
            <w:vAlign w:val="center"/>
          </w:tcPr>
          <w:p>
            <w:pPr>
              <w:pStyle w:val="26"/>
              <w:adjustRightInd w:val="0"/>
              <w:snapToGrid w:val="0"/>
              <w:spacing w:before="0" w:beforeAutospacing="0" w:after="0" w:afterAutospacing="0"/>
              <w:jc w:val="center"/>
              <w:rPr>
                <w:rFonts w:cs="宋体"/>
                <w:color w:val="000000"/>
                <w:kern w:val="2"/>
                <w:sz w:val="21"/>
                <w:szCs w:val="21"/>
              </w:rPr>
            </w:pPr>
            <w:r>
              <w:rPr>
                <w:rFonts w:hint="eastAsia" w:cs="宋体"/>
                <w:color w:val="000000"/>
                <w:kern w:val="2"/>
                <w:sz w:val="21"/>
                <w:szCs w:val="21"/>
              </w:rPr>
              <w:t>施工期</w:t>
            </w:r>
          </w:p>
        </w:tc>
        <w:tc>
          <w:tcPr>
            <w:tcW w:w="1150" w:type="dxa"/>
            <w:gridSpan w:val="2"/>
            <w:vAlign w:val="center"/>
          </w:tcPr>
          <w:p>
            <w:pPr>
              <w:pStyle w:val="26"/>
              <w:adjustRightInd w:val="0"/>
              <w:snapToGrid w:val="0"/>
              <w:spacing w:before="0" w:beforeAutospacing="0" w:after="0" w:afterAutospacing="0"/>
              <w:jc w:val="center"/>
              <w:rPr>
                <w:rFonts w:cs="宋体"/>
                <w:color w:val="000000"/>
                <w:kern w:val="2"/>
                <w:sz w:val="21"/>
                <w:szCs w:val="21"/>
              </w:rPr>
            </w:pPr>
            <w:r>
              <w:rPr>
                <w:rFonts w:hint="eastAsia" w:cs="宋体"/>
                <w:color w:val="000000"/>
                <w:kern w:val="2"/>
                <w:sz w:val="21"/>
                <w:szCs w:val="21"/>
              </w:rPr>
              <w:t>运营期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524" w:type="dxa"/>
            <w:vMerge w:val="continue"/>
          </w:tcPr>
          <w:p>
            <w:pPr>
              <w:pStyle w:val="26"/>
              <w:adjustRightInd w:val="0"/>
              <w:snapToGrid w:val="0"/>
              <w:spacing w:before="0" w:beforeAutospacing="0" w:after="0" w:afterAutospacing="0"/>
              <w:ind w:firstLine="840"/>
              <w:jc w:val="center"/>
              <w:rPr>
                <w:rFonts w:cs="宋体"/>
                <w:color w:val="000000"/>
                <w:kern w:val="2"/>
                <w:sz w:val="21"/>
                <w:szCs w:val="21"/>
              </w:rPr>
            </w:pPr>
          </w:p>
        </w:tc>
        <w:tc>
          <w:tcPr>
            <w:tcW w:w="3702" w:type="dxa"/>
            <w:vAlign w:val="center"/>
          </w:tcPr>
          <w:p>
            <w:pPr>
              <w:pStyle w:val="26"/>
              <w:adjustRightInd w:val="0"/>
              <w:snapToGrid w:val="0"/>
              <w:spacing w:before="0" w:beforeAutospacing="0" w:after="0" w:afterAutospacing="0"/>
              <w:jc w:val="center"/>
              <w:rPr>
                <w:rFonts w:cs="宋体"/>
                <w:color w:val="000000"/>
                <w:kern w:val="2"/>
                <w:sz w:val="21"/>
                <w:szCs w:val="21"/>
              </w:rPr>
            </w:pPr>
            <w:r>
              <w:rPr>
                <w:rFonts w:hint="eastAsia" w:cs="宋体"/>
                <w:color w:val="000000"/>
                <w:kern w:val="2"/>
                <w:sz w:val="21"/>
                <w:szCs w:val="21"/>
              </w:rPr>
              <w:t>环境保护措施</w:t>
            </w:r>
          </w:p>
        </w:tc>
        <w:tc>
          <w:tcPr>
            <w:tcW w:w="2910" w:type="dxa"/>
            <w:vAlign w:val="center"/>
          </w:tcPr>
          <w:p>
            <w:pPr>
              <w:pStyle w:val="26"/>
              <w:adjustRightInd w:val="0"/>
              <w:snapToGrid w:val="0"/>
              <w:spacing w:before="0" w:beforeAutospacing="0" w:after="0" w:afterAutospacing="0"/>
              <w:jc w:val="center"/>
              <w:rPr>
                <w:rFonts w:cs="宋体"/>
                <w:color w:val="000000"/>
                <w:kern w:val="2"/>
                <w:sz w:val="21"/>
                <w:szCs w:val="21"/>
              </w:rPr>
            </w:pPr>
            <w:r>
              <w:rPr>
                <w:rFonts w:hint="eastAsia" w:cs="宋体"/>
                <w:color w:val="000000"/>
                <w:kern w:val="2"/>
                <w:sz w:val="21"/>
                <w:szCs w:val="21"/>
              </w:rPr>
              <w:t>验收要求</w:t>
            </w:r>
          </w:p>
        </w:tc>
        <w:tc>
          <w:tcPr>
            <w:tcW w:w="688" w:type="dxa"/>
            <w:vAlign w:val="center"/>
          </w:tcPr>
          <w:p>
            <w:pPr>
              <w:pStyle w:val="26"/>
              <w:adjustRightInd w:val="0"/>
              <w:snapToGrid w:val="0"/>
              <w:spacing w:before="0" w:beforeAutospacing="0" w:after="0" w:afterAutospacing="0"/>
              <w:jc w:val="center"/>
              <w:rPr>
                <w:rFonts w:cs="宋体"/>
                <w:color w:val="000000"/>
                <w:kern w:val="2"/>
                <w:sz w:val="21"/>
                <w:szCs w:val="21"/>
              </w:rPr>
            </w:pPr>
            <w:r>
              <w:rPr>
                <w:rFonts w:hint="eastAsia" w:cs="宋体"/>
                <w:color w:val="000000"/>
                <w:kern w:val="2"/>
                <w:sz w:val="21"/>
                <w:szCs w:val="21"/>
              </w:rPr>
              <w:t>环境保护措施</w:t>
            </w:r>
          </w:p>
        </w:tc>
        <w:tc>
          <w:tcPr>
            <w:tcW w:w="462" w:type="dxa"/>
            <w:vAlign w:val="center"/>
          </w:tcPr>
          <w:p>
            <w:pPr>
              <w:pStyle w:val="26"/>
              <w:adjustRightInd w:val="0"/>
              <w:snapToGrid w:val="0"/>
              <w:spacing w:before="0" w:beforeAutospacing="0" w:after="0" w:afterAutospacing="0"/>
              <w:jc w:val="center"/>
              <w:rPr>
                <w:rFonts w:cs="宋体"/>
                <w:color w:val="000000"/>
                <w:kern w:val="2"/>
                <w:sz w:val="21"/>
                <w:szCs w:val="21"/>
              </w:rPr>
            </w:pPr>
            <w:r>
              <w:rPr>
                <w:rFonts w:hint="eastAsia" w:cs="宋体"/>
                <w:color w:val="000000"/>
                <w:kern w:val="2"/>
                <w:sz w:val="21"/>
                <w:szCs w:val="21"/>
              </w:rPr>
              <w:t>验收要求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1938" w:hRule="atLeast"/>
          <w:jc w:val="center"/>
        </w:trPr>
        <w:tc>
          <w:tcPr>
            <w:tcW w:w="524" w:type="dxa"/>
            <w:vAlign w:val="center"/>
          </w:tcPr>
          <w:p>
            <w:pPr>
              <w:adjustRightInd w:val="0"/>
              <w:snapToGrid w:val="0"/>
              <w:jc w:val="center"/>
              <w:rPr>
                <w:rFonts w:ascii="宋体" w:hAnsi="宋体" w:cs="宋体"/>
                <w:color w:val="000000"/>
                <w:szCs w:val="21"/>
              </w:rPr>
            </w:pPr>
            <w:r>
              <w:rPr>
                <w:rFonts w:hint="eastAsia" w:ascii="宋体" w:hAnsi="宋体" w:cs="宋体"/>
                <w:color w:val="000000"/>
                <w:szCs w:val="21"/>
              </w:rPr>
              <w:t>陆生生态</w:t>
            </w:r>
          </w:p>
        </w:tc>
        <w:tc>
          <w:tcPr>
            <w:tcW w:w="3702" w:type="dxa"/>
            <w:vAlign w:val="center"/>
          </w:tcPr>
          <w:p>
            <w:pPr>
              <w:adjustRightInd w:val="0"/>
              <w:snapToGrid w:val="0"/>
              <w:jc w:val="center"/>
              <w:rPr>
                <w:rFonts w:ascii="宋体" w:hAnsi="宋体" w:cs="宋体"/>
                <w:color w:val="000000"/>
                <w:szCs w:val="21"/>
              </w:rPr>
            </w:pPr>
            <w:r>
              <w:rPr>
                <w:rFonts w:hint="eastAsia" w:ascii="宋体" w:hAnsi="宋体" w:cs="宋体"/>
                <w:color w:val="000000"/>
                <w:szCs w:val="21"/>
              </w:rPr>
              <w:t>1、在施工设计方面，合理规划、尽量减少修建进井路的施工作业带宽度，合理布局、尽量减少井场临时占地面积。</w:t>
            </w:r>
          </w:p>
          <w:p>
            <w:pPr>
              <w:adjustRightInd w:val="0"/>
              <w:snapToGrid w:val="0"/>
              <w:jc w:val="center"/>
              <w:rPr>
                <w:rFonts w:ascii="宋体" w:hAnsi="宋体" w:cs="宋体"/>
                <w:color w:val="000000"/>
                <w:szCs w:val="21"/>
              </w:rPr>
            </w:pPr>
            <w:r>
              <w:rPr>
                <w:rFonts w:ascii="宋体" w:hAnsi="宋体" w:cs="宋体"/>
                <w:color w:val="000000"/>
                <w:szCs w:val="21"/>
              </w:rPr>
              <w:t>2</w:t>
            </w:r>
            <w:r>
              <w:rPr>
                <w:rFonts w:hint="eastAsia" w:ascii="宋体" w:hAnsi="宋体" w:cs="宋体"/>
                <w:color w:val="000000"/>
                <w:szCs w:val="21"/>
              </w:rPr>
              <w:t>、在日常运行、施工过程等过程中会产生较大的扬尘，在开挖旁边空地设置表土临时堆放区域，区域施工现场尽量适时洒水，减少扬尘，施工使用的粉状材料，运输、堆放时应有遮盖，防止扬尘落地影响附近植被的生长。</w:t>
            </w:r>
          </w:p>
          <w:p>
            <w:pPr>
              <w:adjustRightInd w:val="0"/>
              <w:snapToGrid w:val="0"/>
              <w:jc w:val="center"/>
              <w:rPr>
                <w:rFonts w:ascii="宋体" w:hAnsi="宋体" w:cs="宋体"/>
                <w:color w:val="000000"/>
                <w:szCs w:val="21"/>
              </w:rPr>
            </w:pPr>
            <w:r>
              <w:rPr>
                <w:rFonts w:ascii="宋体" w:hAnsi="宋体" w:cs="宋体"/>
                <w:color w:val="000000"/>
                <w:szCs w:val="21"/>
              </w:rPr>
              <w:t>3</w:t>
            </w:r>
            <w:r>
              <w:rPr>
                <w:rFonts w:hint="eastAsia" w:ascii="宋体" w:hAnsi="宋体" w:cs="宋体"/>
                <w:color w:val="000000"/>
                <w:szCs w:val="21"/>
              </w:rPr>
              <w:t>、在员工的教育培训方面，加强管理，定期给施工人员进行施工作业培训，严格按照规范操作执行，尽量避让植被覆盖率较高的区域。加强教育，强化员工在工作中的责任心，巡检过程要认真仔细，实时监控。</w:t>
            </w:r>
          </w:p>
          <w:p>
            <w:pPr>
              <w:adjustRightInd w:val="0"/>
              <w:snapToGrid w:val="0"/>
              <w:jc w:val="center"/>
              <w:rPr>
                <w:rFonts w:ascii="宋体" w:hAnsi="宋体" w:cs="宋体"/>
                <w:color w:val="000000"/>
                <w:szCs w:val="21"/>
              </w:rPr>
            </w:pPr>
            <w:r>
              <w:rPr>
                <w:rFonts w:ascii="宋体" w:hAnsi="宋体" w:cs="宋体"/>
                <w:color w:val="000000"/>
                <w:szCs w:val="21"/>
              </w:rPr>
              <w:t>4</w:t>
            </w:r>
            <w:r>
              <w:rPr>
                <w:rFonts w:hint="eastAsia" w:ascii="宋体" w:hAnsi="宋体" w:cs="宋体"/>
                <w:color w:val="000000"/>
                <w:szCs w:val="21"/>
              </w:rPr>
              <w:t>、尽量减少因施工对植被的破坏，施工中大量设备的调运及人员的流动，会增加作业区内的拥挤度，项目区及外围设置明显的作业区域标识，新建道路需设置必要的标识和警示标牌，加强管理，把施工作业严格控制在作业区内。</w:t>
            </w:r>
          </w:p>
          <w:p>
            <w:pPr>
              <w:adjustRightInd w:val="0"/>
              <w:snapToGrid w:val="0"/>
              <w:jc w:val="center"/>
              <w:rPr>
                <w:rFonts w:ascii="宋体" w:hAnsi="宋体" w:cs="宋体"/>
                <w:color w:val="000000"/>
                <w:szCs w:val="21"/>
              </w:rPr>
            </w:pPr>
            <w:r>
              <w:rPr>
                <w:rFonts w:ascii="宋体" w:hAnsi="宋体" w:cs="宋体"/>
                <w:color w:val="000000"/>
                <w:szCs w:val="21"/>
              </w:rPr>
              <w:t>5</w:t>
            </w:r>
            <w:r>
              <w:rPr>
                <w:rFonts w:hint="eastAsia" w:ascii="宋体" w:hAnsi="宋体" w:cs="宋体"/>
                <w:color w:val="000000"/>
                <w:szCs w:val="21"/>
              </w:rPr>
              <w:t>、</w:t>
            </w:r>
            <w:r>
              <w:rPr>
                <w:rFonts w:hint="eastAsia"/>
                <w:color w:val="000000"/>
              </w:rPr>
              <w:t>本项目钻井、施工前，应向当地相关主管部门办理征地手续，按照相关法律法规进行补偿和恢复</w:t>
            </w:r>
            <w:r>
              <w:rPr>
                <w:rFonts w:hint="eastAsia" w:ascii="宋体" w:hAnsi="宋体" w:cs="宋体"/>
                <w:color w:val="000000"/>
                <w:szCs w:val="21"/>
              </w:rPr>
              <w:t>。</w:t>
            </w:r>
          </w:p>
          <w:p>
            <w:pPr>
              <w:adjustRightInd w:val="0"/>
              <w:snapToGrid w:val="0"/>
              <w:jc w:val="center"/>
              <w:rPr>
                <w:rFonts w:ascii="宋体" w:hAnsi="宋体" w:cs="宋体"/>
                <w:color w:val="000000"/>
                <w:szCs w:val="21"/>
              </w:rPr>
            </w:pPr>
            <w:r>
              <w:rPr>
                <w:rFonts w:ascii="宋体" w:hAnsi="宋体" w:cs="宋体"/>
                <w:color w:val="000000"/>
                <w:szCs w:val="21"/>
              </w:rPr>
              <w:t>6</w:t>
            </w:r>
            <w:r>
              <w:rPr>
                <w:rFonts w:hint="eastAsia" w:ascii="宋体" w:hAnsi="宋体" w:cs="宋体"/>
                <w:color w:val="000000"/>
                <w:szCs w:val="21"/>
              </w:rPr>
              <w:t>、钻井过程中严格执行钻井生产环境保护管理规定，钻井废水、废弃泥浆采用“泥浆不落地”设备进行处理。</w:t>
            </w:r>
          </w:p>
          <w:p>
            <w:pPr>
              <w:adjustRightInd w:val="0"/>
              <w:snapToGrid w:val="0"/>
              <w:jc w:val="center"/>
              <w:rPr>
                <w:rFonts w:ascii="宋体" w:hAnsi="宋体" w:cs="宋体"/>
                <w:color w:val="000000"/>
                <w:szCs w:val="21"/>
              </w:rPr>
            </w:pPr>
            <w:r>
              <w:rPr>
                <w:rFonts w:hint="eastAsia" w:ascii="宋体" w:hAnsi="宋体" w:cs="宋体"/>
                <w:color w:val="000000"/>
                <w:szCs w:val="21"/>
              </w:rPr>
              <w:t>7、项目建设完成后，对施工场地的废渣及一切废弃物资、设备应及时清理，对工地、料场、取土等地方，使用后应立即恢复原状，并及时进行人工干预恢复植被，以维持原有生态环境。工程建设完成后要求对施工料场、便道等临时用地进行清理、平整。严格执行《土地复垦条例》（2011年3月5日），凡受到施工车辆、机械破坏的地方都给予及时的修整，恢复原貌，被破坏的植被在施工结束后尽快恢复，完井后井场须平整，做到无油污，无地坑，无三废，确保周围环境无污染</w:t>
            </w:r>
          </w:p>
        </w:tc>
        <w:tc>
          <w:tcPr>
            <w:tcW w:w="2910" w:type="dxa"/>
            <w:vAlign w:val="center"/>
          </w:tcPr>
          <w:p>
            <w:pPr>
              <w:adjustRightInd w:val="0"/>
              <w:snapToGrid w:val="0"/>
              <w:jc w:val="center"/>
              <w:rPr>
                <w:rFonts w:ascii="宋体" w:hAnsi="宋体" w:cs="宋体"/>
                <w:color w:val="000000"/>
                <w:szCs w:val="21"/>
              </w:rPr>
            </w:pPr>
            <w:r>
              <w:rPr>
                <w:rFonts w:ascii="宋体" w:hAnsi="宋体" w:cs="宋体"/>
                <w:color w:val="000000"/>
                <w:szCs w:val="21"/>
              </w:rPr>
              <w:t>严格限制施工作业范围，禁止破坏施工作业外的地表植被。临时占地上的设施搬迁后，拆除基础，</w:t>
            </w:r>
            <w:r>
              <w:rPr>
                <w:rFonts w:hint="eastAsia" w:ascii="宋体" w:hAnsi="宋体" w:cs="宋体"/>
                <w:color w:val="000000"/>
                <w:szCs w:val="21"/>
              </w:rPr>
              <w:t>恢复</w:t>
            </w:r>
            <w:r>
              <w:rPr>
                <w:rFonts w:ascii="宋体" w:hAnsi="宋体" w:cs="宋体"/>
                <w:color w:val="000000"/>
                <w:szCs w:val="21"/>
              </w:rPr>
              <w:t>到原状态。现场无废弃池遗留</w:t>
            </w:r>
          </w:p>
        </w:tc>
        <w:tc>
          <w:tcPr>
            <w:tcW w:w="688" w:type="dxa"/>
            <w:vAlign w:val="center"/>
          </w:tcPr>
          <w:p>
            <w:pPr>
              <w:adjustRightInd w:val="0"/>
              <w:snapToGrid w:val="0"/>
              <w:jc w:val="center"/>
              <w:rPr>
                <w:rFonts w:ascii="宋体" w:hAnsi="宋体" w:cs="宋体"/>
                <w:color w:val="000000"/>
                <w:szCs w:val="21"/>
              </w:rPr>
            </w:pPr>
            <w:r>
              <w:rPr>
                <w:rFonts w:hint="eastAsia" w:ascii="宋体" w:hAnsi="宋体" w:cs="宋体"/>
                <w:color w:val="000000"/>
                <w:szCs w:val="21"/>
              </w:rPr>
              <w:t>/</w:t>
            </w:r>
          </w:p>
        </w:tc>
        <w:tc>
          <w:tcPr>
            <w:tcW w:w="462" w:type="dxa"/>
            <w:vAlign w:val="center"/>
          </w:tcPr>
          <w:p>
            <w:pPr>
              <w:adjustRightInd w:val="0"/>
              <w:snapToGrid w:val="0"/>
              <w:jc w:val="center"/>
              <w:rPr>
                <w:rFonts w:ascii="宋体" w:hAnsi="宋体" w:cs="宋体"/>
                <w:color w:val="000000"/>
                <w:szCs w:val="21"/>
              </w:rPr>
            </w:pPr>
            <w:r>
              <w:rPr>
                <w:rFonts w:hint="eastAsia" w:ascii="宋体" w:hAnsi="宋体" w:cs="宋体"/>
                <w:color w:val="000000"/>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24" w:type="dxa"/>
            <w:vAlign w:val="center"/>
          </w:tcPr>
          <w:p>
            <w:pPr>
              <w:adjustRightInd w:val="0"/>
              <w:snapToGrid w:val="0"/>
              <w:jc w:val="center"/>
              <w:rPr>
                <w:rFonts w:ascii="宋体" w:hAnsi="宋体" w:cs="宋体"/>
                <w:color w:val="000000"/>
                <w:szCs w:val="21"/>
              </w:rPr>
            </w:pPr>
            <w:r>
              <w:rPr>
                <w:rFonts w:hint="eastAsia" w:ascii="宋体" w:hAnsi="宋体" w:cs="宋体"/>
                <w:color w:val="000000"/>
                <w:szCs w:val="21"/>
              </w:rPr>
              <w:t>水生生态</w:t>
            </w:r>
          </w:p>
        </w:tc>
        <w:tc>
          <w:tcPr>
            <w:tcW w:w="3702" w:type="dxa"/>
            <w:vAlign w:val="center"/>
          </w:tcPr>
          <w:p>
            <w:pPr>
              <w:adjustRightInd w:val="0"/>
              <w:snapToGrid w:val="0"/>
              <w:jc w:val="center"/>
              <w:rPr>
                <w:rFonts w:ascii="宋体" w:hAnsi="宋体" w:cs="宋体"/>
                <w:color w:val="000000"/>
                <w:szCs w:val="21"/>
              </w:rPr>
            </w:pPr>
            <w:r>
              <w:rPr>
                <w:rFonts w:hint="eastAsia" w:ascii="宋体" w:hAnsi="宋体" w:cs="宋体"/>
                <w:color w:val="000000"/>
                <w:szCs w:val="21"/>
              </w:rPr>
              <w:t>/</w:t>
            </w:r>
          </w:p>
        </w:tc>
        <w:tc>
          <w:tcPr>
            <w:tcW w:w="2910" w:type="dxa"/>
            <w:vAlign w:val="center"/>
          </w:tcPr>
          <w:p>
            <w:pPr>
              <w:adjustRightInd w:val="0"/>
              <w:snapToGrid w:val="0"/>
              <w:jc w:val="center"/>
              <w:rPr>
                <w:rFonts w:ascii="宋体" w:hAnsi="宋体" w:cs="宋体"/>
                <w:color w:val="000000"/>
                <w:szCs w:val="21"/>
              </w:rPr>
            </w:pPr>
            <w:r>
              <w:rPr>
                <w:rFonts w:hint="eastAsia" w:ascii="宋体" w:hAnsi="宋体" w:cs="宋体"/>
                <w:color w:val="000000"/>
                <w:szCs w:val="21"/>
              </w:rPr>
              <w:t>/</w:t>
            </w:r>
          </w:p>
        </w:tc>
        <w:tc>
          <w:tcPr>
            <w:tcW w:w="688" w:type="dxa"/>
            <w:vAlign w:val="center"/>
          </w:tcPr>
          <w:p>
            <w:pPr>
              <w:adjustRightInd w:val="0"/>
              <w:snapToGrid w:val="0"/>
              <w:jc w:val="center"/>
              <w:rPr>
                <w:rFonts w:ascii="宋体" w:hAnsi="宋体" w:cs="宋体"/>
                <w:color w:val="000000"/>
                <w:szCs w:val="21"/>
              </w:rPr>
            </w:pPr>
            <w:r>
              <w:rPr>
                <w:rFonts w:hint="eastAsia" w:ascii="宋体" w:hAnsi="宋体" w:cs="宋体"/>
                <w:color w:val="000000"/>
                <w:szCs w:val="21"/>
              </w:rPr>
              <w:t>/</w:t>
            </w:r>
          </w:p>
        </w:tc>
        <w:tc>
          <w:tcPr>
            <w:tcW w:w="462" w:type="dxa"/>
            <w:vAlign w:val="center"/>
          </w:tcPr>
          <w:p>
            <w:pPr>
              <w:adjustRightInd w:val="0"/>
              <w:snapToGrid w:val="0"/>
              <w:jc w:val="center"/>
              <w:rPr>
                <w:rFonts w:ascii="宋体" w:hAnsi="宋体" w:cs="宋体"/>
                <w:color w:val="000000"/>
                <w:szCs w:val="21"/>
              </w:rPr>
            </w:pPr>
            <w:r>
              <w:rPr>
                <w:rFonts w:hint="eastAsia" w:ascii="宋体" w:hAnsi="宋体" w:cs="宋体"/>
                <w:color w:val="000000"/>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24" w:type="dxa"/>
            <w:vAlign w:val="center"/>
          </w:tcPr>
          <w:p>
            <w:pPr>
              <w:adjustRightInd w:val="0"/>
              <w:snapToGrid w:val="0"/>
              <w:jc w:val="center"/>
              <w:rPr>
                <w:rFonts w:ascii="宋体" w:hAnsi="宋体" w:cs="宋体"/>
                <w:color w:val="000000"/>
                <w:szCs w:val="21"/>
              </w:rPr>
            </w:pPr>
            <w:r>
              <w:rPr>
                <w:rFonts w:hint="eastAsia" w:ascii="宋体" w:hAnsi="宋体" w:cs="宋体"/>
                <w:color w:val="000000"/>
                <w:szCs w:val="21"/>
              </w:rPr>
              <w:t>地表水环境</w:t>
            </w:r>
          </w:p>
        </w:tc>
        <w:tc>
          <w:tcPr>
            <w:tcW w:w="3702" w:type="dxa"/>
            <w:vAlign w:val="center"/>
          </w:tcPr>
          <w:p>
            <w:pPr>
              <w:adjustRightInd w:val="0"/>
              <w:snapToGrid w:val="0"/>
              <w:jc w:val="center"/>
              <w:rPr>
                <w:rFonts w:ascii="宋体" w:hAnsi="宋体" w:cs="宋体"/>
                <w:color w:val="000000"/>
                <w:szCs w:val="21"/>
              </w:rPr>
            </w:pPr>
            <w:r>
              <w:rPr>
                <w:rFonts w:hint="eastAsia" w:ascii="宋体" w:hAnsi="宋体" w:cs="宋体"/>
                <w:color w:val="000000"/>
                <w:szCs w:val="21"/>
              </w:rPr>
              <w:t>/</w:t>
            </w:r>
          </w:p>
        </w:tc>
        <w:tc>
          <w:tcPr>
            <w:tcW w:w="2910" w:type="dxa"/>
            <w:vAlign w:val="center"/>
          </w:tcPr>
          <w:p>
            <w:pPr>
              <w:adjustRightInd w:val="0"/>
              <w:snapToGrid w:val="0"/>
              <w:jc w:val="center"/>
              <w:rPr>
                <w:rFonts w:ascii="宋体" w:hAnsi="宋体" w:cs="宋体"/>
                <w:color w:val="000000"/>
                <w:szCs w:val="21"/>
              </w:rPr>
            </w:pPr>
            <w:r>
              <w:rPr>
                <w:rFonts w:hint="eastAsia" w:ascii="宋体" w:hAnsi="宋体" w:cs="宋体"/>
                <w:color w:val="000000"/>
                <w:szCs w:val="21"/>
              </w:rPr>
              <w:t>/</w:t>
            </w:r>
          </w:p>
        </w:tc>
        <w:tc>
          <w:tcPr>
            <w:tcW w:w="688" w:type="dxa"/>
            <w:vAlign w:val="center"/>
          </w:tcPr>
          <w:p>
            <w:pPr>
              <w:adjustRightInd w:val="0"/>
              <w:snapToGrid w:val="0"/>
              <w:jc w:val="center"/>
              <w:rPr>
                <w:rFonts w:ascii="宋体" w:hAnsi="宋体" w:cs="宋体"/>
                <w:color w:val="000000"/>
                <w:szCs w:val="21"/>
              </w:rPr>
            </w:pPr>
            <w:r>
              <w:rPr>
                <w:rFonts w:hint="eastAsia" w:ascii="宋体" w:hAnsi="宋体" w:cs="宋体"/>
                <w:color w:val="000000"/>
                <w:szCs w:val="21"/>
              </w:rPr>
              <w:t>/</w:t>
            </w:r>
          </w:p>
        </w:tc>
        <w:tc>
          <w:tcPr>
            <w:tcW w:w="462" w:type="dxa"/>
            <w:vAlign w:val="center"/>
          </w:tcPr>
          <w:p>
            <w:pPr>
              <w:adjustRightInd w:val="0"/>
              <w:snapToGrid w:val="0"/>
              <w:jc w:val="center"/>
              <w:rPr>
                <w:rFonts w:ascii="宋体" w:hAnsi="宋体" w:cs="宋体"/>
                <w:color w:val="000000"/>
                <w:szCs w:val="21"/>
              </w:rPr>
            </w:pPr>
            <w:r>
              <w:rPr>
                <w:rFonts w:hint="eastAsia" w:ascii="宋体" w:hAnsi="宋体" w:cs="宋体"/>
                <w:color w:val="000000"/>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24" w:type="dxa"/>
            <w:vAlign w:val="center"/>
          </w:tcPr>
          <w:p>
            <w:pPr>
              <w:adjustRightInd w:val="0"/>
              <w:snapToGrid w:val="0"/>
              <w:jc w:val="center"/>
              <w:rPr>
                <w:rFonts w:ascii="宋体" w:hAnsi="宋体" w:cs="宋体"/>
                <w:color w:val="000000"/>
                <w:szCs w:val="21"/>
              </w:rPr>
            </w:pPr>
            <w:r>
              <w:rPr>
                <w:rFonts w:hint="eastAsia" w:ascii="宋体" w:hAnsi="宋体" w:cs="宋体"/>
                <w:color w:val="000000"/>
                <w:szCs w:val="21"/>
              </w:rPr>
              <w:t>地下水及土壤环境</w:t>
            </w:r>
          </w:p>
        </w:tc>
        <w:tc>
          <w:tcPr>
            <w:tcW w:w="3702" w:type="dxa"/>
            <w:vAlign w:val="center"/>
          </w:tcPr>
          <w:p>
            <w:pPr>
              <w:adjustRightInd w:val="0"/>
              <w:snapToGrid w:val="0"/>
              <w:jc w:val="center"/>
              <w:rPr>
                <w:rFonts w:ascii="宋体" w:hAnsi="宋体" w:cs="宋体"/>
                <w:color w:val="000000"/>
                <w:szCs w:val="21"/>
              </w:rPr>
            </w:pPr>
            <w:r>
              <w:rPr>
                <w:rFonts w:hint="eastAsia" w:ascii="宋体" w:hAnsi="宋体" w:cs="宋体"/>
                <w:color w:val="000000"/>
                <w:szCs w:val="21"/>
              </w:rPr>
              <w:t>1、钻井</w:t>
            </w:r>
            <w:r>
              <w:rPr>
                <w:rFonts w:ascii="宋体" w:hAnsi="宋体" w:cs="宋体"/>
                <w:color w:val="000000"/>
                <w:szCs w:val="21"/>
              </w:rPr>
              <w:t>废水</w:t>
            </w:r>
            <w:r>
              <w:rPr>
                <w:rFonts w:hint="eastAsia" w:ascii="宋体" w:hAnsi="宋体" w:cs="宋体"/>
                <w:color w:val="000000"/>
                <w:szCs w:val="21"/>
              </w:rPr>
              <w:t>全部</w:t>
            </w:r>
            <w:r>
              <w:rPr>
                <w:rFonts w:ascii="宋体" w:hAnsi="宋体" w:cs="宋体"/>
                <w:color w:val="000000"/>
                <w:szCs w:val="21"/>
              </w:rPr>
              <w:t>排入</w:t>
            </w:r>
            <w:r>
              <w:rPr>
                <w:rFonts w:hint="eastAsia" w:ascii="宋体" w:hAnsi="宋体" w:cs="宋体"/>
                <w:color w:val="000000"/>
                <w:szCs w:val="21"/>
              </w:rPr>
              <w:t>“泥浆不落地”泥浆</w:t>
            </w:r>
            <w:r>
              <w:rPr>
                <w:rFonts w:ascii="宋体" w:hAnsi="宋体" w:cs="宋体"/>
                <w:color w:val="000000"/>
                <w:szCs w:val="21"/>
              </w:rPr>
              <w:t>槽中</w:t>
            </w:r>
            <w:r>
              <w:rPr>
                <w:rFonts w:hint="eastAsia" w:ascii="宋体" w:hAnsi="宋体" w:cs="宋体"/>
                <w:color w:val="000000"/>
                <w:szCs w:val="21"/>
              </w:rPr>
              <w:t>进行</w:t>
            </w:r>
            <w:r>
              <w:rPr>
                <w:rFonts w:ascii="宋体" w:hAnsi="宋体" w:cs="宋体"/>
                <w:color w:val="000000"/>
                <w:szCs w:val="21"/>
              </w:rPr>
              <w:t>循环利用，</w:t>
            </w:r>
            <w:r>
              <w:rPr>
                <w:rFonts w:hint="eastAsia" w:ascii="宋体" w:hAnsi="宋体" w:cs="宋体"/>
                <w:color w:val="000000"/>
                <w:szCs w:val="21"/>
              </w:rPr>
              <w:t>完井后废水运至春风一号联合站处理达标后用于产能开发回注地层</w:t>
            </w:r>
            <w:r>
              <w:rPr>
                <w:rFonts w:ascii="宋体" w:hAnsi="宋体" w:cs="宋体"/>
                <w:color w:val="000000"/>
                <w:szCs w:val="21"/>
              </w:rPr>
              <w:t>；</w:t>
            </w:r>
          </w:p>
          <w:p>
            <w:pPr>
              <w:adjustRightInd w:val="0"/>
              <w:snapToGrid w:val="0"/>
              <w:jc w:val="center"/>
              <w:rPr>
                <w:rFonts w:ascii="宋体" w:hAnsi="宋体" w:cs="宋体"/>
                <w:color w:val="000000"/>
                <w:szCs w:val="21"/>
              </w:rPr>
            </w:pPr>
            <w:r>
              <w:rPr>
                <w:rFonts w:hint="eastAsia" w:ascii="宋体" w:hAnsi="宋体" w:cs="宋体"/>
                <w:color w:val="000000"/>
                <w:szCs w:val="21"/>
              </w:rPr>
              <w:t>2、</w:t>
            </w:r>
            <w:r>
              <w:rPr>
                <w:rFonts w:hint="eastAsia"/>
                <w:color w:val="000000"/>
              </w:rPr>
              <w:t>生活污水排入旱厕由当地农户定期清理，用做农肥</w:t>
            </w:r>
            <w:r>
              <w:rPr>
                <w:rFonts w:hint="eastAsia" w:ascii="宋体" w:hAnsi="宋体" w:cs="宋体"/>
                <w:color w:val="000000"/>
                <w:szCs w:val="21"/>
              </w:rPr>
              <w:t>，不会对环境造成明显影响</w:t>
            </w:r>
          </w:p>
        </w:tc>
        <w:tc>
          <w:tcPr>
            <w:tcW w:w="2910" w:type="dxa"/>
            <w:vAlign w:val="center"/>
          </w:tcPr>
          <w:p>
            <w:pPr>
              <w:adjustRightInd w:val="0"/>
              <w:snapToGrid w:val="0"/>
              <w:jc w:val="center"/>
              <w:rPr>
                <w:rFonts w:ascii="宋体" w:hAnsi="宋体" w:cs="宋体"/>
                <w:color w:val="000000"/>
                <w:szCs w:val="21"/>
              </w:rPr>
            </w:pPr>
            <w:r>
              <w:rPr>
                <w:rFonts w:ascii="宋体" w:hAnsi="宋体" w:cs="宋体"/>
                <w:color w:val="000000"/>
                <w:szCs w:val="21"/>
              </w:rPr>
              <w:t>钻井废水循环利用于钻井过程，完钻</w:t>
            </w:r>
            <w:r>
              <w:rPr>
                <w:rFonts w:hint="eastAsia" w:ascii="宋体" w:hAnsi="宋体" w:cs="宋体"/>
                <w:color w:val="000000"/>
                <w:szCs w:val="21"/>
              </w:rPr>
              <w:t>后拉运处置；</w:t>
            </w:r>
            <w:r>
              <w:rPr>
                <w:rFonts w:hint="eastAsia"/>
                <w:color w:val="000000"/>
              </w:rPr>
              <w:t>生活污水排入旱厕由当地农户定期清理，不外排</w:t>
            </w:r>
            <w:r>
              <w:rPr>
                <w:rFonts w:hint="eastAsia" w:ascii="宋体" w:hAnsi="宋体" w:cs="宋体"/>
                <w:color w:val="000000"/>
                <w:szCs w:val="21"/>
              </w:rPr>
              <w:t>；</w:t>
            </w:r>
            <w:r>
              <w:rPr>
                <w:rFonts w:ascii="宋体" w:hAnsi="宋体" w:cs="宋体"/>
                <w:color w:val="000000"/>
                <w:szCs w:val="21"/>
              </w:rPr>
              <w:t>现场无遗留，无废水进入地表水环境</w:t>
            </w:r>
            <w:r>
              <w:rPr>
                <w:rFonts w:hint="eastAsia" w:ascii="宋体" w:hAnsi="宋体" w:cs="宋体"/>
                <w:color w:val="000000"/>
                <w:szCs w:val="21"/>
              </w:rPr>
              <w:t>；执行《碎屑岩油藏注水水质指标及分析方法》（SY/T 5329-2012）</w:t>
            </w:r>
          </w:p>
        </w:tc>
        <w:tc>
          <w:tcPr>
            <w:tcW w:w="688" w:type="dxa"/>
            <w:vAlign w:val="center"/>
          </w:tcPr>
          <w:p>
            <w:pPr>
              <w:adjustRightInd w:val="0"/>
              <w:snapToGrid w:val="0"/>
              <w:jc w:val="center"/>
              <w:rPr>
                <w:rFonts w:ascii="宋体" w:hAnsi="宋体" w:cs="宋体"/>
                <w:color w:val="000000"/>
                <w:szCs w:val="21"/>
              </w:rPr>
            </w:pPr>
            <w:r>
              <w:rPr>
                <w:rFonts w:hint="eastAsia" w:ascii="宋体" w:hAnsi="宋体" w:cs="宋体"/>
                <w:color w:val="000000"/>
                <w:szCs w:val="21"/>
              </w:rPr>
              <w:t>/</w:t>
            </w:r>
          </w:p>
        </w:tc>
        <w:tc>
          <w:tcPr>
            <w:tcW w:w="462" w:type="dxa"/>
            <w:vAlign w:val="center"/>
          </w:tcPr>
          <w:p>
            <w:pPr>
              <w:adjustRightInd w:val="0"/>
              <w:snapToGrid w:val="0"/>
              <w:jc w:val="center"/>
              <w:rPr>
                <w:rFonts w:ascii="宋体" w:hAnsi="宋体" w:cs="宋体"/>
                <w:color w:val="000000"/>
                <w:szCs w:val="21"/>
              </w:rPr>
            </w:pPr>
            <w:r>
              <w:rPr>
                <w:rFonts w:hint="eastAsia" w:ascii="宋体" w:hAnsi="宋体" w:cs="宋体"/>
                <w:color w:val="000000"/>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24" w:type="dxa"/>
            <w:vAlign w:val="center"/>
          </w:tcPr>
          <w:p>
            <w:pPr>
              <w:adjustRightInd w:val="0"/>
              <w:snapToGrid w:val="0"/>
              <w:jc w:val="center"/>
              <w:rPr>
                <w:rFonts w:ascii="宋体" w:hAnsi="宋体" w:cs="宋体"/>
                <w:color w:val="000000"/>
                <w:szCs w:val="21"/>
              </w:rPr>
            </w:pPr>
            <w:r>
              <w:rPr>
                <w:rFonts w:hint="eastAsia" w:ascii="宋体" w:hAnsi="宋体" w:cs="宋体"/>
                <w:color w:val="000000"/>
                <w:szCs w:val="21"/>
              </w:rPr>
              <w:t>声环境</w:t>
            </w:r>
          </w:p>
        </w:tc>
        <w:tc>
          <w:tcPr>
            <w:tcW w:w="3702" w:type="dxa"/>
            <w:vAlign w:val="center"/>
          </w:tcPr>
          <w:p>
            <w:pPr>
              <w:adjustRightInd w:val="0"/>
              <w:snapToGrid w:val="0"/>
              <w:jc w:val="center"/>
              <w:rPr>
                <w:rFonts w:ascii="宋体" w:hAnsi="宋体" w:cs="宋体"/>
                <w:color w:val="000000"/>
                <w:szCs w:val="21"/>
              </w:rPr>
            </w:pPr>
            <w:r>
              <w:rPr>
                <w:rFonts w:hint="eastAsia" w:ascii="宋体" w:hAnsi="宋体" w:cs="宋体"/>
                <w:color w:val="000000"/>
                <w:szCs w:val="21"/>
              </w:rPr>
              <w:t>1、合理布局钻井现场，</w:t>
            </w:r>
            <w:r>
              <w:rPr>
                <w:rFonts w:ascii="宋体" w:hAnsi="宋体" w:cs="宋体"/>
                <w:color w:val="000000"/>
                <w:szCs w:val="21"/>
              </w:rPr>
              <w:t>尽量</w:t>
            </w:r>
            <w:r>
              <w:rPr>
                <w:rFonts w:hint="eastAsia" w:ascii="宋体" w:hAnsi="宋体" w:cs="宋体"/>
                <w:color w:val="000000"/>
                <w:szCs w:val="21"/>
              </w:rPr>
              <w:t>选用低噪声设备。</w:t>
            </w:r>
          </w:p>
          <w:p>
            <w:pPr>
              <w:adjustRightInd w:val="0"/>
              <w:snapToGrid w:val="0"/>
              <w:jc w:val="center"/>
              <w:rPr>
                <w:rFonts w:ascii="宋体" w:hAnsi="宋体" w:cs="宋体"/>
                <w:color w:val="000000"/>
                <w:szCs w:val="21"/>
              </w:rPr>
            </w:pPr>
            <w:r>
              <w:rPr>
                <w:rFonts w:hint="eastAsia" w:ascii="宋体" w:hAnsi="宋体" w:cs="宋体"/>
                <w:color w:val="000000"/>
                <w:szCs w:val="21"/>
              </w:rPr>
              <w:t>2、制定施工计划时，尽可能避免大量高噪声设备同时施工。同时，高噪声设备施工时间尽量安排在昼间。</w:t>
            </w:r>
          </w:p>
          <w:p>
            <w:pPr>
              <w:adjustRightInd w:val="0"/>
              <w:snapToGrid w:val="0"/>
              <w:jc w:val="center"/>
              <w:rPr>
                <w:rFonts w:ascii="宋体" w:hAnsi="宋体" w:cs="宋体"/>
                <w:color w:val="000000"/>
                <w:szCs w:val="21"/>
              </w:rPr>
            </w:pPr>
            <w:r>
              <w:rPr>
                <w:rFonts w:hint="eastAsia" w:ascii="宋体" w:hAnsi="宋体" w:cs="宋体"/>
                <w:color w:val="000000"/>
                <w:szCs w:val="21"/>
              </w:rPr>
              <w:t>3、加强施工管理和设备维护，发现设备存在的问题及时维修，保证设备正常运转；整体设备要安放稳固，并与地面保持良好接触，有条件的应使用减振机座，柴油机、发电机和各种机泵等要安装消声隔声设施，最大限度地降低噪声源的噪声。</w:t>
            </w:r>
          </w:p>
          <w:p>
            <w:pPr>
              <w:adjustRightInd w:val="0"/>
              <w:snapToGrid w:val="0"/>
              <w:jc w:val="center"/>
              <w:rPr>
                <w:rFonts w:ascii="宋体" w:hAnsi="宋体" w:cs="宋体"/>
                <w:color w:val="000000"/>
                <w:szCs w:val="21"/>
              </w:rPr>
            </w:pPr>
            <w:r>
              <w:rPr>
                <w:rFonts w:hint="eastAsia" w:ascii="宋体" w:hAnsi="宋体" w:cs="宋体"/>
                <w:color w:val="000000"/>
                <w:szCs w:val="21"/>
              </w:rPr>
              <w:t>4、加强对运输车辆的管理及疏导，尽量压缩施工区汽车数量和行车密度，控制汽车鸣笛</w:t>
            </w:r>
          </w:p>
        </w:tc>
        <w:tc>
          <w:tcPr>
            <w:tcW w:w="2910" w:type="dxa"/>
            <w:vAlign w:val="center"/>
          </w:tcPr>
          <w:p>
            <w:pPr>
              <w:adjustRightInd w:val="0"/>
              <w:snapToGrid w:val="0"/>
              <w:jc w:val="center"/>
              <w:rPr>
                <w:rFonts w:ascii="宋体" w:hAnsi="宋体" w:cs="宋体"/>
                <w:color w:val="000000"/>
                <w:szCs w:val="21"/>
              </w:rPr>
            </w:pPr>
            <w:r>
              <w:rPr>
                <w:rFonts w:hint="eastAsia" w:ascii="宋体" w:hAnsi="宋体" w:cs="宋体"/>
                <w:color w:val="000000"/>
                <w:szCs w:val="21"/>
              </w:rPr>
              <w:t>严格落实噪声措施，</w:t>
            </w:r>
            <w:r>
              <w:rPr>
                <w:rFonts w:ascii="宋体" w:hAnsi="宋体" w:cs="宋体"/>
                <w:color w:val="000000"/>
                <w:szCs w:val="21"/>
              </w:rPr>
              <w:t>施工期无噪声扰民环保投诉</w:t>
            </w:r>
            <w:r>
              <w:rPr>
                <w:rFonts w:hint="eastAsia" w:ascii="宋体" w:hAnsi="宋体" w:cs="宋体"/>
                <w:color w:val="000000"/>
                <w:szCs w:val="21"/>
              </w:rPr>
              <w:t>；执行《建筑施工场界环境噪声排放标准》（GB</w:t>
            </w:r>
            <w:r>
              <w:rPr>
                <w:rFonts w:ascii="宋体" w:hAnsi="宋体" w:cs="宋体"/>
                <w:color w:val="000000"/>
                <w:szCs w:val="21"/>
              </w:rPr>
              <w:t xml:space="preserve"> </w:t>
            </w:r>
            <w:r>
              <w:rPr>
                <w:rFonts w:hint="eastAsia" w:ascii="宋体" w:hAnsi="宋体" w:cs="宋体"/>
                <w:color w:val="000000"/>
                <w:szCs w:val="21"/>
              </w:rPr>
              <w:t>12523-2011）限值要求</w:t>
            </w:r>
          </w:p>
        </w:tc>
        <w:tc>
          <w:tcPr>
            <w:tcW w:w="688" w:type="dxa"/>
            <w:vAlign w:val="center"/>
          </w:tcPr>
          <w:p>
            <w:pPr>
              <w:adjustRightInd w:val="0"/>
              <w:snapToGrid w:val="0"/>
              <w:jc w:val="center"/>
              <w:rPr>
                <w:rFonts w:ascii="宋体" w:hAnsi="宋体" w:cs="宋体"/>
                <w:color w:val="000000"/>
                <w:szCs w:val="21"/>
              </w:rPr>
            </w:pPr>
            <w:r>
              <w:rPr>
                <w:rFonts w:hint="eastAsia" w:ascii="宋体" w:hAnsi="宋体" w:cs="宋体"/>
                <w:color w:val="000000"/>
                <w:szCs w:val="21"/>
              </w:rPr>
              <w:t>/</w:t>
            </w:r>
          </w:p>
        </w:tc>
        <w:tc>
          <w:tcPr>
            <w:tcW w:w="462" w:type="dxa"/>
            <w:vAlign w:val="center"/>
          </w:tcPr>
          <w:p>
            <w:pPr>
              <w:adjustRightInd w:val="0"/>
              <w:snapToGrid w:val="0"/>
              <w:jc w:val="center"/>
              <w:rPr>
                <w:rFonts w:ascii="宋体" w:hAnsi="宋体" w:cs="宋体"/>
                <w:color w:val="000000"/>
                <w:szCs w:val="21"/>
              </w:rPr>
            </w:pPr>
            <w:r>
              <w:rPr>
                <w:rFonts w:hint="eastAsia" w:ascii="宋体" w:hAnsi="宋体" w:cs="宋体"/>
                <w:color w:val="000000"/>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24" w:type="dxa"/>
            <w:vAlign w:val="center"/>
          </w:tcPr>
          <w:p>
            <w:pPr>
              <w:adjustRightInd w:val="0"/>
              <w:snapToGrid w:val="0"/>
              <w:jc w:val="center"/>
              <w:rPr>
                <w:rFonts w:ascii="宋体" w:hAnsi="宋体" w:cs="宋体"/>
                <w:color w:val="000000"/>
                <w:szCs w:val="21"/>
              </w:rPr>
            </w:pPr>
            <w:r>
              <w:rPr>
                <w:rFonts w:hint="eastAsia" w:ascii="宋体" w:hAnsi="宋体" w:cs="宋体"/>
                <w:color w:val="000000"/>
                <w:szCs w:val="21"/>
              </w:rPr>
              <w:t>振动</w:t>
            </w:r>
          </w:p>
        </w:tc>
        <w:tc>
          <w:tcPr>
            <w:tcW w:w="3702" w:type="dxa"/>
            <w:vAlign w:val="center"/>
          </w:tcPr>
          <w:p>
            <w:pPr>
              <w:adjustRightInd w:val="0"/>
              <w:snapToGrid w:val="0"/>
              <w:jc w:val="center"/>
              <w:rPr>
                <w:rFonts w:ascii="宋体" w:hAnsi="宋体" w:cs="宋体"/>
                <w:color w:val="000000"/>
                <w:szCs w:val="21"/>
              </w:rPr>
            </w:pPr>
            <w:r>
              <w:rPr>
                <w:rFonts w:hint="eastAsia" w:ascii="宋体" w:hAnsi="宋体" w:cs="宋体"/>
                <w:color w:val="000000"/>
                <w:szCs w:val="21"/>
              </w:rPr>
              <w:t>/</w:t>
            </w:r>
          </w:p>
        </w:tc>
        <w:tc>
          <w:tcPr>
            <w:tcW w:w="2910" w:type="dxa"/>
            <w:vAlign w:val="center"/>
          </w:tcPr>
          <w:p>
            <w:pPr>
              <w:adjustRightInd w:val="0"/>
              <w:snapToGrid w:val="0"/>
              <w:jc w:val="center"/>
              <w:rPr>
                <w:rFonts w:ascii="宋体" w:hAnsi="宋体" w:cs="宋体"/>
                <w:color w:val="000000"/>
                <w:szCs w:val="21"/>
              </w:rPr>
            </w:pPr>
            <w:r>
              <w:rPr>
                <w:rFonts w:hint="eastAsia" w:ascii="宋体" w:hAnsi="宋体" w:cs="宋体"/>
                <w:color w:val="000000"/>
                <w:szCs w:val="21"/>
              </w:rPr>
              <w:t>/</w:t>
            </w:r>
          </w:p>
        </w:tc>
        <w:tc>
          <w:tcPr>
            <w:tcW w:w="688" w:type="dxa"/>
            <w:vAlign w:val="center"/>
          </w:tcPr>
          <w:p>
            <w:pPr>
              <w:adjustRightInd w:val="0"/>
              <w:snapToGrid w:val="0"/>
              <w:jc w:val="center"/>
              <w:rPr>
                <w:rFonts w:ascii="宋体" w:hAnsi="宋体" w:cs="宋体"/>
                <w:color w:val="000000"/>
                <w:szCs w:val="21"/>
              </w:rPr>
            </w:pPr>
            <w:r>
              <w:rPr>
                <w:rFonts w:hint="eastAsia" w:ascii="宋体" w:hAnsi="宋体" w:cs="宋体"/>
                <w:color w:val="000000"/>
                <w:szCs w:val="21"/>
              </w:rPr>
              <w:t>/</w:t>
            </w:r>
          </w:p>
        </w:tc>
        <w:tc>
          <w:tcPr>
            <w:tcW w:w="462" w:type="dxa"/>
            <w:vAlign w:val="center"/>
          </w:tcPr>
          <w:p>
            <w:pPr>
              <w:adjustRightInd w:val="0"/>
              <w:snapToGrid w:val="0"/>
              <w:jc w:val="center"/>
              <w:rPr>
                <w:rFonts w:ascii="宋体" w:hAnsi="宋体" w:cs="宋体"/>
                <w:color w:val="000000"/>
                <w:szCs w:val="21"/>
              </w:rPr>
            </w:pPr>
            <w:r>
              <w:rPr>
                <w:rFonts w:hint="eastAsia" w:ascii="宋体" w:hAnsi="宋体" w:cs="宋体"/>
                <w:color w:val="000000"/>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24" w:type="dxa"/>
            <w:vAlign w:val="center"/>
          </w:tcPr>
          <w:p>
            <w:pPr>
              <w:adjustRightInd w:val="0"/>
              <w:snapToGrid w:val="0"/>
              <w:jc w:val="center"/>
              <w:rPr>
                <w:rFonts w:ascii="宋体" w:hAnsi="宋体" w:cs="宋体"/>
                <w:color w:val="000000"/>
                <w:szCs w:val="21"/>
              </w:rPr>
            </w:pPr>
            <w:r>
              <w:rPr>
                <w:rFonts w:hint="eastAsia" w:ascii="宋体" w:hAnsi="宋体" w:cs="宋体"/>
                <w:color w:val="000000"/>
                <w:szCs w:val="21"/>
              </w:rPr>
              <w:t>大气环境</w:t>
            </w:r>
          </w:p>
        </w:tc>
        <w:tc>
          <w:tcPr>
            <w:tcW w:w="3702" w:type="dxa"/>
            <w:vAlign w:val="center"/>
          </w:tcPr>
          <w:p>
            <w:pPr>
              <w:adjustRightInd w:val="0"/>
              <w:snapToGrid w:val="0"/>
              <w:jc w:val="center"/>
              <w:rPr>
                <w:rFonts w:ascii="宋体" w:hAnsi="宋体" w:cs="宋体"/>
                <w:color w:val="000000"/>
                <w:szCs w:val="21"/>
              </w:rPr>
            </w:pPr>
            <w:r>
              <w:rPr>
                <w:rFonts w:hint="eastAsia" w:ascii="宋体" w:hAnsi="宋体" w:cs="宋体"/>
                <w:color w:val="000000"/>
                <w:szCs w:val="21"/>
              </w:rPr>
              <w:t>使用合格油品</w:t>
            </w:r>
            <w:r>
              <w:rPr>
                <w:rFonts w:ascii="宋体" w:hAnsi="宋体" w:cs="宋体"/>
                <w:color w:val="000000"/>
                <w:szCs w:val="21"/>
              </w:rPr>
              <w:t>；</w:t>
            </w:r>
            <w:r>
              <w:rPr>
                <w:rFonts w:hint="eastAsia" w:ascii="宋体" w:hAnsi="宋体" w:cs="宋体"/>
                <w:color w:val="000000"/>
                <w:szCs w:val="21"/>
              </w:rPr>
              <w:t>加强施工管理</w:t>
            </w:r>
            <w:r>
              <w:rPr>
                <w:rFonts w:ascii="宋体" w:hAnsi="宋体" w:cs="宋体"/>
                <w:color w:val="000000"/>
                <w:szCs w:val="21"/>
              </w:rPr>
              <w:t>，尽可能缩短施工周期</w:t>
            </w:r>
            <w:r>
              <w:rPr>
                <w:rFonts w:hint="eastAsia" w:ascii="宋体" w:hAnsi="宋体" w:cs="宋体"/>
                <w:color w:val="000000"/>
                <w:szCs w:val="21"/>
              </w:rPr>
              <w:t>；</w:t>
            </w:r>
          </w:p>
        </w:tc>
        <w:tc>
          <w:tcPr>
            <w:tcW w:w="2910" w:type="dxa"/>
            <w:vAlign w:val="center"/>
          </w:tcPr>
          <w:p>
            <w:pPr>
              <w:adjustRightInd w:val="0"/>
              <w:snapToGrid w:val="0"/>
              <w:jc w:val="center"/>
              <w:rPr>
                <w:rFonts w:ascii="宋体" w:hAnsi="宋体" w:cs="宋体"/>
                <w:color w:val="000000"/>
                <w:szCs w:val="21"/>
              </w:rPr>
            </w:pPr>
            <w:r>
              <w:rPr>
                <w:rFonts w:ascii="宋体" w:hAnsi="宋体" w:cs="宋体"/>
                <w:color w:val="000000"/>
                <w:szCs w:val="21"/>
              </w:rPr>
              <w:t>无固定、长期污染源，区域环境功能未发生改变</w:t>
            </w:r>
          </w:p>
        </w:tc>
        <w:tc>
          <w:tcPr>
            <w:tcW w:w="688" w:type="dxa"/>
            <w:vAlign w:val="center"/>
          </w:tcPr>
          <w:p>
            <w:pPr>
              <w:adjustRightInd w:val="0"/>
              <w:snapToGrid w:val="0"/>
              <w:jc w:val="center"/>
              <w:rPr>
                <w:rFonts w:ascii="宋体" w:hAnsi="宋体" w:cs="宋体"/>
                <w:color w:val="000000"/>
                <w:szCs w:val="21"/>
              </w:rPr>
            </w:pPr>
            <w:r>
              <w:rPr>
                <w:rFonts w:hint="eastAsia" w:ascii="宋体" w:hAnsi="宋体" w:cs="宋体"/>
                <w:color w:val="000000"/>
                <w:szCs w:val="21"/>
              </w:rPr>
              <w:t>/</w:t>
            </w:r>
          </w:p>
        </w:tc>
        <w:tc>
          <w:tcPr>
            <w:tcW w:w="462" w:type="dxa"/>
            <w:vAlign w:val="center"/>
          </w:tcPr>
          <w:p>
            <w:pPr>
              <w:adjustRightInd w:val="0"/>
              <w:snapToGrid w:val="0"/>
              <w:jc w:val="center"/>
              <w:rPr>
                <w:rFonts w:ascii="宋体" w:hAnsi="宋体" w:cs="宋体"/>
                <w:color w:val="000000"/>
                <w:szCs w:val="21"/>
              </w:rPr>
            </w:pPr>
            <w:r>
              <w:rPr>
                <w:rFonts w:hint="eastAsia" w:ascii="宋体" w:hAnsi="宋体" w:cs="宋体"/>
                <w:color w:val="000000"/>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24" w:type="dxa"/>
            <w:vAlign w:val="center"/>
          </w:tcPr>
          <w:p>
            <w:pPr>
              <w:adjustRightInd w:val="0"/>
              <w:snapToGrid w:val="0"/>
              <w:jc w:val="center"/>
              <w:rPr>
                <w:rFonts w:ascii="宋体" w:hAnsi="宋体" w:cs="宋体"/>
                <w:color w:val="000000"/>
                <w:szCs w:val="21"/>
              </w:rPr>
            </w:pPr>
            <w:r>
              <w:rPr>
                <w:rFonts w:hint="eastAsia" w:ascii="宋体" w:hAnsi="宋体" w:cs="宋体"/>
                <w:color w:val="000000"/>
                <w:szCs w:val="21"/>
              </w:rPr>
              <w:t>固体废物</w:t>
            </w:r>
          </w:p>
        </w:tc>
        <w:tc>
          <w:tcPr>
            <w:tcW w:w="3702" w:type="dxa"/>
            <w:vAlign w:val="center"/>
          </w:tcPr>
          <w:p>
            <w:pPr>
              <w:adjustRightInd w:val="0"/>
              <w:snapToGrid w:val="0"/>
              <w:jc w:val="center"/>
              <w:rPr>
                <w:rFonts w:ascii="宋体" w:hAnsi="宋体" w:cs="宋体"/>
                <w:color w:val="000000"/>
                <w:szCs w:val="21"/>
              </w:rPr>
            </w:pPr>
            <w:r>
              <w:rPr>
                <w:rFonts w:hint="eastAsia" w:ascii="宋体" w:hAnsi="宋体" w:cs="宋体"/>
                <w:color w:val="000000"/>
                <w:szCs w:val="21"/>
              </w:rPr>
              <w:t>1、</w:t>
            </w:r>
            <w:r>
              <w:rPr>
                <w:color w:val="000000"/>
              </w:rPr>
              <w:t>钻井固废经</w:t>
            </w:r>
            <w:r>
              <w:rPr>
                <w:rFonts w:hAnsi="宋体"/>
                <w:color w:val="000000"/>
              </w:rPr>
              <w:t>“</w:t>
            </w:r>
            <w:r>
              <w:rPr>
                <w:rFonts w:hint="eastAsia" w:hAnsi="宋体"/>
                <w:color w:val="000000"/>
              </w:rPr>
              <w:t>泥浆不落地</w:t>
            </w:r>
            <w:r>
              <w:rPr>
                <w:rFonts w:hAnsi="宋体"/>
                <w:color w:val="000000"/>
              </w:rPr>
              <w:t>”</w:t>
            </w:r>
            <w:r>
              <w:rPr>
                <w:rFonts w:hint="eastAsia"/>
                <w:color w:val="000000"/>
              </w:rPr>
              <w:t>设备分离后</w:t>
            </w:r>
            <w:r>
              <w:rPr>
                <w:rFonts w:hint="eastAsia"/>
                <w:color w:val="000000"/>
                <w:szCs w:val="21"/>
              </w:rPr>
              <w:t>拉运至克拉玛依前山石油工程服务有限公司处理</w:t>
            </w:r>
            <w:r>
              <w:rPr>
                <w:rFonts w:hint="eastAsia" w:ascii="宋体" w:hAnsi="宋体" w:cs="宋体"/>
                <w:color w:val="000000"/>
                <w:szCs w:val="21"/>
              </w:rPr>
              <w:t>；</w:t>
            </w:r>
            <w:r>
              <w:rPr>
                <w:rFonts w:ascii="宋体" w:hAnsi="宋体" w:cs="宋体"/>
                <w:color w:val="000000"/>
                <w:szCs w:val="21"/>
              </w:rPr>
              <w:t>检测达到《油气田钻井固体废物综合利用污染控制要求》（DB65/T 3997-2017）相关标准限值后用于铺路、铺垫井场综合利用，未达标的产物将进入处置系统再次进行处理，不得随意排放</w:t>
            </w:r>
            <w:r>
              <w:rPr>
                <w:rFonts w:hint="eastAsia" w:ascii="宋体" w:hAnsi="宋体" w:cs="宋体"/>
                <w:color w:val="000000"/>
                <w:szCs w:val="21"/>
              </w:rPr>
              <w:t>；</w:t>
            </w:r>
            <w:r>
              <w:rPr>
                <w:rFonts w:ascii="宋体" w:hAnsi="宋体" w:cs="宋体"/>
                <w:color w:val="000000"/>
                <w:szCs w:val="21"/>
              </w:rPr>
              <w:t xml:space="preserve"> </w:t>
            </w:r>
          </w:p>
          <w:p>
            <w:pPr>
              <w:adjustRightInd w:val="0"/>
              <w:snapToGrid w:val="0"/>
              <w:jc w:val="center"/>
              <w:rPr>
                <w:rFonts w:ascii="宋体" w:hAnsi="宋体" w:cs="宋体"/>
                <w:color w:val="000000"/>
                <w:szCs w:val="21"/>
              </w:rPr>
            </w:pPr>
            <w:r>
              <w:rPr>
                <w:rFonts w:hint="eastAsia" w:ascii="宋体" w:hAnsi="宋体" w:cs="宋体"/>
                <w:color w:val="000000"/>
                <w:szCs w:val="21"/>
              </w:rPr>
              <w:t>2、废防渗材料</w:t>
            </w:r>
            <w:r>
              <w:rPr>
                <w:rFonts w:hint="eastAsia"/>
                <w:color w:val="000000"/>
              </w:rPr>
              <w:t>正常情况循环利用，使用过程中如产生不可利用的废防渗材料，需委托有资质单位处置；</w:t>
            </w:r>
          </w:p>
          <w:p>
            <w:pPr>
              <w:adjustRightInd w:val="0"/>
              <w:snapToGrid w:val="0"/>
              <w:jc w:val="center"/>
              <w:rPr>
                <w:rFonts w:ascii="宋体" w:hAnsi="宋体" w:cs="宋体"/>
                <w:color w:val="000000"/>
                <w:szCs w:val="21"/>
              </w:rPr>
            </w:pPr>
            <w:r>
              <w:rPr>
                <w:rFonts w:ascii="宋体" w:hAnsi="宋体" w:cs="宋体"/>
                <w:color w:val="000000"/>
                <w:szCs w:val="21"/>
              </w:rPr>
              <w:t>3</w:t>
            </w:r>
            <w:r>
              <w:rPr>
                <w:rFonts w:hint="eastAsia" w:ascii="宋体" w:hAnsi="宋体" w:cs="宋体"/>
                <w:color w:val="000000"/>
                <w:szCs w:val="21"/>
              </w:rPr>
              <w:t>、生活垃圾集中在生活垃圾收集箱内，交由环卫部门进行统一处理</w:t>
            </w:r>
          </w:p>
        </w:tc>
        <w:tc>
          <w:tcPr>
            <w:tcW w:w="2910" w:type="dxa"/>
            <w:vAlign w:val="center"/>
          </w:tcPr>
          <w:p>
            <w:pPr>
              <w:adjustRightInd w:val="0"/>
              <w:snapToGrid w:val="0"/>
              <w:jc w:val="center"/>
              <w:rPr>
                <w:rFonts w:ascii="宋体" w:hAnsi="宋体" w:cs="宋体"/>
                <w:color w:val="000000"/>
                <w:szCs w:val="21"/>
              </w:rPr>
            </w:pPr>
            <w:r>
              <w:rPr>
                <w:rFonts w:hint="eastAsia" w:ascii="宋体" w:hAnsi="宋体" w:cs="宋体"/>
                <w:color w:val="000000"/>
                <w:szCs w:val="21"/>
              </w:rPr>
              <w:t>钻井固废经处理后</w:t>
            </w:r>
            <w:r>
              <w:rPr>
                <w:rFonts w:ascii="宋体" w:hAnsi="宋体" w:cs="宋体"/>
                <w:color w:val="000000"/>
                <w:szCs w:val="21"/>
              </w:rPr>
              <w:t>用于修路、铺垫井场</w:t>
            </w:r>
            <w:r>
              <w:rPr>
                <w:rFonts w:hint="eastAsia" w:ascii="宋体" w:hAnsi="宋体" w:cs="宋体"/>
                <w:color w:val="000000"/>
                <w:szCs w:val="21"/>
              </w:rPr>
              <w:t>，钻井固废</w:t>
            </w:r>
            <w:r>
              <w:rPr>
                <w:rFonts w:ascii="宋体" w:hAnsi="宋体" w:cs="宋体"/>
                <w:color w:val="000000"/>
                <w:szCs w:val="21"/>
              </w:rPr>
              <w:t>现场无遗留</w:t>
            </w:r>
            <w:r>
              <w:rPr>
                <w:rFonts w:hint="eastAsia" w:ascii="宋体" w:hAnsi="宋体" w:cs="宋体"/>
                <w:color w:val="000000"/>
                <w:szCs w:val="21"/>
              </w:rPr>
              <w:t>；</w:t>
            </w:r>
          </w:p>
          <w:p>
            <w:pPr>
              <w:adjustRightInd w:val="0"/>
              <w:snapToGrid w:val="0"/>
              <w:jc w:val="center"/>
              <w:rPr>
                <w:rFonts w:ascii="宋体" w:hAnsi="宋体" w:cs="宋体"/>
                <w:color w:val="000000"/>
                <w:szCs w:val="21"/>
              </w:rPr>
            </w:pPr>
            <w:r>
              <w:rPr>
                <w:rFonts w:hint="eastAsia" w:ascii="宋体" w:hAnsi="宋体" w:cs="宋体"/>
                <w:color w:val="000000"/>
                <w:szCs w:val="21"/>
              </w:rPr>
              <w:t>一般工业固体废物执行《一般工业固体废物贮存和填埋污染控制标准》（GB 18599-2020）；危险废物</w:t>
            </w:r>
            <w:r>
              <w:rPr>
                <w:rFonts w:hint="eastAsia" w:ascii="宋体" w:hAnsi="宋体"/>
                <w:color w:val="000000"/>
              </w:rPr>
              <w:t>执行《危险废物贮存污染控制标准》（G</w:t>
            </w:r>
            <w:r>
              <w:rPr>
                <w:rFonts w:ascii="宋体" w:hAnsi="宋体"/>
                <w:color w:val="000000"/>
              </w:rPr>
              <w:t>B 18597-2001</w:t>
            </w:r>
            <w:r>
              <w:rPr>
                <w:rFonts w:hint="eastAsia" w:ascii="宋体" w:hAnsi="宋体"/>
                <w:color w:val="000000"/>
              </w:rPr>
              <w:t>）及其修改单（环境保护部公告 2013年 第36号）</w:t>
            </w:r>
            <w:r>
              <w:rPr>
                <w:rFonts w:ascii="宋体" w:hAnsi="宋体" w:cs="宋体"/>
                <w:color w:val="000000"/>
                <w:szCs w:val="21"/>
              </w:rPr>
              <w:t xml:space="preserve"> </w:t>
            </w:r>
          </w:p>
        </w:tc>
        <w:tc>
          <w:tcPr>
            <w:tcW w:w="688" w:type="dxa"/>
            <w:vAlign w:val="center"/>
          </w:tcPr>
          <w:p>
            <w:pPr>
              <w:adjustRightInd w:val="0"/>
              <w:snapToGrid w:val="0"/>
              <w:jc w:val="center"/>
              <w:rPr>
                <w:rFonts w:ascii="宋体" w:hAnsi="宋体" w:cs="宋体"/>
                <w:color w:val="000000"/>
                <w:szCs w:val="21"/>
              </w:rPr>
            </w:pPr>
            <w:r>
              <w:rPr>
                <w:rFonts w:hint="eastAsia" w:ascii="宋体" w:hAnsi="宋体" w:cs="宋体"/>
                <w:color w:val="000000"/>
                <w:szCs w:val="21"/>
              </w:rPr>
              <w:t>/</w:t>
            </w:r>
          </w:p>
        </w:tc>
        <w:tc>
          <w:tcPr>
            <w:tcW w:w="462" w:type="dxa"/>
            <w:vAlign w:val="center"/>
          </w:tcPr>
          <w:p>
            <w:pPr>
              <w:adjustRightInd w:val="0"/>
              <w:snapToGrid w:val="0"/>
              <w:jc w:val="center"/>
              <w:rPr>
                <w:rFonts w:ascii="宋体" w:hAnsi="宋体" w:cs="宋体"/>
                <w:color w:val="000000"/>
                <w:szCs w:val="21"/>
              </w:rPr>
            </w:pPr>
            <w:r>
              <w:rPr>
                <w:rFonts w:hint="eastAsia" w:ascii="宋体" w:hAnsi="宋体" w:cs="宋体"/>
                <w:color w:val="000000"/>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24" w:type="dxa"/>
            <w:vAlign w:val="center"/>
          </w:tcPr>
          <w:p>
            <w:pPr>
              <w:adjustRightInd w:val="0"/>
              <w:snapToGrid w:val="0"/>
              <w:jc w:val="center"/>
              <w:rPr>
                <w:rFonts w:ascii="宋体" w:hAnsi="宋体" w:cs="宋体"/>
                <w:color w:val="000000"/>
                <w:szCs w:val="21"/>
              </w:rPr>
            </w:pPr>
            <w:r>
              <w:rPr>
                <w:rFonts w:hint="eastAsia" w:ascii="宋体" w:hAnsi="宋体" w:cs="宋体"/>
                <w:color w:val="000000"/>
                <w:szCs w:val="21"/>
              </w:rPr>
              <w:t>电磁环境</w:t>
            </w:r>
          </w:p>
        </w:tc>
        <w:tc>
          <w:tcPr>
            <w:tcW w:w="3702" w:type="dxa"/>
            <w:vAlign w:val="center"/>
          </w:tcPr>
          <w:p>
            <w:pPr>
              <w:adjustRightInd w:val="0"/>
              <w:snapToGrid w:val="0"/>
              <w:jc w:val="center"/>
              <w:rPr>
                <w:rFonts w:ascii="宋体" w:hAnsi="宋体" w:cs="宋体"/>
                <w:color w:val="000000"/>
                <w:szCs w:val="21"/>
              </w:rPr>
            </w:pPr>
            <w:r>
              <w:rPr>
                <w:rFonts w:hint="eastAsia" w:ascii="宋体" w:hAnsi="宋体" w:cs="宋体"/>
                <w:color w:val="000000"/>
                <w:szCs w:val="21"/>
              </w:rPr>
              <w:t>/</w:t>
            </w:r>
          </w:p>
        </w:tc>
        <w:tc>
          <w:tcPr>
            <w:tcW w:w="2910" w:type="dxa"/>
            <w:vAlign w:val="center"/>
          </w:tcPr>
          <w:p>
            <w:pPr>
              <w:adjustRightInd w:val="0"/>
              <w:snapToGrid w:val="0"/>
              <w:jc w:val="center"/>
              <w:rPr>
                <w:rFonts w:ascii="宋体" w:hAnsi="宋体" w:cs="宋体"/>
                <w:color w:val="000000"/>
                <w:szCs w:val="21"/>
              </w:rPr>
            </w:pPr>
            <w:r>
              <w:rPr>
                <w:rFonts w:hint="eastAsia" w:ascii="宋体" w:hAnsi="宋体" w:cs="宋体"/>
                <w:color w:val="000000"/>
                <w:szCs w:val="21"/>
              </w:rPr>
              <w:t>/</w:t>
            </w:r>
          </w:p>
        </w:tc>
        <w:tc>
          <w:tcPr>
            <w:tcW w:w="688" w:type="dxa"/>
            <w:vAlign w:val="center"/>
          </w:tcPr>
          <w:p>
            <w:pPr>
              <w:adjustRightInd w:val="0"/>
              <w:snapToGrid w:val="0"/>
              <w:jc w:val="center"/>
              <w:rPr>
                <w:rFonts w:ascii="宋体" w:hAnsi="宋体" w:cs="宋体"/>
                <w:color w:val="000000"/>
                <w:szCs w:val="21"/>
              </w:rPr>
            </w:pPr>
            <w:r>
              <w:rPr>
                <w:rFonts w:hint="eastAsia" w:ascii="宋体" w:hAnsi="宋体" w:cs="宋体"/>
                <w:color w:val="000000"/>
                <w:szCs w:val="21"/>
              </w:rPr>
              <w:t>/</w:t>
            </w:r>
          </w:p>
        </w:tc>
        <w:tc>
          <w:tcPr>
            <w:tcW w:w="462" w:type="dxa"/>
            <w:vAlign w:val="center"/>
          </w:tcPr>
          <w:p>
            <w:pPr>
              <w:adjustRightInd w:val="0"/>
              <w:snapToGrid w:val="0"/>
              <w:jc w:val="center"/>
              <w:rPr>
                <w:rFonts w:ascii="宋体" w:hAnsi="宋体" w:cs="宋体"/>
                <w:color w:val="000000"/>
                <w:szCs w:val="21"/>
              </w:rPr>
            </w:pPr>
            <w:r>
              <w:rPr>
                <w:rFonts w:hint="eastAsia" w:ascii="宋体" w:hAnsi="宋体" w:cs="宋体"/>
                <w:color w:val="000000"/>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009" w:hRule="atLeast"/>
          <w:jc w:val="center"/>
        </w:trPr>
        <w:tc>
          <w:tcPr>
            <w:tcW w:w="524" w:type="dxa"/>
            <w:vAlign w:val="center"/>
          </w:tcPr>
          <w:p>
            <w:pPr>
              <w:adjustRightInd w:val="0"/>
              <w:snapToGrid w:val="0"/>
              <w:jc w:val="center"/>
              <w:rPr>
                <w:rFonts w:ascii="宋体" w:hAnsi="宋体" w:cs="宋体"/>
                <w:color w:val="000000"/>
                <w:szCs w:val="21"/>
              </w:rPr>
            </w:pPr>
            <w:r>
              <w:rPr>
                <w:rFonts w:hint="eastAsia" w:ascii="宋体" w:hAnsi="宋体" w:cs="宋体"/>
                <w:color w:val="000000"/>
                <w:szCs w:val="21"/>
              </w:rPr>
              <w:t>环境风险</w:t>
            </w:r>
          </w:p>
        </w:tc>
        <w:tc>
          <w:tcPr>
            <w:tcW w:w="3702" w:type="dxa"/>
            <w:vAlign w:val="center"/>
          </w:tcPr>
          <w:p>
            <w:pPr>
              <w:pStyle w:val="70"/>
              <w:rPr>
                <w:color w:val="000000"/>
              </w:rPr>
            </w:pPr>
            <w:r>
              <w:rPr>
                <w:rFonts w:hint="eastAsia"/>
                <w:color w:val="000000"/>
              </w:rPr>
              <w:t>1、</w:t>
            </w:r>
            <w:r>
              <w:rPr>
                <w:color w:val="000000"/>
              </w:rPr>
              <w:t>重点防渗区（含柴油罐区、发电机房区、</w:t>
            </w:r>
            <w:r>
              <w:rPr>
                <w:rFonts w:hint="eastAsia"/>
                <w:color w:val="000000"/>
              </w:rPr>
              <w:t>“</w:t>
            </w:r>
            <w:r>
              <w:rPr>
                <w:color w:val="000000"/>
              </w:rPr>
              <w:t>泥浆不落地</w:t>
            </w:r>
            <w:r>
              <w:rPr>
                <w:rFonts w:hint="eastAsia"/>
                <w:color w:val="000000"/>
              </w:rPr>
              <w:t>”设备等</w:t>
            </w:r>
            <w:r>
              <w:rPr>
                <w:color w:val="000000"/>
              </w:rPr>
              <w:t>）：</w:t>
            </w:r>
            <w:r>
              <w:rPr>
                <w:rFonts w:hint="eastAsia"/>
                <w:color w:val="000000"/>
              </w:rPr>
              <w:t>敷设3mm防渗布</w:t>
            </w:r>
            <w:r>
              <w:rPr>
                <w:rFonts w:hint="eastAsia"/>
                <w:snapToGrid w:val="0"/>
                <w:color w:val="000000"/>
              </w:rPr>
              <w:t>（渗透系数≤10</w:t>
            </w:r>
            <w:r>
              <w:rPr>
                <w:snapToGrid w:val="0"/>
                <w:color w:val="000000"/>
                <w:vertAlign w:val="superscript"/>
              </w:rPr>
              <w:t>-7</w:t>
            </w:r>
            <w:r>
              <w:rPr>
                <w:rFonts w:hint="eastAsia"/>
                <w:snapToGrid w:val="0"/>
                <w:color w:val="000000"/>
              </w:rPr>
              <w:t>cm/s）</w:t>
            </w:r>
            <w:r>
              <w:rPr>
                <w:rFonts w:hint="eastAsia"/>
                <w:color w:val="000000"/>
              </w:rPr>
              <w:t>防渗；</w:t>
            </w:r>
          </w:p>
          <w:p>
            <w:pPr>
              <w:pStyle w:val="70"/>
              <w:rPr>
                <w:color w:val="000000"/>
              </w:rPr>
            </w:pPr>
            <w:r>
              <w:rPr>
                <w:color w:val="000000"/>
              </w:rPr>
              <w:t>2</w:t>
            </w:r>
            <w:r>
              <w:rPr>
                <w:rFonts w:hint="eastAsia"/>
                <w:color w:val="000000"/>
              </w:rPr>
              <w:t>、</w:t>
            </w:r>
            <w:r>
              <w:rPr>
                <w:color w:val="000000"/>
              </w:rPr>
              <w:t>一般防渗区（包括除重点防渗区的井场部分）</w:t>
            </w:r>
            <w:r>
              <w:rPr>
                <w:rFonts w:hint="eastAsia"/>
                <w:color w:val="000000"/>
              </w:rPr>
              <w:t>：采用在混凝土面层中掺水泥基渗透结晶型防水剂，其下铺砌砂石基层，原土夯实；</w:t>
            </w:r>
          </w:p>
          <w:p>
            <w:pPr>
              <w:pStyle w:val="70"/>
              <w:rPr>
                <w:rFonts w:hAnsi="宋体" w:cs="宋体"/>
                <w:color w:val="000000"/>
              </w:rPr>
            </w:pPr>
            <w:r>
              <w:rPr>
                <w:rFonts w:hAnsi="宋体"/>
                <w:snapToGrid w:val="0"/>
                <w:color w:val="000000"/>
              </w:rPr>
              <w:t>3</w:t>
            </w:r>
            <w:r>
              <w:rPr>
                <w:rFonts w:hint="eastAsia" w:hAnsi="宋体"/>
                <w:snapToGrid w:val="0"/>
                <w:color w:val="000000"/>
              </w:rPr>
              <w:t>、井控装置有效防范溢流、井漏等事故</w:t>
            </w:r>
          </w:p>
        </w:tc>
        <w:tc>
          <w:tcPr>
            <w:tcW w:w="2910" w:type="dxa"/>
            <w:vAlign w:val="center"/>
          </w:tcPr>
          <w:p>
            <w:pPr>
              <w:adjustRightInd w:val="0"/>
              <w:snapToGrid w:val="0"/>
              <w:jc w:val="center"/>
              <w:rPr>
                <w:rFonts w:ascii="宋体" w:hAnsi="宋体" w:cs="宋体"/>
                <w:color w:val="000000"/>
                <w:szCs w:val="21"/>
              </w:rPr>
            </w:pPr>
            <w:r>
              <w:rPr>
                <w:rFonts w:hint="eastAsia" w:ascii="宋体" w:hAnsi="宋体" w:cs="宋体"/>
                <w:color w:val="000000"/>
                <w:szCs w:val="21"/>
              </w:rPr>
              <w:t>/</w:t>
            </w:r>
          </w:p>
        </w:tc>
        <w:tc>
          <w:tcPr>
            <w:tcW w:w="688" w:type="dxa"/>
            <w:vAlign w:val="center"/>
          </w:tcPr>
          <w:p>
            <w:pPr>
              <w:adjustRightInd w:val="0"/>
              <w:snapToGrid w:val="0"/>
              <w:jc w:val="center"/>
              <w:rPr>
                <w:rFonts w:ascii="宋体" w:hAnsi="宋体" w:cs="宋体"/>
                <w:color w:val="000000"/>
                <w:szCs w:val="21"/>
              </w:rPr>
            </w:pPr>
            <w:r>
              <w:rPr>
                <w:rFonts w:hint="eastAsia" w:ascii="宋体" w:hAnsi="宋体" w:cs="宋体"/>
                <w:color w:val="000000"/>
                <w:szCs w:val="21"/>
              </w:rPr>
              <w:t>/</w:t>
            </w:r>
          </w:p>
        </w:tc>
        <w:tc>
          <w:tcPr>
            <w:tcW w:w="462" w:type="dxa"/>
            <w:vAlign w:val="center"/>
          </w:tcPr>
          <w:p>
            <w:pPr>
              <w:adjustRightInd w:val="0"/>
              <w:snapToGrid w:val="0"/>
              <w:jc w:val="center"/>
              <w:rPr>
                <w:rFonts w:ascii="宋体" w:hAnsi="宋体" w:cs="宋体"/>
                <w:color w:val="000000"/>
                <w:szCs w:val="21"/>
              </w:rPr>
            </w:pPr>
            <w:r>
              <w:rPr>
                <w:rFonts w:hint="eastAsia" w:ascii="宋体" w:hAnsi="宋体" w:cs="宋体"/>
                <w:color w:val="000000"/>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24" w:type="dxa"/>
            <w:vAlign w:val="center"/>
          </w:tcPr>
          <w:p>
            <w:pPr>
              <w:adjustRightInd w:val="0"/>
              <w:snapToGrid w:val="0"/>
              <w:jc w:val="center"/>
              <w:rPr>
                <w:rFonts w:ascii="宋体" w:hAnsi="宋体" w:cs="宋体"/>
                <w:color w:val="000000"/>
                <w:szCs w:val="21"/>
              </w:rPr>
            </w:pPr>
            <w:r>
              <w:rPr>
                <w:rFonts w:hint="eastAsia" w:ascii="宋体" w:hAnsi="宋体" w:cs="宋体"/>
                <w:color w:val="000000"/>
                <w:szCs w:val="21"/>
              </w:rPr>
              <w:t>环境监测</w:t>
            </w:r>
          </w:p>
        </w:tc>
        <w:tc>
          <w:tcPr>
            <w:tcW w:w="3702" w:type="dxa"/>
            <w:vAlign w:val="center"/>
          </w:tcPr>
          <w:p>
            <w:pPr>
              <w:jc w:val="center"/>
              <w:rPr>
                <w:color w:val="000000"/>
                <w:szCs w:val="21"/>
              </w:rPr>
            </w:pPr>
            <w:r>
              <w:rPr>
                <w:rFonts w:hint="eastAsia" w:hAnsi="宋体"/>
                <w:snapToGrid w:val="0"/>
                <w:color w:val="000000"/>
                <w:szCs w:val="21"/>
              </w:rPr>
              <w:t>配</w:t>
            </w:r>
            <w:r>
              <w:rPr>
                <w:rFonts w:hint="eastAsia" w:ascii="宋体" w:hAnsi="宋体"/>
                <w:snapToGrid w:val="0"/>
                <w:color w:val="000000"/>
                <w:szCs w:val="21"/>
              </w:rPr>
              <w:t>置4个H</w:t>
            </w:r>
            <w:r>
              <w:rPr>
                <w:rFonts w:ascii="宋体" w:hAnsi="宋体"/>
                <w:snapToGrid w:val="0"/>
                <w:color w:val="000000"/>
                <w:szCs w:val="21"/>
                <w:vertAlign w:val="subscript"/>
              </w:rPr>
              <w:t>2</w:t>
            </w:r>
            <w:r>
              <w:rPr>
                <w:rFonts w:ascii="宋体" w:hAnsi="宋体"/>
                <w:snapToGrid w:val="0"/>
                <w:color w:val="000000"/>
                <w:szCs w:val="21"/>
              </w:rPr>
              <w:t>S</w:t>
            </w:r>
            <w:r>
              <w:rPr>
                <w:rFonts w:hint="eastAsia" w:ascii="宋体" w:hAnsi="宋体"/>
                <w:snapToGrid w:val="0"/>
                <w:color w:val="000000"/>
                <w:szCs w:val="21"/>
              </w:rPr>
              <w:t>监</w:t>
            </w:r>
            <w:r>
              <w:rPr>
                <w:rFonts w:hint="eastAsia" w:hAnsi="宋体"/>
                <w:snapToGrid w:val="0"/>
                <w:color w:val="000000"/>
                <w:szCs w:val="21"/>
              </w:rPr>
              <w:t>测装置，实时监测硫化氢浓度；按照制定的环境监测计划执行</w:t>
            </w:r>
          </w:p>
        </w:tc>
        <w:tc>
          <w:tcPr>
            <w:tcW w:w="2910" w:type="dxa"/>
            <w:vAlign w:val="center"/>
          </w:tcPr>
          <w:p>
            <w:pPr>
              <w:jc w:val="center"/>
              <w:rPr>
                <w:color w:val="000000"/>
                <w:szCs w:val="21"/>
              </w:rPr>
            </w:pPr>
            <w:r>
              <w:rPr>
                <w:rFonts w:hint="eastAsia" w:ascii="宋体" w:hAnsi="宋体" w:cs="宋体"/>
                <w:color w:val="000000"/>
                <w:szCs w:val="21"/>
              </w:rPr>
              <w:t>/</w:t>
            </w:r>
          </w:p>
        </w:tc>
        <w:tc>
          <w:tcPr>
            <w:tcW w:w="688" w:type="dxa"/>
            <w:vAlign w:val="center"/>
          </w:tcPr>
          <w:p>
            <w:pPr>
              <w:adjustRightInd w:val="0"/>
              <w:snapToGrid w:val="0"/>
              <w:jc w:val="center"/>
              <w:rPr>
                <w:rFonts w:ascii="宋体" w:hAnsi="宋体" w:cs="宋体"/>
                <w:color w:val="000000"/>
                <w:szCs w:val="21"/>
              </w:rPr>
            </w:pPr>
            <w:r>
              <w:rPr>
                <w:rFonts w:hint="eastAsia" w:ascii="宋体" w:hAnsi="宋体" w:cs="宋体"/>
                <w:color w:val="000000"/>
                <w:szCs w:val="21"/>
              </w:rPr>
              <w:t>/</w:t>
            </w:r>
          </w:p>
        </w:tc>
        <w:tc>
          <w:tcPr>
            <w:tcW w:w="462" w:type="dxa"/>
            <w:vAlign w:val="center"/>
          </w:tcPr>
          <w:p>
            <w:pPr>
              <w:adjustRightInd w:val="0"/>
              <w:snapToGrid w:val="0"/>
              <w:jc w:val="center"/>
              <w:rPr>
                <w:rFonts w:ascii="宋体" w:hAnsi="宋体" w:cs="宋体"/>
                <w:color w:val="000000"/>
                <w:szCs w:val="21"/>
              </w:rPr>
            </w:pPr>
            <w:r>
              <w:rPr>
                <w:rFonts w:hint="eastAsia" w:ascii="宋体" w:hAnsi="宋体" w:cs="宋体"/>
                <w:color w:val="000000"/>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216" w:hRule="atLeast"/>
          <w:jc w:val="center"/>
        </w:trPr>
        <w:tc>
          <w:tcPr>
            <w:tcW w:w="524" w:type="dxa"/>
            <w:vAlign w:val="center"/>
          </w:tcPr>
          <w:p>
            <w:pPr>
              <w:adjustRightInd w:val="0"/>
              <w:snapToGrid w:val="0"/>
              <w:jc w:val="center"/>
              <w:rPr>
                <w:rFonts w:ascii="宋体" w:hAnsi="宋体" w:cs="宋体"/>
                <w:color w:val="000000"/>
                <w:szCs w:val="21"/>
              </w:rPr>
            </w:pPr>
            <w:r>
              <w:rPr>
                <w:rFonts w:hint="eastAsia" w:ascii="宋体" w:hAnsi="宋体" w:cs="宋体"/>
                <w:color w:val="000000"/>
                <w:szCs w:val="21"/>
              </w:rPr>
              <w:t>其他</w:t>
            </w:r>
          </w:p>
        </w:tc>
        <w:tc>
          <w:tcPr>
            <w:tcW w:w="3702" w:type="dxa"/>
            <w:vAlign w:val="center"/>
          </w:tcPr>
          <w:p>
            <w:pPr>
              <w:adjustRightInd w:val="0"/>
              <w:snapToGrid w:val="0"/>
              <w:jc w:val="center"/>
              <w:rPr>
                <w:rFonts w:ascii="宋体" w:hAnsi="宋体" w:cs="宋体"/>
                <w:color w:val="000000"/>
                <w:szCs w:val="21"/>
              </w:rPr>
            </w:pPr>
            <w:r>
              <w:rPr>
                <w:rFonts w:hint="eastAsia" w:ascii="宋体" w:hAnsi="宋体" w:cs="宋体"/>
                <w:color w:val="000000"/>
                <w:szCs w:val="21"/>
              </w:rPr>
              <w:t>/</w:t>
            </w:r>
          </w:p>
        </w:tc>
        <w:tc>
          <w:tcPr>
            <w:tcW w:w="2910" w:type="dxa"/>
            <w:vAlign w:val="center"/>
          </w:tcPr>
          <w:p>
            <w:pPr>
              <w:adjustRightInd w:val="0"/>
              <w:snapToGrid w:val="0"/>
              <w:jc w:val="center"/>
              <w:rPr>
                <w:rFonts w:ascii="宋体" w:hAnsi="宋体" w:cs="宋体"/>
                <w:color w:val="000000"/>
                <w:szCs w:val="21"/>
              </w:rPr>
            </w:pPr>
            <w:r>
              <w:rPr>
                <w:rFonts w:hint="eastAsia" w:ascii="宋体" w:hAnsi="宋体" w:cs="宋体"/>
                <w:color w:val="000000"/>
                <w:szCs w:val="21"/>
              </w:rPr>
              <w:t>/</w:t>
            </w:r>
          </w:p>
        </w:tc>
        <w:tc>
          <w:tcPr>
            <w:tcW w:w="688" w:type="dxa"/>
            <w:vAlign w:val="center"/>
          </w:tcPr>
          <w:p>
            <w:pPr>
              <w:adjustRightInd w:val="0"/>
              <w:snapToGrid w:val="0"/>
              <w:jc w:val="center"/>
              <w:rPr>
                <w:rFonts w:ascii="宋体" w:hAnsi="宋体" w:cs="宋体"/>
                <w:color w:val="000000"/>
                <w:szCs w:val="21"/>
              </w:rPr>
            </w:pPr>
            <w:r>
              <w:rPr>
                <w:rFonts w:hint="eastAsia" w:ascii="宋体" w:hAnsi="宋体" w:cs="宋体"/>
                <w:color w:val="000000"/>
                <w:szCs w:val="21"/>
              </w:rPr>
              <w:t>/</w:t>
            </w:r>
          </w:p>
        </w:tc>
        <w:tc>
          <w:tcPr>
            <w:tcW w:w="462" w:type="dxa"/>
            <w:vAlign w:val="center"/>
          </w:tcPr>
          <w:p>
            <w:pPr>
              <w:adjustRightInd w:val="0"/>
              <w:snapToGrid w:val="0"/>
              <w:jc w:val="center"/>
              <w:rPr>
                <w:rFonts w:ascii="宋体" w:hAnsi="宋体" w:cs="宋体"/>
                <w:color w:val="000000"/>
                <w:szCs w:val="21"/>
              </w:rPr>
            </w:pPr>
            <w:r>
              <w:rPr>
                <w:rFonts w:hint="eastAsia" w:ascii="宋体" w:hAnsi="宋体" w:cs="宋体"/>
                <w:color w:val="000000"/>
                <w:szCs w:val="21"/>
              </w:rPr>
              <w:t>/</w:t>
            </w:r>
          </w:p>
        </w:tc>
      </w:tr>
    </w:tbl>
    <w:p>
      <w:pPr>
        <w:pStyle w:val="26"/>
        <w:spacing w:before="0" w:beforeAutospacing="0" w:line="14" w:lineRule="auto"/>
        <w:jc w:val="center"/>
        <w:outlineLvl w:val="0"/>
        <w:rPr>
          <w:rFonts w:ascii="黑体" w:hAnsi="黑体" w:eastAsia="黑体"/>
          <w:snapToGrid w:val="0"/>
          <w:color w:val="000000"/>
          <w:sz w:val="30"/>
          <w:szCs w:val="30"/>
        </w:rPr>
      </w:pPr>
      <w:r>
        <w:rPr>
          <w:rFonts w:ascii="黑体" w:hAnsi="黑体" w:eastAsia="黑体"/>
          <w:snapToGrid w:val="0"/>
          <w:color w:val="000000"/>
          <w:sz w:val="30"/>
          <w:szCs w:val="30"/>
        </w:rPr>
        <w:br w:type="page"/>
      </w:r>
    </w:p>
    <w:p>
      <w:pPr>
        <w:pStyle w:val="26"/>
        <w:adjustRightInd w:val="0"/>
        <w:snapToGrid w:val="0"/>
        <w:spacing w:before="0" w:beforeAutospacing="0" w:after="0" w:afterAutospacing="0"/>
        <w:jc w:val="center"/>
        <w:outlineLvl w:val="0"/>
        <w:rPr>
          <w:rFonts w:ascii="黑体" w:hAnsi="黑体" w:eastAsia="黑体"/>
          <w:snapToGrid w:val="0"/>
          <w:color w:val="000000"/>
          <w:sz w:val="30"/>
          <w:szCs w:val="30"/>
        </w:rPr>
      </w:pPr>
      <w:bookmarkStart w:id="43" w:name="_Toc110934650"/>
      <w:r>
        <w:rPr>
          <w:rFonts w:hint="eastAsia" w:ascii="黑体" w:hAnsi="黑体" w:eastAsia="黑体"/>
          <w:snapToGrid w:val="0"/>
          <w:color w:val="000000"/>
          <w:sz w:val="30"/>
          <w:szCs w:val="30"/>
        </w:rPr>
        <w:t>七、结论</w:t>
      </w:r>
      <w:bookmarkEnd w:id="43"/>
    </w:p>
    <w:tbl>
      <w:tblPr>
        <w:tblStyle w:val="29"/>
        <w:tblW w:w="9289"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28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2349" w:hRule="atLeast"/>
          <w:jc w:val="center"/>
        </w:trPr>
        <w:tc>
          <w:tcPr>
            <w:tcW w:w="9289" w:type="dxa"/>
            <w:vAlign w:val="center"/>
          </w:tcPr>
          <w:p>
            <w:pPr>
              <w:pStyle w:val="110"/>
              <w:rPr>
                <w:color w:val="000000"/>
              </w:rPr>
            </w:pPr>
            <w:r>
              <w:rPr>
                <w:rFonts w:hint="eastAsia"/>
                <w:color w:val="000000"/>
              </w:rPr>
              <w:t>本项目符合国家有关产业政策。在严格执行已有各项环保政策、规定的基础上，认真落实本报告表中提出的环保措施与建议的前提下，从环境保护角度分析，本项目的建设可行。</w:t>
            </w:r>
          </w:p>
        </w:tc>
      </w:tr>
    </w:tbl>
    <w:p>
      <w:pPr>
        <w:rPr>
          <w:rFonts w:ascii="宋体"/>
          <w:color w:val="000000"/>
        </w:rPr>
      </w:pPr>
    </w:p>
    <w:p>
      <w:pPr>
        <w:pStyle w:val="91"/>
        <w:rPr>
          <w:rFonts w:ascii="宋体" w:cs="宋体"/>
          <w:color w:val="000000"/>
          <w:szCs w:val="21"/>
        </w:rPr>
      </w:pPr>
      <w:r>
        <w:rPr>
          <w:snapToGrid w:val="0"/>
          <w:color w:val="000000"/>
        </w:rPr>
        <w:br w:type="page"/>
      </w:r>
      <w:bookmarkStart w:id="44" w:name="_Toc110934651"/>
      <w:r>
        <w:rPr>
          <w:snapToGrid w:val="0"/>
          <w:color w:val="000000"/>
        </w:rPr>
        <w:drawing>
          <wp:anchor distT="0" distB="0" distL="114300" distR="114300" simplePos="0" relativeHeight="251665408" behindDoc="0" locked="0" layoutInCell="1" allowOverlap="1">
            <wp:simplePos x="0" y="0"/>
            <wp:positionH relativeFrom="margin">
              <wp:posOffset>-430530</wp:posOffset>
            </wp:positionH>
            <wp:positionV relativeFrom="paragraph">
              <wp:posOffset>329565</wp:posOffset>
            </wp:positionV>
            <wp:extent cx="6134735" cy="8793480"/>
            <wp:effectExtent l="0" t="0" r="0" b="8255"/>
            <wp:wrapNone/>
            <wp:docPr id="36" name="图片 36" descr="F:\工作文件\2022年项目\环评\探井\大龙口-浅1、大龙口-浅2、大龙口-浅3等3口探井\上报\扫描件\扫描全能王 2022-08-09 16.38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F:\工作文件\2022年项目\环评\探井\大龙口-浅1、大龙口-浅2、大龙口-浅3等3口探井\上报\扫描件\扫描全能王 2022-08-09 16.38_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6139673" cy="8800001"/>
                    </a:xfrm>
                    <a:prstGeom prst="rect">
                      <a:avLst/>
                    </a:prstGeom>
                    <a:noFill/>
                    <a:ln>
                      <a:noFill/>
                    </a:ln>
                  </pic:spPr>
                </pic:pic>
              </a:graphicData>
            </a:graphic>
          </wp:anchor>
        </w:drawing>
      </w:r>
      <w:r>
        <w:rPr>
          <w:rFonts w:hint="eastAsia" w:hAnsi="黑体"/>
          <w:color w:val="000000"/>
          <w:szCs w:val="28"/>
        </w:rPr>
        <w:t>环境</w:t>
      </w:r>
      <w:r>
        <w:rPr>
          <w:rFonts w:hAnsi="黑体"/>
          <w:color w:val="000000"/>
          <w:szCs w:val="28"/>
        </w:rPr>
        <w:t>影响评价委托书</w:t>
      </w:r>
      <w:bookmarkEnd w:id="44"/>
    </w:p>
    <w:p>
      <w:pPr>
        <w:pStyle w:val="3"/>
        <w:ind w:firstLine="480"/>
        <w:rPr>
          <w:snapToGrid w:val="0"/>
          <w:color w:val="000000"/>
        </w:rPr>
      </w:pPr>
    </w:p>
    <w:p>
      <w:pPr>
        <w:pStyle w:val="3"/>
        <w:ind w:firstLine="480"/>
        <w:rPr>
          <w:snapToGrid w:val="0"/>
          <w:color w:val="000000"/>
        </w:rPr>
      </w:pPr>
    </w:p>
    <w:p>
      <w:pPr>
        <w:pStyle w:val="99"/>
        <w:ind w:firstLine="480"/>
        <w:rPr>
          <w:color w:val="000000"/>
        </w:rPr>
      </w:pPr>
    </w:p>
    <w:p>
      <w:pPr>
        <w:pStyle w:val="99"/>
        <w:ind w:firstLine="480"/>
        <w:rPr>
          <w:color w:val="000000"/>
        </w:rPr>
      </w:pPr>
    </w:p>
    <w:p>
      <w:pPr>
        <w:jc w:val="center"/>
        <w:rPr>
          <w:rFonts w:ascii="黑体" w:eastAsia="黑体"/>
          <w:b/>
          <w:color w:val="000000"/>
          <w:sz w:val="28"/>
          <w:szCs w:val="28"/>
        </w:rPr>
      </w:pPr>
      <w:r>
        <w:rPr>
          <w:rFonts w:hint="eastAsia" w:ascii="黑体" w:eastAsia="黑体"/>
          <w:b/>
          <w:color w:val="000000"/>
          <w:sz w:val="28"/>
          <w:szCs w:val="28"/>
        </w:rPr>
        <w:t>大龙口-浅1、大龙口-浅2、大龙口-浅3等3口探井项目</w:t>
      </w:r>
    </w:p>
    <w:p>
      <w:pPr>
        <w:jc w:val="center"/>
        <w:rPr>
          <w:rFonts w:ascii="黑体" w:eastAsia="黑体"/>
          <w:b/>
          <w:color w:val="000000"/>
          <w:sz w:val="28"/>
          <w:szCs w:val="28"/>
        </w:rPr>
      </w:pPr>
      <w:r>
        <w:rPr>
          <w:rFonts w:hint="eastAsia" w:ascii="黑体" w:eastAsia="黑体"/>
          <w:b/>
          <w:color w:val="000000"/>
          <w:sz w:val="28"/>
          <w:szCs w:val="28"/>
        </w:rPr>
        <w:t>环境影响评价委托书</w:t>
      </w:r>
    </w:p>
    <w:p>
      <w:pPr>
        <w:pStyle w:val="99"/>
        <w:ind w:firstLine="480"/>
        <w:rPr>
          <w:color w:val="000000"/>
        </w:rPr>
      </w:pPr>
    </w:p>
    <w:p>
      <w:pPr>
        <w:pStyle w:val="99"/>
        <w:ind w:firstLine="480"/>
        <w:rPr>
          <w:color w:val="000000"/>
        </w:rPr>
      </w:pPr>
    </w:p>
    <w:p>
      <w:pPr>
        <w:pStyle w:val="99"/>
        <w:ind w:firstLine="480"/>
        <w:rPr>
          <w:color w:val="000000"/>
        </w:rPr>
      </w:pPr>
    </w:p>
    <w:p>
      <w:pPr>
        <w:pStyle w:val="99"/>
        <w:ind w:firstLine="480"/>
        <w:rPr>
          <w:color w:val="000000"/>
        </w:rPr>
      </w:pPr>
    </w:p>
    <w:p>
      <w:pPr>
        <w:pStyle w:val="99"/>
        <w:ind w:firstLine="0" w:firstLineChars="0"/>
        <w:rPr>
          <w:color w:val="000000"/>
        </w:rPr>
      </w:pPr>
      <w:r>
        <w:rPr>
          <w:rFonts w:hint="eastAsia"/>
          <w:color w:val="000000"/>
        </w:rPr>
        <w:t>森诺科技有限公司：</w:t>
      </w:r>
    </w:p>
    <w:p>
      <w:pPr>
        <w:pStyle w:val="99"/>
        <w:ind w:firstLine="480"/>
        <w:rPr>
          <w:color w:val="000000"/>
        </w:rPr>
      </w:pPr>
      <w:r>
        <w:rPr>
          <w:rFonts w:hint="eastAsia"/>
          <w:color w:val="000000"/>
        </w:rPr>
        <w:t>根据《中华人民共和国环境影响评价法》（201</w:t>
      </w:r>
      <w:r>
        <w:rPr>
          <w:color w:val="000000"/>
        </w:rPr>
        <w:t>8</w:t>
      </w:r>
      <w:r>
        <w:rPr>
          <w:rFonts w:hint="eastAsia"/>
          <w:color w:val="000000"/>
        </w:rPr>
        <w:t>年</w:t>
      </w:r>
      <w:r>
        <w:rPr>
          <w:color w:val="000000"/>
        </w:rPr>
        <w:t>12</w:t>
      </w:r>
      <w:r>
        <w:rPr>
          <w:rFonts w:hint="eastAsia"/>
          <w:color w:val="000000"/>
        </w:rPr>
        <w:t>月</w:t>
      </w:r>
      <w:r>
        <w:rPr>
          <w:color w:val="000000"/>
        </w:rPr>
        <w:t>29</w:t>
      </w:r>
      <w:r>
        <w:rPr>
          <w:rFonts w:hint="eastAsia"/>
          <w:color w:val="000000"/>
        </w:rPr>
        <w:t>日）的有关规定，我公司拟新建的</w:t>
      </w:r>
      <w:r>
        <w:rPr>
          <w:rFonts w:hint="eastAsia" w:cs="宋体"/>
          <w:color w:val="000000"/>
          <w:szCs w:val="21"/>
        </w:rPr>
        <w:t>大龙口-浅1、大龙口-浅2、大龙口-浅3等3口探井</w:t>
      </w:r>
      <w:r>
        <w:rPr>
          <w:rFonts w:hint="eastAsia"/>
          <w:color w:val="000000"/>
        </w:rPr>
        <w:t>项目需要进行环境影响评价，现委托贵单位承担“</w:t>
      </w:r>
      <w:r>
        <w:rPr>
          <w:rFonts w:hint="eastAsia" w:cs="宋体"/>
          <w:color w:val="000000"/>
          <w:szCs w:val="21"/>
        </w:rPr>
        <w:t>大龙口-浅1、大龙口-浅2、大龙口-浅3等3口探井</w:t>
      </w:r>
      <w:r>
        <w:rPr>
          <w:rFonts w:hint="eastAsia"/>
          <w:color w:val="000000"/>
        </w:rPr>
        <w:t>项目”的环境影响评价工作，请尽快组织人员开展工作。</w:t>
      </w:r>
    </w:p>
    <w:p>
      <w:pPr>
        <w:pStyle w:val="99"/>
        <w:ind w:firstLine="480"/>
        <w:rPr>
          <w:color w:val="000000"/>
        </w:rPr>
      </w:pPr>
      <w:r>
        <w:rPr>
          <w:rFonts w:hint="eastAsia"/>
          <w:color w:val="000000"/>
        </w:rPr>
        <w:t>特此委托。</w:t>
      </w:r>
    </w:p>
    <w:p>
      <w:pPr>
        <w:pStyle w:val="99"/>
        <w:ind w:firstLine="480"/>
        <w:rPr>
          <w:color w:val="000000"/>
        </w:rPr>
      </w:pPr>
    </w:p>
    <w:p>
      <w:pPr>
        <w:pStyle w:val="99"/>
        <w:ind w:firstLine="480"/>
        <w:rPr>
          <w:color w:val="000000"/>
        </w:rPr>
      </w:pPr>
    </w:p>
    <w:p>
      <w:pPr>
        <w:pStyle w:val="99"/>
        <w:ind w:firstLine="480"/>
        <w:rPr>
          <w:color w:val="000000"/>
        </w:rPr>
      </w:pPr>
    </w:p>
    <w:p>
      <w:pPr>
        <w:pStyle w:val="99"/>
        <w:ind w:firstLine="480"/>
        <w:rPr>
          <w:color w:val="000000"/>
        </w:rPr>
      </w:pPr>
    </w:p>
    <w:p>
      <w:pPr>
        <w:pStyle w:val="99"/>
        <w:ind w:firstLine="480"/>
        <w:rPr>
          <w:color w:val="000000"/>
        </w:rPr>
      </w:pPr>
    </w:p>
    <w:p>
      <w:pPr>
        <w:spacing w:line="360" w:lineRule="auto"/>
        <w:ind w:firstLine="1134" w:firstLineChars="540"/>
        <w:jc w:val="right"/>
        <w:rPr>
          <w:rFonts w:ascii="宋体" w:hAnsi="宋体" w:cs="Arial"/>
          <w:color w:val="000000"/>
          <w:sz w:val="24"/>
        </w:rPr>
      </w:pPr>
      <w:r>
        <w:rPr>
          <w:rFonts w:hint="eastAsia" w:ascii="宋体" w:hAnsi="宋体"/>
          <w:color w:val="000000"/>
        </w:rPr>
        <w:t xml:space="preserve">                             </w:t>
      </w:r>
      <w:r>
        <w:rPr>
          <w:rFonts w:ascii="宋体" w:hAnsi="宋体"/>
          <w:color w:val="000000"/>
          <w:sz w:val="24"/>
        </w:rPr>
        <w:t>中石化新疆新春石油开发有限责任公司</w:t>
      </w:r>
    </w:p>
    <w:p>
      <w:pPr>
        <w:spacing w:line="360" w:lineRule="auto"/>
        <w:ind w:firstLine="6096" w:firstLineChars="2540"/>
        <w:jc w:val="right"/>
        <w:rPr>
          <w:rFonts w:ascii="宋体" w:hAnsi="宋体" w:cs="Arial"/>
          <w:color w:val="000000"/>
          <w:sz w:val="24"/>
        </w:rPr>
      </w:pPr>
      <w:r>
        <w:rPr>
          <w:rFonts w:hint="eastAsia" w:ascii="宋体" w:hAnsi="宋体" w:cs="Arial"/>
          <w:color w:val="000000"/>
          <w:sz w:val="24"/>
        </w:rPr>
        <w:t>20</w:t>
      </w:r>
      <w:r>
        <w:rPr>
          <w:rFonts w:ascii="宋体" w:hAnsi="宋体" w:cs="Arial"/>
          <w:color w:val="000000"/>
          <w:sz w:val="24"/>
        </w:rPr>
        <w:t>22</w:t>
      </w:r>
      <w:r>
        <w:rPr>
          <w:rFonts w:hint="eastAsia" w:ascii="宋体" w:hAnsi="宋体" w:cs="Arial"/>
          <w:color w:val="000000"/>
          <w:sz w:val="24"/>
        </w:rPr>
        <w:t>年</w:t>
      </w:r>
      <w:r>
        <w:rPr>
          <w:rFonts w:ascii="宋体" w:hAnsi="宋体" w:cs="Arial"/>
          <w:color w:val="000000"/>
          <w:sz w:val="24"/>
        </w:rPr>
        <w:t>7</w:t>
      </w:r>
      <w:r>
        <w:rPr>
          <w:rFonts w:hint="eastAsia" w:ascii="宋体" w:hAnsi="宋体" w:cs="Arial"/>
          <w:color w:val="000000"/>
          <w:sz w:val="24"/>
        </w:rPr>
        <w:t>月</w:t>
      </w:r>
      <w:r>
        <w:rPr>
          <w:rFonts w:ascii="宋体" w:hAnsi="宋体" w:cs="Arial"/>
          <w:color w:val="000000"/>
          <w:sz w:val="24"/>
        </w:rPr>
        <w:t>10日</w:t>
      </w:r>
    </w:p>
    <w:p>
      <w:pPr>
        <w:pStyle w:val="99"/>
        <w:ind w:firstLine="560"/>
        <w:rPr>
          <w:rFonts w:ascii="黑体" w:hAnsi="黑体" w:eastAsia="黑体"/>
          <w:color w:val="000000"/>
          <w:sz w:val="28"/>
          <w:szCs w:val="28"/>
        </w:rPr>
      </w:pPr>
    </w:p>
    <w:p>
      <w:pPr>
        <w:pStyle w:val="99"/>
        <w:ind w:firstLine="560"/>
        <w:rPr>
          <w:rFonts w:ascii="黑体" w:hAnsi="黑体" w:eastAsia="黑体"/>
          <w:color w:val="000000"/>
          <w:sz w:val="28"/>
          <w:szCs w:val="28"/>
        </w:rPr>
      </w:pPr>
    </w:p>
    <w:p>
      <w:pPr>
        <w:pStyle w:val="99"/>
        <w:ind w:firstLine="560"/>
        <w:rPr>
          <w:rFonts w:ascii="黑体" w:hAnsi="黑体" w:eastAsia="黑体"/>
          <w:color w:val="000000"/>
          <w:sz w:val="28"/>
          <w:szCs w:val="28"/>
        </w:rPr>
      </w:pPr>
    </w:p>
    <w:p>
      <w:pPr>
        <w:pStyle w:val="99"/>
        <w:ind w:firstLine="560"/>
        <w:rPr>
          <w:rFonts w:ascii="黑体" w:hAnsi="黑体" w:eastAsia="黑体"/>
          <w:color w:val="000000"/>
          <w:sz w:val="28"/>
          <w:szCs w:val="28"/>
        </w:rPr>
      </w:pPr>
    </w:p>
    <w:p>
      <w:pPr>
        <w:pStyle w:val="3"/>
        <w:ind w:firstLine="480"/>
        <w:rPr>
          <w:snapToGrid w:val="0"/>
          <w:color w:val="000000"/>
        </w:rPr>
      </w:pPr>
    </w:p>
    <w:p>
      <w:pPr>
        <w:pStyle w:val="3"/>
        <w:ind w:firstLine="480"/>
        <w:rPr>
          <w:snapToGrid w:val="0"/>
          <w:color w:val="000000"/>
        </w:rPr>
      </w:pPr>
    </w:p>
    <w:p>
      <w:pPr>
        <w:pStyle w:val="3"/>
        <w:ind w:firstLine="480"/>
        <w:rPr>
          <w:snapToGrid w:val="0"/>
          <w:color w:val="000000"/>
        </w:rPr>
      </w:pPr>
    </w:p>
    <w:p>
      <w:pPr>
        <w:pStyle w:val="3"/>
        <w:ind w:firstLine="480"/>
        <w:rPr>
          <w:snapToGrid w:val="0"/>
          <w:color w:val="000000"/>
        </w:rPr>
      </w:pPr>
    </w:p>
    <w:p>
      <w:pPr>
        <w:pStyle w:val="3"/>
        <w:ind w:firstLine="480"/>
        <w:rPr>
          <w:snapToGrid w:val="0"/>
          <w:color w:val="000000"/>
        </w:rPr>
      </w:pPr>
    </w:p>
    <w:p>
      <w:pPr>
        <w:pStyle w:val="91"/>
        <w:rPr>
          <w:snapToGrid w:val="0"/>
          <w:color w:val="000000"/>
        </w:rPr>
      </w:pPr>
      <w:bookmarkStart w:id="45" w:name="_Toc110934652"/>
      <w:r>
        <w:rPr>
          <w:rFonts w:hint="eastAsia"/>
          <w:color w:val="000000"/>
        </w:rPr>
        <w:t>环境质量现状监测报告</w:t>
      </w:r>
      <w:bookmarkEnd w:id="45"/>
    </w:p>
    <w:p>
      <w:pPr>
        <w:rPr>
          <w:color w:val="000000"/>
        </w:rPr>
      </w:pPr>
      <w:r>
        <w:drawing>
          <wp:inline distT="0" distB="0" distL="0" distR="0">
            <wp:extent cx="5262880" cy="74371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5"/>
                    <a:stretch>
                      <a:fillRect/>
                    </a:stretch>
                  </pic:blipFill>
                  <pic:spPr>
                    <a:xfrm>
                      <a:off x="0" y="0"/>
                      <a:ext cx="5272682" cy="7450818"/>
                    </a:xfrm>
                    <a:prstGeom prst="rect">
                      <a:avLst/>
                    </a:prstGeom>
                  </pic:spPr>
                </pic:pic>
              </a:graphicData>
            </a:graphic>
          </wp:inline>
        </w:drawing>
      </w:r>
    </w:p>
    <w:p>
      <w:pPr>
        <w:rPr>
          <w:b/>
          <w:color w:val="000000"/>
        </w:rPr>
      </w:pPr>
      <w:r>
        <w:drawing>
          <wp:inline distT="0" distB="0" distL="0" distR="0">
            <wp:extent cx="5283835" cy="7466965"/>
            <wp:effectExtent l="0" t="0" r="0"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6"/>
                    <a:stretch>
                      <a:fillRect/>
                    </a:stretch>
                  </pic:blipFill>
                  <pic:spPr>
                    <a:xfrm>
                      <a:off x="0" y="0"/>
                      <a:ext cx="5295225" cy="7482673"/>
                    </a:xfrm>
                    <a:prstGeom prst="rect">
                      <a:avLst/>
                    </a:prstGeom>
                  </pic:spPr>
                </pic:pic>
              </a:graphicData>
            </a:graphic>
          </wp:inline>
        </w:drawing>
      </w:r>
    </w:p>
    <w:p>
      <w:pPr>
        <w:rPr>
          <w:color w:val="000000"/>
        </w:rPr>
      </w:pPr>
      <w:r>
        <w:drawing>
          <wp:inline distT="0" distB="0" distL="0" distR="0">
            <wp:extent cx="5262880" cy="743712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7"/>
                    <a:stretch>
                      <a:fillRect/>
                    </a:stretch>
                  </pic:blipFill>
                  <pic:spPr>
                    <a:xfrm>
                      <a:off x="0" y="0"/>
                      <a:ext cx="5273137" cy="7451461"/>
                    </a:xfrm>
                    <a:prstGeom prst="rect">
                      <a:avLst/>
                    </a:prstGeom>
                  </pic:spPr>
                </pic:pic>
              </a:graphicData>
            </a:graphic>
          </wp:inline>
        </w:drawing>
      </w:r>
    </w:p>
    <w:p>
      <w:pPr>
        <w:rPr>
          <w:color w:val="000000"/>
        </w:rPr>
      </w:pPr>
      <w:r>
        <w:drawing>
          <wp:inline distT="0" distB="0" distL="0" distR="0">
            <wp:extent cx="5262880" cy="743712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8"/>
                    <a:stretch>
                      <a:fillRect/>
                    </a:stretch>
                  </pic:blipFill>
                  <pic:spPr>
                    <a:xfrm>
                      <a:off x="0" y="0"/>
                      <a:ext cx="5282169" cy="7464223"/>
                    </a:xfrm>
                    <a:prstGeom prst="rect">
                      <a:avLst/>
                    </a:prstGeom>
                  </pic:spPr>
                </pic:pic>
              </a:graphicData>
            </a:graphic>
          </wp:inline>
        </w:drawing>
      </w:r>
    </w:p>
    <w:p>
      <w:pPr>
        <w:rPr>
          <w:color w:val="000000"/>
        </w:rPr>
      </w:pPr>
      <w:r>
        <w:drawing>
          <wp:inline distT="0" distB="0" distL="0" distR="0">
            <wp:extent cx="5184140" cy="7325360"/>
            <wp:effectExtent l="0" t="0" r="0" b="889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9"/>
                    <a:stretch>
                      <a:fillRect/>
                    </a:stretch>
                  </pic:blipFill>
                  <pic:spPr>
                    <a:xfrm>
                      <a:off x="0" y="0"/>
                      <a:ext cx="5192737" cy="7337847"/>
                    </a:xfrm>
                    <a:prstGeom prst="rect">
                      <a:avLst/>
                    </a:prstGeom>
                  </pic:spPr>
                </pic:pic>
              </a:graphicData>
            </a:graphic>
          </wp:inline>
        </w:drawing>
      </w:r>
    </w:p>
    <w:p>
      <w:pPr>
        <w:rPr>
          <w:color w:val="000000"/>
        </w:rPr>
      </w:pPr>
      <w:r>
        <w:drawing>
          <wp:inline distT="0" distB="0" distL="0" distR="0">
            <wp:extent cx="5273675" cy="7451725"/>
            <wp:effectExtent l="0" t="0" r="317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0"/>
                    <a:stretch>
                      <a:fillRect/>
                    </a:stretch>
                  </pic:blipFill>
                  <pic:spPr>
                    <a:xfrm>
                      <a:off x="0" y="0"/>
                      <a:ext cx="5285762" cy="7469300"/>
                    </a:xfrm>
                    <a:prstGeom prst="rect">
                      <a:avLst/>
                    </a:prstGeom>
                  </pic:spPr>
                </pic:pic>
              </a:graphicData>
            </a:graphic>
          </wp:inline>
        </w:drawing>
      </w:r>
    </w:p>
    <w:p>
      <w:pPr>
        <w:pStyle w:val="91"/>
        <w:rPr>
          <w:color w:val="000000"/>
        </w:rPr>
      </w:pPr>
      <w:bookmarkStart w:id="46" w:name="_Toc110934653"/>
      <w:r>
        <w:rPr>
          <w:rFonts w:hint="eastAsia"/>
          <w:color w:val="000000"/>
        </w:rPr>
        <w:t>春风一号联合站环保手续</w:t>
      </w:r>
      <w:bookmarkEnd w:id="46"/>
    </w:p>
    <w:p>
      <w:pPr>
        <w:pStyle w:val="12"/>
        <w:spacing w:before="120"/>
        <w:rPr>
          <w:rFonts w:cs="宋体"/>
          <w:color w:val="000000"/>
          <w:szCs w:val="21"/>
        </w:rPr>
      </w:pPr>
      <w:r>
        <w:rPr>
          <w:rFonts w:cs="宋体"/>
          <w:color w:val="000000"/>
          <w:szCs w:val="21"/>
        </w:rPr>
        <w:drawing>
          <wp:inline distT="0" distB="0" distL="0" distR="0">
            <wp:extent cx="5262880" cy="7325995"/>
            <wp:effectExtent l="0" t="0" r="0" b="8255"/>
            <wp:docPr id="14" name="图片 1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262880" cy="7325995"/>
                    </a:xfrm>
                    <a:prstGeom prst="rect">
                      <a:avLst/>
                    </a:prstGeom>
                    <a:noFill/>
                    <a:ln>
                      <a:noFill/>
                    </a:ln>
                  </pic:spPr>
                </pic:pic>
              </a:graphicData>
            </a:graphic>
          </wp:inline>
        </w:drawing>
      </w:r>
      <w:r>
        <w:rPr>
          <w:rFonts w:cs="宋体"/>
          <w:color w:val="000000"/>
          <w:szCs w:val="21"/>
        </w:rPr>
        <w:drawing>
          <wp:inline distT="0" distB="0" distL="0" distR="0">
            <wp:extent cx="5262880" cy="7325995"/>
            <wp:effectExtent l="0" t="0" r="0" b="8255"/>
            <wp:docPr id="15" name="图片 1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262880" cy="7325995"/>
                    </a:xfrm>
                    <a:prstGeom prst="rect">
                      <a:avLst/>
                    </a:prstGeom>
                    <a:noFill/>
                    <a:ln>
                      <a:noFill/>
                    </a:ln>
                  </pic:spPr>
                </pic:pic>
              </a:graphicData>
            </a:graphic>
          </wp:inline>
        </w:drawing>
      </w:r>
      <w:r>
        <w:rPr>
          <w:rFonts w:cs="宋体"/>
          <w:color w:val="000000"/>
          <w:szCs w:val="21"/>
        </w:rPr>
        <w:drawing>
          <wp:inline distT="0" distB="0" distL="0" distR="0">
            <wp:extent cx="5262880" cy="7325995"/>
            <wp:effectExtent l="0" t="0" r="0" b="8255"/>
            <wp:docPr id="16" name="图片 1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262880" cy="7325995"/>
                    </a:xfrm>
                    <a:prstGeom prst="rect">
                      <a:avLst/>
                    </a:prstGeom>
                    <a:noFill/>
                    <a:ln>
                      <a:noFill/>
                    </a:ln>
                  </pic:spPr>
                </pic:pic>
              </a:graphicData>
            </a:graphic>
          </wp:inline>
        </w:drawing>
      </w:r>
      <w:r>
        <w:rPr>
          <w:rFonts w:cs="宋体"/>
          <w:color w:val="000000"/>
          <w:szCs w:val="21"/>
        </w:rPr>
        <w:drawing>
          <wp:inline distT="0" distB="0" distL="0" distR="0">
            <wp:extent cx="5262880" cy="7325995"/>
            <wp:effectExtent l="0" t="0" r="0" b="8255"/>
            <wp:docPr id="17" name="图片 1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262880" cy="7325995"/>
                    </a:xfrm>
                    <a:prstGeom prst="rect">
                      <a:avLst/>
                    </a:prstGeom>
                    <a:noFill/>
                    <a:ln>
                      <a:noFill/>
                    </a:ln>
                  </pic:spPr>
                </pic:pic>
              </a:graphicData>
            </a:graphic>
          </wp:inline>
        </w:drawing>
      </w:r>
      <w:r>
        <w:rPr>
          <w:rFonts w:cs="宋体"/>
          <w:color w:val="000000"/>
          <w:szCs w:val="21"/>
        </w:rPr>
        <w:drawing>
          <wp:inline distT="0" distB="0" distL="0" distR="0">
            <wp:extent cx="5262880" cy="7272655"/>
            <wp:effectExtent l="0" t="0" r="0" b="4445"/>
            <wp:docPr id="18" name="图片 18" descr="排601新区产能建设工程竣工环保验收批复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排601新区产能建设工程竣工环保验收批复_页面_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262880" cy="7272655"/>
                    </a:xfrm>
                    <a:prstGeom prst="rect">
                      <a:avLst/>
                    </a:prstGeom>
                    <a:noFill/>
                    <a:ln>
                      <a:noFill/>
                    </a:ln>
                  </pic:spPr>
                </pic:pic>
              </a:graphicData>
            </a:graphic>
          </wp:inline>
        </w:drawing>
      </w:r>
      <w:r>
        <w:rPr>
          <w:rFonts w:cs="宋体"/>
          <w:color w:val="000000"/>
          <w:szCs w:val="21"/>
        </w:rPr>
        <w:drawing>
          <wp:inline distT="0" distB="0" distL="0" distR="0">
            <wp:extent cx="5262880" cy="7272655"/>
            <wp:effectExtent l="0" t="0" r="0" b="4445"/>
            <wp:docPr id="19" name="图片 19" descr="排601新区产能建设工程竣工环保验收批复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排601新区产能建设工程竣工环保验收批复_页面_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262880" cy="7272655"/>
                    </a:xfrm>
                    <a:prstGeom prst="rect">
                      <a:avLst/>
                    </a:prstGeom>
                    <a:noFill/>
                    <a:ln>
                      <a:noFill/>
                    </a:ln>
                  </pic:spPr>
                </pic:pic>
              </a:graphicData>
            </a:graphic>
          </wp:inline>
        </w:drawing>
      </w:r>
      <w:r>
        <w:rPr>
          <w:rFonts w:cs="宋体"/>
          <w:color w:val="000000"/>
          <w:szCs w:val="21"/>
        </w:rPr>
        <w:drawing>
          <wp:inline distT="0" distB="0" distL="0" distR="0">
            <wp:extent cx="5262880" cy="7272655"/>
            <wp:effectExtent l="0" t="0" r="0" b="4445"/>
            <wp:docPr id="20" name="图片 20" descr="排601新区产能建设工程竣工环保验收批复_页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排601新区产能建设工程竣工环保验收批复_页面_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262880" cy="7272655"/>
                    </a:xfrm>
                    <a:prstGeom prst="rect">
                      <a:avLst/>
                    </a:prstGeom>
                    <a:noFill/>
                    <a:ln>
                      <a:noFill/>
                    </a:ln>
                  </pic:spPr>
                </pic:pic>
              </a:graphicData>
            </a:graphic>
          </wp:inline>
        </w:drawing>
      </w:r>
    </w:p>
    <w:p>
      <w:pPr>
        <w:rPr>
          <w:color w:val="000000"/>
        </w:rPr>
        <w:sectPr>
          <w:pgSz w:w="11906" w:h="16838"/>
          <w:pgMar w:top="1440" w:right="1800" w:bottom="1440" w:left="1800" w:header="851" w:footer="1077" w:gutter="0"/>
          <w:cols w:space="425" w:num="1"/>
          <w:docGrid w:linePitch="312" w:charSpace="0"/>
        </w:sectPr>
      </w:pPr>
    </w:p>
    <w:p>
      <w:pPr>
        <w:pStyle w:val="91"/>
        <w:rPr>
          <w:color w:val="000000"/>
        </w:rPr>
      </w:pPr>
      <w:bookmarkStart w:id="47" w:name="_Toc110934654"/>
      <w:r>
        <w:rPr>
          <w:rFonts w:hint="eastAsia"/>
          <w:color w:val="000000"/>
        </w:rPr>
        <w:t>与《</w:t>
      </w:r>
      <w:r>
        <w:rPr>
          <w:color w:val="000000"/>
        </w:rPr>
        <w:t>关于</w:t>
      </w:r>
      <w:r>
        <w:rPr>
          <w:rFonts w:hint="eastAsia"/>
          <w:color w:val="000000"/>
        </w:rPr>
        <w:t>&lt;</w:t>
      </w:r>
      <w:r>
        <w:rPr>
          <w:color w:val="000000"/>
        </w:rPr>
        <w:t>昌吉回族自治</w:t>
      </w:r>
      <w:r>
        <w:rPr>
          <w:rFonts w:hAnsi="黑体"/>
          <w:color w:val="000000"/>
        </w:rPr>
        <w:t>州“三线一单”生</w:t>
      </w:r>
      <w:r>
        <w:rPr>
          <w:color w:val="000000"/>
        </w:rPr>
        <w:t>态环境分区管控方案及生态环境准入清单</w:t>
      </w:r>
      <w:r>
        <w:rPr>
          <w:rFonts w:hint="eastAsia"/>
          <w:color w:val="000000"/>
        </w:rPr>
        <w:t>&gt;</w:t>
      </w:r>
      <w:r>
        <w:rPr>
          <w:color w:val="000000"/>
        </w:rPr>
        <w:t>的公告</w:t>
      </w:r>
      <w:r>
        <w:rPr>
          <w:rFonts w:hint="eastAsia"/>
          <w:color w:val="000000"/>
        </w:rPr>
        <w:t>》（</w:t>
      </w:r>
      <w:r>
        <w:rPr>
          <w:color w:val="000000"/>
        </w:rPr>
        <w:t>昌州政办发〔2021〕41号</w:t>
      </w:r>
      <w:r>
        <w:rPr>
          <w:rFonts w:hint="eastAsia"/>
          <w:color w:val="000000"/>
        </w:rPr>
        <w:t>）中生态环境准入清单符合性分析</w:t>
      </w:r>
      <w:bookmarkEnd w:id="47"/>
    </w:p>
    <w:tbl>
      <w:tblPr>
        <w:tblStyle w:val="29"/>
        <w:tblW w:w="1394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6"/>
        <w:gridCol w:w="535"/>
        <w:gridCol w:w="1342"/>
        <w:gridCol w:w="6550"/>
        <w:gridCol w:w="3799"/>
        <w:gridCol w:w="4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1296" w:type="dxa"/>
            <w:shd w:val="clear" w:color="auto" w:fill="auto"/>
            <w:vAlign w:val="center"/>
          </w:tcPr>
          <w:p>
            <w:pPr>
              <w:pStyle w:val="70"/>
              <w:rPr>
                <w:rFonts w:hAnsi="Calibri" w:eastAsia="Times New Roman"/>
                <w:color w:val="000000"/>
              </w:rPr>
            </w:pPr>
            <w:r>
              <w:rPr>
                <w:rFonts w:hint="eastAsia" w:hAnsi="Calibri"/>
                <w:color w:val="000000"/>
              </w:rPr>
              <w:t>地区准入清单</w:t>
            </w:r>
          </w:p>
        </w:tc>
        <w:tc>
          <w:tcPr>
            <w:tcW w:w="1877" w:type="dxa"/>
            <w:gridSpan w:val="2"/>
            <w:shd w:val="clear" w:color="auto" w:fill="auto"/>
            <w:vAlign w:val="center"/>
          </w:tcPr>
          <w:p>
            <w:pPr>
              <w:pStyle w:val="70"/>
              <w:rPr>
                <w:rFonts w:hAnsi="Calibri" w:eastAsia="Times New Roman"/>
                <w:color w:val="000000"/>
              </w:rPr>
            </w:pPr>
            <w:r>
              <w:rPr>
                <w:rFonts w:hint="eastAsia" w:hAnsi="Calibri"/>
                <w:color w:val="000000"/>
              </w:rPr>
              <w:t>管控类别</w:t>
            </w:r>
          </w:p>
        </w:tc>
        <w:tc>
          <w:tcPr>
            <w:tcW w:w="6550" w:type="dxa"/>
            <w:shd w:val="clear" w:color="auto" w:fill="auto"/>
            <w:vAlign w:val="center"/>
          </w:tcPr>
          <w:p>
            <w:pPr>
              <w:pStyle w:val="70"/>
              <w:rPr>
                <w:rFonts w:hAnsi="Calibri" w:eastAsia="Times New Roman"/>
                <w:color w:val="000000"/>
              </w:rPr>
            </w:pPr>
            <w:r>
              <w:rPr>
                <w:rFonts w:hint="eastAsia" w:hAnsi="Calibri"/>
                <w:color w:val="000000"/>
              </w:rPr>
              <w:t>总体管控要求</w:t>
            </w:r>
          </w:p>
        </w:tc>
        <w:tc>
          <w:tcPr>
            <w:tcW w:w="3799" w:type="dxa"/>
            <w:shd w:val="clear" w:color="auto" w:fill="auto"/>
            <w:vAlign w:val="center"/>
          </w:tcPr>
          <w:p>
            <w:pPr>
              <w:pStyle w:val="70"/>
              <w:rPr>
                <w:rFonts w:hAnsi="Calibri" w:eastAsia="Times New Roman"/>
                <w:color w:val="000000"/>
              </w:rPr>
            </w:pPr>
            <w:r>
              <w:rPr>
                <w:rFonts w:hint="eastAsia" w:hAnsi="Calibri"/>
                <w:color w:val="000000"/>
              </w:rPr>
              <w:t>项目情况</w:t>
            </w:r>
          </w:p>
        </w:tc>
        <w:tc>
          <w:tcPr>
            <w:tcW w:w="426" w:type="dxa"/>
            <w:shd w:val="clear" w:color="auto" w:fill="auto"/>
            <w:vAlign w:val="center"/>
          </w:tcPr>
          <w:p>
            <w:pPr>
              <w:pStyle w:val="70"/>
              <w:rPr>
                <w:rFonts w:hAnsi="Calibri" w:eastAsia="Times New Roman"/>
                <w:color w:val="000000"/>
              </w:rPr>
            </w:pPr>
            <w:r>
              <w:rPr>
                <w:rFonts w:hint="eastAsia" w:hAnsi="Calibri"/>
                <w:color w:val="000000"/>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96" w:type="dxa"/>
            <w:vMerge w:val="restart"/>
            <w:shd w:val="clear" w:color="auto" w:fill="auto"/>
            <w:vAlign w:val="center"/>
          </w:tcPr>
          <w:p>
            <w:pPr>
              <w:pStyle w:val="70"/>
              <w:rPr>
                <w:rFonts w:hAnsi="Calibri" w:eastAsia="Times New Roman"/>
                <w:color w:val="000000"/>
              </w:rPr>
            </w:pPr>
            <w:bookmarkStart w:id="48" w:name="_Toc69742100"/>
            <w:bookmarkStart w:id="49" w:name="_Toc65173536"/>
            <w:r>
              <w:rPr>
                <w:rFonts w:hint="eastAsia" w:hAnsi="Calibri"/>
                <w:bCs/>
                <w:color w:val="000000"/>
              </w:rPr>
              <w:t>昌吉回族自治州生态环境总体准入清单</w:t>
            </w:r>
            <w:bookmarkEnd w:id="48"/>
            <w:bookmarkEnd w:id="49"/>
          </w:p>
        </w:tc>
        <w:tc>
          <w:tcPr>
            <w:tcW w:w="535" w:type="dxa"/>
            <w:vMerge w:val="restart"/>
            <w:shd w:val="clear" w:color="auto" w:fill="auto"/>
            <w:vAlign w:val="center"/>
          </w:tcPr>
          <w:p>
            <w:pPr>
              <w:pStyle w:val="70"/>
              <w:rPr>
                <w:rFonts w:hAnsi="Calibri" w:eastAsia="Times New Roman"/>
                <w:color w:val="000000"/>
              </w:rPr>
            </w:pPr>
            <w:r>
              <w:rPr>
                <w:rFonts w:hint="eastAsia" w:hAnsi="Calibri"/>
                <w:color w:val="000000"/>
              </w:rPr>
              <w:t>空间布局约束</w:t>
            </w:r>
          </w:p>
        </w:tc>
        <w:tc>
          <w:tcPr>
            <w:tcW w:w="1342" w:type="dxa"/>
            <w:vMerge w:val="restart"/>
            <w:shd w:val="clear" w:color="auto" w:fill="auto"/>
            <w:vAlign w:val="center"/>
          </w:tcPr>
          <w:p>
            <w:pPr>
              <w:pStyle w:val="70"/>
              <w:rPr>
                <w:rFonts w:hAnsi="Calibri" w:eastAsia="Times New Roman"/>
                <w:color w:val="000000"/>
              </w:rPr>
            </w:pPr>
            <w:r>
              <w:rPr>
                <w:rFonts w:hint="eastAsia" w:hAnsi="Calibri"/>
                <w:color w:val="000000"/>
              </w:rPr>
              <w:t>禁止开发建设活动的要求</w:t>
            </w:r>
          </w:p>
        </w:tc>
        <w:tc>
          <w:tcPr>
            <w:tcW w:w="6550" w:type="dxa"/>
            <w:shd w:val="clear" w:color="auto" w:fill="auto"/>
            <w:vAlign w:val="center"/>
          </w:tcPr>
          <w:p>
            <w:pPr>
              <w:pStyle w:val="70"/>
              <w:jc w:val="both"/>
              <w:rPr>
                <w:rFonts w:hAnsi="Calibri" w:eastAsia="Times New Roman"/>
                <w:color w:val="000000"/>
              </w:rPr>
            </w:pPr>
            <w:r>
              <w:rPr>
                <w:rFonts w:hint="eastAsia" w:hAnsi="Calibri" w:eastAsia="Times New Roman"/>
                <w:color w:val="000000"/>
              </w:rPr>
              <w:t>1</w:t>
            </w:r>
            <w:r>
              <w:rPr>
                <w:rFonts w:hint="eastAsia" w:hAnsi="Calibri"/>
                <w:color w:val="000000"/>
              </w:rPr>
              <w:t>、集中式饮用水水源准保护区内，禁止下列行为：</w:t>
            </w:r>
          </w:p>
          <w:p>
            <w:pPr>
              <w:pStyle w:val="70"/>
              <w:jc w:val="both"/>
              <w:rPr>
                <w:rFonts w:hAnsi="Calibri" w:eastAsia="Times New Roman"/>
                <w:color w:val="000000"/>
              </w:rPr>
            </w:pPr>
            <w:r>
              <w:rPr>
                <w:rFonts w:hint="eastAsia" w:hAnsi="Calibri"/>
                <w:color w:val="000000"/>
              </w:rPr>
              <w:t>（</w:t>
            </w:r>
            <w:r>
              <w:rPr>
                <w:rFonts w:hint="eastAsia" w:hAnsi="Calibri" w:eastAsia="Times New Roman"/>
                <w:color w:val="000000"/>
              </w:rPr>
              <w:t>1</w:t>
            </w:r>
            <w:r>
              <w:rPr>
                <w:rFonts w:hint="eastAsia" w:hAnsi="Calibri"/>
                <w:color w:val="000000"/>
              </w:rPr>
              <w:t>）新建、扩建对水体污染严重的建设项目；</w:t>
            </w:r>
          </w:p>
          <w:p>
            <w:pPr>
              <w:pStyle w:val="70"/>
              <w:jc w:val="both"/>
              <w:rPr>
                <w:rFonts w:hAnsi="Calibri" w:eastAsia="Times New Roman"/>
                <w:color w:val="000000"/>
              </w:rPr>
            </w:pPr>
            <w:r>
              <w:rPr>
                <w:rFonts w:hint="eastAsia" w:hAnsi="Calibri"/>
                <w:color w:val="000000"/>
              </w:rPr>
              <w:t>（</w:t>
            </w:r>
            <w:r>
              <w:rPr>
                <w:rFonts w:hint="eastAsia" w:hAnsi="Calibri" w:eastAsia="Times New Roman"/>
                <w:color w:val="000000"/>
              </w:rPr>
              <w:t>2</w:t>
            </w:r>
            <w:r>
              <w:rPr>
                <w:rFonts w:hint="eastAsia" w:hAnsi="Calibri"/>
                <w:color w:val="000000"/>
              </w:rPr>
              <w:t>）利用污水进行灌溉；</w:t>
            </w:r>
          </w:p>
          <w:p>
            <w:pPr>
              <w:pStyle w:val="70"/>
              <w:jc w:val="both"/>
              <w:rPr>
                <w:rFonts w:hAnsi="Calibri" w:eastAsia="Times New Roman"/>
                <w:color w:val="000000"/>
              </w:rPr>
            </w:pPr>
            <w:r>
              <w:rPr>
                <w:rFonts w:hint="eastAsia" w:hAnsi="Calibri"/>
                <w:color w:val="000000"/>
              </w:rPr>
              <w:t>（</w:t>
            </w:r>
            <w:r>
              <w:rPr>
                <w:rFonts w:hint="eastAsia" w:hAnsi="Calibri" w:eastAsia="Times New Roman"/>
                <w:color w:val="000000"/>
              </w:rPr>
              <w:t>3</w:t>
            </w:r>
            <w:r>
              <w:rPr>
                <w:rFonts w:hint="eastAsia" w:hAnsi="Calibri"/>
                <w:color w:val="000000"/>
              </w:rPr>
              <w:t>）破坏水源涵养林、护岸林及保护区植被；</w:t>
            </w:r>
          </w:p>
          <w:p>
            <w:pPr>
              <w:pStyle w:val="70"/>
              <w:jc w:val="both"/>
              <w:rPr>
                <w:rFonts w:hAnsi="Calibri" w:eastAsia="Times New Roman"/>
                <w:color w:val="000000"/>
              </w:rPr>
            </w:pPr>
            <w:r>
              <w:rPr>
                <w:rFonts w:hint="eastAsia" w:hAnsi="Calibri"/>
                <w:color w:val="000000"/>
              </w:rPr>
              <w:t>（</w:t>
            </w:r>
            <w:r>
              <w:rPr>
                <w:rFonts w:hint="eastAsia" w:hAnsi="Calibri" w:eastAsia="Times New Roman"/>
                <w:color w:val="000000"/>
              </w:rPr>
              <w:t>4</w:t>
            </w:r>
            <w:r>
              <w:rPr>
                <w:rFonts w:hint="eastAsia" w:hAnsi="Calibri"/>
                <w:color w:val="000000"/>
              </w:rPr>
              <w:t>）人工回灌补给地下水造成地下水质下降；</w:t>
            </w:r>
          </w:p>
          <w:p>
            <w:pPr>
              <w:pStyle w:val="70"/>
              <w:jc w:val="both"/>
              <w:rPr>
                <w:rFonts w:hAnsi="Calibri" w:eastAsia="Times New Roman"/>
                <w:color w:val="000000"/>
              </w:rPr>
            </w:pPr>
            <w:r>
              <w:rPr>
                <w:rFonts w:hint="eastAsia" w:hAnsi="Calibri"/>
                <w:color w:val="000000"/>
              </w:rPr>
              <w:t>（</w:t>
            </w:r>
            <w:r>
              <w:rPr>
                <w:rFonts w:hint="eastAsia" w:hAnsi="Calibri" w:eastAsia="Times New Roman"/>
                <w:color w:val="000000"/>
              </w:rPr>
              <w:t>5</w:t>
            </w:r>
            <w:r>
              <w:rPr>
                <w:rFonts w:hint="eastAsia" w:hAnsi="Calibri"/>
                <w:color w:val="000000"/>
              </w:rPr>
              <w:t>）设置危险废物、生活垃圾堆放场所和处置场所；</w:t>
            </w:r>
          </w:p>
          <w:p>
            <w:pPr>
              <w:pStyle w:val="70"/>
              <w:jc w:val="both"/>
              <w:rPr>
                <w:rFonts w:hAnsi="Calibri" w:eastAsia="Times New Roman"/>
                <w:color w:val="000000"/>
              </w:rPr>
            </w:pPr>
            <w:r>
              <w:rPr>
                <w:rFonts w:hint="eastAsia" w:hAnsi="Calibri"/>
                <w:color w:val="000000"/>
              </w:rPr>
              <w:t>（</w:t>
            </w:r>
            <w:r>
              <w:rPr>
                <w:rFonts w:hint="eastAsia" w:hAnsi="Calibri" w:eastAsia="Times New Roman"/>
                <w:color w:val="000000"/>
              </w:rPr>
              <w:t>6</w:t>
            </w:r>
            <w:r>
              <w:rPr>
                <w:rFonts w:hint="eastAsia" w:hAnsi="Calibri"/>
                <w:color w:val="000000"/>
              </w:rPr>
              <w:t>）建立墓地；</w:t>
            </w:r>
          </w:p>
          <w:p>
            <w:pPr>
              <w:pStyle w:val="70"/>
              <w:jc w:val="both"/>
              <w:rPr>
                <w:rFonts w:hAnsi="Calibri" w:eastAsia="Times New Roman"/>
                <w:color w:val="000000"/>
              </w:rPr>
            </w:pPr>
            <w:r>
              <w:rPr>
                <w:rFonts w:hint="eastAsia" w:hAnsi="Calibri"/>
                <w:color w:val="000000"/>
              </w:rPr>
              <w:t>（</w:t>
            </w:r>
            <w:r>
              <w:rPr>
                <w:rFonts w:hint="eastAsia" w:hAnsi="Calibri" w:eastAsia="Times New Roman"/>
                <w:color w:val="000000"/>
              </w:rPr>
              <w:t>7</w:t>
            </w:r>
            <w:r>
              <w:rPr>
                <w:rFonts w:hint="eastAsia" w:hAnsi="Calibri"/>
                <w:color w:val="000000"/>
              </w:rPr>
              <w:t>）丢弃及掩埋动物尸体；</w:t>
            </w:r>
          </w:p>
          <w:p>
            <w:pPr>
              <w:pStyle w:val="70"/>
              <w:jc w:val="both"/>
              <w:rPr>
                <w:rFonts w:hAnsi="Calibri" w:eastAsia="Times New Roman"/>
                <w:color w:val="000000"/>
              </w:rPr>
            </w:pPr>
            <w:r>
              <w:rPr>
                <w:rFonts w:hint="eastAsia" w:hAnsi="Calibri"/>
                <w:color w:val="000000"/>
              </w:rPr>
              <w:t>（</w:t>
            </w:r>
            <w:r>
              <w:rPr>
                <w:rFonts w:hint="eastAsia" w:hAnsi="Calibri" w:eastAsia="Times New Roman"/>
                <w:color w:val="000000"/>
              </w:rPr>
              <w:t>8</w:t>
            </w:r>
            <w:r>
              <w:rPr>
                <w:rFonts w:hint="eastAsia" w:hAnsi="Calibri"/>
                <w:color w:val="000000"/>
              </w:rPr>
              <w:t>）法律法规规定的其他污染水体的行为。</w:t>
            </w:r>
          </w:p>
          <w:p>
            <w:pPr>
              <w:pStyle w:val="70"/>
              <w:jc w:val="both"/>
              <w:rPr>
                <w:rFonts w:hAnsi="Calibri" w:eastAsia="Times New Roman"/>
                <w:color w:val="000000"/>
              </w:rPr>
            </w:pPr>
            <w:r>
              <w:rPr>
                <w:rFonts w:hint="eastAsia" w:hAnsi="Calibri" w:eastAsia="Times New Roman"/>
                <w:color w:val="000000"/>
              </w:rPr>
              <w:t>2</w:t>
            </w:r>
            <w:r>
              <w:rPr>
                <w:rFonts w:hint="eastAsia" w:hAnsi="Calibri"/>
                <w:color w:val="000000"/>
              </w:rPr>
              <w:t>、集中式饮用水水源二级保护区内，除第</w:t>
            </w:r>
            <w:r>
              <w:rPr>
                <w:rFonts w:hint="eastAsia" w:hAnsi="Calibri" w:eastAsia="Times New Roman"/>
                <w:color w:val="000000"/>
              </w:rPr>
              <w:t>1</w:t>
            </w:r>
            <w:r>
              <w:rPr>
                <w:rFonts w:hint="eastAsia" w:hAnsi="Calibri"/>
                <w:color w:val="000000"/>
              </w:rPr>
              <w:t>条规定的禁止行为外，还应当禁止下列行为：</w:t>
            </w:r>
          </w:p>
          <w:p>
            <w:pPr>
              <w:pStyle w:val="70"/>
              <w:jc w:val="both"/>
              <w:rPr>
                <w:rFonts w:hAnsi="Calibri" w:eastAsia="Times New Roman"/>
                <w:color w:val="000000"/>
              </w:rPr>
            </w:pPr>
            <w:r>
              <w:rPr>
                <w:rFonts w:hint="eastAsia" w:hAnsi="Calibri"/>
                <w:color w:val="000000"/>
              </w:rPr>
              <w:t>（</w:t>
            </w:r>
            <w:r>
              <w:rPr>
                <w:rFonts w:hint="eastAsia" w:hAnsi="Calibri" w:eastAsia="Times New Roman"/>
                <w:color w:val="000000"/>
              </w:rPr>
              <w:t>1</w:t>
            </w:r>
            <w:r>
              <w:rPr>
                <w:rFonts w:hint="eastAsia" w:hAnsi="Calibri"/>
                <w:color w:val="000000"/>
              </w:rPr>
              <w:t>）新建、改建、扩建排放污染物的建设项目；</w:t>
            </w:r>
          </w:p>
          <w:p>
            <w:pPr>
              <w:pStyle w:val="70"/>
              <w:jc w:val="both"/>
              <w:rPr>
                <w:rFonts w:hAnsi="Calibri" w:eastAsia="Times New Roman"/>
                <w:color w:val="000000"/>
              </w:rPr>
            </w:pPr>
            <w:r>
              <w:rPr>
                <w:rFonts w:hint="eastAsia" w:hAnsi="Calibri"/>
                <w:color w:val="000000"/>
              </w:rPr>
              <w:t>（</w:t>
            </w:r>
            <w:r>
              <w:rPr>
                <w:rFonts w:hint="eastAsia" w:hAnsi="Calibri" w:eastAsia="Times New Roman"/>
                <w:color w:val="000000"/>
              </w:rPr>
              <w:t>2</w:t>
            </w:r>
            <w:r>
              <w:rPr>
                <w:rFonts w:hint="eastAsia" w:hAnsi="Calibri"/>
                <w:color w:val="000000"/>
              </w:rPr>
              <w:t>）设置固体废物贮存、堆放场所和转运站；</w:t>
            </w:r>
          </w:p>
          <w:p>
            <w:pPr>
              <w:pStyle w:val="70"/>
              <w:jc w:val="both"/>
              <w:rPr>
                <w:rFonts w:hAnsi="Calibri" w:eastAsia="Times New Roman"/>
                <w:color w:val="000000"/>
              </w:rPr>
            </w:pPr>
            <w:r>
              <w:rPr>
                <w:rFonts w:hint="eastAsia" w:hAnsi="Calibri"/>
                <w:color w:val="000000"/>
              </w:rPr>
              <w:t>（</w:t>
            </w:r>
            <w:r>
              <w:rPr>
                <w:rFonts w:hint="eastAsia" w:hAnsi="Calibri" w:eastAsia="Times New Roman"/>
                <w:color w:val="000000"/>
              </w:rPr>
              <w:t>3</w:t>
            </w:r>
            <w:r>
              <w:rPr>
                <w:rFonts w:hint="eastAsia" w:hAnsi="Calibri"/>
                <w:color w:val="000000"/>
              </w:rPr>
              <w:t>）水产、畜禽养殖；</w:t>
            </w:r>
          </w:p>
          <w:p>
            <w:pPr>
              <w:pStyle w:val="70"/>
              <w:jc w:val="both"/>
              <w:rPr>
                <w:rFonts w:hAnsi="Calibri" w:eastAsia="Times New Roman"/>
                <w:color w:val="000000"/>
              </w:rPr>
            </w:pPr>
            <w:r>
              <w:rPr>
                <w:rFonts w:hint="eastAsia" w:hAnsi="Calibri"/>
                <w:color w:val="000000"/>
              </w:rPr>
              <w:t>（</w:t>
            </w:r>
            <w:r>
              <w:rPr>
                <w:rFonts w:hint="eastAsia" w:hAnsi="Calibri" w:eastAsia="Times New Roman"/>
                <w:color w:val="000000"/>
              </w:rPr>
              <w:t>4</w:t>
            </w:r>
            <w:r>
              <w:rPr>
                <w:rFonts w:hint="eastAsia" w:hAnsi="Calibri"/>
                <w:color w:val="000000"/>
              </w:rPr>
              <w:t>）使用限制使用的农药和化肥；</w:t>
            </w:r>
          </w:p>
          <w:p>
            <w:pPr>
              <w:pStyle w:val="70"/>
              <w:jc w:val="both"/>
              <w:rPr>
                <w:rFonts w:hAnsi="Calibri" w:eastAsia="Times New Roman"/>
                <w:color w:val="000000"/>
              </w:rPr>
            </w:pPr>
            <w:r>
              <w:rPr>
                <w:rFonts w:hint="eastAsia" w:hAnsi="Calibri"/>
                <w:color w:val="000000"/>
              </w:rPr>
              <w:t>（</w:t>
            </w:r>
            <w:r>
              <w:rPr>
                <w:rFonts w:hint="eastAsia" w:hAnsi="Calibri" w:eastAsia="Times New Roman"/>
                <w:color w:val="000000"/>
              </w:rPr>
              <w:t>5</w:t>
            </w:r>
            <w:r>
              <w:rPr>
                <w:rFonts w:hint="eastAsia" w:hAnsi="Calibri"/>
                <w:color w:val="000000"/>
              </w:rPr>
              <w:t>）法律法规规定的其他污染水体的行为。</w:t>
            </w:r>
          </w:p>
          <w:p>
            <w:pPr>
              <w:pStyle w:val="70"/>
              <w:jc w:val="both"/>
              <w:rPr>
                <w:rFonts w:hAnsi="Calibri" w:eastAsia="Times New Roman"/>
                <w:color w:val="000000"/>
              </w:rPr>
            </w:pPr>
            <w:r>
              <w:rPr>
                <w:rFonts w:hint="eastAsia" w:hAnsi="Calibri" w:eastAsia="Times New Roman"/>
                <w:color w:val="000000"/>
              </w:rPr>
              <w:t>3</w:t>
            </w:r>
            <w:r>
              <w:rPr>
                <w:rFonts w:hint="eastAsia" w:hAnsi="Calibri"/>
                <w:color w:val="000000"/>
              </w:rPr>
              <w:t>、集中式饮用水水源和分散式饮用水水源一级保护区实行封闭管理，除第</w:t>
            </w:r>
            <w:r>
              <w:rPr>
                <w:rFonts w:hint="eastAsia" w:hAnsi="Calibri" w:eastAsia="Times New Roman"/>
                <w:color w:val="000000"/>
              </w:rPr>
              <w:t>2</w:t>
            </w:r>
            <w:r>
              <w:rPr>
                <w:rFonts w:hint="eastAsia" w:hAnsi="Calibri"/>
                <w:color w:val="000000"/>
              </w:rPr>
              <w:t>条规定的禁止行为外，还应当禁止下列行为：</w:t>
            </w:r>
          </w:p>
          <w:p>
            <w:pPr>
              <w:pStyle w:val="70"/>
              <w:jc w:val="both"/>
              <w:rPr>
                <w:rFonts w:hAnsi="Calibri" w:eastAsia="Times New Roman"/>
                <w:color w:val="000000"/>
              </w:rPr>
            </w:pPr>
            <w:r>
              <w:rPr>
                <w:rFonts w:hint="eastAsia" w:hAnsi="Calibri"/>
                <w:color w:val="000000"/>
              </w:rPr>
              <w:t>（</w:t>
            </w:r>
            <w:r>
              <w:rPr>
                <w:rFonts w:hint="eastAsia" w:hAnsi="Calibri" w:eastAsia="Times New Roman"/>
                <w:color w:val="000000"/>
              </w:rPr>
              <w:t>1</w:t>
            </w:r>
            <w:r>
              <w:rPr>
                <w:rFonts w:hint="eastAsia" w:hAnsi="Calibri"/>
                <w:color w:val="000000"/>
              </w:rPr>
              <w:t>）新建、改建、扩建与供水设施和保护水源无关的建设项目；</w:t>
            </w:r>
          </w:p>
          <w:p>
            <w:pPr>
              <w:pStyle w:val="70"/>
              <w:jc w:val="both"/>
              <w:rPr>
                <w:rFonts w:hAnsi="Calibri" w:eastAsia="Times New Roman"/>
                <w:color w:val="000000"/>
              </w:rPr>
            </w:pPr>
            <w:r>
              <w:rPr>
                <w:rFonts w:hint="eastAsia" w:hAnsi="Calibri"/>
                <w:color w:val="000000"/>
              </w:rPr>
              <w:t>（</w:t>
            </w:r>
            <w:r>
              <w:rPr>
                <w:rFonts w:hint="eastAsia" w:hAnsi="Calibri" w:eastAsia="Times New Roman"/>
                <w:color w:val="000000"/>
              </w:rPr>
              <w:t>2</w:t>
            </w:r>
            <w:r>
              <w:rPr>
                <w:rFonts w:hint="eastAsia" w:hAnsi="Calibri"/>
                <w:color w:val="000000"/>
              </w:rPr>
              <w:t>）使用农药和化肥；</w:t>
            </w:r>
          </w:p>
          <w:p>
            <w:pPr>
              <w:pStyle w:val="70"/>
              <w:jc w:val="both"/>
              <w:rPr>
                <w:rFonts w:hAnsi="Calibri" w:eastAsia="Times New Roman"/>
                <w:color w:val="000000"/>
              </w:rPr>
            </w:pPr>
            <w:r>
              <w:rPr>
                <w:rFonts w:hint="eastAsia" w:hAnsi="Calibri"/>
                <w:color w:val="000000"/>
              </w:rPr>
              <w:t>（</w:t>
            </w:r>
            <w:r>
              <w:rPr>
                <w:rFonts w:hint="eastAsia" w:hAnsi="Calibri" w:eastAsia="Times New Roman"/>
                <w:color w:val="000000"/>
              </w:rPr>
              <w:t>3</w:t>
            </w:r>
            <w:r>
              <w:rPr>
                <w:rFonts w:hint="eastAsia" w:hAnsi="Calibri"/>
                <w:color w:val="000000"/>
              </w:rPr>
              <w:t>）设置商业、饮食等服务网点；</w:t>
            </w:r>
          </w:p>
          <w:p>
            <w:pPr>
              <w:pStyle w:val="70"/>
              <w:jc w:val="both"/>
              <w:rPr>
                <w:rFonts w:hAnsi="Calibri" w:eastAsia="Times New Roman"/>
                <w:color w:val="000000"/>
              </w:rPr>
            </w:pPr>
            <w:r>
              <w:rPr>
                <w:rFonts w:hint="eastAsia" w:hAnsi="Calibri"/>
                <w:color w:val="000000"/>
              </w:rPr>
              <w:t>（</w:t>
            </w:r>
            <w:r>
              <w:rPr>
                <w:rFonts w:hint="eastAsia" w:hAnsi="Calibri" w:eastAsia="Times New Roman"/>
                <w:color w:val="000000"/>
              </w:rPr>
              <w:t>4</w:t>
            </w:r>
            <w:r>
              <w:rPr>
                <w:rFonts w:hint="eastAsia" w:hAnsi="Calibri"/>
                <w:color w:val="000000"/>
              </w:rPr>
              <w:t>）露营、野炊等污染水质的活动；</w:t>
            </w:r>
          </w:p>
          <w:p>
            <w:pPr>
              <w:pStyle w:val="70"/>
              <w:jc w:val="both"/>
              <w:rPr>
                <w:rFonts w:hAnsi="Calibri" w:eastAsia="Times New Roman"/>
                <w:color w:val="000000"/>
              </w:rPr>
            </w:pPr>
            <w:r>
              <w:rPr>
                <w:rFonts w:hint="eastAsia" w:hAnsi="Calibri"/>
                <w:color w:val="000000"/>
              </w:rPr>
              <w:t>（</w:t>
            </w:r>
            <w:r>
              <w:rPr>
                <w:rFonts w:hint="eastAsia" w:hAnsi="Calibri" w:eastAsia="Times New Roman"/>
                <w:color w:val="000000"/>
              </w:rPr>
              <w:t>5</w:t>
            </w:r>
            <w:r>
              <w:rPr>
                <w:rFonts w:hint="eastAsia" w:hAnsi="Calibri"/>
                <w:color w:val="000000"/>
              </w:rPr>
              <w:t>）翻越、破坏防护网；</w:t>
            </w:r>
          </w:p>
          <w:p>
            <w:pPr>
              <w:pStyle w:val="70"/>
              <w:jc w:val="both"/>
              <w:rPr>
                <w:rFonts w:hAnsi="Calibri" w:eastAsia="Times New Roman"/>
                <w:color w:val="000000"/>
              </w:rPr>
            </w:pPr>
            <w:r>
              <w:rPr>
                <w:rFonts w:hint="eastAsia" w:hAnsi="Calibri"/>
                <w:color w:val="000000"/>
              </w:rPr>
              <w:t>（</w:t>
            </w:r>
            <w:r>
              <w:rPr>
                <w:rFonts w:hint="eastAsia" w:hAnsi="Calibri" w:eastAsia="Times New Roman"/>
                <w:color w:val="000000"/>
              </w:rPr>
              <w:t>6</w:t>
            </w:r>
            <w:r>
              <w:rPr>
                <w:rFonts w:hint="eastAsia" w:hAnsi="Calibri"/>
                <w:color w:val="000000"/>
              </w:rPr>
              <w:t>）法律法规规定的其他污染水体的行为。</w:t>
            </w:r>
          </w:p>
          <w:p>
            <w:pPr>
              <w:pStyle w:val="70"/>
              <w:jc w:val="both"/>
              <w:rPr>
                <w:rFonts w:hAnsi="Calibri" w:eastAsia="Times New Roman"/>
                <w:color w:val="000000"/>
              </w:rPr>
            </w:pPr>
            <w:r>
              <w:rPr>
                <w:rFonts w:hint="eastAsia" w:hAnsi="Calibri" w:eastAsia="Times New Roman"/>
                <w:color w:val="000000"/>
              </w:rPr>
              <w:t>4</w:t>
            </w:r>
            <w:r>
              <w:rPr>
                <w:rFonts w:hint="eastAsia" w:hAnsi="Calibri"/>
                <w:color w:val="000000"/>
              </w:rPr>
              <w:t>、饮用水水源保护区范围内，有下列情形之一的，审批机关不予批准新的取水项目：</w:t>
            </w:r>
          </w:p>
          <w:p>
            <w:pPr>
              <w:pStyle w:val="70"/>
              <w:jc w:val="both"/>
              <w:rPr>
                <w:rFonts w:hAnsi="Calibri" w:eastAsia="Times New Roman"/>
                <w:color w:val="000000"/>
              </w:rPr>
            </w:pPr>
            <w:r>
              <w:rPr>
                <w:rFonts w:hint="eastAsia" w:hAnsi="Calibri"/>
                <w:color w:val="000000"/>
              </w:rPr>
              <w:t>（</w:t>
            </w:r>
            <w:r>
              <w:rPr>
                <w:rFonts w:hint="eastAsia" w:hAnsi="Calibri" w:eastAsia="Times New Roman"/>
                <w:color w:val="000000"/>
              </w:rPr>
              <w:t>1</w:t>
            </w:r>
            <w:r>
              <w:rPr>
                <w:rFonts w:hint="eastAsia" w:hAnsi="Calibri"/>
                <w:color w:val="000000"/>
              </w:rPr>
              <w:t>）在地下水禁采区取用地下水的；</w:t>
            </w:r>
          </w:p>
          <w:p>
            <w:pPr>
              <w:pStyle w:val="70"/>
              <w:jc w:val="both"/>
              <w:rPr>
                <w:rFonts w:hAnsi="Calibri" w:eastAsia="Times New Roman"/>
                <w:color w:val="000000"/>
              </w:rPr>
            </w:pPr>
            <w:r>
              <w:rPr>
                <w:rFonts w:hint="eastAsia" w:hAnsi="Calibri"/>
                <w:color w:val="000000"/>
              </w:rPr>
              <w:t>（</w:t>
            </w:r>
            <w:r>
              <w:rPr>
                <w:rFonts w:hint="eastAsia" w:hAnsi="Calibri" w:eastAsia="Times New Roman"/>
                <w:color w:val="000000"/>
              </w:rPr>
              <w:t>2</w:t>
            </w:r>
            <w:r>
              <w:rPr>
                <w:rFonts w:hint="eastAsia" w:hAnsi="Calibri"/>
                <w:color w:val="000000"/>
              </w:rPr>
              <w:t>）在取水许可总量已达到取水许可控制总量的地区增加取水量的；</w:t>
            </w:r>
          </w:p>
          <w:p>
            <w:pPr>
              <w:pStyle w:val="70"/>
              <w:jc w:val="both"/>
              <w:rPr>
                <w:rFonts w:hAnsi="Calibri" w:eastAsia="Times New Roman"/>
                <w:color w:val="000000"/>
              </w:rPr>
            </w:pPr>
            <w:r>
              <w:rPr>
                <w:rFonts w:hint="eastAsia" w:hAnsi="Calibri"/>
                <w:color w:val="000000"/>
              </w:rPr>
              <w:t>（</w:t>
            </w:r>
            <w:r>
              <w:rPr>
                <w:rFonts w:hint="eastAsia" w:hAnsi="Calibri" w:eastAsia="Times New Roman"/>
                <w:color w:val="000000"/>
              </w:rPr>
              <w:t>3</w:t>
            </w:r>
            <w:r>
              <w:rPr>
                <w:rFonts w:hint="eastAsia" w:hAnsi="Calibri"/>
                <w:color w:val="000000"/>
              </w:rPr>
              <w:t>）因取水造成水量减少可能使取水口所在水域达不到水功能区水质标准的；</w:t>
            </w:r>
          </w:p>
          <w:p>
            <w:pPr>
              <w:pStyle w:val="70"/>
              <w:jc w:val="both"/>
              <w:rPr>
                <w:rFonts w:hAnsi="Calibri" w:eastAsia="Times New Roman"/>
                <w:color w:val="000000"/>
              </w:rPr>
            </w:pPr>
            <w:r>
              <w:rPr>
                <w:rFonts w:hint="eastAsia" w:hAnsi="Calibri"/>
                <w:color w:val="000000"/>
              </w:rPr>
              <w:t>（</w:t>
            </w:r>
            <w:r>
              <w:rPr>
                <w:rFonts w:hint="eastAsia" w:hAnsi="Calibri" w:eastAsia="Times New Roman"/>
                <w:color w:val="000000"/>
              </w:rPr>
              <w:t>4</w:t>
            </w:r>
            <w:r>
              <w:rPr>
                <w:rFonts w:hint="eastAsia" w:hAnsi="Calibri"/>
                <w:color w:val="000000"/>
              </w:rPr>
              <w:t>）在饮用水水源保护区内设置入河排污口的；</w:t>
            </w:r>
          </w:p>
          <w:p>
            <w:pPr>
              <w:pStyle w:val="70"/>
              <w:jc w:val="both"/>
              <w:rPr>
                <w:rFonts w:hAnsi="Calibri" w:eastAsia="Times New Roman"/>
                <w:color w:val="000000"/>
              </w:rPr>
            </w:pPr>
            <w:r>
              <w:rPr>
                <w:rFonts w:hint="eastAsia" w:hAnsi="Calibri"/>
                <w:color w:val="000000"/>
              </w:rPr>
              <w:t>（</w:t>
            </w:r>
            <w:r>
              <w:rPr>
                <w:rFonts w:hint="eastAsia" w:hAnsi="Calibri" w:eastAsia="Times New Roman"/>
                <w:color w:val="000000"/>
              </w:rPr>
              <w:t>5</w:t>
            </w:r>
            <w:r>
              <w:rPr>
                <w:rFonts w:hint="eastAsia" w:hAnsi="Calibri"/>
                <w:color w:val="000000"/>
              </w:rPr>
              <w:t>）退水中所含主要污染物浓度超过国家或者地方规定的污染物排放标准的；</w:t>
            </w:r>
          </w:p>
          <w:p>
            <w:pPr>
              <w:pStyle w:val="70"/>
              <w:jc w:val="both"/>
              <w:rPr>
                <w:rFonts w:hAnsi="Calibri" w:eastAsia="Times New Roman"/>
                <w:color w:val="000000"/>
              </w:rPr>
            </w:pPr>
            <w:r>
              <w:rPr>
                <w:rFonts w:hint="eastAsia" w:hAnsi="Calibri"/>
                <w:color w:val="000000"/>
              </w:rPr>
              <w:t>（</w:t>
            </w:r>
            <w:r>
              <w:rPr>
                <w:rFonts w:hint="eastAsia" w:hAnsi="Calibri" w:eastAsia="Times New Roman"/>
                <w:color w:val="000000"/>
              </w:rPr>
              <w:t>6</w:t>
            </w:r>
            <w:r>
              <w:rPr>
                <w:rFonts w:hint="eastAsia" w:hAnsi="Calibri"/>
                <w:color w:val="000000"/>
              </w:rPr>
              <w:t>）退水可能使排入水域达不到水功能区水质标准的；</w:t>
            </w:r>
          </w:p>
          <w:p>
            <w:pPr>
              <w:pStyle w:val="70"/>
              <w:jc w:val="both"/>
              <w:rPr>
                <w:rFonts w:hAnsi="Calibri" w:eastAsia="Times New Roman"/>
                <w:color w:val="000000"/>
              </w:rPr>
            </w:pPr>
            <w:r>
              <w:rPr>
                <w:rFonts w:hint="eastAsia" w:hAnsi="Calibri"/>
                <w:color w:val="000000"/>
              </w:rPr>
              <w:t>（</w:t>
            </w:r>
            <w:r>
              <w:rPr>
                <w:rFonts w:hint="eastAsia" w:hAnsi="Calibri" w:eastAsia="Times New Roman"/>
                <w:color w:val="000000"/>
              </w:rPr>
              <w:t>7</w:t>
            </w:r>
            <w:r>
              <w:rPr>
                <w:rFonts w:hint="eastAsia" w:hAnsi="Calibri"/>
                <w:color w:val="000000"/>
              </w:rPr>
              <w:t>）退水不符合排入水域限制排污总量控制要求的；</w:t>
            </w:r>
          </w:p>
          <w:p>
            <w:pPr>
              <w:pStyle w:val="70"/>
              <w:jc w:val="both"/>
              <w:rPr>
                <w:rFonts w:hAnsi="Calibri" w:eastAsia="Times New Roman"/>
                <w:color w:val="000000"/>
              </w:rPr>
            </w:pPr>
            <w:r>
              <w:rPr>
                <w:rFonts w:hint="eastAsia" w:hAnsi="Calibri"/>
                <w:color w:val="000000"/>
              </w:rPr>
              <w:t>（</w:t>
            </w:r>
            <w:r>
              <w:rPr>
                <w:rFonts w:hint="eastAsia" w:hAnsi="Calibri" w:eastAsia="Times New Roman"/>
                <w:color w:val="000000"/>
              </w:rPr>
              <w:t>8</w:t>
            </w:r>
            <w:r>
              <w:rPr>
                <w:rFonts w:hint="eastAsia" w:hAnsi="Calibri"/>
                <w:color w:val="000000"/>
              </w:rPr>
              <w:t>）退水不符合地下水回补要求的；</w:t>
            </w:r>
          </w:p>
          <w:p>
            <w:pPr>
              <w:pStyle w:val="70"/>
              <w:jc w:val="both"/>
              <w:rPr>
                <w:rFonts w:hAnsi="Calibri" w:eastAsia="Times New Roman"/>
                <w:color w:val="000000"/>
              </w:rPr>
            </w:pPr>
            <w:r>
              <w:rPr>
                <w:rFonts w:hint="eastAsia" w:hAnsi="Calibri"/>
                <w:color w:val="000000"/>
              </w:rPr>
              <w:t>（</w:t>
            </w:r>
            <w:r>
              <w:rPr>
                <w:rFonts w:hint="eastAsia" w:hAnsi="Calibri" w:eastAsia="Times New Roman"/>
                <w:color w:val="000000"/>
              </w:rPr>
              <w:t>9</w:t>
            </w:r>
            <w:r>
              <w:rPr>
                <w:rFonts w:hint="eastAsia" w:hAnsi="Calibri"/>
                <w:color w:val="000000"/>
              </w:rPr>
              <w:t>）城市公共供水管网能够满足用水需求的。</w:t>
            </w:r>
          </w:p>
        </w:tc>
        <w:tc>
          <w:tcPr>
            <w:tcW w:w="3799" w:type="dxa"/>
            <w:shd w:val="clear" w:color="auto" w:fill="auto"/>
            <w:vAlign w:val="center"/>
          </w:tcPr>
          <w:p>
            <w:pPr>
              <w:pStyle w:val="70"/>
              <w:rPr>
                <w:rFonts w:hAnsi="Calibri" w:eastAsia="Times New Roman"/>
                <w:color w:val="000000"/>
              </w:rPr>
            </w:pPr>
            <w:r>
              <w:rPr>
                <w:rFonts w:hint="eastAsia" w:hAnsi="Calibri"/>
                <w:color w:val="000000"/>
              </w:rPr>
              <w:t>本项目不在集中式饮用水水源准保护区、二级保护区以及保护区内，本项目不开采地下水</w:t>
            </w:r>
          </w:p>
        </w:tc>
        <w:tc>
          <w:tcPr>
            <w:tcW w:w="426" w:type="dxa"/>
            <w:shd w:val="clear" w:color="auto" w:fill="auto"/>
            <w:vAlign w:val="center"/>
          </w:tcPr>
          <w:p>
            <w:pPr>
              <w:pStyle w:val="70"/>
              <w:rPr>
                <w:rFonts w:hAnsi="Calibri" w:eastAsia="Times New Roman"/>
                <w:color w:val="000000"/>
              </w:rPr>
            </w:pPr>
            <w:r>
              <w:rPr>
                <w:rFonts w:hint="eastAsia" w:hAnsi="Calibri"/>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96" w:type="dxa"/>
            <w:vMerge w:val="continue"/>
            <w:shd w:val="clear" w:color="auto" w:fill="auto"/>
            <w:vAlign w:val="center"/>
          </w:tcPr>
          <w:p>
            <w:pPr>
              <w:pStyle w:val="70"/>
              <w:rPr>
                <w:rFonts w:hAnsi="Calibri"/>
                <w:color w:val="000000"/>
              </w:rPr>
            </w:pPr>
          </w:p>
        </w:tc>
        <w:tc>
          <w:tcPr>
            <w:tcW w:w="535" w:type="dxa"/>
            <w:vMerge w:val="continue"/>
            <w:shd w:val="clear" w:color="auto" w:fill="auto"/>
            <w:vAlign w:val="center"/>
          </w:tcPr>
          <w:p>
            <w:pPr>
              <w:pStyle w:val="70"/>
              <w:rPr>
                <w:rFonts w:hAnsi="Calibri"/>
                <w:color w:val="000000"/>
              </w:rPr>
            </w:pPr>
          </w:p>
        </w:tc>
        <w:tc>
          <w:tcPr>
            <w:tcW w:w="1342" w:type="dxa"/>
            <w:vMerge w:val="continue"/>
            <w:shd w:val="clear" w:color="auto" w:fill="auto"/>
            <w:vAlign w:val="center"/>
          </w:tcPr>
          <w:p>
            <w:pPr>
              <w:pStyle w:val="70"/>
              <w:rPr>
                <w:rFonts w:hAnsi="Calibri"/>
                <w:color w:val="000000"/>
              </w:rPr>
            </w:pPr>
          </w:p>
        </w:tc>
        <w:tc>
          <w:tcPr>
            <w:tcW w:w="6550" w:type="dxa"/>
            <w:shd w:val="clear" w:color="auto" w:fill="auto"/>
            <w:vAlign w:val="center"/>
          </w:tcPr>
          <w:p>
            <w:pPr>
              <w:pStyle w:val="70"/>
              <w:jc w:val="both"/>
              <w:rPr>
                <w:rFonts w:hAnsi="Calibri" w:eastAsia="Times New Roman"/>
                <w:color w:val="000000"/>
              </w:rPr>
            </w:pPr>
            <w:r>
              <w:rPr>
                <w:rFonts w:hint="eastAsia" w:hAnsi="Calibri" w:eastAsia="Times New Roman"/>
                <w:color w:val="000000"/>
              </w:rPr>
              <w:t>1</w:t>
            </w:r>
            <w:r>
              <w:rPr>
                <w:rFonts w:hint="eastAsia" w:hAnsi="Calibri"/>
                <w:color w:val="000000"/>
              </w:rPr>
              <w:t>、木垒县、奇台县、吉木萨尔县城市建成区原则上不再新建每小时</w:t>
            </w:r>
            <w:r>
              <w:rPr>
                <w:rFonts w:hint="eastAsia" w:hAnsi="Calibri" w:eastAsia="Times New Roman"/>
                <w:color w:val="000000"/>
              </w:rPr>
              <w:t>35</w:t>
            </w:r>
            <w:r>
              <w:rPr>
                <w:rFonts w:hint="eastAsia" w:hAnsi="Calibri"/>
                <w:color w:val="000000"/>
              </w:rPr>
              <w:t>蒸吨以下的燃煤锅炉。</w:t>
            </w:r>
          </w:p>
          <w:p>
            <w:pPr>
              <w:pStyle w:val="70"/>
              <w:jc w:val="both"/>
              <w:rPr>
                <w:rFonts w:hAnsi="Calibri" w:eastAsia="Times New Roman"/>
                <w:color w:val="000000"/>
              </w:rPr>
            </w:pPr>
            <w:r>
              <w:rPr>
                <w:rFonts w:hint="eastAsia" w:hAnsi="Calibri" w:eastAsia="Times New Roman"/>
                <w:color w:val="000000"/>
              </w:rPr>
              <w:t>2</w:t>
            </w:r>
            <w:r>
              <w:rPr>
                <w:rFonts w:hint="eastAsia" w:hAnsi="Calibri"/>
                <w:color w:val="000000"/>
              </w:rPr>
              <w:t>、</w:t>
            </w:r>
            <w:r>
              <w:rPr>
                <w:rFonts w:ascii="Times New Roman" w:eastAsia="Times New Roman"/>
                <w:color w:val="000000"/>
              </w:rPr>
              <w:t>“</w:t>
            </w:r>
            <w:r>
              <w:rPr>
                <w:rFonts w:hint="eastAsia" w:hAnsi="Calibri"/>
                <w:color w:val="000000"/>
              </w:rPr>
              <w:t>乌</w:t>
            </w:r>
            <w:r>
              <w:rPr>
                <w:rFonts w:hint="eastAsia" w:hAnsi="Calibri" w:eastAsia="Times New Roman"/>
                <w:color w:val="000000"/>
              </w:rPr>
              <w:t>-</w:t>
            </w:r>
            <w:r>
              <w:rPr>
                <w:rFonts w:hint="eastAsia" w:hAnsi="Calibri"/>
                <w:color w:val="000000"/>
              </w:rPr>
              <w:t>昌</w:t>
            </w:r>
            <w:r>
              <w:rPr>
                <w:rFonts w:hint="eastAsia" w:hAnsi="Calibri" w:eastAsia="Times New Roman"/>
                <w:color w:val="000000"/>
              </w:rPr>
              <w:t>-</w:t>
            </w:r>
            <w:r>
              <w:rPr>
                <w:rFonts w:hint="eastAsia" w:hAnsi="Calibri"/>
                <w:color w:val="000000"/>
              </w:rPr>
              <w:t>石</w:t>
            </w:r>
            <w:r>
              <w:rPr>
                <w:rFonts w:ascii="Times New Roman" w:eastAsia="Times New Roman"/>
                <w:color w:val="000000"/>
              </w:rPr>
              <w:t>”</w:t>
            </w:r>
            <w:r>
              <w:rPr>
                <w:rFonts w:hint="eastAsia" w:hAnsi="Calibri"/>
                <w:color w:val="000000"/>
              </w:rPr>
              <w:t>区域各县级及以上城市建成区以及国家级、自治区级工业园区禁止新建每小时</w:t>
            </w:r>
            <w:r>
              <w:rPr>
                <w:rFonts w:hint="eastAsia" w:hAnsi="Calibri" w:eastAsia="Times New Roman"/>
                <w:color w:val="000000"/>
              </w:rPr>
              <w:t>65</w:t>
            </w:r>
            <w:r>
              <w:rPr>
                <w:rFonts w:hint="eastAsia" w:hAnsi="Calibri"/>
                <w:color w:val="000000"/>
              </w:rPr>
              <w:t>蒸吨以下燃煤锅炉；其他区域原则上不再新建每小时</w:t>
            </w:r>
            <w:r>
              <w:rPr>
                <w:rFonts w:hint="eastAsia" w:hAnsi="Calibri" w:eastAsia="Times New Roman"/>
                <w:color w:val="000000"/>
              </w:rPr>
              <w:t>10</w:t>
            </w:r>
            <w:r>
              <w:rPr>
                <w:rFonts w:hint="eastAsia" w:hAnsi="Calibri"/>
                <w:color w:val="000000"/>
              </w:rPr>
              <w:t>蒸吨及以下的燃煤锅炉。</w:t>
            </w:r>
          </w:p>
          <w:p>
            <w:pPr>
              <w:pStyle w:val="70"/>
              <w:jc w:val="both"/>
              <w:rPr>
                <w:rFonts w:hAnsi="Calibri" w:eastAsia="Times New Roman"/>
                <w:color w:val="000000"/>
              </w:rPr>
            </w:pPr>
            <w:r>
              <w:rPr>
                <w:rFonts w:hint="eastAsia" w:hAnsi="Calibri" w:eastAsia="Times New Roman"/>
                <w:color w:val="000000"/>
              </w:rPr>
              <w:t>3</w:t>
            </w:r>
            <w:r>
              <w:rPr>
                <w:rFonts w:hint="eastAsia" w:hAnsi="Calibri"/>
                <w:color w:val="000000"/>
              </w:rPr>
              <w:t>、禁止在</w:t>
            </w:r>
            <w:r>
              <w:rPr>
                <w:rFonts w:ascii="Times New Roman" w:eastAsia="Times New Roman"/>
                <w:color w:val="000000"/>
              </w:rPr>
              <w:t>“</w:t>
            </w:r>
            <w:r>
              <w:rPr>
                <w:rFonts w:hint="eastAsia" w:hAnsi="Calibri"/>
                <w:color w:val="000000"/>
              </w:rPr>
              <w:t>乌</w:t>
            </w:r>
            <w:r>
              <w:rPr>
                <w:rFonts w:hint="eastAsia" w:hAnsi="Calibri" w:eastAsia="Times New Roman"/>
                <w:color w:val="000000"/>
              </w:rPr>
              <w:t>-</w:t>
            </w:r>
            <w:r>
              <w:rPr>
                <w:rFonts w:hint="eastAsia" w:hAnsi="Calibri"/>
                <w:color w:val="000000"/>
              </w:rPr>
              <w:t>昌</w:t>
            </w:r>
            <w:r>
              <w:rPr>
                <w:rFonts w:hint="eastAsia" w:hAnsi="Calibri" w:eastAsia="Times New Roman"/>
                <w:color w:val="000000"/>
              </w:rPr>
              <w:t>-</w:t>
            </w:r>
            <w:r>
              <w:rPr>
                <w:rFonts w:hint="eastAsia" w:hAnsi="Calibri"/>
                <w:color w:val="000000"/>
              </w:rPr>
              <w:t>石</w:t>
            </w:r>
            <w:r>
              <w:rPr>
                <w:rFonts w:ascii="Times New Roman" w:eastAsia="Times New Roman"/>
                <w:color w:val="000000"/>
              </w:rPr>
              <w:t>”</w:t>
            </w:r>
            <w:r>
              <w:rPr>
                <w:rFonts w:hint="eastAsia" w:hAnsi="Calibri"/>
                <w:color w:val="000000"/>
              </w:rPr>
              <w:t>区域内</w:t>
            </w:r>
            <w:r>
              <w:rPr>
                <w:rFonts w:hint="eastAsia" w:hAnsi="Calibri" w:eastAsia="Times New Roman"/>
                <w:color w:val="000000"/>
              </w:rPr>
              <w:t>4</w:t>
            </w:r>
            <w:r>
              <w:rPr>
                <w:rFonts w:hint="eastAsia" w:hAnsi="Calibri"/>
                <w:color w:val="000000"/>
              </w:rPr>
              <w:t>县市</w:t>
            </w:r>
            <w:r>
              <w:rPr>
                <w:rFonts w:hint="eastAsia" w:hAnsi="Calibri" w:eastAsia="Times New Roman"/>
                <w:color w:val="000000"/>
              </w:rPr>
              <w:t>2</w:t>
            </w:r>
            <w:r>
              <w:rPr>
                <w:rFonts w:hint="eastAsia" w:hAnsi="Calibri"/>
                <w:color w:val="000000"/>
              </w:rPr>
              <w:t>园区新增燃煤机组装机规模。</w:t>
            </w:r>
          </w:p>
          <w:p>
            <w:pPr>
              <w:pStyle w:val="70"/>
              <w:jc w:val="both"/>
              <w:rPr>
                <w:rFonts w:hAnsi="Calibri" w:eastAsia="Times New Roman"/>
                <w:color w:val="000000"/>
              </w:rPr>
            </w:pPr>
            <w:r>
              <w:rPr>
                <w:rFonts w:hint="eastAsia" w:hAnsi="Calibri" w:eastAsia="Times New Roman"/>
                <w:color w:val="000000"/>
              </w:rPr>
              <w:t>4</w:t>
            </w:r>
            <w:r>
              <w:rPr>
                <w:rFonts w:hint="eastAsia" w:hAnsi="Calibri"/>
                <w:color w:val="000000"/>
              </w:rPr>
              <w:t>、化肥行业固定床间歇式煤气化炉禁止掺烧高硫石油焦。</w:t>
            </w:r>
          </w:p>
          <w:p>
            <w:pPr>
              <w:pStyle w:val="70"/>
              <w:jc w:val="both"/>
              <w:rPr>
                <w:rFonts w:hAnsi="Calibri" w:eastAsia="Times New Roman"/>
                <w:color w:val="000000"/>
              </w:rPr>
            </w:pPr>
            <w:r>
              <w:rPr>
                <w:rFonts w:hint="eastAsia" w:hAnsi="Calibri" w:eastAsia="Times New Roman"/>
                <w:color w:val="000000"/>
              </w:rPr>
              <w:t>5</w:t>
            </w:r>
            <w:r>
              <w:rPr>
                <w:rFonts w:hint="eastAsia" w:hAnsi="Calibri"/>
                <w:color w:val="000000"/>
              </w:rPr>
              <w:t>、禁止销售低于国六标准的车用汽柴油。</w:t>
            </w:r>
          </w:p>
          <w:p>
            <w:pPr>
              <w:pStyle w:val="70"/>
              <w:jc w:val="both"/>
              <w:rPr>
                <w:rFonts w:hAnsi="Calibri" w:eastAsia="Times New Roman"/>
                <w:color w:val="000000"/>
              </w:rPr>
            </w:pPr>
            <w:r>
              <w:rPr>
                <w:rFonts w:hint="eastAsia" w:hAnsi="Calibri" w:eastAsia="Times New Roman"/>
                <w:color w:val="000000"/>
              </w:rPr>
              <w:t>6</w:t>
            </w:r>
            <w:r>
              <w:rPr>
                <w:rFonts w:hint="eastAsia" w:hAnsi="Calibri"/>
                <w:color w:val="000000"/>
              </w:rPr>
              <w:t>、禁止销售和使用不合格油品和车用尿素行为。</w:t>
            </w:r>
          </w:p>
          <w:p>
            <w:pPr>
              <w:pStyle w:val="70"/>
              <w:jc w:val="both"/>
              <w:rPr>
                <w:rFonts w:hAnsi="Calibri" w:eastAsia="Times New Roman"/>
                <w:color w:val="000000"/>
              </w:rPr>
            </w:pPr>
            <w:r>
              <w:rPr>
                <w:rFonts w:hint="eastAsia" w:hAnsi="Calibri" w:eastAsia="Times New Roman"/>
                <w:color w:val="000000"/>
              </w:rPr>
              <w:t>7</w:t>
            </w:r>
            <w:r>
              <w:rPr>
                <w:rFonts w:hint="eastAsia" w:hAnsi="Calibri"/>
                <w:color w:val="000000"/>
              </w:rPr>
              <w:t>、禁止以化工原料名义出售调和油组分。</w:t>
            </w:r>
          </w:p>
          <w:p>
            <w:pPr>
              <w:pStyle w:val="70"/>
              <w:jc w:val="both"/>
              <w:rPr>
                <w:rFonts w:hAnsi="Calibri" w:eastAsia="Times New Roman"/>
                <w:color w:val="000000"/>
              </w:rPr>
            </w:pPr>
            <w:r>
              <w:rPr>
                <w:rFonts w:hint="eastAsia" w:hAnsi="Calibri" w:eastAsia="Times New Roman"/>
                <w:color w:val="000000"/>
              </w:rPr>
              <w:t>8</w:t>
            </w:r>
            <w:r>
              <w:rPr>
                <w:rFonts w:hint="eastAsia" w:hAnsi="Calibri"/>
                <w:color w:val="000000"/>
              </w:rPr>
              <w:t>、禁止以化工原料勾兑调和油。</w:t>
            </w:r>
          </w:p>
          <w:p>
            <w:pPr>
              <w:pStyle w:val="70"/>
              <w:jc w:val="both"/>
              <w:rPr>
                <w:rFonts w:hAnsi="Calibri" w:eastAsia="Times New Roman"/>
                <w:color w:val="000000"/>
              </w:rPr>
            </w:pPr>
            <w:r>
              <w:rPr>
                <w:rFonts w:hint="eastAsia" w:hAnsi="Calibri" w:eastAsia="Times New Roman"/>
                <w:color w:val="000000"/>
              </w:rPr>
              <w:t>9</w:t>
            </w:r>
            <w:r>
              <w:rPr>
                <w:rFonts w:hint="eastAsia" w:hAnsi="Calibri"/>
                <w:color w:val="000000"/>
              </w:rPr>
              <w:t>、严禁运输企业储存使用非标油。</w:t>
            </w:r>
          </w:p>
        </w:tc>
        <w:tc>
          <w:tcPr>
            <w:tcW w:w="3799" w:type="dxa"/>
            <w:shd w:val="clear" w:color="auto" w:fill="auto"/>
            <w:vAlign w:val="center"/>
          </w:tcPr>
          <w:p>
            <w:pPr>
              <w:pStyle w:val="70"/>
              <w:rPr>
                <w:rFonts w:hAnsi="Calibri" w:eastAsia="Times New Roman"/>
                <w:color w:val="000000"/>
              </w:rPr>
            </w:pPr>
            <w:r>
              <w:rPr>
                <w:rFonts w:hint="eastAsia" w:hAnsi="Calibri"/>
                <w:color w:val="000000"/>
              </w:rPr>
              <w:t>本项目不建设燃煤锅炉等设施，不涉及销售行为</w:t>
            </w:r>
          </w:p>
        </w:tc>
        <w:tc>
          <w:tcPr>
            <w:tcW w:w="426" w:type="dxa"/>
            <w:shd w:val="clear" w:color="auto" w:fill="auto"/>
            <w:vAlign w:val="center"/>
          </w:tcPr>
          <w:p>
            <w:pPr>
              <w:pStyle w:val="70"/>
              <w:rPr>
                <w:rFonts w:hAnsi="Calibri" w:eastAsia="Times New Roman"/>
                <w:color w:val="000000"/>
              </w:rPr>
            </w:pPr>
            <w:r>
              <w:rPr>
                <w:rFonts w:hint="eastAsia" w:hAnsi="Calibri"/>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96" w:type="dxa"/>
            <w:vMerge w:val="continue"/>
            <w:shd w:val="clear" w:color="auto" w:fill="auto"/>
            <w:vAlign w:val="center"/>
          </w:tcPr>
          <w:p>
            <w:pPr>
              <w:pStyle w:val="70"/>
              <w:rPr>
                <w:rFonts w:hAnsi="Calibri"/>
                <w:color w:val="000000"/>
              </w:rPr>
            </w:pPr>
          </w:p>
        </w:tc>
        <w:tc>
          <w:tcPr>
            <w:tcW w:w="535" w:type="dxa"/>
            <w:vMerge w:val="continue"/>
            <w:shd w:val="clear" w:color="auto" w:fill="auto"/>
            <w:vAlign w:val="center"/>
          </w:tcPr>
          <w:p>
            <w:pPr>
              <w:pStyle w:val="70"/>
              <w:rPr>
                <w:rFonts w:hAnsi="Calibri"/>
                <w:color w:val="000000"/>
              </w:rPr>
            </w:pPr>
          </w:p>
        </w:tc>
        <w:tc>
          <w:tcPr>
            <w:tcW w:w="1342" w:type="dxa"/>
            <w:vMerge w:val="continue"/>
            <w:shd w:val="clear" w:color="auto" w:fill="auto"/>
            <w:vAlign w:val="center"/>
          </w:tcPr>
          <w:p>
            <w:pPr>
              <w:pStyle w:val="70"/>
              <w:rPr>
                <w:rFonts w:hAnsi="Calibri"/>
                <w:color w:val="000000"/>
              </w:rPr>
            </w:pPr>
          </w:p>
        </w:tc>
        <w:tc>
          <w:tcPr>
            <w:tcW w:w="6550" w:type="dxa"/>
            <w:shd w:val="clear" w:color="auto" w:fill="auto"/>
            <w:vAlign w:val="center"/>
          </w:tcPr>
          <w:p>
            <w:pPr>
              <w:pStyle w:val="70"/>
              <w:jc w:val="both"/>
              <w:rPr>
                <w:rFonts w:hAnsi="Calibri" w:eastAsia="Times New Roman"/>
                <w:color w:val="000000"/>
              </w:rPr>
            </w:pPr>
            <w:r>
              <w:rPr>
                <w:rFonts w:hint="eastAsia" w:hAnsi="Calibri" w:eastAsia="Times New Roman"/>
                <w:color w:val="000000"/>
              </w:rPr>
              <w:t>1</w:t>
            </w:r>
            <w:r>
              <w:rPr>
                <w:rFonts w:hint="eastAsia" w:hAnsi="Calibri"/>
                <w:color w:val="000000"/>
              </w:rPr>
              <w:t>、禁止新建未纳入《石化产业规划布局方案》的炼化项目。</w:t>
            </w:r>
          </w:p>
        </w:tc>
        <w:tc>
          <w:tcPr>
            <w:tcW w:w="3799" w:type="dxa"/>
            <w:shd w:val="clear" w:color="auto" w:fill="auto"/>
            <w:vAlign w:val="center"/>
          </w:tcPr>
          <w:p>
            <w:pPr>
              <w:pStyle w:val="70"/>
              <w:rPr>
                <w:rFonts w:hAnsi="Calibri" w:eastAsia="Times New Roman"/>
                <w:color w:val="000000"/>
              </w:rPr>
            </w:pPr>
            <w:r>
              <w:rPr>
                <w:rFonts w:hint="eastAsia" w:hAnsi="Calibri"/>
                <w:color w:val="000000"/>
              </w:rPr>
              <w:t>本项目不属于炼化项目</w:t>
            </w:r>
          </w:p>
        </w:tc>
        <w:tc>
          <w:tcPr>
            <w:tcW w:w="426" w:type="dxa"/>
            <w:shd w:val="clear" w:color="auto" w:fill="auto"/>
            <w:vAlign w:val="center"/>
          </w:tcPr>
          <w:p>
            <w:pPr>
              <w:pStyle w:val="70"/>
              <w:rPr>
                <w:rFonts w:hAnsi="Calibri" w:eastAsia="Times New Roman"/>
                <w:color w:val="000000"/>
              </w:rPr>
            </w:pPr>
            <w:r>
              <w:rPr>
                <w:rFonts w:hint="eastAsia" w:hAnsi="Calibri"/>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96" w:type="dxa"/>
            <w:vMerge w:val="continue"/>
            <w:shd w:val="clear" w:color="auto" w:fill="auto"/>
            <w:vAlign w:val="center"/>
          </w:tcPr>
          <w:p>
            <w:pPr>
              <w:pStyle w:val="70"/>
              <w:rPr>
                <w:rFonts w:hAnsi="Calibri"/>
                <w:color w:val="000000"/>
              </w:rPr>
            </w:pPr>
          </w:p>
        </w:tc>
        <w:tc>
          <w:tcPr>
            <w:tcW w:w="535" w:type="dxa"/>
            <w:vMerge w:val="continue"/>
            <w:shd w:val="clear" w:color="auto" w:fill="auto"/>
            <w:vAlign w:val="center"/>
          </w:tcPr>
          <w:p>
            <w:pPr>
              <w:pStyle w:val="70"/>
              <w:rPr>
                <w:rFonts w:hAnsi="Calibri"/>
                <w:color w:val="000000"/>
              </w:rPr>
            </w:pPr>
          </w:p>
        </w:tc>
        <w:tc>
          <w:tcPr>
            <w:tcW w:w="1342" w:type="dxa"/>
            <w:vMerge w:val="continue"/>
            <w:shd w:val="clear" w:color="auto" w:fill="auto"/>
            <w:vAlign w:val="center"/>
          </w:tcPr>
          <w:p>
            <w:pPr>
              <w:pStyle w:val="70"/>
              <w:rPr>
                <w:rFonts w:hAnsi="Calibri"/>
                <w:color w:val="000000"/>
              </w:rPr>
            </w:pPr>
          </w:p>
        </w:tc>
        <w:tc>
          <w:tcPr>
            <w:tcW w:w="6550" w:type="dxa"/>
            <w:shd w:val="clear" w:color="auto" w:fill="auto"/>
            <w:vAlign w:val="center"/>
          </w:tcPr>
          <w:p>
            <w:pPr>
              <w:pStyle w:val="70"/>
              <w:jc w:val="both"/>
              <w:rPr>
                <w:rFonts w:hAnsi="Calibri" w:eastAsia="Times New Roman"/>
                <w:color w:val="000000"/>
              </w:rPr>
            </w:pPr>
            <w:r>
              <w:rPr>
                <w:rFonts w:hint="eastAsia" w:hAnsi="Calibri" w:eastAsia="Times New Roman"/>
                <w:color w:val="000000"/>
              </w:rPr>
              <w:t>1</w:t>
            </w:r>
            <w:r>
              <w:rPr>
                <w:rFonts w:hint="eastAsia" w:hAnsi="Calibri"/>
                <w:color w:val="000000"/>
              </w:rPr>
              <w:t>、水质不能稳定达标的区域，禁止建设新增相应不达标污染物指标排放量的工业项目。</w:t>
            </w:r>
          </w:p>
          <w:p>
            <w:pPr>
              <w:pStyle w:val="70"/>
              <w:jc w:val="both"/>
              <w:rPr>
                <w:rFonts w:hAnsi="Calibri" w:eastAsia="Times New Roman"/>
                <w:color w:val="000000"/>
              </w:rPr>
            </w:pPr>
            <w:r>
              <w:rPr>
                <w:rFonts w:hint="eastAsia" w:hAnsi="Calibri" w:eastAsia="Times New Roman"/>
                <w:color w:val="000000"/>
              </w:rPr>
              <w:t>2</w:t>
            </w:r>
            <w:r>
              <w:rPr>
                <w:rFonts w:hint="eastAsia" w:hAnsi="Calibri"/>
                <w:color w:val="000000"/>
              </w:rPr>
              <w:t>、禁止不符合环境管理要求的污泥进入耕地。</w:t>
            </w:r>
          </w:p>
          <w:p>
            <w:pPr>
              <w:pStyle w:val="70"/>
              <w:jc w:val="both"/>
              <w:rPr>
                <w:rFonts w:hAnsi="Calibri" w:eastAsia="Times New Roman"/>
                <w:color w:val="000000"/>
              </w:rPr>
            </w:pPr>
            <w:r>
              <w:rPr>
                <w:rFonts w:hint="eastAsia" w:hAnsi="Calibri" w:eastAsia="Times New Roman"/>
                <w:color w:val="000000"/>
              </w:rPr>
              <w:t>3</w:t>
            </w:r>
            <w:r>
              <w:rPr>
                <w:rFonts w:hint="eastAsia" w:hAnsi="Calibri"/>
                <w:color w:val="000000"/>
              </w:rPr>
              <w:t>、禁止生产、销售不符合节水标准的产品、设备。</w:t>
            </w:r>
          </w:p>
          <w:p>
            <w:pPr>
              <w:pStyle w:val="70"/>
              <w:jc w:val="both"/>
              <w:rPr>
                <w:rFonts w:hAnsi="Calibri" w:eastAsia="Times New Roman"/>
                <w:color w:val="000000"/>
              </w:rPr>
            </w:pPr>
            <w:r>
              <w:rPr>
                <w:rFonts w:hint="eastAsia" w:hAnsi="Calibri" w:eastAsia="Times New Roman"/>
                <w:color w:val="000000"/>
              </w:rPr>
              <w:t>4</w:t>
            </w:r>
            <w:r>
              <w:rPr>
                <w:rFonts w:hint="eastAsia" w:hAnsi="Calibri"/>
                <w:color w:val="000000"/>
              </w:rPr>
              <w:t>、禁止无证排污和不按许可证规定排污。</w:t>
            </w:r>
          </w:p>
          <w:p>
            <w:pPr>
              <w:pStyle w:val="70"/>
              <w:jc w:val="both"/>
              <w:rPr>
                <w:rFonts w:hAnsi="Calibri" w:eastAsia="Times New Roman"/>
                <w:color w:val="000000"/>
              </w:rPr>
            </w:pPr>
            <w:r>
              <w:rPr>
                <w:rFonts w:hint="eastAsia" w:hAnsi="Calibri" w:eastAsia="Times New Roman"/>
                <w:color w:val="000000"/>
              </w:rPr>
              <w:t>5</w:t>
            </w:r>
            <w:r>
              <w:rPr>
                <w:rFonts w:hint="eastAsia" w:hAnsi="Calibri"/>
                <w:color w:val="000000"/>
              </w:rPr>
              <w:t>、禁止侵占自然湿地等水源涵养空间，已侵占的要限期予以恢复。</w:t>
            </w:r>
          </w:p>
        </w:tc>
        <w:tc>
          <w:tcPr>
            <w:tcW w:w="3799" w:type="dxa"/>
            <w:shd w:val="clear" w:color="auto" w:fill="auto"/>
            <w:vAlign w:val="center"/>
          </w:tcPr>
          <w:p>
            <w:pPr>
              <w:pStyle w:val="70"/>
              <w:rPr>
                <w:rFonts w:hAnsi="Calibri" w:eastAsia="Times New Roman"/>
                <w:color w:val="000000"/>
              </w:rPr>
            </w:pPr>
            <w:r>
              <w:rPr>
                <w:rFonts w:hint="eastAsia" w:hAnsi="Calibri"/>
                <w:color w:val="000000"/>
              </w:rPr>
              <w:t>本项目无废水外排，不占用耕地，不涉及自然湿地等水源涵养空间，不涉及生产、销售行为，无需申领排污许可证。</w:t>
            </w:r>
          </w:p>
        </w:tc>
        <w:tc>
          <w:tcPr>
            <w:tcW w:w="426" w:type="dxa"/>
            <w:shd w:val="clear" w:color="auto" w:fill="auto"/>
            <w:vAlign w:val="center"/>
          </w:tcPr>
          <w:p>
            <w:pPr>
              <w:pStyle w:val="70"/>
              <w:rPr>
                <w:rFonts w:hAnsi="Calibri" w:eastAsia="Times New Roman"/>
                <w:color w:val="000000"/>
              </w:rPr>
            </w:pPr>
            <w:r>
              <w:rPr>
                <w:rFonts w:hint="eastAsia" w:hAnsi="Calibri"/>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96" w:type="dxa"/>
            <w:vMerge w:val="continue"/>
            <w:shd w:val="clear" w:color="auto" w:fill="auto"/>
            <w:vAlign w:val="center"/>
          </w:tcPr>
          <w:p>
            <w:pPr>
              <w:pStyle w:val="70"/>
              <w:rPr>
                <w:rFonts w:hAnsi="Calibri"/>
                <w:color w:val="000000"/>
              </w:rPr>
            </w:pPr>
          </w:p>
        </w:tc>
        <w:tc>
          <w:tcPr>
            <w:tcW w:w="535" w:type="dxa"/>
            <w:vMerge w:val="continue"/>
            <w:shd w:val="clear" w:color="auto" w:fill="auto"/>
            <w:vAlign w:val="center"/>
          </w:tcPr>
          <w:p>
            <w:pPr>
              <w:pStyle w:val="70"/>
              <w:rPr>
                <w:rFonts w:hAnsi="Calibri"/>
                <w:color w:val="000000"/>
              </w:rPr>
            </w:pPr>
          </w:p>
        </w:tc>
        <w:tc>
          <w:tcPr>
            <w:tcW w:w="1342" w:type="dxa"/>
            <w:vMerge w:val="continue"/>
            <w:shd w:val="clear" w:color="auto" w:fill="auto"/>
            <w:vAlign w:val="center"/>
          </w:tcPr>
          <w:p>
            <w:pPr>
              <w:pStyle w:val="70"/>
              <w:rPr>
                <w:rFonts w:hAnsi="Calibri"/>
                <w:color w:val="000000"/>
              </w:rPr>
            </w:pPr>
          </w:p>
        </w:tc>
        <w:tc>
          <w:tcPr>
            <w:tcW w:w="6550" w:type="dxa"/>
            <w:shd w:val="clear" w:color="auto" w:fill="auto"/>
            <w:vAlign w:val="center"/>
          </w:tcPr>
          <w:p>
            <w:pPr>
              <w:pStyle w:val="70"/>
              <w:jc w:val="both"/>
              <w:rPr>
                <w:rFonts w:hAnsi="Calibri" w:eastAsia="Times New Roman"/>
                <w:color w:val="000000"/>
              </w:rPr>
            </w:pPr>
            <w:r>
              <w:rPr>
                <w:rFonts w:hint="eastAsia" w:hAnsi="Calibri" w:eastAsia="Times New Roman"/>
                <w:color w:val="000000"/>
              </w:rPr>
              <w:t>1</w:t>
            </w:r>
            <w:r>
              <w:rPr>
                <w:rFonts w:hint="eastAsia" w:hAnsi="Calibri"/>
                <w:color w:val="000000"/>
              </w:rPr>
              <w:t>、对严格管控类耕地要严格管制用途，依法将其划定为农产品禁止生产区域，禁止种植食用农产品。</w:t>
            </w:r>
          </w:p>
          <w:p>
            <w:pPr>
              <w:pStyle w:val="70"/>
              <w:jc w:val="both"/>
              <w:rPr>
                <w:rFonts w:hAnsi="Calibri" w:eastAsia="Times New Roman"/>
                <w:color w:val="000000"/>
              </w:rPr>
            </w:pPr>
            <w:r>
              <w:rPr>
                <w:rFonts w:hint="eastAsia" w:hAnsi="Calibri" w:eastAsia="Times New Roman"/>
                <w:color w:val="000000"/>
              </w:rPr>
              <w:t>2</w:t>
            </w:r>
            <w:r>
              <w:rPr>
                <w:rFonts w:hint="eastAsia" w:hAnsi="Calibri"/>
                <w:color w:val="000000"/>
              </w:rPr>
              <w:t>、禁止在居民区、学校、医疗和养老机构等周边新建土壤环境重点监管行业企业。</w:t>
            </w:r>
          </w:p>
          <w:p>
            <w:pPr>
              <w:pStyle w:val="70"/>
              <w:jc w:val="both"/>
              <w:rPr>
                <w:rFonts w:hAnsi="Calibri" w:eastAsia="Times New Roman"/>
                <w:color w:val="000000"/>
              </w:rPr>
            </w:pPr>
            <w:r>
              <w:rPr>
                <w:rFonts w:hint="eastAsia" w:hAnsi="Calibri" w:eastAsia="Times New Roman"/>
                <w:color w:val="000000"/>
              </w:rPr>
              <w:t>3</w:t>
            </w:r>
            <w:r>
              <w:rPr>
                <w:rFonts w:hint="eastAsia" w:hAnsi="Calibri"/>
                <w:color w:val="000000"/>
              </w:rPr>
              <w:t>、将重度污染的牧草地纳入禁牧休牧实施范围。</w:t>
            </w:r>
          </w:p>
          <w:p>
            <w:pPr>
              <w:pStyle w:val="70"/>
              <w:jc w:val="both"/>
              <w:rPr>
                <w:rFonts w:hAnsi="Calibri" w:eastAsia="Times New Roman"/>
                <w:color w:val="000000"/>
              </w:rPr>
            </w:pPr>
            <w:r>
              <w:rPr>
                <w:rFonts w:hint="eastAsia" w:hAnsi="Calibri" w:eastAsia="Times New Roman"/>
                <w:color w:val="000000"/>
              </w:rPr>
              <w:t>4</w:t>
            </w:r>
            <w:r>
              <w:rPr>
                <w:rFonts w:hint="eastAsia" w:hAnsi="Calibri"/>
                <w:color w:val="000000"/>
              </w:rPr>
              <w:t>、禁止工矿企业在废水、废气和废渣处置过程中将污染物向土壤环境转移。</w:t>
            </w:r>
          </w:p>
          <w:p>
            <w:pPr>
              <w:pStyle w:val="70"/>
              <w:jc w:val="both"/>
              <w:rPr>
                <w:rFonts w:hAnsi="Calibri" w:eastAsia="Times New Roman"/>
                <w:color w:val="000000"/>
              </w:rPr>
            </w:pPr>
            <w:r>
              <w:rPr>
                <w:rFonts w:hint="eastAsia" w:hAnsi="Calibri" w:eastAsia="Times New Roman"/>
                <w:color w:val="000000"/>
              </w:rPr>
              <w:t>5</w:t>
            </w:r>
            <w:r>
              <w:rPr>
                <w:rFonts w:hint="eastAsia" w:hAnsi="Calibri"/>
                <w:color w:val="000000"/>
              </w:rPr>
              <w:t>、除法律规定的重点建设项目选址确实无法避让外，其他任何建设不得占用基本农田。</w:t>
            </w:r>
          </w:p>
          <w:p>
            <w:pPr>
              <w:pStyle w:val="70"/>
              <w:jc w:val="both"/>
              <w:rPr>
                <w:rFonts w:hAnsi="Calibri" w:eastAsia="Times New Roman"/>
                <w:color w:val="000000"/>
              </w:rPr>
            </w:pPr>
            <w:r>
              <w:rPr>
                <w:rFonts w:hint="eastAsia" w:hAnsi="Calibri" w:eastAsia="Times New Roman"/>
                <w:color w:val="000000"/>
              </w:rPr>
              <w:t>6</w:t>
            </w:r>
            <w:r>
              <w:rPr>
                <w:rFonts w:hint="eastAsia" w:hAnsi="Calibri"/>
                <w:color w:val="000000"/>
              </w:rPr>
              <w:t>、执行重金属行业准入条件，禁止新建落后产能或产能严重过剩行业的建设项目。</w:t>
            </w:r>
          </w:p>
          <w:p>
            <w:pPr>
              <w:pStyle w:val="70"/>
              <w:jc w:val="both"/>
              <w:rPr>
                <w:rFonts w:hAnsi="Calibri" w:eastAsia="Times New Roman"/>
                <w:color w:val="000000"/>
              </w:rPr>
            </w:pPr>
            <w:r>
              <w:rPr>
                <w:rFonts w:hint="eastAsia" w:hAnsi="Calibri" w:eastAsia="Times New Roman"/>
                <w:color w:val="000000"/>
              </w:rPr>
              <w:t>7</w:t>
            </w:r>
            <w:r>
              <w:rPr>
                <w:rFonts w:hint="eastAsia" w:hAnsi="Calibri"/>
                <w:color w:val="000000"/>
              </w:rPr>
              <w:t>、禁止使用高毒、高残留农药。</w:t>
            </w:r>
          </w:p>
          <w:p>
            <w:pPr>
              <w:pStyle w:val="70"/>
              <w:jc w:val="both"/>
              <w:rPr>
                <w:rFonts w:hAnsi="Calibri" w:eastAsia="Times New Roman"/>
                <w:color w:val="000000"/>
              </w:rPr>
            </w:pPr>
            <w:r>
              <w:rPr>
                <w:rFonts w:hint="eastAsia" w:hAnsi="Calibri" w:eastAsia="Times New Roman"/>
                <w:color w:val="000000"/>
              </w:rPr>
              <w:t>8</w:t>
            </w:r>
            <w:r>
              <w:rPr>
                <w:rFonts w:hint="eastAsia" w:hAnsi="Calibri"/>
                <w:color w:val="000000"/>
              </w:rPr>
              <w:t>、严禁将城镇生活垃圾、污泥、工业废物直接用作肥料。</w:t>
            </w:r>
          </w:p>
        </w:tc>
        <w:tc>
          <w:tcPr>
            <w:tcW w:w="3799" w:type="dxa"/>
            <w:shd w:val="clear" w:color="auto" w:fill="auto"/>
            <w:vAlign w:val="center"/>
          </w:tcPr>
          <w:p>
            <w:pPr>
              <w:pStyle w:val="70"/>
              <w:rPr>
                <w:rFonts w:hAnsi="Calibri" w:eastAsia="Times New Roman"/>
                <w:color w:val="000000"/>
              </w:rPr>
            </w:pPr>
            <w:r>
              <w:rPr>
                <w:rFonts w:hint="eastAsia" w:hAnsi="Calibri"/>
                <w:color w:val="000000"/>
              </w:rPr>
              <w:t>本项目不占用耕地，不在城市建成区内。施工期严格落实污染物处置。</w:t>
            </w:r>
          </w:p>
        </w:tc>
        <w:tc>
          <w:tcPr>
            <w:tcW w:w="426" w:type="dxa"/>
            <w:shd w:val="clear" w:color="auto" w:fill="auto"/>
            <w:vAlign w:val="center"/>
          </w:tcPr>
          <w:p>
            <w:pPr>
              <w:pStyle w:val="70"/>
              <w:rPr>
                <w:rFonts w:hAnsi="Calibri" w:eastAsia="Times New Roman"/>
                <w:color w:val="000000"/>
              </w:rPr>
            </w:pPr>
            <w:r>
              <w:rPr>
                <w:rFonts w:hint="eastAsia" w:hAnsi="Calibri"/>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96" w:type="dxa"/>
            <w:vMerge w:val="continue"/>
            <w:shd w:val="clear" w:color="auto" w:fill="auto"/>
            <w:vAlign w:val="center"/>
          </w:tcPr>
          <w:p>
            <w:pPr>
              <w:pStyle w:val="70"/>
              <w:rPr>
                <w:rFonts w:hAnsi="Calibri"/>
                <w:color w:val="000000"/>
              </w:rPr>
            </w:pPr>
          </w:p>
        </w:tc>
        <w:tc>
          <w:tcPr>
            <w:tcW w:w="535" w:type="dxa"/>
            <w:vMerge w:val="continue"/>
            <w:shd w:val="clear" w:color="auto" w:fill="auto"/>
            <w:vAlign w:val="center"/>
          </w:tcPr>
          <w:p>
            <w:pPr>
              <w:pStyle w:val="70"/>
              <w:rPr>
                <w:rFonts w:hAnsi="Calibri"/>
                <w:color w:val="000000"/>
              </w:rPr>
            </w:pPr>
          </w:p>
        </w:tc>
        <w:tc>
          <w:tcPr>
            <w:tcW w:w="1342" w:type="dxa"/>
            <w:vMerge w:val="continue"/>
            <w:shd w:val="clear" w:color="auto" w:fill="auto"/>
            <w:vAlign w:val="center"/>
          </w:tcPr>
          <w:p>
            <w:pPr>
              <w:pStyle w:val="70"/>
              <w:rPr>
                <w:rFonts w:hAnsi="Calibri"/>
                <w:color w:val="000000"/>
              </w:rPr>
            </w:pPr>
          </w:p>
        </w:tc>
        <w:tc>
          <w:tcPr>
            <w:tcW w:w="6550" w:type="dxa"/>
            <w:shd w:val="clear" w:color="auto" w:fill="auto"/>
            <w:vAlign w:val="center"/>
          </w:tcPr>
          <w:p>
            <w:pPr>
              <w:pStyle w:val="70"/>
              <w:jc w:val="both"/>
              <w:rPr>
                <w:rFonts w:hAnsi="Calibri" w:eastAsia="Times New Roman"/>
                <w:color w:val="000000"/>
              </w:rPr>
            </w:pPr>
            <w:r>
              <w:rPr>
                <w:rFonts w:hint="eastAsia" w:hAnsi="Calibri" w:eastAsia="Times New Roman"/>
                <w:color w:val="000000"/>
              </w:rPr>
              <w:t>1</w:t>
            </w:r>
            <w:r>
              <w:rPr>
                <w:rFonts w:hint="eastAsia" w:hAnsi="Calibri"/>
                <w:color w:val="000000"/>
              </w:rPr>
              <w:t>、根据控制单元水质目标和主体功能区划要求，实施差别化环境准入政策，严禁</w:t>
            </w:r>
            <w:r>
              <w:rPr>
                <w:rFonts w:ascii="Times New Roman" w:eastAsia="Times New Roman"/>
                <w:color w:val="000000"/>
              </w:rPr>
              <w:t>“</w:t>
            </w:r>
            <w:r>
              <w:rPr>
                <w:rFonts w:hint="eastAsia" w:hAnsi="Calibri"/>
                <w:color w:val="000000"/>
              </w:rPr>
              <w:t>三高</w:t>
            </w:r>
            <w:r>
              <w:rPr>
                <w:rFonts w:ascii="Times New Roman" w:eastAsia="Times New Roman"/>
                <w:color w:val="000000"/>
              </w:rPr>
              <w:t>”</w:t>
            </w:r>
            <w:r>
              <w:rPr>
                <w:rFonts w:hint="eastAsia" w:hAnsi="Calibri"/>
                <w:color w:val="000000"/>
              </w:rPr>
              <w:t>项目进昌吉。</w:t>
            </w:r>
          </w:p>
        </w:tc>
        <w:tc>
          <w:tcPr>
            <w:tcW w:w="3799" w:type="dxa"/>
            <w:shd w:val="clear" w:color="auto" w:fill="auto"/>
            <w:vAlign w:val="center"/>
          </w:tcPr>
          <w:p>
            <w:pPr>
              <w:pStyle w:val="70"/>
              <w:rPr>
                <w:rFonts w:hAnsi="Calibri" w:eastAsia="Times New Roman"/>
                <w:color w:val="000000"/>
              </w:rPr>
            </w:pPr>
            <w:r>
              <w:rPr>
                <w:rFonts w:hint="eastAsia" w:hAnsi="Calibri"/>
                <w:color w:val="000000"/>
              </w:rPr>
              <w:t>本项目不属于</w:t>
            </w:r>
            <w:r>
              <w:rPr>
                <w:rFonts w:ascii="Times New Roman" w:eastAsia="Times New Roman"/>
                <w:color w:val="000000"/>
              </w:rPr>
              <w:t>“</w:t>
            </w:r>
            <w:r>
              <w:rPr>
                <w:rFonts w:hint="eastAsia" w:hAnsi="Calibri"/>
                <w:color w:val="000000"/>
              </w:rPr>
              <w:t>三高</w:t>
            </w:r>
            <w:r>
              <w:rPr>
                <w:rFonts w:ascii="Times New Roman" w:eastAsia="Times New Roman"/>
                <w:color w:val="000000"/>
              </w:rPr>
              <w:t>”</w:t>
            </w:r>
            <w:r>
              <w:rPr>
                <w:rFonts w:hint="eastAsia" w:hAnsi="Calibri"/>
                <w:color w:val="000000"/>
              </w:rPr>
              <w:t>项目</w:t>
            </w:r>
          </w:p>
        </w:tc>
        <w:tc>
          <w:tcPr>
            <w:tcW w:w="426" w:type="dxa"/>
            <w:shd w:val="clear" w:color="auto" w:fill="auto"/>
            <w:vAlign w:val="center"/>
          </w:tcPr>
          <w:p>
            <w:pPr>
              <w:pStyle w:val="70"/>
              <w:rPr>
                <w:rFonts w:hAnsi="Calibri" w:eastAsia="Times New Roman"/>
                <w:color w:val="000000"/>
              </w:rPr>
            </w:pPr>
            <w:r>
              <w:rPr>
                <w:rFonts w:hint="eastAsia" w:hAnsi="Calibri"/>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96" w:type="dxa"/>
            <w:vMerge w:val="continue"/>
            <w:shd w:val="clear" w:color="auto" w:fill="auto"/>
            <w:vAlign w:val="center"/>
          </w:tcPr>
          <w:p>
            <w:pPr>
              <w:pStyle w:val="70"/>
              <w:rPr>
                <w:rFonts w:hAnsi="Calibri"/>
                <w:color w:val="000000"/>
              </w:rPr>
            </w:pPr>
          </w:p>
        </w:tc>
        <w:tc>
          <w:tcPr>
            <w:tcW w:w="535" w:type="dxa"/>
            <w:vMerge w:val="continue"/>
            <w:shd w:val="clear" w:color="auto" w:fill="auto"/>
            <w:vAlign w:val="center"/>
          </w:tcPr>
          <w:p>
            <w:pPr>
              <w:pStyle w:val="70"/>
              <w:rPr>
                <w:rFonts w:hAnsi="Calibri"/>
                <w:color w:val="000000"/>
              </w:rPr>
            </w:pPr>
          </w:p>
        </w:tc>
        <w:tc>
          <w:tcPr>
            <w:tcW w:w="1342" w:type="dxa"/>
            <w:vMerge w:val="continue"/>
            <w:shd w:val="clear" w:color="auto" w:fill="auto"/>
            <w:vAlign w:val="center"/>
          </w:tcPr>
          <w:p>
            <w:pPr>
              <w:pStyle w:val="70"/>
              <w:rPr>
                <w:rFonts w:hAnsi="Calibri"/>
                <w:color w:val="000000"/>
              </w:rPr>
            </w:pPr>
          </w:p>
        </w:tc>
        <w:tc>
          <w:tcPr>
            <w:tcW w:w="6550" w:type="dxa"/>
            <w:shd w:val="clear" w:color="auto" w:fill="auto"/>
            <w:vAlign w:val="center"/>
          </w:tcPr>
          <w:p>
            <w:pPr>
              <w:pStyle w:val="70"/>
              <w:jc w:val="both"/>
              <w:rPr>
                <w:rFonts w:hAnsi="Calibri" w:eastAsia="Times New Roman"/>
                <w:color w:val="000000"/>
              </w:rPr>
            </w:pPr>
            <w:r>
              <w:rPr>
                <w:rFonts w:hint="eastAsia" w:hAnsi="Calibri" w:eastAsia="Times New Roman"/>
                <w:color w:val="000000"/>
              </w:rPr>
              <w:t>1</w:t>
            </w:r>
            <w:r>
              <w:rPr>
                <w:rFonts w:hint="eastAsia" w:hAnsi="Calibri"/>
                <w:color w:val="000000"/>
              </w:rPr>
              <w:t>、禁止使用国家明令淘汰的工艺或设备，生产国家禁止生产的产品。</w:t>
            </w:r>
          </w:p>
          <w:p>
            <w:pPr>
              <w:pStyle w:val="70"/>
              <w:jc w:val="both"/>
              <w:rPr>
                <w:rFonts w:hAnsi="Calibri" w:eastAsia="Times New Roman"/>
                <w:color w:val="000000"/>
              </w:rPr>
            </w:pPr>
            <w:r>
              <w:rPr>
                <w:rFonts w:hint="eastAsia" w:hAnsi="Calibri" w:eastAsia="Times New Roman"/>
                <w:color w:val="000000"/>
              </w:rPr>
              <w:t>2</w:t>
            </w:r>
            <w:r>
              <w:rPr>
                <w:rFonts w:hint="eastAsia" w:hAnsi="Calibri"/>
                <w:color w:val="000000"/>
              </w:rPr>
              <w:t>、禁止搬迁改造企业在原址新建、扩建危险化学品项目。</w:t>
            </w:r>
          </w:p>
        </w:tc>
        <w:tc>
          <w:tcPr>
            <w:tcW w:w="3799" w:type="dxa"/>
            <w:shd w:val="clear" w:color="auto" w:fill="auto"/>
            <w:vAlign w:val="center"/>
          </w:tcPr>
          <w:p>
            <w:pPr>
              <w:pStyle w:val="70"/>
              <w:rPr>
                <w:rFonts w:hAnsi="Calibri" w:eastAsia="Times New Roman"/>
                <w:color w:val="000000"/>
              </w:rPr>
            </w:pPr>
            <w:r>
              <w:rPr>
                <w:rFonts w:hint="eastAsia" w:hAnsi="Calibri"/>
                <w:color w:val="000000"/>
              </w:rPr>
              <w:t>本项目不涉及国家明令淘汰的工艺或设备</w:t>
            </w:r>
          </w:p>
        </w:tc>
        <w:tc>
          <w:tcPr>
            <w:tcW w:w="426" w:type="dxa"/>
            <w:shd w:val="clear" w:color="auto" w:fill="auto"/>
            <w:vAlign w:val="center"/>
          </w:tcPr>
          <w:p>
            <w:pPr>
              <w:pStyle w:val="70"/>
              <w:rPr>
                <w:rFonts w:hAnsi="Calibri" w:eastAsia="Times New Roman"/>
                <w:color w:val="000000"/>
              </w:rPr>
            </w:pPr>
            <w:r>
              <w:rPr>
                <w:rFonts w:hint="eastAsia" w:hAnsi="Calibri"/>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96" w:type="dxa"/>
            <w:vMerge w:val="continue"/>
            <w:shd w:val="clear" w:color="auto" w:fill="auto"/>
            <w:vAlign w:val="center"/>
          </w:tcPr>
          <w:p>
            <w:pPr>
              <w:pStyle w:val="70"/>
              <w:rPr>
                <w:rFonts w:hAnsi="Calibri"/>
                <w:color w:val="000000"/>
              </w:rPr>
            </w:pPr>
          </w:p>
        </w:tc>
        <w:tc>
          <w:tcPr>
            <w:tcW w:w="535" w:type="dxa"/>
            <w:vMerge w:val="continue"/>
            <w:shd w:val="clear" w:color="auto" w:fill="auto"/>
            <w:vAlign w:val="center"/>
          </w:tcPr>
          <w:p>
            <w:pPr>
              <w:pStyle w:val="70"/>
              <w:rPr>
                <w:rFonts w:hAnsi="Calibri"/>
                <w:color w:val="000000"/>
              </w:rPr>
            </w:pPr>
          </w:p>
        </w:tc>
        <w:tc>
          <w:tcPr>
            <w:tcW w:w="1342" w:type="dxa"/>
            <w:vMerge w:val="continue"/>
            <w:shd w:val="clear" w:color="auto" w:fill="auto"/>
            <w:vAlign w:val="center"/>
          </w:tcPr>
          <w:p>
            <w:pPr>
              <w:pStyle w:val="70"/>
              <w:rPr>
                <w:rFonts w:hAnsi="Calibri"/>
                <w:color w:val="000000"/>
              </w:rPr>
            </w:pPr>
          </w:p>
        </w:tc>
        <w:tc>
          <w:tcPr>
            <w:tcW w:w="6550" w:type="dxa"/>
            <w:shd w:val="clear" w:color="auto" w:fill="auto"/>
            <w:vAlign w:val="center"/>
          </w:tcPr>
          <w:p>
            <w:pPr>
              <w:pStyle w:val="70"/>
              <w:jc w:val="both"/>
              <w:rPr>
                <w:rFonts w:hAnsi="Calibri" w:eastAsia="Times New Roman"/>
                <w:color w:val="000000"/>
              </w:rPr>
            </w:pPr>
            <w:r>
              <w:rPr>
                <w:rFonts w:hint="eastAsia" w:hAnsi="Calibri" w:eastAsia="Times New Roman"/>
                <w:color w:val="000000"/>
              </w:rPr>
              <w:t>1</w:t>
            </w:r>
            <w:r>
              <w:rPr>
                <w:rFonts w:hint="eastAsia" w:hAnsi="Calibri"/>
                <w:color w:val="000000"/>
              </w:rPr>
              <w:t>、禁止审批和建设未达到国家环保标准、能耗标准、行业准入要求的耗煤项目。</w:t>
            </w:r>
          </w:p>
          <w:p>
            <w:pPr>
              <w:pStyle w:val="70"/>
              <w:jc w:val="both"/>
              <w:rPr>
                <w:rFonts w:hAnsi="Calibri" w:eastAsia="Times New Roman"/>
                <w:color w:val="000000"/>
              </w:rPr>
            </w:pPr>
            <w:r>
              <w:rPr>
                <w:rFonts w:hint="eastAsia" w:hAnsi="Calibri" w:eastAsia="Times New Roman"/>
                <w:color w:val="000000"/>
              </w:rPr>
              <w:t>2</w:t>
            </w:r>
            <w:r>
              <w:rPr>
                <w:rFonts w:hint="eastAsia" w:hAnsi="Calibri"/>
                <w:color w:val="000000"/>
              </w:rPr>
              <w:t>、未完成年度煤炭消费总量控制和削减目标的县市禁止审批和建设新增耗煤项目。</w:t>
            </w:r>
          </w:p>
          <w:p>
            <w:pPr>
              <w:pStyle w:val="70"/>
              <w:jc w:val="both"/>
              <w:rPr>
                <w:rFonts w:hAnsi="Calibri" w:eastAsia="Times New Roman"/>
                <w:color w:val="000000"/>
              </w:rPr>
            </w:pPr>
            <w:r>
              <w:rPr>
                <w:rFonts w:hint="eastAsia" w:hAnsi="Calibri" w:eastAsia="Times New Roman"/>
                <w:color w:val="000000"/>
              </w:rPr>
              <w:t>3</w:t>
            </w:r>
            <w:r>
              <w:rPr>
                <w:rFonts w:hint="eastAsia" w:hAnsi="Calibri"/>
                <w:color w:val="000000"/>
              </w:rPr>
              <w:t>、严禁</w:t>
            </w:r>
            <w:r>
              <w:rPr>
                <w:rFonts w:ascii="Times New Roman" w:eastAsia="Times New Roman"/>
                <w:color w:val="000000"/>
              </w:rPr>
              <w:t>“</w:t>
            </w:r>
            <w:r>
              <w:rPr>
                <w:rFonts w:hint="eastAsia" w:hAnsi="Calibri"/>
                <w:color w:val="000000"/>
              </w:rPr>
              <w:t>三高</w:t>
            </w:r>
            <w:r>
              <w:rPr>
                <w:rFonts w:ascii="Times New Roman" w:eastAsia="Times New Roman"/>
                <w:color w:val="000000"/>
              </w:rPr>
              <w:t>”</w:t>
            </w:r>
            <w:r>
              <w:rPr>
                <w:rFonts w:hint="eastAsia" w:hAnsi="Calibri"/>
                <w:color w:val="000000"/>
              </w:rPr>
              <w:t>项目进入昌吉，</w:t>
            </w:r>
            <w:r>
              <w:rPr>
                <w:rFonts w:ascii="Times New Roman" w:eastAsia="Times New Roman"/>
                <w:color w:val="000000"/>
              </w:rPr>
              <w:t>“</w:t>
            </w:r>
            <w:r>
              <w:rPr>
                <w:rFonts w:hint="eastAsia" w:hAnsi="Calibri"/>
                <w:color w:val="000000"/>
              </w:rPr>
              <w:t>乌</w:t>
            </w:r>
            <w:r>
              <w:rPr>
                <w:rFonts w:hint="eastAsia" w:hAnsi="Calibri" w:eastAsia="Times New Roman"/>
                <w:color w:val="000000"/>
              </w:rPr>
              <w:t>-</w:t>
            </w:r>
            <w:r>
              <w:rPr>
                <w:rFonts w:hint="eastAsia" w:hAnsi="Calibri"/>
                <w:color w:val="000000"/>
              </w:rPr>
              <w:t>昌</w:t>
            </w:r>
            <w:r>
              <w:rPr>
                <w:rFonts w:hint="eastAsia" w:hAnsi="Calibri" w:eastAsia="Times New Roman"/>
                <w:color w:val="000000"/>
              </w:rPr>
              <w:t>-</w:t>
            </w:r>
            <w:r>
              <w:rPr>
                <w:rFonts w:hint="eastAsia" w:hAnsi="Calibri"/>
                <w:color w:val="000000"/>
              </w:rPr>
              <w:t>石</w:t>
            </w:r>
            <w:r>
              <w:rPr>
                <w:rFonts w:ascii="Times New Roman" w:eastAsia="Times New Roman"/>
                <w:color w:val="000000"/>
              </w:rPr>
              <w:t>”</w:t>
            </w:r>
            <w:r>
              <w:rPr>
                <w:rFonts w:hint="eastAsia" w:hAnsi="Calibri"/>
                <w:color w:val="000000"/>
              </w:rPr>
              <w:t>环境同防同治区域内不再布局建设煤化工、电解铝、燃煤纯发电机组、金属硅、碳化硅、聚氯乙烯（电石法）、焦炭（含半焦）等行业的新增产能项目。</w:t>
            </w:r>
          </w:p>
        </w:tc>
        <w:tc>
          <w:tcPr>
            <w:tcW w:w="3799" w:type="dxa"/>
            <w:shd w:val="clear" w:color="auto" w:fill="auto"/>
            <w:vAlign w:val="center"/>
          </w:tcPr>
          <w:p>
            <w:pPr>
              <w:pStyle w:val="70"/>
              <w:rPr>
                <w:rFonts w:hAnsi="Calibri" w:eastAsia="Times New Roman"/>
                <w:color w:val="000000"/>
              </w:rPr>
            </w:pPr>
            <w:r>
              <w:rPr>
                <w:rFonts w:hint="eastAsia" w:hAnsi="Calibri"/>
                <w:color w:val="000000"/>
              </w:rPr>
              <w:t>本项目不属于耗煤、</w:t>
            </w:r>
            <w:r>
              <w:rPr>
                <w:rFonts w:ascii="Times New Roman" w:eastAsia="Times New Roman"/>
                <w:color w:val="000000"/>
              </w:rPr>
              <w:t>“</w:t>
            </w:r>
            <w:r>
              <w:rPr>
                <w:rFonts w:hint="eastAsia" w:hAnsi="Calibri"/>
                <w:color w:val="000000"/>
              </w:rPr>
              <w:t>三高</w:t>
            </w:r>
            <w:r>
              <w:rPr>
                <w:rFonts w:ascii="Times New Roman" w:eastAsia="Times New Roman"/>
                <w:color w:val="000000"/>
              </w:rPr>
              <w:t>”</w:t>
            </w:r>
            <w:r>
              <w:rPr>
                <w:rFonts w:hint="eastAsia" w:hAnsi="Calibri"/>
                <w:color w:val="000000"/>
              </w:rPr>
              <w:t>项目</w:t>
            </w:r>
          </w:p>
        </w:tc>
        <w:tc>
          <w:tcPr>
            <w:tcW w:w="426" w:type="dxa"/>
            <w:shd w:val="clear" w:color="auto" w:fill="auto"/>
            <w:vAlign w:val="center"/>
          </w:tcPr>
          <w:p>
            <w:pPr>
              <w:pStyle w:val="70"/>
              <w:rPr>
                <w:rFonts w:hAnsi="Calibri" w:eastAsia="Times New Roman"/>
                <w:color w:val="000000"/>
              </w:rPr>
            </w:pPr>
            <w:r>
              <w:rPr>
                <w:rFonts w:hint="eastAsia" w:hAnsi="Calibri"/>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96" w:type="dxa"/>
            <w:vMerge w:val="continue"/>
            <w:shd w:val="clear" w:color="auto" w:fill="auto"/>
            <w:vAlign w:val="center"/>
          </w:tcPr>
          <w:p>
            <w:pPr>
              <w:pStyle w:val="70"/>
              <w:rPr>
                <w:rFonts w:hAnsi="Calibri"/>
                <w:color w:val="000000"/>
              </w:rPr>
            </w:pPr>
          </w:p>
        </w:tc>
        <w:tc>
          <w:tcPr>
            <w:tcW w:w="535" w:type="dxa"/>
            <w:vMerge w:val="continue"/>
            <w:shd w:val="clear" w:color="auto" w:fill="auto"/>
            <w:vAlign w:val="center"/>
          </w:tcPr>
          <w:p>
            <w:pPr>
              <w:pStyle w:val="70"/>
              <w:rPr>
                <w:rFonts w:hAnsi="Calibri"/>
                <w:color w:val="000000"/>
              </w:rPr>
            </w:pPr>
          </w:p>
        </w:tc>
        <w:tc>
          <w:tcPr>
            <w:tcW w:w="1342" w:type="dxa"/>
            <w:vMerge w:val="restart"/>
            <w:shd w:val="clear" w:color="auto" w:fill="auto"/>
            <w:vAlign w:val="center"/>
          </w:tcPr>
          <w:p>
            <w:pPr>
              <w:pStyle w:val="70"/>
              <w:rPr>
                <w:rFonts w:hAnsi="Calibri" w:eastAsia="Times New Roman"/>
                <w:color w:val="000000"/>
              </w:rPr>
            </w:pPr>
            <w:r>
              <w:rPr>
                <w:rFonts w:hint="eastAsia" w:hAnsi="Calibri"/>
                <w:color w:val="000000"/>
              </w:rPr>
              <w:t>限制开发建设活动的要求</w:t>
            </w:r>
          </w:p>
        </w:tc>
        <w:tc>
          <w:tcPr>
            <w:tcW w:w="6550" w:type="dxa"/>
            <w:shd w:val="clear" w:color="auto" w:fill="auto"/>
            <w:vAlign w:val="center"/>
          </w:tcPr>
          <w:p>
            <w:pPr>
              <w:pStyle w:val="70"/>
              <w:jc w:val="both"/>
              <w:rPr>
                <w:rFonts w:hAnsi="Calibri" w:eastAsia="Times New Roman"/>
                <w:color w:val="000000"/>
              </w:rPr>
            </w:pPr>
            <w:r>
              <w:rPr>
                <w:rFonts w:hint="eastAsia" w:hAnsi="Calibri" w:eastAsia="Times New Roman"/>
                <w:color w:val="000000"/>
              </w:rPr>
              <w:t>1</w:t>
            </w:r>
            <w:r>
              <w:rPr>
                <w:rFonts w:hint="eastAsia" w:hAnsi="Calibri"/>
                <w:color w:val="000000"/>
              </w:rPr>
              <w:t>、严格管控新建燃煤锅炉准入，新建燃煤锅炉实行县级申报、州级审批。</w:t>
            </w:r>
          </w:p>
          <w:p>
            <w:pPr>
              <w:pStyle w:val="70"/>
              <w:jc w:val="both"/>
              <w:rPr>
                <w:rFonts w:hAnsi="Calibri" w:eastAsia="Times New Roman"/>
                <w:color w:val="000000"/>
              </w:rPr>
            </w:pPr>
            <w:r>
              <w:rPr>
                <w:rFonts w:hint="eastAsia" w:hAnsi="Calibri" w:eastAsia="Times New Roman"/>
                <w:color w:val="000000"/>
              </w:rPr>
              <w:t>2</w:t>
            </w:r>
            <w:r>
              <w:rPr>
                <w:rFonts w:hint="eastAsia" w:hAnsi="Calibri"/>
                <w:color w:val="000000"/>
              </w:rPr>
              <w:t>、严格管控高排放非道路移动机械。</w:t>
            </w:r>
          </w:p>
        </w:tc>
        <w:tc>
          <w:tcPr>
            <w:tcW w:w="3799" w:type="dxa"/>
            <w:shd w:val="clear" w:color="auto" w:fill="auto"/>
            <w:vAlign w:val="center"/>
          </w:tcPr>
          <w:p>
            <w:pPr>
              <w:pStyle w:val="70"/>
              <w:rPr>
                <w:rFonts w:hAnsi="Calibri" w:eastAsia="Times New Roman"/>
                <w:color w:val="000000"/>
              </w:rPr>
            </w:pPr>
            <w:r>
              <w:rPr>
                <w:rFonts w:hint="eastAsia" w:hAnsi="Calibri"/>
                <w:color w:val="000000"/>
              </w:rPr>
              <w:t>本项目不建设锅炉</w:t>
            </w:r>
          </w:p>
        </w:tc>
        <w:tc>
          <w:tcPr>
            <w:tcW w:w="426" w:type="dxa"/>
            <w:shd w:val="clear" w:color="auto" w:fill="auto"/>
            <w:vAlign w:val="center"/>
          </w:tcPr>
          <w:p>
            <w:pPr>
              <w:pStyle w:val="70"/>
              <w:rPr>
                <w:rFonts w:hAnsi="Calibri" w:eastAsia="Times New Roman"/>
                <w:color w:val="000000"/>
              </w:rPr>
            </w:pPr>
            <w:r>
              <w:rPr>
                <w:rFonts w:hint="eastAsia" w:hAnsi="Calibri"/>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96" w:type="dxa"/>
            <w:vMerge w:val="continue"/>
            <w:shd w:val="clear" w:color="auto" w:fill="auto"/>
            <w:vAlign w:val="center"/>
          </w:tcPr>
          <w:p>
            <w:pPr>
              <w:pStyle w:val="70"/>
              <w:rPr>
                <w:rFonts w:hAnsi="Calibri"/>
                <w:color w:val="000000"/>
              </w:rPr>
            </w:pPr>
          </w:p>
        </w:tc>
        <w:tc>
          <w:tcPr>
            <w:tcW w:w="535" w:type="dxa"/>
            <w:vMerge w:val="continue"/>
            <w:shd w:val="clear" w:color="auto" w:fill="auto"/>
            <w:vAlign w:val="center"/>
          </w:tcPr>
          <w:p>
            <w:pPr>
              <w:pStyle w:val="70"/>
              <w:rPr>
                <w:rFonts w:hAnsi="Calibri"/>
                <w:color w:val="000000"/>
              </w:rPr>
            </w:pPr>
          </w:p>
        </w:tc>
        <w:tc>
          <w:tcPr>
            <w:tcW w:w="1342" w:type="dxa"/>
            <w:vMerge w:val="continue"/>
            <w:shd w:val="clear" w:color="auto" w:fill="auto"/>
            <w:vAlign w:val="center"/>
          </w:tcPr>
          <w:p>
            <w:pPr>
              <w:pStyle w:val="70"/>
              <w:rPr>
                <w:rFonts w:hAnsi="Calibri"/>
                <w:color w:val="000000"/>
              </w:rPr>
            </w:pPr>
          </w:p>
        </w:tc>
        <w:tc>
          <w:tcPr>
            <w:tcW w:w="6550" w:type="dxa"/>
            <w:shd w:val="clear" w:color="auto" w:fill="auto"/>
            <w:vAlign w:val="center"/>
          </w:tcPr>
          <w:p>
            <w:pPr>
              <w:pStyle w:val="70"/>
              <w:jc w:val="both"/>
              <w:rPr>
                <w:rFonts w:hAnsi="Calibri" w:eastAsia="Times New Roman"/>
                <w:color w:val="000000"/>
              </w:rPr>
            </w:pPr>
            <w:r>
              <w:rPr>
                <w:rFonts w:hint="eastAsia" w:hAnsi="Calibri" w:eastAsia="Times New Roman"/>
                <w:color w:val="000000"/>
              </w:rPr>
              <w:t>1</w:t>
            </w:r>
            <w:r>
              <w:rPr>
                <w:rFonts w:hint="eastAsia" w:hAnsi="Calibri"/>
                <w:color w:val="000000"/>
              </w:rPr>
              <w:t>、昌吉市、阜康市、呼图壁县、玛纳斯县、昌吉国家农业园区和国家高新技术开发区及</w:t>
            </w:r>
            <w:r>
              <w:rPr>
                <w:rFonts w:hint="eastAsia" w:hAnsi="Calibri" w:eastAsia="Times New Roman"/>
                <w:color w:val="000000"/>
              </w:rPr>
              <w:t>O</w:t>
            </w:r>
            <w:r>
              <w:rPr>
                <w:rFonts w:hint="eastAsia" w:hAnsi="Calibri" w:eastAsia="Times New Roman"/>
                <w:color w:val="000000"/>
                <w:vertAlign w:val="subscript"/>
              </w:rPr>
              <w:t>3</w:t>
            </w:r>
            <w:r>
              <w:rPr>
                <w:rFonts w:hint="eastAsia" w:hAnsi="Calibri"/>
                <w:color w:val="000000"/>
              </w:rPr>
              <w:t>浓度超标县市要严格限制石化、化工、包装印刷、工业涂装等高</w:t>
            </w:r>
            <w:r>
              <w:rPr>
                <w:rFonts w:hint="eastAsia" w:hAnsi="Calibri" w:eastAsia="Times New Roman"/>
                <w:color w:val="000000"/>
              </w:rPr>
              <w:t>VOCs</w:t>
            </w:r>
            <w:r>
              <w:rPr>
                <w:rFonts w:hint="eastAsia" w:hAnsi="Calibri"/>
                <w:color w:val="000000"/>
              </w:rPr>
              <w:t>排放建设项目。</w:t>
            </w:r>
          </w:p>
        </w:tc>
        <w:tc>
          <w:tcPr>
            <w:tcW w:w="3799" w:type="dxa"/>
            <w:shd w:val="clear" w:color="auto" w:fill="auto"/>
            <w:vAlign w:val="center"/>
          </w:tcPr>
          <w:p>
            <w:pPr>
              <w:pStyle w:val="70"/>
              <w:rPr>
                <w:rFonts w:hAnsi="Calibri" w:eastAsia="Times New Roman"/>
                <w:color w:val="000000"/>
              </w:rPr>
            </w:pPr>
            <w:r>
              <w:rPr>
                <w:rFonts w:hint="eastAsia" w:hAnsi="Calibri"/>
                <w:color w:val="000000"/>
              </w:rPr>
              <w:t>本项目不属于石化、化工、包装印刷、工业涂装等行业</w:t>
            </w:r>
          </w:p>
        </w:tc>
        <w:tc>
          <w:tcPr>
            <w:tcW w:w="426" w:type="dxa"/>
            <w:shd w:val="clear" w:color="auto" w:fill="auto"/>
            <w:vAlign w:val="center"/>
          </w:tcPr>
          <w:p>
            <w:pPr>
              <w:pStyle w:val="70"/>
              <w:rPr>
                <w:rFonts w:hAnsi="Calibri" w:eastAsia="Times New Roman"/>
                <w:color w:val="000000"/>
              </w:rPr>
            </w:pPr>
            <w:r>
              <w:rPr>
                <w:rFonts w:hint="eastAsia" w:hAnsi="Calibri"/>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96" w:type="dxa"/>
            <w:vMerge w:val="continue"/>
            <w:shd w:val="clear" w:color="auto" w:fill="auto"/>
            <w:vAlign w:val="center"/>
          </w:tcPr>
          <w:p>
            <w:pPr>
              <w:pStyle w:val="70"/>
              <w:rPr>
                <w:rFonts w:hAnsi="Calibri"/>
                <w:color w:val="000000"/>
              </w:rPr>
            </w:pPr>
          </w:p>
        </w:tc>
        <w:tc>
          <w:tcPr>
            <w:tcW w:w="535" w:type="dxa"/>
            <w:vMerge w:val="continue"/>
            <w:shd w:val="clear" w:color="auto" w:fill="auto"/>
            <w:vAlign w:val="center"/>
          </w:tcPr>
          <w:p>
            <w:pPr>
              <w:pStyle w:val="70"/>
              <w:rPr>
                <w:rFonts w:hAnsi="Calibri"/>
                <w:color w:val="000000"/>
              </w:rPr>
            </w:pPr>
          </w:p>
        </w:tc>
        <w:tc>
          <w:tcPr>
            <w:tcW w:w="1342" w:type="dxa"/>
            <w:vMerge w:val="continue"/>
            <w:shd w:val="clear" w:color="auto" w:fill="auto"/>
            <w:vAlign w:val="center"/>
          </w:tcPr>
          <w:p>
            <w:pPr>
              <w:pStyle w:val="70"/>
              <w:rPr>
                <w:rFonts w:hAnsi="Calibri"/>
                <w:color w:val="000000"/>
              </w:rPr>
            </w:pPr>
          </w:p>
        </w:tc>
        <w:tc>
          <w:tcPr>
            <w:tcW w:w="6550" w:type="dxa"/>
            <w:shd w:val="clear" w:color="auto" w:fill="auto"/>
            <w:vAlign w:val="center"/>
          </w:tcPr>
          <w:p>
            <w:pPr>
              <w:pStyle w:val="70"/>
              <w:jc w:val="both"/>
              <w:rPr>
                <w:rFonts w:hAnsi="Calibri" w:eastAsia="Times New Roman"/>
                <w:color w:val="000000"/>
              </w:rPr>
            </w:pPr>
            <w:r>
              <w:rPr>
                <w:rFonts w:hint="eastAsia" w:hAnsi="Calibri" w:eastAsia="Times New Roman"/>
                <w:color w:val="000000"/>
              </w:rPr>
              <w:t>1</w:t>
            </w:r>
            <w:r>
              <w:rPr>
                <w:rFonts w:hint="eastAsia" w:hAnsi="Calibri"/>
                <w:color w:val="000000"/>
              </w:rPr>
              <w:t>、新建项目一律不得违规占用水域。</w:t>
            </w:r>
          </w:p>
          <w:p>
            <w:pPr>
              <w:pStyle w:val="70"/>
              <w:jc w:val="both"/>
              <w:rPr>
                <w:rFonts w:hAnsi="Calibri" w:eastAsia="Times New Roman"/>
                <w:color w:val="000000"/>
              </w:rPr>
            </w:pPr>
            <w:r>
              <w:rPr>
                <w:rFonts w:hint="eastAsia" w:hAnsi="Calibri" w:eastAsia="Times New Roman"/>
                <w:color w:val="000000"/>
              </w:rPr>
              <w:t>2</w:t>
            </w:r>
            <w:r>
              <w:rPr>
                <w:rFonts w:hint="eastAsia" w:hAnsi="Calibri"/>
                <w:color w:val="000000"/>
              </w:rPr>
              <w:t>、保障河流生态流量，严格控制在主要流域内新建水电项目。</w:t>
            </w:r>
          </w:p>
          <w:p>
            <w:pPr>
              <w:pStyle w:val="70"/>
              <w:jc w:val="both"/>
              <w:rPr>
                <w:rFonts w:hAnsi="Calibri" w:eastAsia="Times New Roman"/>
                <w:color w:val="000000"/>
              </w:rPr>
            </w:pPr>
            <w:r>
              <w:rPr>
                <w:rFonts w:hint="eastAsia" w:hAnsi="Calibri" w:eastAsia="Times New Roman"/>
                <w:color w:val="000000"/>
              </w:rPr>
              <w:t>3</w:t>
            </w:r>
            <w:r>
              <w:rPr>
                <w:rFonts w:hint="eastAsia" w:hAnsi="Calibri"/>
                <w:color w:val="000000"/>
              </w:rPr>
              <w:t>、不符合河流最小生态流量要求的水电站限制运行。</w:t>
            </w:r>
          </w:p>
          <w:p>
            <w:pPr>
              <w:pStyle w:val="70"/>
              <w:jc w:val="both"/>
              <w:rPr>
                <w:rFonts w:hAnsi="Calibri" w:eastAsia="Times New Roman"/>
                <w:color w:val="000000"/>
              </w:rPr>
            </w:pPr>
            <w:r>
              <w:rPr>
                <w:rFonts w:hint="eastAsia" w:hAnsi="Calibri" w:eastAsia="Times New Roman"/>
                <w:color w:val="000000"/>
              </w:rPr>
              <w:t>4</w:t>
            </w:r>
            <w:r>
              <w:rPr>
                <w:rFonts w:hint="eastAsia" w:hAnsi="Calibri"/>
                <w:color w:val="000000"/>
              </w:rPr>
              <w:t>、工业集聚区未按照规定建成污水集中处理设施并安装自动在线监控装置的，暂停审批和核准其增加水污染物排放的建设项目。</w:t>
            </w:r>
          </w:p>
        </w:tc>
        <w:tc>
          <w:tcPr>
            <w:tcW w:w="3799" w:type="dxa"/>
            <w:shd w:val="clear" w:color="auto" w:fill="auto"/>
            <w:vAlign w:val="center"/>
          </w:tcPr>
          <w:p>
            <w:pPr>
              <w:pStyle w:val="70"/>
              <w:rPr>
                <w:rFonts w:hAnsi="Calibri" w:eastAsia="Times New Roman"/>
                <w:color w:val="000000"/>
              </w:rPr>
            </w:pPr>
            <w:r>
              <w:rPr>
                <w:rFonts w:hint="eastAsia" w:hAnsi="Calibri"/>
                <w:color w:val="000000"/>
              </w:rPr>
              <w:t>本项目不占用水域</w:t>
            </w:r>
          </w:p>
        </w:tc>
        <w:tc>
          <w:tcPr>
            <w:tcW w:w="426" w:type="dxa"/>
            <w:shd w:val="clear" w:color="auto" w:fill="auto"/>
            <w:vAlign w:val="center"/>
          </w:tcPr>
          <w:p>
            <w:pPr>
              <w:pStyle w:val="70"/>
              <w:rPr>
                <w:rFonts w:hAnsi="Calibri" w:eastAsia="Times New Roman"/>
                <w:color w:val="000000"/>
              </w:rPr>
            </w:pPr>
            <w:r>
              <w:rPr>
                <w:rFonts w:hint="eastAsia" w:hAnsi="Calibri"/>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96" w:type="dxa"/>
            <w:vMerge w:val="continue"/>
            <w:shd w:val="clear" w:color="auto" w:fill="auto"/>
            <w:vAlign w:val="center"/>
          </w:tcPr>
          <w:p>
            <w:pPr>
              <w:pStyle w:val="70"/>
              <w:rPr>
                <w:rFonts w:hAnsi="Calibri"/>
                <w:color w:val="000000"/>
              </w:rPr>
            </w:pPr>
          </w:p>
        </w:tc>
        <w:tc>
          <w:tcPr>
            <w:tcW w:w="535" w:type="dxa"/>
            <w:vMerge w:val="continue"/>
            <w:shd w:val="clear" w:color="auto" w:fill="auto"/>
            <w:vAlign w:val="center"/>
          </w:tcPr>
          <w:p>
            <w:pPr>
              <w:pStyle w:val="70"/>
              <w:rPr>
                <w:rFonts w:hAnsi="Calibri"/>
                <w:color w:val="000000"/>
              </w:rPr>
            </w:pPr>
          </w:p>
        </w:tc>
        <w:tc>
          <w:tcPr>
            <w:tcW w:w="1342" w:type="dxa"/>
            <w:vMerge w:val="continue"/>
            <w:shd w:val="clear" w:color="auto" w:fill="auto"/>
            <w:vAlign w:val="center"/>
          </w:tcPr>
          <w:p>
            <w:pPr>
              <w:pStyle w:val="70"/>
              <w:rPr>
                <w:rFonts w:hAnsi="Calibri"/>
                <w:color w:val="000000"/>
              </w:rPr>
            </w:pPr>
          </w:p>
        </w:tc>
        <w:tc>
          <w:tcPr>
            <w:tcW w:w="6550" w:type="dxa"/>
            <w:shd w:val="clear" w:color="auto" w:fill="auto"/>
            <w:vAlign w:val="center"/>
          </w:tcPr>
          <w:p>
            <w:pPr>
              <w:pStyle w:val="70"/>
              <w:jc w:val="both"/>
              <w:rPr>
                <w:rFonts w:hAnsi="Calibri" w:eastAsia="Times New Roman"/>
                <w:color w:val="000000"/>
              </w:rPr>
            </w:pPr>
            <w:r>
              <w:rPr>
                <w:rFonts w:hint="eastAsia" w:hAnsi="Calibri" w:eastAsia="Times New Roman"/>
                <w:color w:val="000000"/>
              </w:rPr>
              <w:t>1</w:t>
            </w:r>
            <w:r>
              <w:rPr>
                <w:rFonts w:hint="eastAsia" w:hAnsi="Calibri"/>
                <w:color w:val="000000"/>
              </w:rPr>
              <w:t>、严格控制高耗水、高污染行业发展。</w:t>
            </w:r>
          </w:p>
        </w:tc>
        <w:tc>
          <w:tcPr>
            <w:tcW w:w="3799" w:type="dxa"/>
            <w:shd w:val="clear" w:color="auto" w:fill="auto"/>
            <w:vAlign w:val="center"/>
          </w:tcPr>
          <w:p>
            <w:pPr>
              <w:pStyle w:val="70"/>
              <w:rPr>
                <w:rFonts w:hAnsi="Calibri" w:eastAsia="Times New Roman"/>
                <w:color w:val="000000"/>
              </w:rPr>
            </w:pPr>
            <w:r>
              <w:rPr>
                <w:rFonts w:hint="eastAsia" w:hAnsi="Calibri"/>
                <w:color w:val="000000"/>
              </w:rPr>
              <w:t>本项目不属于高耗水、高污染行业</w:t>
            </w:r>
          </w:p>
        </w:tc>
        <w:tc>
          <w:tcPr>
            <w:tcW w:w="426" w:type="dxa"/>
            <w:shd w:val="clear" w:color="auto" w:fill="auto"/>
            <w:vAlign w:val="center"/>
          </w:tcPr>
          <w:p>
            <w:pPr>
              <w:pStyle w:val="70"/>
              <w:rPr>
                <w:rFonts w:hAnsi="Calibri" w:eastAsia="Times New Roman"/>
                <w:color w:val="000000"/>
              </w:rPr>
            </w:pPr>
            <w:r>
              <w:rPr>
                <w:rFonts w:hint="eastAsia" w:hAnsi="Calibri"/>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96" w:type="dxa"/>
            <w:vMerge w:val="continue"/>
            <w:shd w:val="clear" w:color="auto" w:fill="auto"/>
            <w:vAlign w:val="center"/>
          </w:tcPr>
          <w:p>
            <w:pPr>
              <w:pStyle w:val="70"/>
              <w:rPr>
                <w:rFonts w:hAnsi="Calibri"/>
                <w:color w:val="000000"/>
              </w:rPr>
            </w:pPr>
          </w:p>
        </w:tc>
        <w:tc>
          <w:tcPr>
            <w:tcW w:w="535" w:type="dxa"/>
            <w:vMerge w:val="continue"/>
            <w:shd w:val="clear" w:color="auto" w:fill="auto"/>
            <w:vAlign w:val="center"/>
          </w:tcPr>
          <w:p>
            <w:pPr>
              <w:pStyle w:val="70"/>
              <w:rPr>
                <w:rFonts w:hAnsi="Calibri"/>
                <w:color w:val="000000"/>
              </w:rPr>
            </w:pPr>
          </w:p>
        </w:tc>
        <w:tc>
          <w:tcPr>
            <w:tcW w:w="1342" w:type="dxa"/>
            <w:vMerge w:val="continue"/>
            <w:shd w:val="clear" w:color="auto" w:fill="auto"/>
            <w:vAlign w:val="center"/>
          </w:tcPr>
          <w:p>
            <w:pPr>
              <w:pStyle w:val="70"/>
              <w:rPr>
                <w:rFonts w:hAnsi="Calibri"/>
                <w:color w:val="000000"/>
              </w:rPr>
            </w:pPr>
          </w:p>
        </w:tc>
        <w:tc>
          <w:tcPr>
            <w:tcW w:w="6550" w:type="dxa"/>
            <w:shd w:val="clear" w:color="auto" w:fill="auto"/>
            <w:vAlign w:val="center"/>
          </w:tcPr>
          <w:p>
            <w:pPr>
              <w:pStyle w:val="70"/>
              <w:jc w:val="both"/>
              <w:rPr>
                <w:rFonts w:hAnsi="Calibri" w:eastAsia="Times New Roman"/>
                <w:color w:val="000000"/>
              </w:rPr>
            </w:pPr>
            <w:r>
              <w:rPr>
                <w:rFonts w:hint="eastAsia" w:hAnsi="Calibri" w:eastAsia="Times New Roman"/>
                <w:color w:val="000000"/>
              </w:rPr>
              <w:t>1</w:t>
            </w:r>
            <w:r>
              <w:rPr>
                <w:rFonts w:hint="eastAsia" w:hAnsi="Calibri"/>
                <w:color w:val="000000"/>
              </w:rPr>
              <w:t>、严格控制林地、草地、园地的农药使用量。</w:t>
            </w:r>
          </w:p>
          <w:p>
            <w:pPr>
              <w:pStyle w:val="70"/>
              <w:jc w:val="both"/>
              <w:rPr>
                <w:rFonts w:hAnsi="Calibri" w:eastAsia="Times New Roman"/>
                <w:color w:val="000000"/>
              </w:rPr>
            </w:pPr>
            <w:r>
              <w:rPr>
                <w:rFonts w:hint="eastAsia" w:hAnsi="Calibri" w:eastAsia="Times New Roman"/>
                <w:color w:val="000000"/>
              </w:rPr>
              <w:t>2</w:t>
            </w:r>
            <w:r>
              <w:rPr>
                <w:rFonts w:hint="eastAsia" w:hAnsi="Calibri"/>
                <w:color w:val="000000"/>
              </w:rPr>
              <w:t>、严格规范兽药、饲料添加剂的生产和使用，防止过量使用，促进源头减量。</w:t>
            </w:r>
          </w:p>
          <w:p>
            <w:pPr>
              <w:pStyle w:val="70"/>
              <w:jc w:val="both"/>
              <w:rPr>
                <w:rFonts w:hAnsi="Calibri" w:eastAsia="Times New Roman"/>
                <w:color w:val="000000"/>
              </w:rPr>
            </w:pPr>
            <w:r>
              <w:rPr>
                <w:rFonts w:hint="eastAsia" w:hAnsi="Calibri" w:eastAsia="Times New Roman"/>
                <w:color w:val="000000"/>
              </w:rPr>
              <w:t>3</w:t>
            </w:r>
            <w:r>
              <w:rPr>
                <w:rFonts w:hint="eastAsia" w:hAnsi="Calibri"/>
                <w:color w:val="000000"/>
              </w:rPr>
              <w:t>、严格控制在优先保护类耕地集中区域新建有色金属冶炼、石油加工、化工、焦化、电镀、制革等土壤环境监管重点行业项目。</w:t>
            </w:r>
          </w:p>
        </w:tc>
        <w:tc>
          <w:tcPr>
            <w:tcW w:w="3799" w:type="dxa"/>
            <w:shd w:val="clear" w:color="auto" w:fill="auto"/>
            <w:vAlign w:val="center"/>
          </w:tcPr>
          <w:p>
            <w:pPr>
              <w:pStyle w:val="70"/>
              <w:rPr>
                <w:rFonts w:hAnsi="Calibri" w:eastAsia="Times New Roman"/>
                <w:color w:val="000000"/>
              </w:rPr>
            </w:pPr>
            <w:r>
              <w:rPr>
                <w:rFonts w:hint="eastAsia" w:hAnsi="Calibri"/>
                <w:color w:val="000000"/>
              </w:rPr>
              <w:t>本项目不涉及管控要求内容</w:t>
            </w:r>
          </w:p>
        </w:tc>
        <w:tc>
          <w:tcPr>
            <w:tcW w:w="426" w:type="dxa"/>
            <w:shd w:val="clear" w:color="auto" w:fill="auto"/>
            <w:vAlign w:val="center"/>
          </w:tcPr>
          <w:p>
            <w:pPr>
              <w:pStyle w:val="70"/>
              <w:rPr>
                <w:rFonts w:hAnsi="Calibri" w:eastAsia="Times New Roman"/>
                <w:color w:val="000000"/>
              </w:rPr>
            </w:pPr>
            <w:r>
              <w:rPr>
                <w:rFonts w:hint="eastAsia" w:hAnsi="Calibri"/>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96" w:type="dxa"/>
            <w:vMerge w:val="continue"/>
            <w:shd w:val="clear" w:color="auto" w:fill="auto"/>
            <w:vAlign w:val="center"/>
          </w:tcPr>
          <w:p>
            <w:pPr>
              <w:pStyle w:val="70"/>
              <w:rPr>
                <w:rFonts w:hAnsi="Calibri"/>
                <w:color w:val="000000"/>
              </w:rPr>
            </w:pPr>
          </w:p>
        </w:tc>
        <w:tc>
          <w:tcPr>
            <w:tcW w:w="535" w:type="dxa"/>
            <w:vMerge w:val="continue"/>
            <w:shd w:val="clear" w:color="auto" w:fill="auto"/>
            <w:vAlign w:val="center"/>
          </w:tcPr>
          <w:p>
            <w:pPr>
              <w:pStyle w:val="70"/>
              <w:rPr>
                <w:rFonts w:hAnsi="Calibri"/>
                <w:color w:val="000000"/>
              </w:rPr>
            </w:pPr>
          </w:p>
        </w:tc>
        <w:tc>
          <w:tcPr>
            <w:tcW w:w="1342" w:type="dxa"/>
            <w:vMerge w:val="continue"/>
            <w:shd w:val="clear" w:color="auto" w:fill="auto"/>
            <w:vAlign w:val="center"/>
          </w:tcPr>
          <w:p>
            <w:pPr>
              <w:pStyle w:val="70"/>
              <w:rPr>
                <w:rFonts w:hAnsi="Calibri"/>
                <w:color w:val="000000"/>
              </w:rPr>
            </w:pPr>
          </w:p>
        </w:tc>
        <w:tc>
          <w:tcPr>
            <w:tcW w:w="6550" w:type="dxa"/>
            <w:shd w:val="clear" w:color="auto" w:fill="auto"/>
            <w:vAlign w:val="center"/>
          </w:tcPr>
          <w:p>
            <w:pPr>
              <w:pStyle w:val="70"/>
              <w:jc w:val="both"/>
              <w:rPr>
                <w:rFonts w:hAnsi="Calibri" w:eastAsia="Times New Roman"/>
                <w:color w:val="000000"/>
              </w:rPr>
            </w:pPr>
            <w:r>
              <w:rPr>
                <w:rFonts w:hint="eastAsia" w:hAnsi="Calibri" w:eastAsia="Times New Roman"/>
                <w:color w:val="000000"/>
              </w:rPr>
              <w:t>1</w:t>
            </w:r>
            <w:r>
              <w:rPr>
                <w:rFonts w:hint="eastAsia" w:hAnsi="Calibri"/>
                <w:color w:val="000000"/>
              </w:rPr>
              <w:t>、严格执行《企业投资项目核准和备案管理办法》（国家发展改革委</w:t>
            </w:r>
            <w:r>
              <w:rPr>
                <w:rFonts w:hint="eastAsia" w:hAnsi="Calibri" w:eastAsia="Times New Roman"/>
                <w:color w:val="000000"/>
              </w:rPr>
              <w:t>2017</w:t>
            </w:r>
            <w:r>
              <w:rPr>
                <w:rFonts w:hint="eastAsia" w:hAnsi="Calibri"/>
                <w:color w:val="000000"/>
              </w:rPr>
              <w:t>年第</w:t>
            </w:r>
            <w:r>
              <w:rPr>
                <w:rFonts w:hint="eastAsia" w:hAnsi="Calibri" w:eastAsia="Times New Roman"/>
                <w:color w:val="000000"/>
              </w:rPr>
              <w:t>2</w:t>
            </w:r>
            <w:r>
              <w:rPr>
                <w:rFonts w:hint="eastAsia" w:hAnsi="Calibri"/>
                <w:color w:val="000000"/>
              </w:rPr>
              <w:t>号令），严格控制新建、改建、扩建耗煤项目审批、核准、备案。</w:t>
            </w:r>
          </w:p>
          <w:p>
            <w:pPr>
              <w:pStyle w:val="70"/>
              <w:jc w:val="both"/>
              <w:rPr>
                <w:rFonts w:hAnsi="Calibri" w:eastAsia="Times New Roman"/>
                <w:color w:val="000000"/>
              </w:rPr>
            </w:pPr>
            <w:r>
              <w:rPr>
                <w:rFonts w:hint="eastAsia" w:hAnsi="Calibri" w:eastAsia="Times New Roman"/>
                <w:color w:val="000000"/>
              </w:rPr>
              <w:t>2</w:t>
            </w:r>
            <w:r>
              <w:rPr>
                <w:rFonts w:hint="eastAsia" w:hAnsi="Calibri"/>
                <w:color w:val="000000"/>
              </w:rPr>
              <w:t>、严格实施节能审查制度，新增固定资产投资项目用能设备要达到一级能效标准。严格新上耗煤项目环评审批，新建耗煤项目清洁生产水平必须达到国内先进水平。</w:t>
            </w:r>
          </w:p>
          <w:p>
            <w:pPr>
              <w:pStyle w:val="70"/>
              <w:jc w:val="both"/>
              <w:rPr>
                <w:rFonts w:hAnsi="Calibri" w:eastAsia="Times New Roman"/>
                <w:color w:val="000000"/>
              </w:rPr>
            </w:pPr>
            <w:r>
              <w:rPr>
                <w:rFonts w:hint="eastAsia" w:hAnsi="Calibri" w:eastAsia="Times New Roman"/>
                <w:color w:val="000000"/>
              </w:rPr>
              <w:t>3</w:t>
            </w:r>
            <w:r>
              <w:rPr>
                <w:rFonts w:hint="eastAsia" w:hAnsi="Calibri"/>
                <w:color w:val="000000"/>
              </w:rPr>
              <w:t>、</w:t>
            </w:r>
            <w:r>
              <w:rPr>
                <w:rFonts w:ascii="Times New Roman" w:eastAsia="Times New Roman"/>
                <w:color w:val="000000"/>
              </w:rPr>
              <w:t>“</w:t>
            </w:r>
            <w:r>
              <w:rPr>
                <w:rFonts w:hint="eastAsia" w:hAnsi="Calibri"/>
                <w:color w:val="000000"/>
              </w:rPr>
              <w:t>乌</w:t>
            </w:r>
            <w:r>
              <w:rPr>
                <w:rFonts w:hint="eastAsia" w:hAnsi="Calibri" w:eastAsia="Times New Roman"/>
                <w:color w:val="000000"/>
              </w:rPr>
              <w:t>-</w:t>
            </w:r>
            <w:r>
              <w:rPr>
                <w:rFonts w:hint="eastAsia" w:hAnsi="Calibri"/>
                <w:color w:val="000000"/>
              </w:rPr>
              <w:t>昌</w:t>
            </w:r>
            <w:r>
              <w:rPr>
                <w:rFonts w:hint="eastAsia" w:hAnsi="Calibri" w:eastAsia="Times New Roman"/>
                <w:color w:val="000000"/>
              </w:rPr>
              <w:t>-</w:t>
            </w:r>
            <w:r>
              <w:rPr>
                <w:rFonts w:hint="eastAsia" w:hAnsi="Calibri"/>
                <w:color w:val="000000"/>
              </w:rPr>
              <w:t>石</w:t>
            </w:r>
            <w:r>
              <w:rPr>
                <w:rFonts w:ascii="Times New Roman" w:eastAsia="Times New Roman"/>
                <w:color w:val="000000"/>
              </w:rPr>
              <w:t>”</w:t>
            </w:r>
            <w:r>
              <w:rPr>
                <w:rFonts w:hint="eastAsia" w:hAnsi="Calibri"/>
                <w:color w:val="000000"/>
              </w:rPr>
              <w:t>区域内涉及燃料煤的新（改、扩）建电力行业实行燃料煤减量</w:t>
            </w:r>
            <w:r>
              <w:rPr>
                <w:rFonts w:hint="eastAsia" w:hAnsi="Calibri" w:eastAsia="Times New Roman"/>
                <w:color w:val="000000"/>
              </w:rPr>
              <w:t>20%</w:t>
            </w:r>
            <w:r>
              <w:rPr>
                <w:rFonts w:hint="eastAsia" w:hAnsi="Calibri"/>
                <w:color w:val="000000"/>
              </w:rPr>
              <w:t>替代，非电行业实施减量</w:t>
            </w:r>
            <w:r>
              <w:rPr>
                <w:rFonts w:hint="eastAsia" w:hAnsi="Calibri" w:eastAsia="Times New Roman"/>
                <w:color w:val="000000"/>
              </w:rPr>
              <w:t>30%</w:t>
            </w:r>
            <w:r>
              <w:rPr>
                <w:rFonts w:hint="eastAsia" w:hAnsi="Calibri"/>
                <w:color w:val="000000"/>
              </w:rPr>
              <w:t>替代。对未完成上一年度煤炭消费控制目标的县市、园区，实行耗煤项目区域限批，对未完成上一年度煤炭削减目标的县市、园区实行耗煤项目区域禁批。</w:t>
            </w:r>
          </w:p>
        </w:tc>
        <w:tc>
          <w:tcPr>
            <w:tcW w:w="3799" w:type="dxa"/>
            <w:shd w:val="clear" w:color="auto" w:fill="auto"/>
            <w:vAlign w:val="center"/>
          </w:tcPr>
          <w:p>
            <w:pPr>
              <w:pStyle w:val="70"/>
              <w:rPr>
                <w:rFonts w:hAnsi="Calibri" w:eastAsia="Times New Roman"/>
                <w:color w:val="000000"/>
              </w:rPr>
            </w:pPr>
            <w:r>
              <w:rPr>
                <w:rFonts w:hint="eastAsia" w:hAnsi="Calibri"/>
                <w:color w:val="000000"/>
              </w:rPr>
              <w:t>本项目不涉及管控要求内容</w:t>
            </w:r>
          </w:p>
        </w:tc>
        <w:tc>
          <w:tcPr>
            <w:tcW w:w="426" w:type="dxa"/>
            <w:shd w:val="clear" w:color="auto" w:fill="auto"/>
            <w:vAlign w:val="center"/>
          </w:tcPr>
          <w:p>
            <w:pPr>
              <w:pStyle w:val="70"/>
              <w:rPr>
                <w:rFonts w:hAnsi="Calibri" w:eastAsia="Times New Roman"/>
                <w:color w:val="000000"/>
              </w:rPr>
            </w:pPr>
            <w:r>
              <w:rPr>
                <w:rFonts w:hint="eastAsia" w:hAnsi="Calibri"/>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96" w:type="dxa"/>
            <w:vMerge w:val="continue"/>
            <w:shd w:val="clear" w:color="auto" w:fill="auto"/>
            <w:vAlign w:val="center"/>
          </w:tcPr>
          <w:p>
            <w:pPr>
              <w:pStyle w:val="70"/>
              <w:rPr>
                <w:rFonts w:hAnsi="Calibri"/>
                <w:color w:val="000000"/>
              </w:rPr>
            </w:pPr>
          </w:p>
        </w:tc>
        <w:tc>
          <w:tcPr>
            <w:tcW w:w="535" w:type="dxa"/>
            <w:vMerge w:val="continue"/>
            <w:shd w:val="clear" w:color="auto" w:fill="auto"/>
            <w:vAlign w:val="center"/>
          </w:tcPr>
          <w:p>
            <w:pPr>
              <w:pStyle w:val="70"/>
              <w:rPr>
                <w:rFonts w:hAnsi="Calibri"/>
                <w:color w:val="000000"/>
              </w:rPr>
            </w:pPr>
          </w:p>
        </w:tc>
        <w:tc>
          <w:tcPr>
            <w:tcW w:w="1342" w:type="dxa"/>
            <w:vMerge w:val="restart"/>
            <w:shd w:val="clear" w:color="auto" w:fill="auto"/>
            <w:vAlign w:val="center"/>
          </w:tcPr>
          <w:p>
            <w:pPr>
              <w:pStyle w:val="70"/>
              <w:rPr>
                <w:rFonts w:hAnsi="Calibri" w:eastAsia="Times New Roman"/>
                <w:color w:val="000000"/>
              </w:rPr>
            </w:pPr>
            <w:r>
              <w:rPr>
                <w:rFonts w:hint="eastAsia" w:hAnsi="Calibri"/>
                <w:color w:val="000000"/>
              </w:rPr>
              <w:t>不符合空间布局要求活动的退出要求</w:t>
            </w:r>
          </w:p>
        </w:tc>
        <w:tc>
          <w:tcPr>
            <w:tcW w:w="6550" w:type="dxa"/>
            <w:shd w:val="clear" w:color="auto" w:fill="auto"/>
            <w:vAlign w:val="center"/>
          </w:tcPr>
          <w:p>
            <w:pPr>
              <w:pStyle w:val="70"/>
              <w:jc w:val="both"/>
              <w:rPr>
                <w:rFonts w:hAnsi="Calibri" w:eastAsia="Times New Roman"/>
                <w:color w:val="000000"/>
              </w:rPr>
            </w:pPr>
            <w:r>
              <w:rPr>
                <w:rFonts w:hint="eastAsia" w:hAnsi="Calibri" w:eastAsia="Times New Roman"/>
                <w:color w:val="000000"/>
              </w:rPr>
              <w:t>1</w:t>
            </w:r>
            <w:r>
              <w:rPr>
                <w:rFonts w:hint="eastAsia" w:hAnsi="Calibri"/>
                <w:color w:val="000000"/>
              </w:rPr>
              <w:t>、加快各县市建成区重污染企业搬迁改造或关闭退出，推动实施一批水泥、平板玻璃、焦化、化工等重污染企业搬迁工程。</w:t>
            </w:r>
          </w:p>
          <w:p>
            <w:pPr>
              <w:pStyle w:val="70"/>
              <w:jc w:val="both"/>
              <w:rPr>
                <w:rFonts w:hAnsi="Calibri" w:eastAsia="Times New Roman"/>
                <w:color w:val="000000"/>
              </w:rPr>
            </w:pPr>
            <w:r>
              <w:rPr>
                <w:rFonts w:hint="eastAsia" w:hAnsi="Calibri" w:eastAsia="Times New Roman"/>
                <w:color w:val="000000"/>
              </w:rPr>
              <w:t>2</w:t>
            </w:r>
            <w:r>
              <w:rPr>
                <w:rFonts w:hint="eastAsia" w:hAnsi="Calibri"/>
                <w:color w:val="000000"/>
              </w:rPr>
              <w:t>、重点区域城市钢铁企业要切实采取彻底关停、转型发展、就地改造、域外搬迁等方式，推动转型升级。</w:t>
            </w:r>
          </w:p>
          <w:p>
            <w:pPr>
              <w:pStyle w:val="70"/>
              <w:jc w:val="both"/>
              <w:rPr>
                <w:rFonts w:hAnsi="Calibri" w:eastAsia="Times New Roman"/>
                <w:color w:val="000000"/>
              </w:rPr>
            </w:pPr>
            <w:r>
              <w:rPr>
                <w:rFonts w:hint="eastAsia" w:hAnsi="Calibri" w:eastAsia="Times New Roman"/>
                <w:color w:val="000000"/>
              </w:rPr>
              <w:t>3</w:t>
            </w:r>
            <w:r>
              <w:rPr>
                <w:rFonts w:hint="eastAsia" w:hAnsi="Calibri"/>
                <w:color w:val="000000"/>
              </w:rPr>
              <w:t>、在保障能源供应的前提下，</w:t>
            </w:r>
            <w:r>
              <w:rPr>
                <w:rFonts w:ascii="Times New Roman" w:eastAsia="Times New Roman"/>
                <w:color w:val="000000"/>
              </w:rPr>
              <w:t>“</w:t>
            </w:r>
            <w:r>
              <w:rPr>
                <w:rFonts w:hint="eastAsia" w:hAnsi="Calibri"/>
                <w:color w:val="000000"/>
              </w:rPr>
              <w:t>乌</w:t>
            </w:r>
            <w:r>
              <w:rPr>
                <w:rFonts w:hint="eastAsia" w:hAnsi="Calibri" w:eastAsia="Times New Roman"/>
                <w:color w:val="000000"/>
              </w:rPr>
              <w:t>-</w:t>
            </w:r>
            <w:r>
              <w:rPr>
                <w:rFonts w:hint="eastAsia" w:hAnsi="Calibri"/>
                <w:color w:val="000000"/>
              </w:rPr>
              <w:t>昌</w:t>
            </w:r>
            <w:r>
              <w:rPr>
                <w:rFonts w:hint="eastAsia" w:hAnsi="Calibri" w:eastAsia="Times New Roman"/>
                <w:color w:val="000000"/>
              </w:rPr>
              <w:t>-</w:t>
            </w:r>
            <w:r>
              <w:rPr>
                <w:rFonts w:hint="eastAsia" w:hAnsi="Calibri"/>
                <w:color w:val="000000"/>
              </w:rPr>
              <w:t>石</w:t>
            </w:r>
            <w:r>
              <w:rPr>
                <w:rFonts w:ascii="Times New Roman" w:eastAsia="Times New Roman"/>
                <w:color w:val="000000"/>
              </w:rPr>
              <w:t>”</w:t>
            </w:r>
            <w:r>
              <w:rPr>
                <w:rFonts w:hint="eastAsia" w:hAnsi="Calibri"/>
                <w:color w:val="000000"/>
              </w:rPr>
              <w:t>区域内</w:t>
            </w:r>
            <w:r>
              <w:rPr>
                <w:rFonts w:hint="eastAsia" w:hAnsi="Calibri" w:eastAsia="Times New Roman"/>
                <w:color w:val="000000"/>
              </w:rPr>
              <w:t>4</w:t>
            </w:r>
            <w:r>
              <w:rPr>
                <w:rFonts w:hint="eastAsia" w:hAnsi="Calibri"/>
                <w:color w:val="000000"/>
              </w:rPr>
              <w:t>县市</w:t>
            </w:r>
            <w:r>
              <w:rPr>
                <w:rFonts w:hint="eastAsia" w:hAnsi="Calibri" w:eastAsia="Times New Roman"/>
                <w:color w:val="000000"/>
              </w:rPr>
              <w:t>2</w:t>
            </w:r>
            <w:r>
              <w:rPr>
                <w:rFonts w:hint="eastAsia" w:hAnsi="Calibri"/>
                <w:color w:val="000000"/>
              </w:rPr>
              <w:t>园区建成区及能源供应范围内的城乡结合部完成生活和冬季取暖散煤替代，对暂不具备清洁能源替代条件的，积极推广洁净煤并加强煤质监管，严厉打击销售使用劣质煤行为。</w:t>
            </w:r>
          </w:p>
          <w:p>
            <w:pPr>
              <w:pStyle w:val="70"/>
              <w:jc w:val="both"/>
              <w:rPr>
                <w:rFonts w:hAnsi="Calibri" w:eastAsia="Times New Roman"/>
                <w:color w:val="000000"/>
              </w:rPr>
            </w:pPr>
            <w:r>
              <w:rPr>
                <w:rFonts w:hint="eastAsia" w:hAnsi="Calibri" w:eastAsia="Times New Roman"/>
                <w:color w:val="000000"/>
              </w:rPr>
              <w:t>4</w:t>
            </w:r>
            <w:r>
              <w:rPr>
                <w:rFonts w:hint="eastAsia" w:hAnsi="Calibri"/>
                <w:color w:val="000000"/>
              </w:rPr>
              <w:t>、环保、能耗、安全等不达标的</w:t>
            </w:r>
            <w:r>
              <w:rPr>
                <w:rFonts w:hint="eastAsia" w:hAnsi="Calibri" w:eastAsia="Times New Roman"/>
                <w:color w:val="000000"/>
              </w:rPr>
              <w:t>30</w:t>
            </w:r>
            <w:r>
              <w:rPr>
                <w:rFonts w:hint="eastAsia" w:hAnsi="Calibri"/>
                <w:color w:val="000000"/>
              </w:rPr>
              <w:t>万千瓦以下燃煤机组限期淘汰关停。对全州</w:t>
            </w:r>
            <w:r>
              <w:rPr>
                <w:rFonts w:hint="eastAsia" w:hAnsi="Calibri" w:eastAsia="Times New Roman"/>
                <w:color w:val="000000"/>
              </w:rPr>
              <w:t>30</w:t>
            </w:r>
            <w:r>
              <w:rPr>
                <w:rFonts w:hint="eastAsia" w:hAnsi="Calibri"/>
                <w:color w:val="000000"/>
              </w:rPr>
              <w:t>万千瓦以下燃煤机组违反产业政策的坚决淘汰取缔；对环保、能耗、安全、质量等不达标的，逾期未完成整改的依法依规关停。</w:t>
            </w:r>
          </w:p>
          <w:p>
            <w:pPr>
              <w:pStyle w:val="70"/>
              <w:jc w:val="both"/>
              <w:rPr>
                <w:rFonts w:hAnsi="Calibri" w:eastAsia="Times New Roman"/>
                <w:color w:val="000000"/>
              </w:rPr>
            </w:pPr>
            <w:r>
              <w:rPr>
                <w:rFonts w:hint="eastAsia" w:hAnsi="Calibri" w:eastAsia="Times New Roman"/>
                <w:color w:val="000000"/>
              </w:rPr>
              <w:t>5</w:t>
            </w:r>
            <w:r>
              <w:rPr>
                <w:rFonts w:hint="eastAsia" w:hAnsi="Calibri"/>
                <w:color w:val="000000"/>
              </w:rPr>
              <w:t>、县级及以上城市建成区淘汰现有每小时</w:t>
            </w:r>
            <w:r>
              <w:rPr>
                <w:rFonts w:hint="eastAsia" w:hAnsi="Calibri" w:eastAsia="Times New Roman"/>
                <w:color w:val="000000"/>
              </w:rPr>
              <w:t>10</w:t>
            </w:r>
            <w:r>
              <w:rPr>
                <w:rFonts w:hint="eastAsia" w:hAnsi="Calibri"/>
                <w:color w:val="000000"/>
              </w:rPr>
              <w:t>蒸吨及以下燃煤锅炉及茶水炉、经营性炉灶、储粮烘干设备等燃煤设施。</w:t>
            </w:r>
          </w:p>
          <w:p>
            <w:pPr>
              <w:pStyle w:val="70"/>
              <w:jc w:val="both"/>
              <w:rPr>
                <w:rFonts w:hAnsi="Calibri" w:eastAsia="Times New Roman"/>
                <w:color w:val="000000"/>
              </w:rPr>
            </w:pPr>
            <w:r>
              <w:rPr>
                <w:rFonts w:hint="eastAsia" w:hAnsi="Calibri" w:eastAsia="Times New Roman"/>
                <w:color w:val="000000"/>
              </w:rPr>
              <w:t>6</w:t>
            </w:r>
            <w:r>
              <w:rPr>
                <w:rFonts w:hint="eastAsia" w:hAnsi="Calibri"/>
                <w:color w:val="000000"/>
              </w:rPr>
              <w:t>、加大不达标工业炉窑淘汰力度。</w:t>
            </w:r>
            <w:r>
              <w:rPr>
                <w:rFonts w:ascii="Times New Roman" w:eastAsia="Times New Roman"/>
                <w:color w:val="000000"/>
              </w:rPr>
              <w:t>“</w:t>
            </w:r>
            <w:r>
              <w:rPr>
                <w:rFonts w:hint="eastAsia" w:hAnsi="Calibri"/>
                <w:color w:val="000000"/>
              </w:rPr>
              <w:t>乌</w:t>
            </w:r>
            <w:r>
              <w:rPr>
                <w:rFonts w:hint="eastAsia" w:hAnsi="Calibri" w:eastAsia="Times New Roman"/>
                <w:color w:val="000000"/>
              </w:rPr>
              <w:t>-</w:t>
            </w:r>
            <w:r>
              <w:rPr>
                <w:rFonts w:hint="eastAsia" w:hAnsi="Calibri"/>
                <w:color w:val="000000"/>
              </w:rPr>
              <w:t>昌</w:t>
            </w:r>
            <w:r>
              <w:rPr>
                <w:rFonts w:hint="eastAsia" w:hAnsi="Calibri" w:eastAsia="Times New Roman"/>
                <w:color w:val="000000"/>
              </w:rPr>
              <w:t>-</w:t>
            </w:r>
            <w:r>
              <w:rPr>
                <w:rFonts w:hint="eastAsia" w:hAnsi="Calibri"/>
                <w:color w:val="000000"/>
              </w:rPr>
              <w:t>石</w:t>
            </w:r>
            <w:r>
              <w:rPr>
                <w:rFonts w:ascii="Times New Roman" w:eastAsia="Times New Roman"/>
                <w:color w:val="000000"/>
              </w:rPr>
              <w:t>”</w:t>
            </w:r>
            <w:r>
              <w:rPr>
                <w:rFonts w:hint="eastAsia" w:hAnsi="Calibri"/>
                <w:color w:val="000000"/>
              </w:rPr>
              <w:t>区域内</w:t>
            </w:r>
            <w:r>
              <w:rPr>
                <w:rFonts w:hint="eastAsia" w:hAnsi="Calibri" w:eastAsia="Times New Roman"/>
                <w:color w:val="000000"/>
              </w:rPr>
              <w:t>4</w:t>
            </w:r>
            <w:r>
              <w:rPr>
                <w:rFonts w:hint="eastAsia" w:hAnsi="Calibri"/>
                <w:color w:val="000000"/>
              </w:rPr>
              <w:t>县市</w:t>
            </w:r>
            <w:r>
              <w:rPr>
                <w:rFonts w:hint="eastAsia" w:hAnsi="Calibri" w:eastAsia="Times New Roman"/>
                <w:color w:val="000000"/>
              </w:rPr>
              <w:t>2</w:t>
            </w:r>
            <w:r>
              <w:rPr>
                <w:rFonts w:hint="eastAsia" w:hAnsi="Calibri"/>
                <w:color w:val="000000"/>
              </w:rPr>
              <w:t>园区取缔燃煤热风炉，基本淘汰热电联产供热管网覆盖范围内的燃煤加热、烘干炉（窑）炉；淘汰炉膛直径</w:t>
            </w:r>
            <w:r>
              <w:rPr>
                <w:rFonts w:hint="eastAsia" w:hAnsi="Calibri" w:eastAsia="Times New Roman"/>
                <w:color w:val="000000"/>
              </w:rPr>
              <w:t>3</w:t>
            </w:r>
            <w:r>
              <w:rPr>
                <w:rFonts w:hint="eastAsia" w:hAnsi="Calibri"/>
                <w:color w:val="000000"/>
              </w:rPr>
              <w:t>米以下燃料类煤气发生炉。</w:t>
            </w:r>
          </w:p>
          <w:p>
            <w:pPr>
              <w:pStyle w:val="70"/>
              <w:jc w:val="both"/>
              <w:rPr>
                <w:rFonts w:hAnsi="Calibri" w:eastAsia="Times New Roman"/>
                <w:color w:val="000000"/>
              </w:rPr>
            </w:pPr>
            <w:r>
              <w:rPr>
                <w:rFonts w:hint="eastAsia" w:hAnsi="Calibri" w:eastAsia="Times New Roman"/>
                <w:color w:val="000000"/>
              </w:rPr>
              <w:t>7</w:t>
            </w:r>
            <w:r>
              <w:rPr>
                <w:rFonts w:hint="eastAsia" w:hAnsi="Calibri"/>
                <w:color w:val="000000"/>
              </w:rPr>
              <w:t>、</w:t>
            </w:r>
            <w:r>
              <w:rPr>
                <w:rFonts w:ascii="Times New Roman" w:eastAsia="Times New Roman"/>
                <w:color w:val="000000"/>
              </w:rPr>
              <w:t>“</w:t>
            </w:r>
            <w:r>
              <w:rPr>
                <w:rFonts w:hint="eastAsia" w:hAnsi="Calibri"/>
                <w:color w:val="000000"/>
              </w:rPr>
              <w:t>乌</w:t>
            </w:r>
            <w:r>
              <w:rPr>
                <w:rFonts w:hint="eastAsia" w:hAnsi="Calibri" w:eastAsia="Times New Roman"/>
                <w:color w:val="000000"/>
              </w:rPr>
              <w:t>-</w:t>
            </w:r>
            <w:r>
              <w:rPr>
                <w:rFonts w:hint="eastAsia" w:hAnsi="Calibri"/>
                <w:color w:val="000000"/>
              </w:rPr>
              <w:t>昌</w:t>
            </w:r>
            <w:r>
              <w:rPr>
                <w:rFonts w:hint="eastAsia" w:hAnsi="Calibri" w:eastAsia="Times New Roman"/>
                <w:color w:val="000000"/>
              </w:rPr>
              <w:t>-</w:t>
            </w:r>
            <w:r>
              <w:rPr>
                <w:rFonts w:hint="eastAsia" w:hAnsi="Calibri"/>
                <w:color w:val="000000"/>
              </w:rPr>
              <w:t>石</w:t>
            </w:r>
            <w:r>
              <w:rPr>
                <w:rFonts w:ascii="Times New Roman" w:eastAsia="Times New Roman"/>
                <w:color w:val="000000"/>
              </w:rPr>
              <w:t>”</w:t>
            </w:r>
            <w:r>
              <w:rPr>
                <w:rFonts w:hint="eastAsia" w:hAnsi="Calibri"/>
                <w:color w:val="000000"/>
              </w:rPr>
              <w:t>区域内</w:t>
            </w:r>
            <w:r>
              <w:rPr>
                <w:rFonts w:hint="eastAsia" w:hAnsi="Calibri" w:eastAsia="Times New Roman"/>
                <w:color w:val="000000"/>
              </w:rPr>
              <w:t>4</w:t>
            </w:r>
            <w:r>
              <w:rPr>
                <w:rFonts w:hint="eastAsia" w:hAnsi="Calibri"/>
                <w:color w:val="000000"/>
              </w:rPr>
              <w:t>县市</w:t>
            </w:r>
            <w:r>
              <w:rPr>
                <w:rFonts w:hint="eastAsia" w:hAnsi="Calibri" w:eastAsia="Times New Roman"/>
                <w:color w:val="000000"/>
              </w:rPr>
              <w:t>2</w:t>
            </w:r>
            <w:r>
              <w:rPr>
                <w:rFonts w:hint="eastAsia" w:hAnsi="Calibri"/>
                <w:color w:val="000000"/>
              </w:rPr>
              <w:t>园区</w:t>
            </w:r>
            <w:r>
              <w:rPr>
                <w:rFonts w:hint="eastAsia" w:hAnsi="Calibri" w:eastAsia="Times New Roman"/>
                <w:color w:val="000000"/>
              </w:rPr>
              <w:t>30</w:t>
            </w:r>
            <w:r>
              <w:rPr>
                <w:rFonts w:hint="eastAsia" w:hAnsi="Calibri"/>
                <w:color w:val="000000"/>
              </w:rPr>
              <w:t>万千瓦及以上热电联产电厂供热半径</w:t>
            </w:r>
            <w:r>
              <w:rPr>
                <w:rFonts w:hint="eastAsia" w:hAnsi="Calibri" w:eastAsia="Times New Roman"/>
                <w:color w:val="000000"/>
              </w:rPr>
              <w:t>15</w:t>
            </w:r>
            <w:r>
              <w:rPr>
                <w:rFonts w:hint="eastAsia" w:hAnsi="Calibri"/>
                <w:color w:val="000000"/>
              </w:rPr>
              <w:t>公里范围内的燃煤锅炉和落后燃煤小热电实行关停整合。</w:t>
            </w:r>
          </w:p>
          <w:p>
            <w:pPr>
              <w:pStyle w:val="70"/>
              <w:jc w:val="both"/>
              <w:rPr>
                <w:rFonts w:hAnsi="Calibri" w:eastAsia="Times New Roman"/>
                <w:color w:val="000000"/>
              </w:rPr>
            </w:pPr>
            <w:r>
              <w:rPr>
                <w:rFonts w:hint="eastAsia" w:hAnsi="Calibri" w:eastAsia="Times New Roman"/>
                <w:color w:val="000000"/>
              </w:rPr>
              <w:t>8</w:t>
            </w:r>
            <w:r>
              <w:rPr>
                <w:rFonts w:hint="eastAsia" w:hAnsi="Calibri"/>
                <w:color w:val="000000"/>
              </w:rPr>
              <w:t>、对违反资源环境法律法规、规划，污染环境、破坏生态、乱采滥挖的露天矿山限期依法关闭。</w:t>
            </w:r>
          </w:p>
          <w:p>
            <w:pPr>
              <w:pStyle w:val="70"/>
              <w:jc w:val="both"/>
              <w:rPr>
                <w:rFonts w:hAnsi="Calibri" w:eastAsia="Times New Roman"/>
                <w:color w:val="000000"/>
              </w:rPr>
            </w:pPr>
            <w:r>
              <w:rPr>
                <w:rFonts w:hint="eastAsia" w:hAnsi="Calibri" w:eastAsia="Times New Roman"/>
                <w:color w:val="000000"/>
              </w:rPr>
              <w:t>9</w:t>
            </w:r>
            <w:r>
              <w:rPr>
                <w:rFonts w:hint="eastAsia" w:hAnsi="Calibri"/>
                <w:color w:val="000000"/>
              </w:rPr>
              <w:t>、昌吉州各县市及园区限期淘汰国三及以下排放标准营运柴油货车。</w:t>
            </w:r>
          </w:p>
          <w:p>
            <w:pPr>
              <w:pStyle w:val="70"/>
              <w:jc w:val="both"/>
              <w:rPr>
                <w:rFonts w:hAnsi="Calibri" w:eastAsia="Times New Roman"/>
                <w:color w:val="000000"/>
              </w:rPr>
            </w:pPr>
            <w:r>
              <w:rPr>
                <w:rFonts w:hint="eastAsia" w:hAnsi="Calibri" w:eastAsia="Times New Roman"/>
                <w:color w:val="000000"/>
              </w:rPr>
              <w:t>10</w:t>
            </w:r>
            <w:r>
              <w:rPr>
                <w:rFonts w:hint="eastAsia" w:hAnsi="Calibri"/>
                <w:color w:val="000000"/>
              </w:rPr>
              <w:t>、对达到国家《机动车强制报废标准规定》强制报废规定的，一律按标准要求报废。</w:t>
            </w:r>
          </w:p>
        </w:tc>
        <w:tc>
          <w:tcPr>
            <w:tcW w:w="3799" w:type="dxa"/>
            <w:shd w:val="clear" w:color="auto" w:fill="auto"/>
            <w:vAlign w:val="center"/>
          </w:tcPr>
          <w:p>
            <w:pPr>
              <w:pStyle w:val="70"/>
              <w:rPr>
                <w:rFonts w:hAnsi="Calibri" w:eastAsia="Times New Roman"/>
                <w:color w:val="000000"/>
              </w:rPr>
            </w:pPr>
            <w:r>
              <w:rPr>
                <w:rFonts w:hint="eastAsia" w:hAnsi="Calibri"/>
                <w:color w:val="000000"/>
              </w:rPr>
              <w:t>本项目不涉及管控要求内容</w:t>
            </w:r>
          </w:p>
        </w:tc>
        <w:tc>
          <w:tcPr>
            <w:tcW w:w="426" w:type="dxa"/>
            <w:shd w:val="clear" w:color="auto" w:fill="auto"/>
            <w:vAlign w:val="center"/>
          </w:tcPr>
          <w:p>
            <w:pPr>
              <w:pStyle w:val="70"/>
              <w:rPr>
                <w:rFonts w:hAnsi="Calibri" w:eastAsia="Times New Roman"/>
                <w:color w:val="000000"/>
              </w:rPr>
            </w:pPr>
            <w:r>
              <w:rPr>
                <w:rFonts w:hint="eastAsia" w:hAnsi="Calibri"/>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96" w:type="dxa"/>
            <w:vMerge w:val="continue"/>
            <w:shd w:val="clear" w:color="auto" w:fill="auto"/>
            <w:vAlign w:val="center"/>
          </w:tcPr>
          <w:p>
            <w:pPr>
              <w:pStyle w:val="70"/>
              <w:rPr>
                <w:rFonts w:hAnsi="Calibri"/>
                <w:color w:val="000000"/>
              </w:rPr>
            </w:pPr>
          </w:p>
        </w:tc>
        <w:tc>
          <w:tcPr>
            <w:tcW w:w="535" w:type="dxa"/>
            <w:vMerge w:val="continue"/>
            <w:shd w:val="clear" w:color="auto" w:fill="auto"/>
            <w:vAlign w:val="center"/>
          </w:tcPr>
          <w:p>
            <w:pPr>
              <w:pStyle w:val="70"/>
              <w:rPr>
                <w:rFonts w:hAnsi="Calibri"/>
                <w:color w:val="000000"/>
              </w:rPr>
            </w:pPr>
          </w:p>
        </w:tc>
        <w:tc>
          <w:tcPr>
            <w:tcW w:w="1342" w:type="dxa"/>
            <w:vMerge w:val="continue"/>
            <w:shd w:val="clear" w:color="auto" w:fill="auto"/>
            <w:vAlign w:val="center"/>
          </w:tcPr>
          <w:p>
            <w:pPr>
              <w:pStyle w:val="70"/>
              <w:rPr>
                <w:rFonts w:hAnsi="Calibri"/>
                <w:color w:val="000000"/>
              </w:rPr>
            </w:pPr>
          </w:p>
        </w:tc>
        <w:tc>
          <w:tcPr>
            <w:tcW w:w="6550" w:type="dxa"/>
            <w:shd w:val="clear" w:color="auto" w:fill="auto"/>
            <w:vAlign w:val="center"/>
          </w:tcPr>
          <w:p>
            <w:pPr>
              <w:pStyle w:val="70"/>
              <w:jc w:val="both"/>
              <w:rPr>
                <w:rFonts w:hAnsi="Calibri" w:eastAsia="Times New Roman"/>
                <w:color w:val="000000"/>
              </w:rPr>
            </w:pPr>
            <w:r>
              <w:rPr>
                <w:rFonts w:hint="eastAsia" w:hAnsi="Calibri" w:eastAsia="Times New Roman"/>
                <w:color w:val="000000"/>
              </w:rPr>
              <w:t>1</w:t>
            </w:r>
            <w:r>
              <w:rPr>
                <w:rFonts w:hint="eastAsia" w:hAnsi="Calibri"/>
                <w:color w:val="000000"/>
              </w:rPr>
              <w:t>、严格实施机动车强制报废标准，淘汰到期的老旧轻型汽车和摩托车。</w:t>
            </w:r>
          </w:p>
          <w:p>
            <w:pPr>
              <w:pStyle w:val="70"/>
              <w:jc w:val="both"/>
              <w:rPr>
                <w:rFonts w:hAnsi="Calibri" w:eastAsia="Times New Roman"/>
                <w:color w:val="000000"/>
              </w:rPr>
            </w:pPr>
            <w:r>
              <w:rPr>
                <w:rFonts w:hint="eastAsia" w:hAnsi="Calibri" w:eastAsia="Times New Roman"/>
                <w:color w:val="000000"/>
              </w:rPr>
              <w:t>2</w:t>
            </w:r>
            <w:r>
              <w:rPr>
                <w:rFonts w:hint="eastAsia" w:hAnsi="Calibri"/>
                <w:color w:val="000000"/>
              </w:rPr>
              <w:t>、按照《室内装饰装修材料有害物质限量》要求，严格控制装饰材料市场准入，逐步淘汰溶剂型涂料和胶粘剂。</w:t>
            </w:r>
          </w:p>
        </w:tc>
        <w:tc>
          <w:tcPr>
            <w:tcW w:w="3799" w:type="dxa"/>
            <w:shd w:val="clear" w:color="auto" w:fill="auto"/>
            <w:vAlign w:val="center"/>
          </w:tcPr>
          <w:p>
            <w:pPr>
              <w:pStyle w:val="70"/>
              <w:rPr>
                <w:rFonts w:hAnsi="Calibri" w:eastAsia="Times New Roman"/>
                <w:color w:val="000000"/>
              </w:rPr>
            </w:pPr>
            <w:r>
              <w:rPr>
                <w:rFonts w:hint="eastAsia" w:hAnsi="Calibri"/>
                <w:color w:val="000000"/>
              </w:rPr>
              <w:t>本项目不涉及管控要求内容</w:t>
            </w:r>
          </w:p>
        </w:tc>
        <w:tc>
          <w:tcPr>
            <w:tcW w:w="426" w:type="dxa"/>
            <w:shd w:val="clear" w:color="auto" w:fill="auto"/>
            <w:vAlign w:val="center"/>
          </w:tcPr>
          <w:p>
            <w:pPr>
              <w:pStyle w:val="70"/>
              <w:rPr>
                <w:rFonts w:hAnsi="Calibri" w:eastAsia="Times New Roman"/>
                <w:color w:val="000000"/>
              </w:rPr>
            </w:pPr>
            <w:r>
              <w:rPr>
                <w:rFonts w:hint="eastAsia" w:hAnsi="Calibri"/>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96" w:type="dxa"/>
            <w:vMerge w:val="continue"/>
            <w:shd w:val="clear" w:color="auto" w:fill="auto"/>
            <w:vAlign w:val="center"/>
          </w:tcPr>
          <w:p>
            <w:pPr>
              <w:pStyle w:val="70"/>
              <w:rPr>
                <w:rFonts w:hAnsi="Calibri"/>
                <w:color w:val="000000"/>
              </w:rPr>
            </w:pPr>
          </w:p>
        </w:tc>
        <w:tc>
          <w:tcPr>
            <w:tcW w:w="535" w:type="dxa"/>
            <w:vMerge w:val="continue"/>
            <w:shd w:val="clear" w:color="auto" w:fill="auto"/>
            <w:vAlign w:val="center"/>
          </w:tcPr>
          <w:p>
            <w:pPr>
              <w:pStyle w:val="70"/>
              <w:rPr>
                <w:rFonts w:hAnsi="Calibri"/>
                <w:color w:val="000000"/>
              </w:rPr>
            </w:pPr>
          </w:p>
        </w:tc>
        <w:tc>
          <w:tcPr>
            <w:tcW w:w="1342" w:type="dxa"/>
            <w:vMerge w:val="continue"/>
            <w:shd w:val="clear" w:color="auto" w:fill="auto"/>
            <w:vAlign w:val="center"/>
          </w:tcPr>
          <w:p>
            <w:pPr>
              <w:pStyle w:val="70"/>
              <w:rPr>
                <w:rFonts w:hAnsi="Calibri"/>
                <w:color w:val="000000"/>
              </w:rPr>
            </w:pPr>
          </w:p>
        </w:tc>
        <w:tc>
          <w:tcPr>
            <w:tcW w:w="6550" w:type="dxa"/>
            <w:shd w:val="clear" w:color="auto" w:fill="auto"/>
            <w:vAlign w:val="center"/>
          </w:tcPr>
          <w:p>
            <w:pPr>
              <w:pStyle w:val="70"/>
              <w:jc w:val="both"/>
              <w:rPr>
                <w:rFonts w:hAnsi="Calibri" w:eastAsia="Times New Roman"/>
                <w:color w:val="000000"/>
              </w:rPr>
            </w:pPr>
            <w:r>
              <w:rPr>
                <w:rFonts w:hint="eastAsia" w:hAnsi="Calibri" w:eastAsia="Times New Roman"/>
                <w:color w:val="000000"/>
              </w:rPr>
              <w:t>1</w:t>
            </w:r>
            <w:r>
              <w:rPr>
                <w:rFonts w:hint="eastAsia" w:hAnsi="Calibri"/>
                <w:color w:val="000000"/>
              </w:rPr>
              <w:t>、对一级保护区内已经建成的与供水设施和保护水源无关的建设项目和二级保护区内已建成的排放污染物的建设项目，由保护区所在地县（市）人民政府责令限期拆除或者关闭。</w:t>
            </w:r>
          </w:p>
        </w:tc>
        <w:tc>
          <w:tcPr>
            <w:tcW w:w="3799" w:type="dxa"/>
            <w:shd w:val="clear" w:color="auto" w:fill="auto"/>
            <w:vAlign w:val="center"/>
          </w:tcPr>
          <w:p>
            <w:pPr>
              <w:pStyle w:val="70"/>
              <w:rPr>
                <w:rFonts w:hAnsi="Calibri" w:eastAsia="Times New Roman"/>
                <w:color w:val="000000"/>
              </w:rPr>
            </w:pPr>
            <w:r>
              <w:rPr>
                <w:rFonts w:hint="eastAsia" w:hAnsi="Calibri"/>
                <w:color w:val="000000"/>
              </w:rPr>
              <w:t>本项目不涉及管控要求内容</w:t>
            </w:r>
          </w:p>
        </w:tc>
        <w:tc>
          <w:tcPr>
            <w:tcW w:w="426" w:type="dxa"/>
            <w:shd w:val="clear" w:color="auto" w:fill="auto"/>
            <w:vAlign w:val="center"/>
          </w:tcPr>
          <w:p>
            <w:pPr>
              <w:pStyle w:val="70"/>
              <w:rPr>
                <w:rFonts w:hAnsi="Calibri" w:eastAsia="Times New Roman"/>
                <w:color w:val="000000"/>
              </w:rPr>
            </w:pPr>
            <w:r>
              <w:rPr>
                <w:rFonts w:hint="eastAsia" w:hAnsi="Calibri"/>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96" w:type="dxa"/>
            <w:vMerge w:val="continue"/>
            <w:shd w:val="clear" w:color="auto" w:fill="auto"/>
            <w:vAlign w:val="center"/>
          </w:tcPr>
          <w:p>
            <w:pPr>
              <w:pStyle w:val="70"/>
              <w:rPr>
                <w:rFonts w:hAnsi="Calibri"/>
                <w:color w:val="000000"/>
              </w:rPr>
            </w:pPr>
          </w:p>
        </w:tc>
        <w:tc>
          <w:tcPr>
            <w:tcW w:w="535" w:type="dxa"/>
            <w:vMerge w:val="continue"/>
            <w:shd w:val="clear" w:color="auto" w:fill="auto"/>
            <w:vAlign w:val="center"/>
          </w:tcPr>
          <w:p>
            <w:pPr>
              <w:pStyle w:val="70"/>
              <w:rPr>
                <w:rFonts w:hAnsi="Calibri"/>
                <w:color w:val="000000"/>
              </w:rPr>
            </w:pPr>
          </w:p>
        </w:tc>
        <w:tc>
          <w:tcPr>
            <w:tcW w:w="1342" w:type="dxa"/>
            <w:vMerge w:val="continue"/>
            <w:shd w:val="clear" w:color="auto" w:fill="auto"/>
            <w:vAlign w:val="center"/>
          </w:tcPr>
          <w:p>
            <w:pPr>
              <w:pStyle w:val="70"/>
              <w:rPr>
                <w:rFonts w:hAnsi="Calibri"/>
                <w:color w:val="000000"/>
              </w:rPr>
            </w:pPr>
          </w:p>
        </w:tc>
        <w:tc>
          <w:tcPr>
            <w:tcW w:w="6550" w:type="dxa"/>
            <w:shd w:val="clear" w:color="auto" w:fill="auto"/>
            <w:vAlign w:val="center"/>
          </w:tcPr>
          <w:p>
            <w:pPr>
              <w:pStyle w:val="70"/>
              <w:jc w:val="both"/>
              <w:rPr>
                <w:rFonts w:hAnsi="Calibri" w:eastAsia="Times New Roman"/>
                <w:color w:val="000000"/>
              </w:rPr>
            </w:pPr>
            <w:r>
              <w:rPr>
                <w:rFonts w:hint="eastAsia" w:hAnsi="Calibri" w:eastAsia="Times New Roman"/>
                <w:color w:val="000000"/>
              </w:rPr>
              <w:t>1</w:t>
            </w:r>
            <w:r>
              <w:rPr>
                <w:rFonts w:hint="eastAsia" w:hAnsi="Calibri"/>
                <w:color w:val="000000"/>
              </w:rPr>
              <w:t>、对于现有不符合环保要求的晾晒池、蒸发塘等立即清理整顿。</w:t>
            </w:r>
          </w:p>
          <w:p>
            <w:pPr>
              <w:pStyle w:val="70"/>
              <w:jc w:val="both"/>
              <w:rPr>
                <w:rFonts w:hAnsi="Calibri" w:eastAsia="Times New Roman"/>
                <w:color w:val="000000"/>
              </w:rPr>
            </w:pPr>
            <w:r>
              <w:rPr>
                <w:rFonts w:hint="eastAsia" w:hAnsi="Calibri" w:eastAsia="Times New Roman"/>
                <w:color w:val="000000"/>
              </w:rPr>
              <w:t>2</w:t>
            </w:r>
            <w:r>
              <w:rPr>
                <w:rFonts w:hint="eastAsia" w:hAnsi="Calibri"/>
                <w:color w:val="000000"/>
              </w:rPr>
              <w:t>、依法关闭或搬迁禁养区内的畜禽养殖场（小区）。</w:t>
            </w:r>
          </w:p>
          <w:p>
            <w:pPr>
              <w:pStyle w:val="70"/>
              <w:jc w:val="both"/>
              <w:rPr>
                <w:rFonts w:hAnsi="Calibri" w:eastAsia="Times New Roman"/>
                <w:color w:val="000000"/>
              </w:rPr>
            </w:pPr>
            <w:r>
              <w:rPr>
                <w:rFonts w:hint="eastAsia" w:hAnsi="Calibri" w:eastAsia="Times New Roman"/>
                <w:color w:val="000000"/>
              </w:rPr>
              <w:t>3</w:t>
            </w:r>
            <w:r>
              <w:rPr>
                <w:rFonts w:hint="eastAsia" w:hAnsi="Calibri"/>
                <w:color w:val="000000"/>
              </w:rPr>
              <w:t>、城市建成区内现有钢铁、有色金属、造纸、印染、原料药制造、化工等污染较重的企业应有序搬迁改造或依法关闭。</w:t>
            </w:r>
          </w:p>
          <w:p>
            <w:pPr>
              <w:pStyle w:val="70"/>
              <w:jc w:val="both"/>
              <w:rPr>
                <w:rFonts w:hAnsi="Calibri" w:eastAsia="Times New Roman"/>
                <w:color w:val="000000"/>
              </w:rPr>
            </w:pPr>
            <w:r>
              <w:rPr>
                <w:rFonts w:hint="eastAsia" w:hAnsi="Calibri" w:eastAsia="Times New Roman"/>
                <w:color w:val="000000"/>
              </w:rPr>
              <w:t>4</w:t>
            </w:r>
            <w:r>
              <w:rPr>
                <w:rFonts w:hint="eastAsia" w:hAnsi="Calibri"/>
                <w:color w:val="000000"/>
              </w:rPr>
              <w:t>、根据各级人民政府编制完成的河湖及水利工程管理和保护范围划界确权实施方案，将划定的管理和保护范围线作为河湖保护红线，非法挤占的应限期退出。</w:t>
            </w:r>
          </w:p>
          <w:p>
            <w:pPr>
              <w:pStyle w:val="70"/>
              <w:jc w:val="both"/>
              <w:rPr>
                <w:rFonts w:hAnsi="Calibri" w:eastAsia="Times New Roman"/>
                <w:color w:val="000000"/>
              </w:rPr>
            </w:pPr>
            <w:r>
              <w:rPr>
                <w:rFonts w:hint="eastAsia" w:hAnsi="Calibri" w:eastAsia="Times New Roman"/>
                <w:color w:val="000000"/>
              </w:rPr>
              <w:t>5</w:t>
            </w:r>
            <w:r>
              <w:rPr>
                <w:rFonts w:hint="eastAsia" w:hAnsi="Calibri"/>
                <w:color w:val="000000"/>
              </w:rPr>
              <w:t>、未经批准的和公共供水管网覆盖范围内的自备水井予以逐步关闭。</w:t>
            </w:r>
          </w:p>
        </w:tc>
        <w:tc>
          <w:tcPr>
            <w:tcW w:w="3799" w:type="dxa"/>
            <w:shd w:val="clear" w:color="auto" w:fill="auto"/>
            <w:vAlign w:val="center"/>
          </w:tcPr>
          <w:p>
            <w:pPr>
              <w:pStyle w:val="70"/>
              <w:rPr>
                <w:rFonts w:hAnsi="Calibri" w:eastAsia="Times New Roman"/>
                <w:color w:val="000000"/>
              </w:rPr>
            </w:pPr>
            <w:r>
              <w:rPr>
                <w:rFonts w:hint="eastAsia" w:hAnsi="Calibri"/>
                <w:color w:val="000000"/>
              </w:rPr>
              <w:t>本项目不涉及管控要求内容</w:t>
            </w:r>
          </w:p>
        </w:tc>
        <w:tc>
          <w:tcPr>
            <w:tcW w:w="426" w:type="dxa"/>
            <w:shd w:val="clear" w:color="auto" w:fill="auto"/>
            <w:vAlign w:val="center"/>
          </w:tcPr>
          <w:p>
            <w:pPr>
              <w:pStyle w:val="70"/>
              <w:rPr>
                <w:rFonts w:hAnsi="Calibri" w:eastAsia="Times New Roman"/>
                <w:color w:val="000000"/>
              </w:rPr>
            </w:pPr>
            <w:r>
              <w:rPr>
                <w:rFonts w:hint="eastAsia" w:hAnsi="Calibri"/>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96" w:type="dxa"/>
            <w:vMerge w:val="continue"/>
            <w:shd w:val="clear" w:color="auto" w:fill="auto"/>
            <w:vAlign w:val="center"/>
          </w:tcPr>
          <w:p>
            <w:pPr>
              <w:pStyle w:val="70"/>
              <w:rPr>
                <w:rFonts w:hAnsi="Calibri"/>
                <w:color w:val="000000"/>
              </w:rPr>
            </w:pPr>
          </w:p>
        </w:tc>
        <w:tc>
          <w:tcPr>
            <w:tcW w:w="535" w:type="dxa"/>
            <w:vMerge w:val="continue"/>
            <w:shd w:val="clear" w:color="auto" w:fill="auto"/>
            <w:vAlign w:val="center"/>
          </w:tcPr>
          <w:p>
            <w:pPr>
              <w:pStyle w:val="70"/>
              <w:rPr>
                <w:rFonts w:hAnsi="Calibri"/>
                <w:color w:val="000000"/>
              </w:rPr>
            </w:pPr>
          </w:p>
        </w:tc>
        <w:tc>
          <w:tcPr>
            <w:tcW w:w="1342" w:type="dxa"/>
            <w:vMerge w:val="continue"/>
            <w:shd w:val="clear" w:color="auto" w:fill="auto"/>
            <w:vAlign w:val="center"/>
          </w:tcPr>
          <w:p>
            <w:pPr>
              <w:pStyle w:val="70"/>
              <w:rPr>
                <w:rFonts w:hAnsi="Calibri"/>
                <w:color w:val="000000"/>
              </w:rPr>
            </w:pPr>
          </w:p>
        </w:tc>
        <w:tc>
          <w:tcPr>
            <w:tcW w:w="6550" w:type="dxa"/>
            <w:shd w:val="clear" w:color="auto" w:fill="auto"/>
            <w:vAlign w:val="center"/>
          </w:tcPr>
          <w:p>
            <w:pPr>
              <w:pStyle w:val="70"/>
              <w:jc w:val="both"/>
              <w:rPr>
                <w:rFonts w:hAnsi="Calibri" w:eastAsia="Times New Roman"/>
                <w:color w:val="000000"/>
              </w:rPr>
            </w:pPr>
            <w:r>
              <w:rPr>
                <w:rFonts w:hint="eastAsia" w:hAnsi="Calibri" w:eastAsia="Times New Roman"/>
                <w:color w:val="000000"/>
              </w:rPr>
              <w:t>1</w:t>
            </w:r>
            <w:r>
              <w:rPr>
                <w:rFonts w:hint="eastAsia" w:hAnsi="Calibri"/>
                <w:color w:val="000000"/>
              </w:rPr>
              <w:t>、对超标和超总量的企业予以</w:t>
            </w:r>
            <w:r>
              <w:rPr>
                <w:rFonts w:ascii="Times New Roman" w:eastAsia="Times New Roman"/>
                <w:color w:val="000000"/>
              </w:rPr>
              <w:t>“</w:t>
            </w:r>
            <w:r>
              <w:rPr>
                <w:rFonts w:hint="eastAsia" w:hAnsi="Calibri"/>
                <w:color w:val="000000"/>
              </w:rPr>
              <w:t>黄牌</w:t>
            </w:r>
            <w:r>
              <w:rPr>
                <w:rFonts w:ascii="Times New Roman" w:eastAsia="Times New Roman"/>
                <w:color w:val="000000"/>
              </w:rPr>
              <w:t>”</w:t>
            </w:r>
            <w:r>
              <w:rPr>
                <w:rFonts w:hint="eastAsia" w:hAnsi="Calibri"/>
                <w:color w:val="000000"/>
              </w:rPr>
              <w:t>警示，并实行限制生产或停产整治。对整治仍不能达到要求且情节严重的企业予以</w:t>
            </w:r>
            <w:r>
              <w:rPr>
                <w:rFonts w:ascii="Times New Roman" w:eastAsia="Times New Roman"/>
                <w:color w:val="000000"/>
              </w:rPr>
              <w:t>“</w:t>
            </w:r>
            <w:r>
              <w:rPr>
                <w:rFonts w:hint="eastAsia" w:hAnsi="Calibri"/>
                <w:color w:val="000000"/>
              </w:rPr>
              <w:t>红牌</w:t>
            </w:r>
            <w:r>
              <w:rPr>
                <w:rFonts w:ascii="Times New Roman" w:eastAsia="Times New Roman"/>
                <w:color w:val="000000"/>
              </w:rPr>
              <w:t>”</w:t>
            </w:r>
            <w:r>
              <w:rPr>
                <w:rFonts w:hint="eastAsia" w:hAnsi="Calibri"/>
                <w:color w:val="000000"/>
              </w:rPr>
              <w:t>惩罚，相关县市、园区人民政府依法责令限期停业、关闭；对城市建成区内污染超标企业实施有序搬迁改造或依法关闭。</w:t>
            </w:r>
          </w:p>
          <w:p>
            <w:pPr>
              <w:pStyle w:val="70"/>
              <w:jc w:val="both"/>
              <w:rPr>
                <w:rFonts w:hAnsi="Calibri" w:eastAsia="Times New Roman"/>
                <w:color w:val="000000"/>
              </w:rPr>
            </w:pPr>
            <w:r>
              <w:rPr>
                <w:rFonts w:hint="eastAsia" w:hAnsi="Calibri" w:eastAsia="Times New Roman"/>
                <w:color w:val="000000"/>
              </w:rPr>
              <w:t>2</w:t>
            </w:r>
            <w:r>
              <w:rPr>
                <w:rFonts w:hint="eastAsia" w:hAnsi="Calibri"/>
                <w:color w:val="000000"/>
              </w:rPr>
              <w:t>、科学划定水产养殖区，明确水产养殖限养区和禁养区，依法拆除超过养殖容量的网箱围网设施。</w:t>
            </w:r>
          </w:p>
          <w:p>
            <w:pPr>
              <w:pStyle w:val="70"/>
              <w:jc w:val="both"/>
              <w:rPr>
                <w:rFonts w:hAnsi="Calibri" w:eastAsia="Times New Roman"/>
                <w:color w:val="000000"/>
              </w:rPr>
            </w:pPr>
            <w:r>
              <w:rPr>
                <w:rFonts w:hint="eastAsia" w:hAnsi="Calibri" w:eastAsia="Times New Roman"/>
                <w:color w:val="000000"/>
              </w:rPr>
              <w:t>3</w:t>
            </w:r>
            <w:r>
              <w:rPr>
                <w:rFonts w:hint="eastAsia" w:hAnsi="Calibri"/>
                <w:color w:val="000000"/>
              </w:rPr>
              <w:t>、严格水域岸线用途管控，对非法挤占水域及岸线的建筑、耕地、林地等限期退出。</w:t>
            </w:r>
          </w:p>
          <w:p>
            <w:pPr>
              <w:pStyle w:val="70"/>
              <w:jc w:val="both"/>
              <w:rPr>
                <w:rFonts w:hAnsi="Calibri" w:eastAsia="Times New Roman"/>
                <w:color w:val="000000"/>
              </w:rPr>
            </w:pPr>
            <w:r>
              <w:rPr>
                <w:rFonts w:hint="eastAsia" w:hAnsi="Calibri" w:eastAsia="Times New Roman"/>
                <w:color w:val="000000"/>
              </w:rPr>
              <w:t>4</w:t>
            </w:r>
            <w:r>
              <w:rPr>
                <w:rFonts w:hint="eastAsia" w:hAnsi="Calibri"/>
                <w:color w:val="000000"/>
              </w:rPr>
              <w:t>、依法清理集中式饮用水水源保护区内违法建筑及排污口。</w:t>
            </w:r>
          </w:p>
          <w:p>
            <w:pPr>
              <w:pStyle w:val="70"/>
              <w:jc w:val="both"/>
              <w:rPr>
                <w:rFonts w:hAnsi="Calibri" w:eastAsia="Times New Roman"/>
                <w:color w:val="000000"/>
              </w:rPr>
            </w:pPr>
            <w:r>
              <w:rPr>
                <w:rFonts w:hint="eastAsia" w:hAnsi="Calibri" w:eastAsia="Times New Roman"/>
                <w:color w:val="000000"/>
              </w:rPr>
              <w:t>5</w:t>
            </w:r>
            <w:r>
              <w:rPr>
                <w:rFonts w:hint="eastAsia" w:hAnsi="Calibri"/>
                <w:color w:val="000000"/>
              </w:rPr>
              <w:t>、对饮用水水源保护区内排放重金属等有毒有害污染物的企业，优先取缔关闭。</w:t>
            </w:r>
          </w:p>
        </w:tc>
        <w:tc>
          <w:tcPr>
            <w:tcW w:w="3799" w:type="dxa"/>
            <w:shd w:val="clear" w:color="auto" w:fill="auto"/>
            <w:vAlign w:val="center"/>
          </w:tcPr>
          <w:p>
            <w:pPr>
              <w:pStyle w:val="70"/>
              <w:rPr>
                <w:rFonts w:hAnsi="Calibri" w:eastAsia="Times New Roman"/>
                <w:color w:val="000000"/>
              </w:rPr>
            </w:pPr>
            <w:r>
              <w:rPr>
                <w:rFonts w:hint="eastAsia" w:hAnsi="Calibri"/>
                <w:color w:val="000000"/>
              </w:rPr>
              <w:t>本项目不涉及管控要求内容</w:t>
            </w:r>
          </w:p>
        </w:tc>
        <w:tc>
          <w:tcPr>
            <w:tcW w:w="426" w:type="dxa"/>
            <w:shd w:val="clear" w:color="auto" w:fill="auto"/>
            <w:vAlign w:val="center"/>
          </w:tcPr>
          <w:p>
            <w:pPr>
              <w:pStyle w:val="70"/>
              <w:rPr>
                <w:rFonts w:hAnsi="Calibri" w:eastAsia="Times New Roman"/>
                <w:color w:val="000000"/>
              </w:rPr>
            </w:pPr>
            <w:r>
              <w:rPr>
                <w:rFonts w:hint="eastAsia" w:hAnsi="Calibri"/>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96" w:type="dxa"/>
            <w:vMerge w:val="continue"/>
            <w:shd w:val="clear" w:color="auto" w:fill="auto"/>
            <w:vAlign w:val="center"/>
          </w:tcPr>
          <w:p>
            <w:pPr>
              <w:pStyle w:val="70"/>
              <w:rPr>
                <w:rFonts w:hAnsi="Calibri"/>
                <w:color w:val="000000"/>
              </w:rPr>
            </w:pPr>
          </w:p>
        </w:tc>
        <w:tc>
          <w:tcPr>
            <w:tcW w:w="535" w:type="dxa"/>
            <w:vMerge w:val="continue"/>
            <w:shd w:val="clear" w:color="auto" w:fill="auto"/>
            <w:vAlign w:val="center"/>
          </w:tcPr>
          <w:p>
            <w:pPr>
              <w:pStyle w:val="70"/>
              <w:rPr>
                <w:rFonts w:hAnsi="Calibri"/>
                <w:color w:val="000000"/>
              </w:rPr>
            </w:pPr>
          </w:p>
        </w:tc>
        <w:tc>
          <w:tcPr>
            <w:tcW w:w="1342" w:type="dxa"/>
            <w:vMerge w:val="continue"/>
            <w:shd w:val="clear" w:color="auto" w:fill="auto"/>
            <w:vAlign w:val="center"/>
          </w:tcPr>
          <w:p>
            <w:pPr>
              <w:pStyle w:val="70"/>
              <w:rPr>
                <w:rFonts w:hAnsi="Calibri"/>
                <w:color w:val="000000"/>
              </w:rPr>
            </w:pPr>
          </w:p>
        </w:tc>
        <w:tc>
          <w:tcPr>
            <w:tcW w:w="6550" w:type="dxa"/>
            <w:shd w:val="clear" w:color="auto" w:fill="auto"/>
            <w:vAlign w:val="center"/>
          </w:tcPr>
          <w:p>
            <w:pPr>
              <w:pStyle w:val="70"/>
              <w:jc w:val="both"/>
              <w:rPr>
                <w:rFonts w:hAnsi="Calibri" w:eastAsia="Times New Roman"/>
                <w:color w:val="000000"/>
              </w:rPr>
            </w:pPr>
            <w:r>
              <w:rPr>
                <w:rFonts w:hint="eastAsia" w:hAnsi="Calibri" w:eastAsia="Times New Roman"/>
                <w:color w:val="000000"/>
              </w:rPr>
              <w:t>1</w:t>
            </w:r>
            <w:r>
              <w:rPr>
                <w:rFonts w:hint="eastAsia" w:hAnsi="Calibri"/>
                <w:color w:val="000000"/>
              </w:rPr>
              <w:t>、结合推进新型城镇化、产业结构调整和化解过剩产能等，有序搬迁或依法关闭对土壤造成严重污染的现有企业。</w:t>
            </w:r>
          </w:p>
          <w:p>
            <w:pPr>
              <w:pStyle w:val="70"/>
              <w:jc w:val="both"/>
              <w:rPr>
                <w:rFonts w:hAnsi="Calibri" w:eastAsia="Times New Roman"/>
                <w:color w:val="000000"/>
              </w:rPr>
            </w:pPr>
            <w:r>
              <w:rPr>
                <w:rFonts w:hint="eastAsia" w:hAnsi="Calibri" w:eastAsia="Times New Roman"/>
                <w:color w:val="000000"/>
              </w:rPr>
              <w:t>2</w:t>
            </w:r>
            <w:r>
              <w:rPr>
                <w:rFonts w:hint="eastAsia" w:hAnsi="Calibri"/>
                <w:color w:val="000000"/>
              </w:rPr>
              <w:t>、严格执行重金属污染物排放标准，对整改后仍不达标的企业，依法责令其停业、关闭。</w:t>
            </w:r>
          </w:p>
          <w:p>
            <w:pPr>
              <w:pStyle w:val="70"/>
              <w:jc w:val="both"/>
              <w:rPr>
                <w:rFonts w:hAnsi="Calibri" w:eastAsia="Times New Roman"/>
                <w:color w:val="000000"/>
              </w:rPr>
            </w:pPr>
            <w:r>
              <w:rPr>
                <w:rFonts w:hint="eastAsia" w:hAnsi="Calibri" w:eastAsia="Times New Roman"/>
                <w:color w:val="000000"/>
              </w:rPr>
              <w:t>3</w:t>
            </w:r>
            <w:r>
              <w:rPr>
                <w:rFonts w:hint="eastAsia" w:hAnsi="Calibri"/>
                <w:color w:val="000000"/>
              </w:rPr>
              <w:t>、淘汰涉重金属重点行业落后产能，执行重金属行业准入条件。</w:t>
            </w:r>
          </w:p>
        </w:tc>
        <w:tc>
          <w:tcPr>
            <w:tcW w:w="3799" w:type="dxa"/>
            <w:shd w:val="clear" w:color="auto" w:fill="auto"/>
            <w:vAlign w:val="center"/>
          </w:tcPr>
          <w:p>
            <w:pPr>
              <w:pStyle w:val="70"/>
              <w:rPr>
                <w:rFonts w:hAnsi="Calibri" w:eastAsia="Times New Roman"/>
                <w:color w:val="000000"/>
              </w:rPr>
            </w:pPr>
            <w:r>
              <w:rPr>
                <w:rFonts w:hint="eastAsia" w:hAnsi="Calibri"/>
                <w:color w:val="000000"/>
              </w:rPr>
              <w:t>本项目不属于重金属重点行业</w:t>
            </w:r>
          </w:p>
        </w:tc>
        <w:tc>
          <w:tcPr>
            <w:tcW w:w="426" w:type="dxa"/>
            <w:shd w:val="clear" w:color="auto" w:fill="auto"/>
            <w:vAlign w:val="center"/>
          </w:tcPr>
          <w:p>
            <w:pPr>
              <w:pStyle w:val="70"/>
              <w:rPr>
                <w:rFonts w:hAnsi="Calibri" w:eastAsia="Times New Roman"/>
                <w:color w:val="000000"/>
              </w:rPr>
            </w:pPr>
            <w:r>
              <w:rPr>
                <w:rFonts w:hint="eastAsia" w:hAnsi="Calibri"/>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96" w:type="dxa"/>
            <w:vMerge w:val="continue"/>
            <w:shd w:val="clear" w:color="auto" w:fill="auto"/>
            <w:vAlign w:val="center"/>
          </w:tcPr>
          <w:p>
            <w:pPr>
              <w:pStyle w:val="70"/>
              <w:rPr>
                <w:rFonts w:hAnsi="Calibri"/>
                <w:color w:val="000000"/>
              </w:rPr>
            </w:pPr>
          </w:p>
        </w:tc>
        <w:tc>
          <w:tcPr>
            <w:tcW w:w="535" w:type="dxa"/>
            <w:vMerge w:val="continue"/>
            <w:shd w:val="clear" w:color="auto" w:fill="auto"/>
            <w:vAlign w:val="center"/>
          </w:tcPr>
          <w:p>
            <w:pPr>
              <w:pStyle w:val="70"/>
              <w:rPr>
                <w:rFonts w:hAnsi="Calibri"/>
                <w:color w:val="000000"/>
              </w:rPr>
            </w:pPr>
          </w:p>
        </w:tc>
        <w:tc>
          <w:tcPr>
            <w:tcW w:w="1342" w:type="dxa"/>
            <w:vMerge w:val="continue"/>
            <w:shd w:val="clear" w:color="auto" w:fill="auto"/>
            <w:vAlign w:val="center"/>
          </w:tcPr>
          <w:p>
            <w:pPr>
              <w:pStyle w:val="70"/>
              <w:rPr>
                <w:rFonts w:hAnsi="Calibri"/>
                <w:color w:val="000000"/>
              </w:rPr>
            </w:pPr>
          </w:p>
        </w:tc>
        <w:tc>
          <w:tcPr>
            <w:tcW w:w="6550" w:type="dxa"/>
            <w:shd w:val="clear" w:color="auto" w:fill="auto"/>
            <w:vAlign w:val="center"/>
          </w:tcPr>
          <w:p>
            <w:pPr>
              <w:pStyle w:val="70"/>
              <w:jc w:val="both"/>
              <w:rPr>
                <w:rFonts w:hAnsi="Calibri" w:eastAsia="Times New Roman"/>
                <w:color w:val="000000"/>
              </w:rPr>
            </w:pPr>
            <w:r>
              <w:rPr>
                <w:rFonts w:hint="eastAsia" w:hAnsi="Calibri" w:eastAsia="Times New Roman"/>
                <w:color w:val="000000"/>
              </w:rPr>
              <w:t>1</w:t>
            </w:r>
            <w:r>
              <w:rPr>
                <w:rFonts w:hint="eastAsia" w:hAnsi="Calibri"/>
                <w:color w:val="000000"/>
              </w:rPr>
              <w:t>、到</w:t>
            </w:r>
            <w:r>
              <w:rPr>
                <w:rFonts w:hint="eastAsia" w:hAnsi="Calibri" w:eastAsia="Times New Roman"/>
                <w:color w:val="000000"/>
              </w:rPr>
              <w:t>2025</w:t>
            </w:r>
            <w:r>
              <w:rPr>
                <w:rFonts w:hint="eastAsia" w:hAnsi="Calibri"/>
                <w:color w:val="000000"/>
              </w:rPr>
              <w:t>年，城镇人口密集区现有不符合安全和卫生防护距离要求的危险化学品生产企业就地改造达标、搬迁进入规范化工园区（或化工聚集区）或关闭退出。</w:t>
            </w:r>
          </w:p>
          <w:p>
            <w:pPr>
              <w:pStyle w:val="70"/>
              <w:jc w:val="both"/>
              <w:rPr>
                <w:rFonts w:hAnsi="Calibri" w:eastAsia="Times New Roman"/>
                <w:color w:val="000000"/>
              </w:rPr>
            </w:pPr>
            <w:r>
              <w:rPr>
                <w:rFonts w:hint="eastAsia" w:hAnsi="Calibri" w:eastAsia="Times New Roman"/>
                <w:color w:val="000000"/>
              </w:rPr>
              <w:t>2</w:t>
            </w:r>
            <w:r>
              <w:rPr>
                <w:rFonts w:hint="eastAsia" w:hAnsi="Calibri"/>
                <w:color w:val="000000"/>
              </w:rPr>
              <w:t>、对安全和环境风险突出、经评估通过就地改造仍不能达到安全和卫生防护距离要求的，实施异地迁建；对企业不愿异地迁建的，限期关闭退出。</w:t>
            </w:r>
          </w:p>
        </w:tc>
        <w:tc>
          <w:tcPr>
            <w:tcW w:w="3799" w:type="dxa"/>
            <w:shd w:val="clear" w:color="auto" w:fill="auto"/>
            <w:vAlign w:val="center"/>
          </w:tcPr>
          <w:p>
            <w:pPr>
              <w:pStyle w:val="70"/>
              <w:rPr>
                <w:rFonts w:hAnsi="Calibri" w:eastAsia="Times New Roman"/>
                <w:color w:val="000000"/>
              </w:rPr>
            </w:pPr>
            <w:r>
              <w:rPr>
                <w:rFonts w:hint="eastAsia" w:hAnsi="Calibri"/>
                <w:color w:val="000000"/>
              </w:rPr>
              <w:t>本项目远离城区，不涉及危险化学品生产</w:t>
            </w:r>
          </w:p>
        </w:tc>
        <w:tc>
          <w:tcPr>
            <w:tcW w:w="426" w:type="dxa"/>
            <w:shd w:val="clear" w:color="auto" w:fill="auto"/>
            <w:vAlign w:val="center"/>
          </w:tcPr>
          <w:p>
            <w:pPr>
              <w:pStyle w:val="70"/>
              <w:rPr>
                <w:rFonts w:hAnsi="Calibri" w:eastAsia="Times New Roman"/>
                <w:color w:val="000000"/>
              </w:rPr>
            </w:pPr>
            <w:r>
              <w:rPr>
                <w:rFonts w:hint="eastAsia" w:hAnsi="Calibri"/>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96" w:type="dxa"/>
            <w:vMerge w:val="continue"/>
            <w:shd w:val="clear" w:color="auto" w:fill="auto"/>
            <w:vAlign w:val="center"/>
          </w:tcPr>
          <w:p>
            <w:pPr>
              <w:pStyle w:val="70"/>
              <w:rPr>
                <w:rFonts w:hAnsi="Calibri"/>
                <w:color w:val="000000"/>
              </w:rPr>
            </w:pPr>
          </w:p>
        </w:tc>
        <w:tc>
          <w:tcPr>
            <w:tcW w:w="535" w:type="dxa"/>
            <w:vMerge w:val="continue"/>
            <w:shd w:val="clear" w:color="auto" w:fill="auto"/>
            <w:vAlign w:val="center"/>
          </w:tcPr>
          <w:p>
            <w:pPr>
              <w:pStyle w:val="70"/>
              <w:rPr>
                <w:rFonts w:hAnsi="Calibri"/>
                <w:color w:val="000000"/>
              </w:rPr>
            </w:pPr>
          </w:p>
        </w:tc>
        <w:tc>
          <w:tcPr>
            <w:tcW w:w="1342" w:type="dxa"/>
            <w:vMerge w:val="continue"/>
            <w:shd w:val="clear" w:color="auto" w:fill="auto"/>
            <w:vAlign w:val="center"/>
          </w:tcPr>
          <w:p>
            <w:pPr>
              <w:pStyle w:val="70"/>
              <w:rPr>
                <w:rFonts w:hAnsi="Calibri"/>
                <w:color w:val="000000"/>
              </w:rPr>
            </w:pPr>
          </w:p>
        </w:tc>
        <w:tc>
          <w:tcPr>
            <w:tcW w:w="6550" w:type="dxa"/>
            <w:shd w:val="clear" w:color="auto" w:fill="auto"/>
            <w:vAlign w:val="center"/>
          </w:tcPr>
          <w:p>
            <w:pPr>
              <w:pStyle w:val="70"/>
              <w:jc w:val="both"/>
              <w:rPr>
                <w:rFonts w:hAnsi="Calibri" w:eastAsia="Times New Roman"/>
                <w:color w:val="000000"/>
              </w:rPr>
            </w:pPr>
            <w:r>
              <w:rPr>
                <w:rFonts w:hint="eastAsia" w:hAnsi="Calibri" w:eastAsia="Times New Roman"/>
                <w:color w:val="000000"/>
              </w:rPr>
              <w:t>1</w:t>
            </w:r>
            <w:r>
              <w:rPr>
                <w:rFonts w:hint="eastAsia" w:hAnsi="Calibri"/>
                <w:color w:val="000000"/>
              </w:rPr>
              <w:t>、严格落实自治区关于钢铁、水泥熟料行业为重点的过剩产能压缩削减工作要求，加大能耗、环保、质量、安全等综合标准，建立利用综合标准促进过剩产能退出的机制，对达不到国家法律法规和产业政策的，予以关停。</w:t>
            </w:r>
          </w:p>
          <w:p>
            <w:pPr>
              <w:pStyle w:val="70"/>
              <w:jc w:val="both"/>
              <w:rPr>
                <w:rFonts w:hAnsi="Calibri" w:eastAsia="Times New Roman"/>
                <w:color w:val="000000"/>
              </w:rPr>
            </w:pPr>
            <w:r>
              <w:rPr>
                <w:rFonts w:hint="eastAsia" w:hAnsi="Calibri" w:eastAsia="Times New Roman"/>
                <w:color w:val="000000"/>
              </w:rPr>
              <w:t>2</w:t>
            </w:r>
            <w:r>
              <w:rPr>
                <w:rFonts w:hint="eastAsia" w:hAnsi="Calibri"/>
                <w:color w:val="000000"/>
              </w:rPr>
              <w:t>、推动热电联产富余热能向合理半径延伸，覆盖范围内能满足供热需求区域的燃煤集中供热站全部予以拆除。</w:t>
            </w:r>
          </w:p>
          <w:p>
            <w:pPr>
              <w:pStyle w:val="70"/>
              <w:jc w:val="both"/>
              <w:rPr>
                <w:rFonts w:hAnsi="Calibri" w:eastAsia="Times New Roman"/>
                <w:color w:val="000000"/>
              </w:rPr>
            </w:pPr>
            <w:r>
              <w:rPr>
                <w:rFonts w:hint="eastAsia" w:hAnsi="Calibri" w:eastAsia="Times New Roman"/>
                <w:color w:val="000000"/>
              </w:rPr>
              <w:t>3</w:t>
            </w:r>
            <w:r>
              <w:rPr>
                <w:rFonts w:hint="eastAsia" w:hAnsi="Calibri"/>
                <w:color w:val="000000"/>
              </w:rPr>
              <w:t>、严控散煤，大力推进清洁煤替代，淘汰落后的采暖炉具。</w:t>
            </w:r>
          </w:p>
        </w:tc>
        <w:tc>
          <w:tcPr>
            <w:tcW w:w="3799" w:type="dxa"/>
            <w:shd w:val="clear" w:color="auto" w:fill="auto"/>
            <w:vAlign w:val="center"/>
          </w:tcPr>
          <w:p>
            <w:pPr>
              <w:pStyle w:val="70"/>
              <w:rPr>
                <w:rFonts w:hAnsi="Calibri" w:eastAsia="Times New Roman"/>
                <w:color w:val="000000"/>
              </w:rPr>
            </w:pPr>
            <w:r>
              <w:rPr>
                <w:rFonts w:hint="eastAsia" w:hAnsi="Calibri"/>
                <w:color w:val="000000"/>
              </w:rPr>
              <w:t>本项目不属于钢铁、水泥熟料行业、不涉及燃煤</w:t>
            </w:r>
          </w:p>
        </w:tc>
        <w:tc>
          <w:tcPr>
            <w:tcW w:w="426" w:type="dxa"/>
            <w:shd w:val="clear" w:color="auto" w:fill="auto"/>
            <w:vAlign w:val="center"/>
          </w:tcPr>
          <w:p>
            <w:pPr>
              <w:pStyle w:val="70"/>
              <w:rPr>
                <w:rFonts w:hAnsi="Calibri" w:eastAsia="Times New Roman"/>
                <w:color w:val="000000"/>
              </w:rPr>
            </w:pPr>
            <w:r>
              <w:rPr>
                <w:rFonts w:hint="eastAsia" w:hAnsi="Calibri"/>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96" w:type="dxa"/>
            <w:vMerge w:val="continue"/>
            <w:shd w:val="clear" w:color="auto" w:fill="auto"/>
            <w:vAlign w:val="center"/>
          </w:tcPr>
          <w:p>
            <w:pPr>
              <w:pStyle w:val="70"/>
              <w:rPr>
                <w:rFonts w:hAnsi="Calibri"/>
                <w:color w:val="000000"/>
              </w:rPr>
            </w:pPr>
          </w:p>
        </w:tc>
        <w:tc>
          <w:tcPr>
            <w:tcW w:w="535" w:type="dxa"/>
            <w:vMerge w:val="restart"/>
            <w:shd w:val="clear" w:color="auto" w:fill="auto"/>
            <w:vAlign w:val="center"/>
          </w:tcPr>
          <w:p>
            <w:pPr>
              <w:pStyle w:val="70"/>
              <w:rPr>
                <w:rFonts w:hAnsi="Calibri" w:eastAsia="Times New Roman"/>
                <w:color w:val="000000"/>
              </w:rPr>
            </w:pPr>
            <w:r>
              <w:rPr>
                <w:rFonts w:hint="eastAsia" w:hAnsi="Calibri"/>
                <w:color w:val="000000"/>
              </w:rPr>
              <w:t>污染物排放管控</w:t>
            </w:r>
          </w:p>
        </w:tc>
        <w:tc>
          <w:tcPr>
            <w:tcW w:w="1342" w:type="dxa"/>
            <w:vMerge w:val="restart"/>
            <w:shd w:val="clear" w:color="auto" w:fill="auto"/>
            <w:vAlign w:val="center"/>
          </w:tcPr>
          <w:p>
            <w:pPr>
              <w:pStyle w:val="70"/>
              <w:rPr>
                <w:rFonts w:hAnsi="Calibri" w:eastAsia="Times New Roman"/>
                <w:color w:val="000000"/>
              </w:rPr>
            </w:pPr>
            <w:r>
              <w:rPr>
                <w:rFonts w:hint="eastAsia" w:hAnsi="Calibri"/>
                <w:color w:val="000000"/>
              </w:rPr>
              <w:t>允许排放量要求</w:t>
            </w:r>
          </w:p>
        </w:tc>
        <w:tc>
          <w:tcPr>
            <w:tcW w:w="6550" w:type="dxa"/>
            <w:shd w:val="clear" w:color="auto" w:fill="auto"/>
            <w:vAlign w:val="center"/>
          </w:tcPr>
          <w:p>
            <w:pPr>
              <w:pStyle w:val="70"/>
              <w:jc w:val="both"/>
              <w:rPr>
                <w:rFonts w:hAnsi="Calibri" w:eastAsia="Times New Roman"/>
                <w:color w:val="000000"/>
              </w:rPr>
            </w:pPr>
            <w:r>
              <w:rPr>
                <w:rFonts w:hint="eastAsia" w:hAnsi="Calibri"/>
                <w:color w:val="000000"/>
              </w:rPr>
              <w:t>满足自治区下达的任务目标考核要求。</w:t>
            </w:r>
          </w:p>
        </w:tc>
        <w:tc>
          <w:tcPr>
            <w:tcW w:w="3799" w:type="dxa"/>
            <w:shd w:val="clear" w:color="auto" w:fill="auto"/>
            <w:vAlign w:val="center"/>
          </w:tcPr>
          <w:p>
            <w:pPr>
              <w:pStyle w:val="70"/>
              <w:rPr>
                <w:rFonts w:hAnsi="Calibri" w:eastAsia="Times New Roman"/>
                <w:color w:val="000000"/>
              </w:rPr>
            </w:pPr>
            <w:r>
              <w:rPr>
                <w:rFonts w:hint="eastAsia" w:hAnsi="Calibri" w:eastAsia="Times New Roman"/>
                <w:color w:val="000000"/>
              </w:rPr>
              <w:t>/</w:t>
            </w:r>
          </w:p>
        </w:tc>
        <w:tc>
          <w:tcPr>
            <w:tcW w:w="426" w:type="dxa"/>
            <w:shd w:val="clear" w:color="auto" w:fill="auto"/>
            <w:vAlign w:val="center"/>
          </w:tcPr>
          <w:p>
            <w:pPr>
              <w:pStyle w:val="70"/>
              <w:rPr>
                <w:rFonts w:hAnsi="Calibri" w:eastAsia="Times New Roman"/>
                <w:color w:val="000000"/>
              </w:rPr>
            </w:pPr>
            <w:r>
              <w:rPr>
                <w:rFonts w:hint="eastAsia" w:hAnsi="Calibri"/>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96" w:type="dxa"/>
            <w:vMerge w:val="continue"/>
            <w:shd w:val="clear" w:color="auto" w:fill="auto"/>
            <w:vAlign w:val="center"/>
          </w:tcPr>
          <w:p>
            <w:pPr>
              <w:pStyle w:val="70"/>
              <w:rPr>
                <w:rFonts w:hAnsi="Calibri"/>
                <w:color w:val="000000"/>
              </w:rPr>
            </w:pPr>
          </w:p>
        </w:tc>
        <w:tc>
          <w:tcPr>
            <w:tcW w:w="535" w:type="dxa"/>
            <w:vMerge w:val="continue"/>
            <w:shd w:val="clear" w:color="auto" w:fill="auto"/>
            <w:vAlign w:val="center"/>
          </w:tcPr>
          <w:p>
            <w:pPr>
              <w:pStyle w:val="70"/>
              <w:rPr>
                <w:rFonts w:hAnsi="Calibri"/>
                <w:color w:val="000000"/>
              </w:rPr>
            </w:pPr>
          </w:p>
        </w:tc>
        <w:tc>
          <w:tcPr>
            <w:tcW w:w="1342" w:type="dxa"/>
            <w:vMerge w:val="continue"/>
            <w:shd w:val="clear" w:color="auto" w:fill="auto"/>
            <w:vAlign w:val="center"/>
          </w:tcPr>
          <w:p>
            <w:pPr>
              <w:pStyle w:val="70"/>
              <w:rPr>
                <w:rFonts w:hAnsi="Calibri"/>
                <w:color w:val="000000"/>
              </w:rPr>
            </w:pPr>
          </w:p>
        </w:tc>
        <w:tc>
          <w:tcPr>
            <w:tcW w:w="6550" w:type="dxa"/>
            <w:shd w:val="clear" w:color="auto" w:fill="auto"/>
            <w:vAlign w:val="center"/>
          </w:tcPr>
          <w:p>
            <w:pPr>
              <w:pStyle w:val="70"/>
              <w:jc w:val="both"/>
              <w:rPr>
                <w:rFonts w:hAnsi="Calibri" w:eastAsia="Times New Roman"/>
                <w:color w:val="000000"/>
              </w:rPr>
            </w:pPr>
            <w:r>
              <w:rPr>
                <w:rFonts w:hint="eastAsia" w:hAnsi="Calibri" w:eastAsia="Times New Roman"/>
                <w:color w:val="000000"/>
              </w:rPr>
              <w:t>1</w:t>
            </w:r>
            <w:r>
              <w:rPr>
                <w:rFonts w:hint="eastAsia" w:hAnsi="Calibri"/>
                <w:color w:val="000000"/>
              </w:rPr>
              <w:t>、</w:t>
            </w:r>
            <w:r>
              <w:rPr>
                <w:rFonts w:ascii="Times New Roman" w:eastAsia="Times New Roman"/>
                <w:color w:val="000000"/>
              </w:rPr>
              <w:t>“</w:t>
            </w:r>
            <w:r>
              <w:rPr>
                <w:rFonts w:hint="eastAsia" w:hAnsi="Calibri"/>
                <w:color w:val="000000"/>
              </w:rPr>
              <w:t>乌</w:t>
            </w:r>
            <w:r>
              <w:rPr>
                <w:rFonts w:hint="eastAsia" w:hAnsi="Calibri" w:eastAsia="Times New Roman"/>
                <w:color w:val="000000"/>
              </w:rPr>
              <w:t>-</w:t>
            </w:r>
            <w:r>
              <w:rPr>
                <w:rFonts w:hint="eastAsia" w:hAnsi="Calibri"/>
                <w:color w:val="000000"/>
              </w:rPr>
              <w:t>昌</w:t>
            </w:r>
            <w:r>
              <w:rPr>
                <w:rFonts w:hint="eastAsia" w:hAnsi="Calibri" w:eastAsia="Times New Roman"/>
                <w:color w:val="000000"/>
              </w:rPr>
              <w:t>-</w:t>
            </w:r>
            <w:r>
              <w:rPr>
                <w:rFonts w:hint="eastAsia" w:hAnsi="Calibri"/>
                <w:color w:val="000000"/>
              </w:rPr>
              <w:t>石</w:t>
            </w:r>
            <w:r>
              <w:rPr>
                <w:rFonts w:ascii="Times New Roman" w:eastAsia="Times New Roman"/>
                <w:color w:val="000000"/>
              </w:rPr>
              <w:t>”</w:t>
            </w:r>
            <w:r>
              <w:rPr>
                <w:rFonts w:hint="eastAsia" w:hAnsi="Calibri"/>
                <w:color w:val="000000"/>
              </w:rPr>
              <w:t>区域内</w:t>
            </w:r>
            <w:r>
              <w:rPr>
                <w:rFonts w:hint="eastAsia" w:hAnsi="Calibri" w:eastAsia="Times New Roman"/>
                <w:color w:val="000000"/>
              </w:rPr>
              <w:t>4</w:t>
            </w:r>
            <w:r>
              <w:rPr>
                <w:rFonts w:hint="eastAsia" w:hAnsi="Calibri"/>
                <w:color w:val="000000"/>
              </w:rPr>
              <w:t>县市</w:t>
            </w:r>
            <w:r>
              <w:rPr>
                <w:rFonts w:hint="eastAsia" w:hAnsi="Calibri" w:eastAsia="Times New Roman"/>
                <w:color w:val="000000"/>
              </w:rPr>
              <w:t>2</w:t>
            </w:r>
            <w:r>
              <w:rPr>
                <w:rFonts w:hint="eastAsia" w:hAnsi="Calibri"/>
                <w:color w:val="000000"/>
              </w:rPr>
              <w:t>园区区域所有新（改、扩）建设项目应执行最严格的大气污染物排放标准；</w:t>
            </w:r>
            <w:r>
              <w:rPr>
                <w:rFonts w:hint="eastAsia" w:hAnsi="Calibri" w:eastAsia="Times New Roman"/>
                <w:color w:val="000000"/>
              </w:rPr>
              <w:t>PM</w:t>
            </w:r>
            <w:r>
              <w:rPr>
                <w:rFonts w:hint="eastAsia" w:hAnsi="Calibri" w:eastAsia="Times New Roman"/>
                <w:color w:val="000000"/>
                <w:vertAlign w:val="subscript"/>
              </w:rPr>
              <w:t>2.5</w:t>
            </w:r>
            <w:r>
              <w:rPr>
                <w:rFonts w:hint="eastAsia" w:hAnsi="Calibri"/>
                <w:color w:val="000000"/>
              </w:rPr>
              <w:t>年平均浓度不达标县市（园区），禁止新（改、扩）建未落实</w:t>
            </w:r>
            <w:r>
              <w:rPr>
                <w:rFonts w:hint="eastAsia" w:hAnsi="Calibri" w:eastAsia="Times New Roman"/>
                <w:color w:val="000000"/>
              </w:rPr>
              <w:t>SO</w:t>
            </w:r>
            <w:r>
              <w:rPr>
                <w:rFonts w:hint="eastAsia" w:hAnsi="Calibri" w:eastAsia="Times New Roman"/>
                <w:color w:val="000000"/>
                <w:vertAlign w:val="subscript"/>
              </w:rPr>
              <w:t>2</w:t>
            </w:r>
            <w:r>
              <w:rPr>
                <w:rFonts w:hint="eastAsia" w:hAnsi="Calibri"/>
                <w:color w:val="000000"/>
              </w:rPr>
              <w:t>、</w:t>
            </w:r>
            <w:r>
              <w:rPr>
                <w:rFonts w:hint="eastAsia" w:hAnsi="Calibri" w:eastAsia="Times New Roman"/>
                <w:color w:val="000000"/>
              </w:rPr>
              <w:t>NOx</w:t>
            </w:r>
            <w:r>
              <w:rPr>
                <w:rFonts w:hint="eastAsia" w:hAnsi="Calibri"/>
                <w:color w:val="000000"/>
              </w:rPr>
              <w:t>、烟粉尘、挥发性有机物（</w:t>
            </w:r>
            <w:r>
              <w:rPr>
                <w:rFonts w:hint="eastAsia" w:hAnsi="Calibri" w:eastAsia="Times New Roman"/>
                <w:color w:val="000000"/>
              </w:rPr>
              <w:t>VOCs</w:t>
            </w:r>
            <w:r>
              <w:rPr>
                <w:rFonts w:hint="eastAsia" w:hAnsi="Calibri"/>
                <w:color w:val="000000"/>
              </w:rPr>
              <w:t>）等四项大气污染物总量指标昌吉州区域内倍量替代的项目。上述区域所有新（改、扩）建设项目应执行相应大气污染物特别排放限值。</w:t>
            </w:r>
          </w:p>
          <w:p>
            <w:pPr>
              <w:pStyle w:val="70"/>
              <w:jc w:val="both"/>
              <w:rPr>
                <w:rFonts w:hAnsi="Calibri" w:eastAsia="Times New Roman"/>
                <w:color w:val="000000"/>
              </w:rPr>
            </w:pPr>
            <w:r>
              <w:rPr>
                <w:rFonts w:hint="eastAsia" w:hAnsi="Calibri" w:eastAsia="Times New Roman"/>
                <w:color w:val="000000"/>
              </w:rPr>
              <w:t>2</w:t>
            </w:r>
            <w:r>
              <w:rPr>
                <w:rFonts w:hint="eastAsia" w:hAnsi="Calibri"/>
                <w:color w:val="000000"/>
              </w:rPr>
              <w:t>、</w:t>
            </w:r>
            <w:r>
              <w:rPr>
                <w:rFonts w:ascii="Times New Roman" w:eastAsia="Times New Roman"/>
                <w:color w:val="000000"/>
              </w:rPr>
              <w:t>“</w:t>
            </w:r>
            <w:r>
              <w:rPr>
                <w:rFonts w:hint="eastAsia" w:hAnsi="Calibri"/>
                <w:color w:val="000000"/>
              </w:rPr>
              <w:t>乌</w:t>
            </w:r>
            <w:r>
              <w:rPr>
                <w:rFonts w:hint="eastAsia" w:hAnsi="Calibri" w:eastAsia="Times New Roman"/>
                <w:color w:val="000000"/>
              </w:rPr>
              <w:t>-</w:t>
            </w:r>
            <w:r>
              <w:rPr>
                <w:rFonts w:hint="eastAsia" w:hAnsi="Calibri"/>
                <w:color w:val="000000"/>
              </w:rPr>
              <w:t>昌</w:t>
            </w:r>
            <w:r>
              <w:rPr>
                <w:rFonts w:hint="eastAsia" w:hAnsi="Calibri" w:eastAsia="Times New Roman"/>
                <w:color w:val="000000"/>
              </w:rPr>
              <w:t>-</w:t>
            </w:r>
            <w:r>
              <w:rPr>
                <w:rFonts w:hint="eastAsia" w:hAnsi="Calibri"/>
                <w:color w:val="000000"/>
              </w:rPr>
              <w:t>石</w:t>
            </w:r>
            <w:r>
              <w:rPr>
                <w:rFonts w:ascii="Times New Roman" w:eastAsia="Times New Roman"/>
                <w:color w:val="000000"/>
              </w:rPr>
              <w:t>”</w:t>
            </w:r>
            <w:r>
              <w:rPr>
                <w:rFonts w:hint="eastAsia" w:hAnsi="Calibri"/>
                <w:color w:val="000000"/>
              </w:rPr>
              <w:t>区域内</w:t>
            </w:r>
            <w:r>
              <w:rPr>
                <w:rFonts w:hint="eastAsia" w:hAnsi="Calibri" w:eastAsia="Times New Roman"/>
                <w:color w:val="000000"/>
              </w:rPr>
              <w:t>4</w:t>
            </w:r>
            <w:r>
              <w:rPr>
                <w:rFonts w:hint="eastAsia" w:hAnsi="Calibri"/>
                <w:color w:val="000000"/>
              </w:rPr>
              <w:t>县市</w:t>
            </w:r>
            <w:r>
              <w:rPr>
                <w:rFonts w:hint="eastAsia" w:hAnsi="Calibri" w:eastAsia="Times New Roman"/>
                <w:color w:val="000000"/>
              </w:rPr>
              <w:t>2</w:t>
            </w:r>
            <w:r>
              <w:rPr>
                <w:rFonts w:hint="eastAsia" w:hAnsi="Calibri"/>
                <w:color w:val="000000"/>
              </w:rPr>
              <w:t>园区二氧化硫、氮氧化物、颗粒物、挥发性有机物（</w:t>
            </w:r>
            <w:r>
              <w:rPr>
                <w:rFonts w:hint="eastAsia" w:hAnsi="Calibri" w:eastAsia="Times New Roman"/>
                <w:color w:val="000000"/>
              </w:rPr>
              <w:t>VOCs</w:t>
            </w:r>
            <w:r>
              <w:rPr>
                <w:rFonts w:hint="eastAsia" w:hAnsi="Calibri"/>
                <w:color w:val="000000"/>
              </w:rPr>
              <w:t>），全面执行大气污染物特别排放限值。</w:t>
            </w:r>
          </w:p>
        </w:tc>
        <w:tc>
          <w:tcPr>
            <w:tcW w:w="3799" w:type="dxa"/>
            <w:shd w:val="clear" w:color="auto" w:fill="auto"/>
            <w:vAlign w:val="center"/>
          </w:tcPr>
          <w:p>
            <w:pPr>
              <w:pStyle w:val="70"/>
              <w:rPr>
                <w:rFonts w:hAnsi="Calibri" w:eastAsia="Times New Roman"/>
                <w:color w:val="000000"/>
              </w:rPr>
            </w:pPr>
            <w:r>
              <w:rPr>
                <w:rFonts w:hint="eastAsia" w:hAnsi="Calibri"/>
                <w:color w:val="000000"/>
              </w:rPr>
              <w:t>本项目柴油发电机废气执行《大气污染物综合排放标准》（</w:t>
            </w:r>
            <w:r>
              <w:rPr>
                <w:rFonts w:hint="eastAsia" w:hAnsi="Calibri" w:eastAsia="Times New Roman"/>
                <w:color w:val="000000"/>
              </w:rPr>
              <w:t>GB 16297-1996</w:t>
            </w:r>
            <w:r>
              <w:rPr>
                <w:rFonts w:hint="eastAsia" w:hAnsi="Calibri"/>
                <w:color w:val="000000"/>
              </w:rPr>
              <w:t>）无组织排放监控浓度限值；非甲烷总烃排放标准参照《陆上石油天然气开采工业大气污染物排放标准》（</w:t>
            </w:r>
            <w:r>
              <w:rPr>
                <w:rFonts w:hint="eastAsia" w:hAnsi="Calibri" w:eastAsia="Times New Roman"/>
                <w:color w:val="000000"/>
              </w:rPr>
              <w:t>GB 39728-2020</w:t>
            </w:r>
            <w:r>
              <w:rPr>
                <w:rFonts w:hint="eastAsia" w:hAnsi="Calibri"/>
                <w:color w:val="000000"/>
              </w:rPr>
              <w:t>）中的无组织排放浓度限值（</w:t>
            </w:r>
            <w:r>
              <w:rPr>
                <w:rFonts w:hint="eastAsia" w:hAnsi="Calibri" w:eastAsia="Times New Roman"/>
                <w:color w:val="000000"/>
              </w:rPr>
              <w:t>4.0mg/m</w:t>
            </w:r>
            <w:r>
              <w:rPr>
                <w:rFonts w:hint="eastAsia" w:hAnsi="Calibri" w:eastAsia="Times New Roman"/>
                <w:color w:val="000000"/>
                <w:vertAlign w:val="superscript"/>
              </w:rPr>
              <w:t>3</w:t>
            </w:r>
            <w:r>
              <w:rPr>
                <w:rFonts w:hint="eastAsia" w:hAnsi="Calibri"/>
                <w:color w:val="000000"/>
              </w:rPr>
              <w:t>）执行；本项目不涉及总量控制指标</w:t>
            </w:r>
          </w:p>
        </w:tc>
        <w:tc>
          <w:tcPr>
            <w:tcW w:w="426" w:type="dxa"/>
            <w:shd w:val="clear" w:color="auto" w:fill="auto"/>
            <w:vAlign w:val="center"/>
          </w:tcPr>
          <w:p>
            <w:pPr>
              <w:pStyle w:val="70"/>
              <w:rPr>
                <w:rFonts w:hAnsi="Calibri" w:eastAsia="Times New Roman"/>
                <w:color w:val="000000"/>
              </w:rPr>
            </w:pPr>
            <w:r>
              <w:rPr>
                <w:rFonts w:hint="eastAsia" w:hAnsi="Calibri"/>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96" w:type="dxa"/>
            <w:vMerge w:val="continue"/>
            <w:shd w:val="clear" w:color="auto" w:fill="auto"/>
            <w:vAlign w:val="center"/>
          </w:tcPr>
          <w:p>
            <w:pPr>
              <w:pStyle w:val="70"/>
              <w:rPr>
                <w:rFonts w:hAnsi="Calibri"/>
                <w:color w:val="000000"/>
              </w:rPr>
            </w:pPr>
          </w:p>
        </w:tc>
        <w:tc>
          <w:tcPr>
            <w:tcW w:w="535" w:type="dxa"/>
            <w:vMerge w:val="continue"/>
            <w:shd w:val="clear" w:color="auto" w:fill="auto"/>
            <w:vAlign w:val="center"/>
          </w:tcPr>
          <w:p>
            <w:pPr>
              <w:pStyle w:val="70"/>
              <w:rPr>
                <w:rFonts w:hAnsi="Calibri"/>
                <w:color w:val="000000"/>
              </w:rPr>
            </w:pPr>
          </w:p>
        </w:tc>
        <w:tc>
          <w:tcPr>
            <w:tcW w:w="1342" w:type="dxa"/>
            <w:vMerge w:val="continue"/>
            <w:shd w:val="clear" w:color="auto" w:fill="auto"/>
            <w:vAlign w:val="center"/>
          </w:tcPr>
          <w:p>
            <w:pPr>
              <w:pStyle w:val="70"/>
              <w:rPr>
                <w:rFonts w:hAnsi="Calibri"/>
                <w:color w:val="000000"/>
              </w:rPr>
            </w:pPr>
          </w:p>
        </w:tc>
        <w:tc>
          <w:tcPr>
            <w:tcW w:w="6550" w:type="dxa"/>
            <w:shd w:val="clear" w:color="auto" w:fill="auto"/>
            <w:vAlign w:val="center"/>
          </w:tcPr>
          <w:p>
            <w:pPr>
              <w:pStyle w:val="70"/>
              <w:jc w:val="both"/>
              <w:rPr>
                <w:rFonts w:hAnsi="Calibri" w:eastAsia="Times New Roman"/>
                <w:color w:val="000000"/>
              </w:rPr>
            </w:pPr>
            <w:r>
              <w:rPr>
                <w:rFonts w:hint="eastAsia" w:hAnsi="Calibri" w:eastAsia="Times New Roman"/>
                <w:color w:val="000000"/>
              </w:rPr>
              <w:t>1</w:t>
            </w:r>
            <w:r>
              <w:rPr>
                <w:rFonts w:hint="eastAsia" w:hAnsi="Calibri"/>
                <w:color w:val="000000"/>
              </w:rPr>
              <w:t>、</w:t>
            </w:r>
            <w:r>
              <w:rPr>
                <w:rFonts w:hint="eastAsia" w:hAnsi="Calibri" w:eastAsia="Times New Roman"/>
                <w:color w:val="000000"/>
              </w:rPr>
              <w:t>VOCs</w:t>
            </w:r>
            <w:r>
              <w:rPr>
                <w:rFonts w:hint="eastAsia" w:hAnsi="Calibri"/>
                <w:color w:val="000000"/>
              </w:rPr>
              <w:t>排放实行区域内倍量削减替代。</w:t>
            </w:r>
          </w:p>
          <w:p>
            <w:pPr>
              <w:pStyle w:val="70"/>
              <w:jc w:val="both"/>
              <w:rPr>
                <w:rFonts w:hAnsi="Calibri" w:eastAsia="Times New Roman"/>
                <w:color w:val="000000"/>
              </w:rPr>
            </w:pPr>
            <w:r>
              <w:rPr>
                <w:rFonts w:hint="eastAsia" w:hAnsi="Calibri" w:eastAsia="Times New Roman"/>
                <w:color w:val="000000"/>
              </w:rPr>
              <w:t>2</w:t>
            </w:r>
            <w:r>
              <w:rPr>
                <w:rFonts w:hint="eastAsia" w:hAnsi="Calibri"/>
                <w:color w:val="000000"/>
              </w:rPr>
              <w:t>、新、改、扩建涉</w:t>
            </w:r>
            <w:r>
              <w:rPr>
                <w:rFonts w:hint="eastAsia" w:hAnsi="Calibri" w:eastAsia="Times New Roman"/>
                <w:color w:val="000000"/>
              </w:rPr>
              <w:t>VOCs</w:t>
            </w:r>
            <w:r>
              <w:rPr>
                <w:rFonts w:hint="eastAsia" w:hAnsi="Calibri"/>
                <w:color w:val="000000"/>
              </w:rPr>
              <w:t>排放项目，应从源头加强控制，使用低（无）</w:t>
            </w:r>
            <w:r>
              <w:rPr>
                <w:rFonts w:hint="eastAsia" w:hAnsi="Calibri" w:eastAsia="Times New Roman"/>
                <w:color w:val="000000"/>
              </w:rPr>
              <w:t>VOCs</w:t>
            </w:r>
            <w:r>
              <w:rPr>
                <w:rFonts w:hint="eastAsia" w:hAnsi="Calibri"/>
                <w:color w:val="000000"/>
              </w:rPr>
              <w:t>含量的原辅材料，加强废气收集，安装高效治理设施。</w:t>
            </w:r>
          </w:p>
          <w:p>
            <w:pPr>
              <w:pStyle w:val="70"/>
              <w:jc w:val="both"/>
              <w:rPr>
                <w:rFonts w:hAnsi="Calibri" w:eastAsia="Times New Roman"/>
                <w:color w:val="000000"/>
              </w:rPr>
            </w:pPr>
            <w:r>
              <w:rPr>
                <w:rFonts w:hint="eastAsia" w:hAnsi="Calibri" w:eastAsia="Times New Roman"/>
                <w:color w:val="000000"/>
              </w:rPr>
              <w:t>3</w:t>
            </w:r>
            <w:r>
              <w:rPr>
                <w:rFonts w:hint="eastAsia" w:hAnsi="Calibri"/>
                <w:color w:val="000000"/>
              </w:rPr>
              <w:t>、在确保安全前提下，非正常工况排放的有机废气严禁直接排放，有火炬系统的，送入火炬系统处理，禁止熄灭火炬长明灯；无火炬系统的，应采用冷凝、吸收、吸附等处理措施，达标排放。</w:t>
            </w:r>
          </w:p>
        </w:tc>
        <w:tc>
          <w:tcPr>
            <w:tcW w:w="3799" w:type="dxa"/>
            <w:shd w:val="clear" w:color="auto" w:fill="auto"/>
            <w:vAlign w:val="center"/>
          </w:tcPr>
          <w:p>
            <w:pPr>
              <w:pStyle w:val="70"/>
              <w:rPr>
                <w:rFonts w:hAnsi="Calibri" w:eastAsia="Times New Roman"/>
                <w:color w:val="000000"/>
              </w:rPr>
            </w:pPr>
            <w:r>
              <w:rPr>
                <w:rFonts w:hint="eastAsia" w:hAnsi="Calibri"/>
                <w:color w:val="000000"/>
              </w:rPr>
              <w:t>本项目不涉及总量控制指标</w:t>
            </w:r>
          </w:p>
        </w:tc>
        <w:tc>
          <w:tcPr>
            <w:tcW w:w="426" w:type="dxa"/>
            <w:shd w:val="clear" w:color="auto" w:fill="auto"/>
            <w:vAlign w:val="center"/>
          </w:tcPr>
          <w:p>
            <w:pPr>
              <w:pStyle w:val="70"/>
              <w:rPr>
                <w:rFonts w:hAnsi="Calibri" w:eastAsia="Times New Roman"/>
                <w:color w:val="000000"/>
              </w:rPr>
            </w:pPr>
            <w:r>
              <w:rPr>
                <w:rFonts w:hint="eastAsia" w:hAnsi="Calibri"/>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96" w:type="dxa"/>
            <w:vMerge w:val="continue"/>
            <w:shd w:val="clear" w:color="auto" w:fill="auto"/>
            <w:vAlign w:val="center"/>
          </w:tcPr>
          <w:p>
            <w:pPr>
              <w:pStyle w:val="70"/>
              <w:rPr>
                <w:rFonts w:hAnsi="Calibri"/>
                <w:color w:val="000000"/>
              </w:rPr>
            </w:pPr>
          </w:p>
        </w:tc>
        <w:tc>
          <w:tcPr>
            <w:tcW w:w="535" w:type="dxa"/>
            <w:vMerge w:val="continue"/>
            <w:shd w:val="clear" w:color="auto" w:fill="auto"/>
            <w:vAlign w:val="center"/>
          </w:tcPr>
          <w:p>
            <w:pPr>
              <w:pStyle w:val="70"/>
              <w:rPr>
                <w:rFonts w:hAnsi="Calibri"/>
                <w:color w:val="000000"/>
              </w:rPr>
            </w:pPr>
          </w:p>
        </w:tc>
        <w:tc>
          <w:tcPr>
            <w:tcW w:w="1342" w:type="dxa"/>
            <w:vMerge w:val="continue"/>
            <w:shd w:val="clear" w:color="auto" w:fill="auto"/>
            <w:vAlign w:val="center"/>
          </w:tcPr>
          <w:p>
            <w:pPr>
              <w:pStyle w:val="70"/>
              <w:rPr>
                <w:rFonts w:hAnsi="Calibri"/>
                <w:color w:val="000000"/>
              </w:rPr>
            </w:pPr>
          </w:p>
        </w:tc>
        <w:tc>
          <w:tcPr>
            <w:tcW w:w="6550" w:type="dxa"/>
            <w:shd w:val="clear" w:color="auto" w:fill="auto"/>
            <w:vAlign w:val="center"/>
          </w:tcPr>
          <w:p>
            <w:pPr>
              <w:pStyle w:val="70"/>
              <w:jc w:val="both"/>
              <w:rPr>
                <w:rFonts w:hAnsi="Calibri" w:eastAsia="Times New Roman"/>
                <w:color w:val="000000"/>
              </w:rPr>
            </w:pPr>
            <w:r>
              <w:rPr>
                <w:rFonts w:hint="eastAsia" w:hAnsi="Calibri" w:eastAsia="Times New Roman"/>
                <w:color w:val="000000"/>
              </w:rPr>
              <w:t>1</w:t>
            </w:r>
            <w:r>
              <w:rPr>
                <w:rFonts w:hint="eastAsia" w:hAnsi="Calibri"/>
                <w:color w:val="000000"/>
              </w:rPr>
              <w:t>、新建、改建、扩建化纤、煤化工、有色金属、造纸等重点行业的建设项目实行主要污染物排放等量或减量置换。</w:t>
            </w:r>
          </w:p>
          <w:p>
            <w:pPr>
              <w:pStyle w:val="70"/>
              <w:jc w:val="both"/>
              <w:rPr>
                <w:rFonts w:hAnsi="Calibri" w:eastAsia="Times New Roman"/>
                <w:color w:val="000000"/>
              </w:rPr>
            </w:pPr>
            <w:r>
              <w:rPr>
                <w:rFonts w:hint="eastAsia" w:hAnsi="Calibri" w:eastAsia="Times New Roman"/>
                <w:color w:val="000000"/>
              </w:rPr>
              <w:t>2</w:t>
            </w:r>
            <w:r>
              <w:rPr>
                <w:rFonts w:hint="eastAsia" w:hAnsi="Calibri"/>
                <w:color w:val="000000"/>
              </w:rPr>
              <w:t>、新改扩建城镇污水处理设施要执行一级</w:t>
            </w:r>
            <w:r>
              <w:rPr>
                <w:rFonts w:hint="eastAsia" w:hAnsi="Calibri" w:eastAsia="Times New Roman"/>
                <w:color w:val="000000"/>
              </w:rPr>
              <w:t>A</w:t>
            </w:r>
            <w:r>
              <w:rPr>
                <w:rFonts w:hint="eastAsia" w:hAnsi="Calibri"/>
                <w:color w:val="000000"/>
              </w:rPr>
              <w:t>排放标准。</w:t>
            </w:r>
          </w:p>
          <w:p>
            <w:pPr>
              <w:pStyle w:val="70"/>
              <w:jc w:val="both"/>
              <w:rPr>
                <w:rFonts w:hAnsi="Calibri" w:eastAsia="Times New Roman"/>
                <w:color w:val="000000"/>
              </w:rPr>
            </w:pPr>
            <w:r>
              <w:rPr>
                <w:rFonts w:hint="eastAsia" w:hAnsi="Calibri" w:eastAsia="Times New Roman"/>
                <w:color w:val="000000"/>
              </w:rPr>
              <w:t>3</w:t>
            </w:r>
            <w:r>
              <w:rPr>
                <w:rFonts w:hint="eastAsia" w:hAnsi="Calibri"/>
                <w:color w:val="000000"/>
              </w:rPr>
              <w:t>、严格控制污染物新增排放量，对超过重点污染物排放总量控制指标的地区，暂停审批新增重点水污染物排放总量的项目。</w:t>
            </w:r>
          </w:p>
          <w:p>
            <w:pPr>
              <w:pStyle w:val="70"/>
              <w:jc w:val="both"/>
              <w:rPr>
                <w:rFonts w:hAnsi="Calibri" w:eastAsia="Times New Roman"/>
                <w:color w:val="000000"/>
              </w:rPr>
            </w:pPr>
            <w:r>
              <w:rPr>
                <w:rFonts w:hint="eastAsia" w:hAnsi="Calibri" w:eastAsia="Times New Roman"/>
                <w:color w:val="000000"/>
              </w:rPr>
              <w:t>4</w:t>
            </w:r>
            <w:r>
              <w:rPr>
                <w:rFonts w:hint="eastAsia" w:hAnsi="Calibri"/>
                <w:color w:val="000000"/>
              </w:rPr>
              <w:t>、工业集聚区内工业废水必须经预处理达到集中处理要求，方可进入污水集中处理设施。工业集聚区应按照规定建成污水集中处理设施并安装自动在线监控装置。</w:t>
            </w:r>
          </w:p>
        </w:tc>
        <w:tc>
          <w:tcPr>
            <w:tcW w:w="3799" w:type="dxa"/>
            <w:shd w:val="clear" w:color="auto" w:fill="auto"/>
            <w:vAlign w:val="center"/>
          </w:tcPr>
          <w:p>
            <w:pPr>
              <w:pStyle w:val="70"/>
              <w:rPr>
                <w:rFonts w:hAnsi="Calibri" w:eastAsia="Times New Roman"/>
                <w:color w:val="000000"/>
              </w:rPr>
            </w:pPr>
            <w:r>
              <w:rPr>
                <w:rFonts w:hint="eastAsia" w:hAnsi="Calibri"/>
                <w:color w:val="000000"/>
              </w:rPr>
              <w:t>本项目不涉及总量控制指标化纤、煤化工、有色金属、造纸等重点行业，不涉及污水外排</w:t>
            </w:r>
          </w:p>
        </w:tc>
        <w:tc>
          <w:tcPr>
            <w:tcW w:w="426" w:type="dxa"/>
            <w:shd w:val="clear" w:color="auto" w:fill="auto"/>
            <w:vAlign w:val="center"/>
          </w:tcPr>
          <w:p>
            <w:pPr>
              <w:pStyle w:val="70"/>
              <w:rPr>
                <w:rFonts w:hAnsi="Calibri" w:eastAsia="Times New Roman"/>
                <w:color w:val="000000"/>
              </w:rPr>
            </w:pPr>
            <w:r>
              <w:rPr>
                <w:rFonts w:hint="eastAsia" w:hAnsi="Calibri"/>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96" w:type="dxa"/>
            <w:vMerge w:val="continue"/>
            <w:shd w:val="clear" w:color="auto" w:fill="auto"/>
            <w:vAlign w:val="center"/>
          </w:tcPr>
          <w:p>
            <w:pPr>
              <w:pStyle w:val="70"/>
              <w:rPr>
                <w:rFonts w:hAnsi="Calibri"/>
                <w:color w:val="000000"/>
              </w:rPr>
            </w:pPr>
          </w:p>
        </w:tc>
        <w:tc>
          <w:tcPr>
            <w:tcW w:w="535" w:type="dxa"/>
            <w:vMerge w:val="continue"/>
            <w:shd w:val="clear" w:color="auto" w:fill="auto"/>
            <w:vAlign w:val="center"/>
          </w:tcPr>
          <w:p>
            <w:pPr>
              <w:pStyle w:val="70"/>
              <w:rPr>
                <w:rFonts w:hAnsi="Calibri"/>
                <w:color w:val="000000"/>
              </w:rPr>
            </w:pPr>
          </w:p>
        </w:tc>
        <w:tc>
          <w:tcPr>
            <w:tcW w:w="1342" w:type="dxa"/>
            <w:vMerge w:val="continue"/>
            <w:shd w:val="clear" w:color="auto" w:fill="auto"/>
            <w:vAlign w:val="center"/>
          </w:tcPr>
          <w:p>
            <w:pPr>
              <w:pStyle w:val="70"/>
              <w:rPr>
                <w:rFonts w:hAnsi="Calibri"/>
                <w:color w:val="000000"/>
              </w:rPr>
            </w:pPr>
          </w:p>
        </w:tc>
        <w:tc>
          <w:tcPr>
            <w:tcW w:w="6550" w:type="dxa"/>
            <w:shd w:val="clear" w:color="auto" w:fill="auto"/>
            <w:vAlign w:val="center"/>
          </w:tcPr>
          <w:p>
            <w:pPr>
              <w:pStyle w:val="70"/>
              <w:jc w:val="both"/>
              <w:rPr>
                <w:rFonts w:hAnsi="Calibri" w:eastAsia="Times New Roman"/>
                <w:color w:val="000000"/>
              </w:rPr>
            </w:pPr>
            <w:r>
              <w:rPr>
                <w:rFonts w:hint="eastAsia" w:hAnsi="Calibri" w:eastAsia="Times New Roman"/>
                <w:color w:val="000000"/>
              </w:rPr>
              <w:t>1</w:t>
            </w:r>
            <w:r>
              <w:rPr>
                <w:rFonts w:hint="eastAsia" w:hAnsi="Calibri"/>
                <w:color w:val="000000"/>
              </w:rPr>
              <w:t>、未完成污水集中处置设施建设的自治区级及以上工业集聚区须按照昌吉州人民政府与各县市、园区人民政府签订的《水污染防治重点工作整改责任书》加快建设进度，未按要求建成污水集中处理设施前，暂停审批和核准增加水污染物排放的建设项目；已建成投运的园区，要完善工业园区污水集中处理设施。实行</w:t>
            </w:r>
            <w:r>
              <w:rPr>
                <w:rFonts w:ascii="Times New Roman" w:eastAsia="Times New Roman"/>
                <w:color w:val="000000"/>
              </w:rPr>
              <w:t>“</w:t>
            </w:r>
            <w:r>
              <w:rPr>
                <w:rFonts w:hint="eastAsia" w:hAnsi="Calibri"/>
                <w:color w:val="000000"/>
              </w:rPr>
              <w:t>清污分流</w:t>
            </w:r>
            <w:r>
              <w:rPr>
                <w:rFonts w:ascii="Times New Roman" w:eastAsia="Times New Roman"/>
                <w:color w:val="000000"/>
              </w:rPr>
              <w:t>”</w:t>
            </w:r>
            <w:r>
              <w:rPr>
                <w:rFonts w:hint="eastAsia" w:hAnsi="Calibri"/>
                <w:color w:val="000000"/>
              </w:rPr>
              <w:t>，实现废水分类收集、分质处理。</w:t>
            </w:r>
          </w:p>
          <w:p>
            <w:pPr>
              <w:pStyle w:val="70"/>
              <w:jc w:val="both"/>
              <w:rPr>
                <w:rFonts w:hAnsi="Calibri" w:eastAsia="Times New Roman"/>
                <w:color w:val="000000"/>
              </w:rPr>
            </w:pPr>
            <w:r>
              <w:rPr>
                <w:rFonts w:hint="eastAsia" w:hAnsi="Calibri" w:eastAsia="Times New Roman"/>
                <w:color w:val="000000"/>
              </w:rPr>
              <w:t>2</w:t>
            </w:r>
            <w:r>
              <w:rPr>
                <w:rFonts w:hint="eastAsia" w:hAnsi="Calibri"/>
                <w:color w:val="000000"/>
              </w:rPr>
              <w:t>、入园企业排放的污水应在达到国家或地方规定的排放标准后接入集中式污水处理设施处理，园区集中式污水处理设施总排口按要求安装自动监控系统、视频监控系统，并与环境保护主管部门联网。</w:t>
            </w:r>
          </w:p>
        </w:tc>
        <w:tc>
          <w:tcPr>
            <w:tcW w:w="3799" w:type="dxa"/>
            <w:shd w:val="clear" w:color="auto" w:fill="auto"/>
            <w:vAlign w:val="center"/>
          </w:tcPr>
          <w:p>
            <w:pPr>
              <w:pStyle w:val="70"/>
              <w:rPr>
                <w:rFonts w:hAnsi="Calibri" w:eastAsia="Times New Roman"/>
                <w:color w:val="000000"/>
              </w:rPr>
            </w:pPr>
            <w:r>
              <w:rPr>
                <w:rFonts w:hint="eastAsia" w:hAnsi="Calibri"/>
                <w:color w:val="000000"/>
              </w:rPr>
              <w:t>本项目无废水外排</w:t>
            </w:r>
          </w:p>
        </w:tc>
        <w:tc>
          <w:tcPr>
            <w:tcW w:w="426" w:type="dxa"/>
            <w:shd w:val="clear" w:color="auto" w:fill="auto"/>
            <w:vAlign w:val="center"/>
          </w:tcPr>
          <w:p>
            <w:pPr>
              <w:pStyle w:val="70"/>
              <w:rPr>
                <w:rFonts w:hAnsi="Calibri" w:eastAsia="Times New Roman"/>
                <w:color w:val="000000"/>
              </w:rPr>
            </w:pPr>
            <w:r>
              <w:rPr>
                <w:rFonts w:hint="eastAsia" w:hAnsi="Calibri"/>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96" w:type="dxa"/>
            <w:vMerge w:val="continue"/>
            <w:shd w:val="clear" w:color="auto" w:fill="auto"/>
            <w:vAlign w:val="center"/>
          </w:tcPr>
          <w:p>
            <w:pPr>
              <w:pStyle w:val="70"/>
              <w:rPr>
                <w:rFonts w:hAnsi="Calibri"/>
                <w:color w:val="000000"/>
              </w:rPr>
            </w:pPr>
          </w:p>
        </w:tc>
        <w:tc>
          <w:tcPr>
            <w:tcW w:w="535" w:type="dxa"/>
            <w:vMerge w:val="continue"/>
            <w:shd w:val="clear" w:color="auto" w:fill="auto"/>
            <w:vAlign w:val="center"/>
          </w:tcPr>
          <w:p>
            <w:pPr>
              <w:pStyle w:val="70"/>
              <w:rPr>
                <w:rFonts w:hAnsi="Calibri"/>
                <w:color w:val="000000"/>
              </w:rPr>
            </w:pPr>
          </w:p>
        </w:tc>
        <w:tc>
          <w:tcPr>
            <w:tcW w:w="1342" w:type="dxa"/>
            <w:vMerge w:val="restart"/>
            <w:shd w:val="clear" w:color="auto" w:fill="auto"/>
            <w:vAlign w:val="center"/>
          </w:tcPr>
          <w:p>
            <w:pPr>
              <w:pStyle w:val="70"/>
              <w:rPr>
                <w:rFonts w:hAnsi="Calibri" w:eastAsia="Times New Roman"/>
                <w:color w:val="000000"/>
              </w:rPr>
            </w:pPr>
            <w:r>
              <w:rPr>
                <w:rFonts w:hint="eastAsia" w:hAnsi="Calibri"/>
                <w:color w:val="000000"/>
              </w:rPr>
              <w:t>现有源提标升级改造</w:t>
            </w:r>
          </w:p>
        </w:tc>
        <w:tc>
          <w:tcPr>
            <w:tcW w:w="6550" w:type="dxa"/>
            <w:shd w:val="clear" w:color="auto" w:fill="auto"/>
            <w:vAlign w:val="center"/>
          </w:tcPr>
          <w:p>
            <w:pPr>
              <w:pStyle w:val="70"/>
              <w:jc w:val="both"/>
              <w:rPr>
                <w:rFonts w:hAnsi="Calibri" w:eastAsia="Times New Roman"/>
                <w:color w:val="000000"/>
              </w:rPr>
            </w:pPr>
            <w:r>
              <w:rPr>
                <w:rFonts w:hint="eastAsia" w:hAnsi="Calibri" w:eastAsia="Times New Roman"/>
                <w:color w:val="000000"/>
              </w:rPr>
              <w:t>1</w:t>
            </w:r>
            <w:r>
              <w:rPr>
                <w:rFonts w:hint="eastAsia" w:hAnsi="Calibri"/>
                <w:color w:val="000000"/>
              </w:rPr>
              <w:t>、推动实施钢铁等行业超低排放改造。</w:t>
            </w:r>
          </w:p>
          <w:p>
            <w:pPr>
              <w:pStyle w:val="70"/>
              <w:jc w:val="both"/>
              <w:rPr>
                <w:rFonts w:hAnsi="Calibri" w:eastAsia="Times New Roman"/>
                <w:color w:val="000000"/>
              </w:rPr>
            </w:pPr>
            <w:r>
              <w:rPr>
                <w:rFonts w:hint="eastAsia" w:hAnsi="Calibri" w:eastAsia="Times New Roman"/>
                <w:color w:val="000000"/>
              </w:rPr>
              <w:t>2</w:t>
            </w:r>
            <w:r>
              <w:rPr>
                <w:rFonts w:hint="eastAsia" w:hAnsi="Calibri"/>
                <w:color w:val="000000"/>
              </w:rPr>
              <w:t>、钢铁、建材、有色、火电、焦化、铸造等重点行业及燃煤锅炉对物料（含废渣）运输、装卸、储存、转移和工艺工程无组织排放实施深度治理。</w:t>
            </w:r>
          </w:p>
          <w:p>
            <w:pPr>
              <w:pStyle w:val="70"/>
              <w:jc w:val="both"/>
              <w:rPr>
                <w:rFonts w:hAnsi="Calibri" w:eastAsia="Times New Roman"/>
                <w:color w:val="000000"/>
              </w:rPr>
            </w:pPr>
            <w:r>
              <w:rPr>
                <w:rFonts w:hint="eastAsia" w:hAnsi="Calibri" w:eastAsia="Times New Roman"/>
                <w:color w:val="000000"/>
              </w:rPr>
              <w:t>3</w:t>
            </w:r>
            <w:r>
              <w:rPr>
                <w:rFonts w:hint="eastAsia" w:hAnsi="Calibri"/>
                <w:color w:val="000000"/>
              </w:rPr>
              <w:t>、</w:t>
            </w:r>
            <w:r>
              <w:rPr>
                <w:rFonts w:ascii="Times New Roman" w:eastAsia="Times New Roman"/>
                <w:color w:val="000000"/>
              </w:rPr>
              <w:t>“</w:t>
            </w:r>
            <w:r>
              <w:rPr>
                <w:rFonts w:hint="eastAsia" w:hAnsi="Calibri"/>
                <w:color w:val="000000"/>
              </w:rPr>
              <w:t>乌</w:t>
            </w:r>
            <w:r>
              <w:rPr>
                <w:rFonts w:hint="eastAsia" w:hAnsi="Calibri" w:eastAsia="Times New Roman"/>
                <w:color w:val="000000"/>
              </w:rPr>
              <w:t>-</w:t>
            </w:r>
            <w:r>
              <w:rPr>
                <w:rFonts w:hint="eastAsia" w:hAnsi="Calibri"/>
                <w:color w:val="000000"/>
              </w:rPr>
              <w:t>昌</w:t>
            </w:r>
            <w:r>
              <w:rPr>
                <w:rFonts w:hint="eastAsia" w:hAnsi="Calibri" w:eastAsia="Times New Roman"/>
                <w:color w:val="000000"/>
              </w:rPr>
              <w:t>-</w:t>
            </w:r>
            <w:r>
              <w:rPr>
                <w:rFonts w:hint="eastAsia" w:hAnsi="Calibri"/>
                <w:color w:val="000000"/>
              </w:rPr>
              <w:t>石</w:t>
            </w:r>
            <w:r>
              <w:rPr>
                <w:rFonts w:ascii="Times New Roman" w:eastAsia="Times New Roman"/>
                <w:color w:val="000000"/>
              </w:rPr>
              <w:t>”</w:t>
            </w:r>
            <w:r>
              <w:rPr>
                <w:rFonts w:hint="eastAsia" w:hAnsi="Calibri"/>
                <w:color w:val="000000"/>
              </w:rPr>
              <w:t>区域各县级及以上城市建成区完成每小时</w:t>
            </w:r>
            <w:r>
              <w:rPr>
                <w:rFonts w:hint="eastAsia" w:hAnsi="Calibri" w:eastAsia="Times New Roman"/>
                <w:color w:val="000000"/>
              </w:rPr>
              <w:t>65</w:t>
            </w:r>
            <w:r>
              <w:rPr>
                <w:rFonts w:hint="eastAsia" w:hAnsi="Calibri"/>
                <w:color w:val="000000"/>
              </w:rPr>
              <w:t>蒸吨及以上燃煤锅炉节能和超低排放改造工作，基本完成燃气锅炉低氮改造工作。</w:t>
            </w:r>
          </w:p>
          <w:p>
            <w:pPr>
              <w:pStyle w:val="70"/>
              <w:jc w:val="both"/>
              <w:rPr>
                <w:rFonts w:hAnsi="Calibri" w:eastAsia="Times New Roman"/>
                <w:color w:val="000000"/>
              </w:rPr>
            </w:pPr>
            <w:r>
              <w:rPr>
                <w:rFonts w:hint="eastAsia" w:hAnsi="Calibri" w:eastAsia="Times New Roman"/>
                <w:color w:val="000000"/>
              </w:rPr>
              <w:t>4</w:t>
            </w:r>
            <w:r>
              <w:rPr>
                <w:rFonts w:hint="eastAsia" w:hAnsi="Calibri"/>
                <w:color w:val="000000"/>
              </w:rPr>
              <w:t>、全州所有具备改造条件的燃煤电厂，热电联产机组需完成超低排放和自治区下达的的节能改造计划，未按期完成改造的一律停产治理。</w:t>
            </w:r>
          </w:p>
        </w:tc>
        <w:tc>
          <w:tcPr>
            <w:tcW w:w="3799" w:type="dxa"/>
            <w:vMerge w:val="restart"/>
            <w:shd w:val="clear" w:color="auto" w:fill="auto"/>
            <w:vAlign w:val="center"/>
          </w:tcPr>
          <w:p>
            <w:pPr>
              <w:pStyle w:val="70"/>
              <w:rPr>
                <w:rFonts w:hAnsi="Calibri" w:eastAsia="Times New Roman"/>
                <w:color w:val="000000"/>
              </w:rPr>
            </w:pPr>
            <w:r>
              <w:rPr>
                <w:rFonts w:hint="eastAsia" w:hAnsi="Calibri"/>
                <w:color w:val="000000"/>
              </w:rPr>
              <w:t>本项目不涉及</w:t>
            </w:r>
          </w:p>
        </w:tc>
        <w:tc>
          <w:tcPr>
            <w:tcW w:w="426" w:type="dxa"/>
            <w:shd w:val="clear" w:color="auto" w:fill="auto"/>
            <w:vAlign w:val="center"/>
          </w:tcPr>
          <w:p>
            <w:pPr>
              <w:pStyle w:val="70"/>
              <w:rPr>
                <w:rFonts w:hAnsi="Calibri" w:eastAsia="Times New Roman"/>
                <w:color w:val="000000"/>
              </w:rPr>
            </w:pPr>
            <w:r>
              <w:rPr>
                <w:rFonts w:hint="eastAsia" w:hAnsi="Calibri"/>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96" w:type="dxa"/>
            <w:vMerge w:val="continue"/>
            <w:shd w:val="clear" w:color="auto" w:fill="auto"/>
            <w:vAlign w:val="center"/>
          </w:tcPr>
          <w:p>
            <w:pPr>
              <w:pStyle w:val="70"/>
              <w:rPr>
                <w:rFonts w:hAnsi="Calibri"/>
                <w:color w:val="000000"/>
              </w:rPr>
            </w:pPr>
          </w:p>
        </w:tc>
        <w:tc>
          <w:tcPr>
            <w:tcW w:w="535" w:type="dxa"/>
            <w:vMerge w:val="continue"/>
            <w:shd w:val="clear" w:color="auto" w:fill="auto"/>
            <w:vAlign w:val="center"/>
          </w:tcPr>
          <w:p>
            <w:pPr>
              <w:pStyle w:val="70"/>
              <w:rPr>
                <w:rFonts w:hAnsi="Calibri"/>
                <w:color w:val="000000"/>
              </w:rPr>
            </w:pPr>
          </w:p>
        </w:tc>
        <w:tc>
          <w:tcPr>
            <w:tcW w:w="1342" w:type="dxa"/>
            <w:vMerge w:val="continue"/>
            <w:shd w:val="clear" w:color="auto" w:fill="auto"/>
            <w:vAlign w:val="center"/>
          </w:tcPr>
          <w:p>
            <w:pPr>
              <w:pStyle w:val="70"/>
              <w:rPr>
                <w:rFonts w:hAnsi="Calibri"/>
                <w:color w:val="000000"/>
              </w:rPr>
            </w:pPr>
          </w:p>
        </w:tc>
        <w:tc>
          <w:tcPr>
            <w:tcW w:w="6550" w:type="dxa"/>
            <w:shd w:val="clear" w:color="auto" w:fill="auto"/>
            <w:vAlign w:val="center"/>
          </w:tcPr>
          <w:p>
            <w:pPr>
              <w:pStyle w:val="70"/>
              <w:jc w:val="both"/>
              <w:rPr>
                <w:rFonts w:hAnsi="Calibri" w:eastAsia="Times New Roman"/>
                <w:color w:val="000000"/>
              </w:rPr>
            </w:pPr>
            <w:r>
              <w:rPr>
                <w:rFonts w:hint="eastAsia" w:hAnsi="Calibri" w:eastAsia="Times New Roman"/>
                <w:color w:val="000000"/>
              </w:rPr>
              <w:t>1</w:t>
            </w:r>
            <w:r>
              <w:rPr>
                <w:rFonts w:hint="eastAsia" w:hAnsi="Calibri"/>
                <w:color w:val="000000"/>
              </w:rPr>
              <w:t>、组织实施燃煤锅炉节能环保综合提升工程和焦化、煤化工、工业窑炉煤炭清洁高效利用改造工程。</w:t>
            </w:r>
          </w:p>
        </w:tc>
        <w:tc>
          <w:tcPr>
            <w:tcW w:w="3799" w:type="dxa"/>
            <w:vMerge w:val="continue"/>
            <w:shd w:val="clear" w:color="auto" w:fill="auto"/>
            <w:vAlign w:val="center"/>
          </w:tcPr>
          <w:p>
            <w:pPr>
              <w:pStyle w:val="70"/>
              <w:rPr>
                <w:rFonts w:hAnsi="Calibri"/>
                <w:color w:val="000000"/>
              </w:rPr>
            </w:pPr>
          </w:p>
        </w:tc>
        <w:tc>
          <w:tcPr>
            <w:tcW w:w="426" w:type="dxa"/>
            <w:shd w:val="clear" w:color="auto" w:fill="auto"/>
            <w:vAlign w:val="center"/>
          </w:tcPr>
          <w:p>
            <w:pPr>
              <w:pStyle w:val="70"/>
              <w:rPr>
                <w:rFonts w:hAnsi="Calibri" w:eastAsia="Times New Roman"/>
                <w:color w:val="000000"/>
              </w:rPr>
            </w:pPr>
            <w:r>
              <w:rPr>
                <w:rFonts w:hint="eastAsia" w:hAnsi="Calibri"/>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96" w:type="dxa"/>
            <w:vMerge w:val="continue"/>
            <w:shd w:val="clear" w:color="auto" w:fill="auto"/>
            <w:vAlign w:val="center"/>
          </w:tcPr>
          <w:p>
            <w:pPr>
              <w:pStyle w:val="70"/>
              <w:rPr>
                <w:rFonts w:hAnsi="Calibri"/>
                <w:color w:val="000000"/>
              </w:rPr>
            </w:pPr>
          </w:p>
        </w:tc>
        <w:tc>
          <w:tcPr>
            <w:tcW w:w="535" w:type="dxa"/>
            <w:vMerge w:val="continue"/>
            <w:shd w:val="clear" w:color="auto" w:fill="auto"/>
            <w:vAlign w:val="center"/>
          </w:tcPr>
          <w:p>
            <w:pPr>
              <w:pStyle w:val="70"/>
              <w:rPr>
                <w:rFonts w:hAnsi="Calibri"/>
                <w:color w:val="000000"/>
              </w:rPr>
            </w:pPr>
          </w:p>
        </w:tc>
        <w:tc>
          <w:tcPr>
            <w:tcW w:w="1342" w:type="dxa"/>
            <w:vMerge w:val="continue"/>
            <w:shd w:val="clear" w:color="auto" w:fill="auto"/>
            <w:vAlign w:val="center"/>
          </w:tcPr>
          <w:p>
            <w:pPr>
              <w:pStyle w:val="70"/>
              <w:rPr>
                <w:rFonts w:hAnsi="Calibri"/>
                <w:color w:val="000000"/>
              </w:rPr>
            </w:pPr>
          </w:p>
        </w:tc>
        <w:tc>
          <w:tcPr>
            <w:tcW w:w="6550" w:type="dxa"/>
            <w:shd w:val="clear" w:color="auto" w:fill="auto"/>
            <w:vAlign w:val="center"/>
          </w:tcPr>
          <w:p>
            <w:pPr>
              <w:pStyle w:val="70"/>
              <w:jc w:val="both"/>
              <w:rPr>
                <w:rFonts w:hAnsi="Calibri" w:eastAsia="Times New Roman"/>
                <w:color w:val="000000"/>
              </w:rPr>
            </w:pPr>
            <w:r>
              <w:rPr>
                <w:rFonts w:hint="eastAsia" w:hAnsi="Calibri" w:eastAsia="Times New Roman"/>
                <w:color w:val="000000"/>
              </w:rPr>
              <w:t>1</w:t>
            </w:r>
            <w:r>
              <w:rPr>
                <w:rFonts w:hint="eastAsia" w:hAnsi="Calibri"/>
                <w:color w:val="000000"/>
              </w:rPr>
              <w:t>、现有位于优先保护类耕地集中区域的有色金属冶炼、石油加工、化工、焦化等土壤环境重点监管企业应限期开展提标升级改造，其污染物排放应逐步或依法限期达到超低排放标准限值。</w:t>
            </w:r>
          </w:p>
        </w:tc>
        <w:tc>
          <w:tcPr>
            <w:tcW w:w="3799" w:type="dxa"/>
            <w:vMerge w:val="continue"/>
            <w:shd w:val="clear" w:color="auto" w:fill="auto"/>
            <w:vAlign w:val="center"/>
          </w:tcPr>
          <w:p>
            <w:pPr>
              <w:pStyle w:val="70"/>
              <w:rPr>
                <w:rFonts w:hAnsi="Calibri"/>
                <w:color w:val="000000"/>
              </w:rPr>
            </w:pPr>
          </w:p>
        </w:tc>
        <w:tc>
          <w:tcPr>
            <w:tcW w:w="426" w:type="dxa"/>
            <w:shd w:val="clear" w:color="auto" w:fill="auto"/>
            <w:vAlign w:val="center"/>
          </w:tcPr>
          <w:p>
            <w:pPr>
              <w:pStyle w:val="70"/>
              <w:rPr>
                <w:rFonts w:hAnsi="Calibri" w:eastAsia="Times New Roman"/>
                <w:color w:val="000000"/>
              </w:rPr>
            </w:pPr>
            <w:r>
              <w:rPr>
                <w:rFonts w:hint="eastAsia" w:hAnsi="Calibri"/>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96" w:type="dxa"/>
            <w:vMerge w:val="continue"/>
            <w:shd w:val="clear" w:color="auto" w:fill="auto"/>
            <w:vAlign w:val="center"/>
          </w:tcPr>
          <w:p>
            <w:pPr>
              <w:pStyle w:val="70"/>
              <w:rPr>
                <w:rFonts w:hAnsi="Calibri"/>
                <w:color w:val="000000"/>
              </w:rPr>
            </w:pPr>
          </w:p>
        </w:tc>
        <w:tc>
          <w:tcPr>
            <w:tcW w:w="535" w:type="dxa"/>
            <w:vMerge w:val="restart"/>
            <w:shd w:val="clear" w:color="auto" w:fill="auto"/>
            <w:vAlign w:val="center"/>
          </w:tcPr>
          <w:p>
            <w:pPr>
              <w:pStyle w:val="70"/>
              <w:rPr>
                <w:rFonts w:hAnsi="Calibri" w:eastAsia="Times New Roman"/>
                <w:color w:val="000000"/>
              </w:rPr>
            </w:pPr>
            <w:r>
              <w:rPr>
                <w:rFonts w:hint="eastAsia" w:hAnsi="Calibri"/>
                <w:color w:val="000000"/>
              </w:rPr>
              <w:t>环境风险防控</w:t>
            </w:r>
          </w:p>
        </w:tc>
        <w:tc>
          <w:tcPr>
            <w:tcW w:w="1342" w:type="dxa"/>
            <w:vMerge w:val="restart"/>
            <w:shd w:val="clear" w:color="auto" w:fill="auto"/>
            <w:vAlign w:val="center"/>
          </w:tcPr>
          <w:p>
            <w:pPr>
              <w:pStyle w:val="70"/>
              <w:rPr>
                <w:rFonts w:hAnsi="Calibri" w:eastAsia="Times New Roman"/>
                <w:color w:val="000000"/>
              </w:rPr>
            </w:pPr>
            <w:r>
              <w:rPr>
                <w:rFonts w:hint="eastAsia" w:hAnsi="Calibri"/>
                <w:color w:val="000000"/>
              </w:rPr>
              <w:t>联防联控要求</w:t>
            </w:r>
          </w:p>
        </w:tc>
        <w:tc>
          <w:tcPr>
            <w:tcW w:w="6550" w:type="dxa"/>
            <w:shd w:val="clear" w:color="auto" w:fill="auto"/>
            <w:vAlign w:val="center"/>
          </w:tcPr>
          <w:p>
            <w:pPr>
              <w:pStyle w:val="70"/>
              <w:jc w:val="both"/>
              <w:rPr>
                <w:rFonts w:hAnsi="Calibri" w:eastAsia="Times New Roman"/>
                <w:color w:val="000000"/>
              </w:rPr>
            </w:pPr>
            <w:r>
              <w:rPr>
                <w:rFonts w:hint="eastAsia" w:hAnsi="Calibri" w:eastAsia="Times New Roman"/>
                <w:color w:val="000000"/>
              </w:rPr>
              <w:t>1</w:t>
            </w:r>
            <w:r>
              <w:rPr>
                <w:rFonts w:hint="eastAsia" w:hAnsi="Calibri"/>
                <w:color w:val="000000"/>
              </w:rPr>
              <w:t>、头屯河、三屯河、塔西河、呼图壁河、三工河、甘河子河、开垦河、木垒河等主要流域干流沿岸，要严格控制石油加工、化工原料和化学制品制造、医药制造、化学纤维制造、有色金属冶炼、造纸等项目环境风险，合理布局生产装置及危险化学品仓储等设施。根据县市人民政府批复的生态基流方案，保障重点河流生态基流，逐步恢复河湖生态环境。</w:t>
            </w:r>
          </w:p>
        </w:tc>
        <w:tc>
          <w:tcPr>
            <w:tcW w:w="3799" w:type="dxa"/>
            <w:shd w:val="clear" w:color="auto" w:fill="auto"/>
            <w:vAlign w:val="center"/>
          </w:tcPr>
          <w:p>
            <w:pPr>
              <w:pStyle w:val="70"/>
              <w:rPr>
                <w:rFonts w:hAnsi="Calibri" w:eastAsia="Times New Roman"/>
                <w:color w:val="000000"/>
              </w:rPr>
            </w:pPr>
            <w:r>
              <w:rPr>
                <w:rFonts w:hint="eastAsia" w:hAnsi="Calibri"/>
                <w:color w:val="000000"/>
              </w:rPr>
              <w:t>本项目不属于石油加工、化工原料和化学制品制造、医药制造、化学纤维制造、有色金属冶炼、造纸项目，无废水外排，施工期间加强环境风险管控</w:t>
            </w:r>
          </w:p>
        </w:tc>
        <w:tc>
          <w:tcPr>
            <w:tcW w:w="426" w:type="dxa"/>
            <w:shd w:val="clear" w:color="auto" w:fill="auto"/>
            <w:vAlign w:val="center"/>
          </w:tcPr>
          <w:p>
            <w:pPr>
              <w:pStyle w:val="70"/>
              <w:rPr>
                <w:rFonts w:hAnsi="Calibri" w:eastAsia="Times New Roman"/>
                <w:color w:val="000000"/>
              </w:rPr>
            </w:pPr>
            <w:r>
              <w:rPr>
                <w:rFonts w:hint="eastAsia" w:hAnsi="Calibri"/>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96" w:type="dxa"/>
            <w:vMerge w:val="continue"/>
            <w:shd w:val="clear" w:color="auto" w:fill="auto"/>
            <w:vAlign w:val="center"/>
          </w:tcPr>
          <w:p>
            <w:pPr>
              <w:pStyle w:val="70"/>
              <w:rPr>
                <w:rFonts w:hAnsi="Calibri"/>
                <w:color w:val="000000"/>
              </w:rPr>
            </w:pPr>
          </w:p>
        </w:tc>
        <w:tc>
          <w:tcPr>
            <w:tcW w:w="535" w:type="dxa"/>
            <w:vMerge w:val="continue"/>
            <w:shd w:val="clear" w:color="auto" w:fill="auto"/>
            <w:vAlign w:val="center"/>
          </w:tcPr>
          <w:p>
            <w:pPr>
              <w:pStyle w:val="70"/>
              <w:rPr>
                <w:rFonts w:hAnsi="Calibri"/>
                <w:color w:val="000000"/>
              </w:rPr>
            </w:pPr>
          </w:p>
        </w:tc>
        <w:tc>
          <w:tcPr>
            <w:tcW w:w="1342" w:type="dxa"/>
            <w:vMerge w:val="continue"/>
            <w:shd w:val="clear" w:color="auto" w:fill="auto"/>
            <w:vAlign w:val="center"/>
          </w:tcPr>
          <w:p>
            <w:pPr>
              <w:pStyle w:val="70"/>
              <w:rPr>
                <w:rFonts w:hAnsi="Calibri"/>
                <w:color w:val="000000"/>
              </w:rPr>
            </w:pPr>
          </w:p>
        </w:tc>
        <w:tc>
          <w:tcPr>
            <w:tcW w:w="6550" w:type="dxa"/>
            <w:shd w:val="clear" w:color="auto" w:fill="auto"/>
            <w:vAlign w:val="center"/>
          </w:tcPr>
          <w:p>
            <w:pPr>
              <w:pStyle w:val="70"/>
              <w:jc w:val="both"/>
              <w:rPr>
                <w:rFonts w:hAnsi="Calibri" w:eastAsia="Times New Roman"/>
                <w:color w:val="000000"/>
              </w:rPr>
            </w:pPr>
            <w:r>
              <w:rPr>
                <w:rFonts w:hint="eastAsia" w:hAnsi="Calibri" w:eastAsia="Times New Roman"/>
                <w:color w:val="000000"/>
              </w:rPr>
              <w:t>1</w:t>
            </w:r>
            <w:r>
              <w:rPr>
                <w:rFonts w:hint="eastAsia" w:hAnsi="Calibri"/>
                <w:color w:val="000000"/>
              </w:rPr>
              <w:t>、土壤环境重点监管企业纳入突发环境事件应急预案管理，完善各级环境污染事件应急预案，增强突发土壤环境污染事件应急能力。实施土壤环境重点监管企业土壤环境应急预案备案制度。</w:t>
            </w:r>
          </w:p>
          <w:p>
            <w:pPr>
              <w:pStyle w:val="70"/>
              <w:jc w:val="both"/>
              <w:rPr>
                <w:rFonts w:hAnsi="Calibri" w:eastAsia="Times New Roman"/>
                <w:color w:val="000000"/>
              </w:rPr>
            </w:pPr>
            <w:r>
              <w:rPr>
                <w:rFonts w:hint="eastAsia" w:hAnsi="Calibri" w:eastAsia="Times New Roman"/>
                <w:color w:val="000000"/>
              </w:rPr>
              <w:t>2</w:t>
            </w:r>
            <w:r>
              <w:rPr>
                <w:rFonts w:hint="eastAsia" w:hAnsi="Calibri"/>
                <w:color w:val="000000"/>
              </w:rPr>
              <w:t>、威胁地下水和饮用水水源安全的，重金属重点防控、重点污染的行业，各县市人民政府及园区管委会要制定环境风险管控方案，并落实有关措施。</w:t>
            </w:r>
          </w:p>
          <w:p>
            <w:pPr>
              <w:pStyle w:val="70"/>
              <w:jc w:val="both"/>
              <w:rPr>
                <w:rFonts w:hAnsi="Calibri" w:eastAsia="Times New Roman"/>
                <w:color w:val="000000"/>
              </w:rPr>
            </w:pPr>
            <w:r>
              <w:rPr>
                <w:rFonts w:hint="eastAsia" w:hAnsi="Calibri" w:eastAsia="Times New Roman"/>
                <w:color w:val="000000"/>
              </w:rPr>
              <w:t>3</w:t>
            </w:r>
            <w:r>
              <w:rPr>
                <w:rFonts w:hint="eastAsia" w:hAnsi="Calibri"/>
                <w:color w:val="000000"/>
              </w:rPr>
              <w:t>、对拟收回土地使用权的有色金属冶炼、石油加工、化工医药、焦化等重点行业企业用地，以及用途拟变更为居住和商业、学校、医疗、养老机构等公共设施的上述企业用地进行土壤环境调查评估，按照</w:t>
            </w:r>
            <w:r>
              <w:rPr>
                <w:rFonts w:ascii="Times New Roman" w:eastAsia="Times New Roman"/>
                <w:color w:val="000000"/>
              </w:rPr>
              <w:t>“</w:t>
            </w:r>
            <w:r>
              <w:rPr>
                <w:rFonts w:hint="eastAsia" w:hAnsi="Calibri"/>
                <w:color w:val="000000"/>
              </w:rPr>
              <w:t>谁污染、谁治理，谁使用、谁负责</w:t>
            </w:r>
            <w:r>
              <w:rPr>
                <w:rFonts w:ascii="Times New Roman" w:eastAsia="Times New Roman"/>
                <w:color w:val="000000"/>
              </w:rPr>
              <w:t>”</w:t>
            </w:r>
            <w:r>
              <w:rPr>
                <w:rFonts w:hint="eastAsia" w:hAnsi="Calibri"/>
                <w:color w:val="000000"/>
              </w:rPr>
              <w:t>的原则，土地储备、出让、收回、续期前，应由土地使用权人（含土地储备机构）负责开展土壤环境状况调查评估；已经收回的，由所在地市、县人民政府负责开展调查评估。重度污染农用地转为城镇建设用地的，由所在地市、县人民政府负责组织开展调查评估。调查评估结果在所在地环境保护、城乡规划、国土资源等行政主管部门备案。经土壤环境调查评估认定对人体健康有严重影响的污染地块，要采取措施防止污染扩散，治理达标前不得用于住宅开发、公共设施建设用地和农用地。</w:t>
            </w:r>
          </w:p>
          <w:p>
            <w:pPr>
              <w:pStyle w:val="70"/>
              <w:jc w:val="both"/>
              <w:rPr>
                <w:rFonts w:hAnsi="Calibri" w:eastAsia="Times New Roman"/>
                <w:color w:val="000000"/>
              </w:rPr>
            </w:pPr>
            <w:r>
              <w:rPr>
                <w:rFonts w:hint="eastAsia" w:hAnsi="Calibri" w:eastAsia="Times New Roman"/>
                <w:color w:val="000000"/>
              </w:rPr>
              <w:t>4</w:t>
            </w:r>
            <w:r>
              <w:rPr>
                <w:rFonts w:hint="eastAsia" w:hAnsi="Calibri"/>
                <w:color w:val="000000"/>
              </w:rPr>
              <w:t>、暂不开发利用或现阶段不具备治理修复条件的污染地块，由所在地县级政府组织划定管控区域设立标识，发布公告，开展土壤、地表水、地下水、空气环境监测；发现污染扩散的，有关责任主体要及时采取污染物隔离、阻断等环境风险管控措施。</w:t>
            </w:r>
          </w:p>
          <w:p>
            <w:pPr>
              <w:pStyle w:val="70"/>
              <w:jc w:val="both"/>
              <w:rPr>
                <w:rFonts w:hAnsi="Calibri" w:eastAsia="Times New Roman"/>
                <w:color w:val="000000"/>
              </w:rPr>
            </w:pPr>
            <w:r>
              <w:rPr>
                <w:rFonts w:hint="eastAsia" w:hAnsi="Calibri" w:eastAsia="Times New Roman"/>
                <w:color w:val="000000"/>
              </w:rPr>
              <w:t>5</w:t>
            </w:r>
            <w:r>
              <w:rPr>
                <w:rFonts w:hint="eastAsia" w:hAnsi="Calibri"/>
                <w:color w:val="000000"/>
              </w:rPr>
              <w:t>、将土壤污染防治纳入环境风险防控体系，严格依法依规建设和运营污染治理设施。</w:t>
            </w:r>
          </w:p>
        </w:tc>
        <w:tc>
          <w:tcPr>
            <w:tcW w:w="3799" w:type="dxa"/>
            <w:shd w:val="clear" w:color="auto" w:fill="auto"/>
            <w:vAlign w:val="center"/>
          </w:tcPr>
          <w:p>
            <w:pPr>
              <w:pStyle w:val="70"/>
              <w:rPr>
                <w:rFonts w:hAnsi="Calibri" w:eastAsia="Times New Roman"/>
                <w:color w:val="000000"/>
              </w:rPr>
            </w:pPr>
            <w:r>
              <w:rPr>
                <w:rFonts w:hint="eastAsia" w:hAnsi="Calibri"/>
                <w:color w:val="000000"/>
              </w:rPr>
              <w:t>本项目属于陆地矿产资源地质勘查，项目制定了较为周全的风险事故防范措施和事故应急预案；本项目钻井时严格落实套管下入深度合格和固井质量合格，对产生的污染物处置进行严格管理，采取相应的防渗措施，基本不会对所在区域地下水和土壤产生影响</w:t>
            </w:r>
          </w:p>
        </w:tc>
        <w:tc>
          <w:tcPr>
            <w:tcW w:w="426" w:type="dxa"/>
            <w:shd w:val="clear" w:color="auto" w:fill="auto"/>
            <w:vAlign w:val="center"/>
          </w:tcPr>
          <w:p>
            <w:pPr>
              <w:pStyle w:val="70"/>
              <w:rPr>
                <w:rFonts w:hAnsi="Calibri" w:eastAsia="Times New Roman"/>
                <w:color w:val="000000"/>
              </w:rPr>
            </w:pPr>
            <w:r>
              <w:rPr>
                <w:rFonts w:hint="eastAsia" w:hAnsi="Calibri"/>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96" w:type="dxa"/>
            <w:vMerge w:val="continue"/>
            <w:shd w:val="clear" w:color="auto" w:fill="auto"/>
            <w:vAlign w:val="center"/>
          </w:tcPr>
          <w:p>
            <w:pPr>
              <w:pStyle w:val="70"/>
              <w:rPr>
                <w:rFonts w:hAnsi="Calibri"/>
                <w:color w:val="000000"/>
              </w:rPr>
            </w:pPr>
          </w:p>
        </w:tc>
        <w:tc>
          <w:tcPr>
            <w:tcW w:w="535" w:type="dxa"/>
            <w:vMerge w:val="restart"/>
            <w:shd w:val="clear" w:color="auto" w:fill="auto"/>
            <w:vAlign w:val="center"/>
          </w:tcPr>
          <w:p>
            <w:pPr>
              <w:pStyle w:val="70"/>
              <w:rPr>
                <w:rFonts w:hAnsi="Calibri" w:eastAsia="Times New Roman"/>
                <w:color w:val="000000"/>
              </w:rPr>
            </w:pPr>
            <w:r>
              <w:rPr>
                <w:rFonts w:hint="eastAsia" w:hAnsi="Calibri"/>
                <w:color w:val="000000"/>
              </w:rPr>
              <w:t>资源利用效率要求</w:t>
            </w:r>
          </w:p>
        </w:tc>
        <w:tc>
          <w:tcPr>
            <w:tcW w:w="1342" w:type="dxa"/>
            <w:vMerge w:val="restart"/>
            <w:shd w:val="clear" w:color="auto" w:fill="auto"/>
            <w:vAlign w:val="center"/>
          </w:tcPr>
          <w:p>
            <w:pPr>
              <w:pStyle w:val="70"/>
              <w:rPr>
                <w:rFonts w:hAnsi="Calibri" w:eastAsia="Times New Roman"/>
                <w:color w:val="000000"/>
              </w:rPr>
            </w:pPr>
            <w:r>
              <w:rPr>
                <w:rFonts w:hint="eastAsia" w:hAnsi="Calibri"/>
                <w:color w:val="000000"/>
              </w:rPr>
              <w:t>水资源利用总量及效率要求</w:t>
            </w:r>
          </w:p>
        </w:tc>
        <w:tc>
          <w:tcPr>
            <w:tcW w:w="6550" w:type="dxa"/>
            <w:shd w:val="clear" w:color="auto" w:fill="auto"/>
            <w:vAlign w:val="center"/>
          </w:tcPr>
          <w:p>
            <w:pPr>
              <w:pStyle w:val="70"/>
              <w:jc w:val="both"/>
              <w:rPr>
                <w:rFonts w:hAnsi="Calibri" w:eastAsia="Times New Roman"/>
                <w:color w:val="000000"/>
              </w:rPr>
            </w:pPr>
            <w:r>
              <w:rPr>
                <w:rFonts w:hint="eastAsia" w:hAnsi="Calibri"/>
                <w:color w:val="000000"/>
              </w:rPr>
              <w:t>满足自治区下达的昌吉州用水量控制指标要求，根据《新疆</w:t>
            </w:r>
            <w:r>
              <w:rPr>
                <w:rFonts w:ascii="Times New Roman" w:eastAsia="Times New Roman"/>
                <w:color w:val="000000"/>
              </w:rPr>
              <w:t>•</w:t>
            </w:r>
            <w:r>
              <w:rPr>
                <w:rFonts w:hint="eastAsia" w:hAnsi="Calibri"/>
                <w:color w:val="000000"/>
              </w:rPr>
              <w:t>昌吉州用水总量控制方案》进行任务分解。</w:t>
            </w:r>
          </w:p>
        </w:tc>
        <w:tc>
          <w:tcPr>
            <w:tcW w:w="3799" w:type="dxa"/>
            <w:vMerge w:val="restart"/>
            <w:shd w:val="clear" w:color="auto" w:fill="auto"/>
            <w:vAlign w:val="center"/>
          </w:tcPr>
          <w:p>
            <w:pPr>
              <w:pStyle w:val="70"/>
              <w:rPr>
                <w:rFonts w:hAnsi="Calibri" w:eastAsia="Times New Roman"/>
                <w:color w:val="000000"/>
              </w:rPr>
            </w:pPr>
            <w:r>
              <w:rPr>
                <w:rFonts w:hint="eastAsia" w:hAnsi="Calibri"/>
                <w:color w:val="000000"/>
              </w:rPr>
              <w:t>本项目不涉及地下水开采</w:t>
            </w:r>
          </w:p>
        </w:tc>
        <w:tc>
          <w:tcPr>
            <w:tcW w:w="426" w:type="dxa"/>
            <w:shd w:val="clear" w:color="auto" w:fill="auto"/>
            <w:vAlign w:val="center"/>
          </w:tcPr>
          <w:p>
            <w:pPr>
              <w:pStyle w:val="70"/>
              <w:rPr>
                <w:rFonts w:hAnsi="Calibri" w:eastAsia="Times New Roman"/>
                <w:color w:val="000000"/>
              </w:rPr>
            </w:pPr>
            <w:r>
              <w:rPr>
                <w:rFonts w:hint="eastAsia" w:hAnsi="Calibri"/>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96" w:type="dxa"/>
            <w:vMerge w:val="continue"/>
            <w:shd w:val="clear" w:color="auto" w:fill="auto"/>
            <w:vAlign w:val="center"/>
          </w:tcPr>
          <w:p>
            <w:pPr>
              <w:pStyle w:val="70"/>
              <w:rPr>
                <w:rFonts w:hAnsi="Calibri"/>
                <w:color w:val="000000"/>
              </w:rPr>
            </w:pPr>
          </w:p>
        </w:tc>
        <w:tc>
          <w:tcPr>
            <w:tcW w:w="535" w:type="dxa"/>
            <w:vMerge w:val="continue"/>
            <w:shd w:val="clear" w:color="auto" w:fill="auto"/>
            <w:vAlign w:val="center"/>
          </w:tcPr>
          <w:p>
            <w:pPr>
              <w:pStyle w:val="70"/>
              <w:rPr>
                <w:rFonts w:hAnsi="Calibri"/>
                <w:color w:val="000000"/>
              </w:rPr>
            </w:pPr>
          </w:p>
        </w:tc>
        <w:tc>
          <w:tcPr>
            <w:tcW w:w="1342" w:type="dxa"/>
            <w:vMerge w:val="continue"/>
            <w:shd w:val="clear" w:color="auto" w:fill="auto"/>
            <w:vAlign w:val="center"/>
          </w:tcPr>
          <w:p>
            <w:pPr>
              <w:pStyle w:val="70"/>
              <w:rPr>
                <w:rFonts w:hAnsi="Calibri"/>
                <w:color w:val="000000"/>
              </w:rPr>
            </w:pPr>
          </w:p>
        </w:tc>
        <w:tc>
          <w:tcPr>
            <w:tcW w:w="6550" w:type="dxa"/>
            <w:shd w:val="clear" w:color="auto" w:fill="auto"/>
            <w:vAlign w:val="center"/>
          </w:tcPr>
          <w:p>
            <w:pPr>
              <w:pStyle w:val="70"/>
              <w:jc w:val="both"/>
              <w:rPr>
                <w:rFonts w:hAnsi="Calibri" w:eastAsia="Times New Roman"/>
                <w:color w:val="000000"/>
              </w:rPr>
            </w:pPr>
            <w:r>
              <w:rPr>
                <w:rFonts w:hint="eastAsia" w:hAnsi="Calibri" w:eastAsia="Times New Roman"/>
                <w:color w:val="000000"/>
              </w:rPr>
              <w:t>1</w:t>
            </w:r>
            <w:r>
              <w:rPr>
                <w:rFonts w:hint="eastAsia" w:hAnsi="Calibri"/>
                <w:color w:val="000000"/>
              </w:rPr>
              <w:t>、加强地下水取水许可审批管理，严格控制新打机井和更新井。</w:t>
            </w:r>
          </w:p>
          <w:p>
            <w:pPr>
              <w:pStyle w:val="70"/>
              <w:jc w:val="both"/>
              <w:rPr>
                <w:rFonts w:hAnsi="Calibri" w:eastAsia="Times New Roman"/>
                <w:color w:val="000000"/>
              </w:rPr>
            </w:pPr>
            <w:r>
              <w:rPr>
                <w:rFonts w:hint="eastAsia" w:hAnsi="Calibri" w:eastAsia="Times New Roman"/>
                <w:color w:val="000000"/>
              </w:rPr>
              <w:t>2</w:t>
            </w:r>
            <w:r>
              <w:rPr>
                <w:rFonts w:hint="eastAsia" w:hAnsi="Calibri"/>
                <w:color w:val="000000"/>
              </w:rPr>
              <w:t>、采取</w:t>
            </w:r>
            <w:r>
              <w:rPr>
                <w:rFonts w:ascii="Times New Roman" w:eastAsia="Times New Roman"/>
                <w:color w:val="000000"/>
              </w:rPr>
              <w:t>“</w:t>
            </w:r>
            <w:r>
              <w:rPr>
                <w:rFonts w:hint="eastAsia" w:hAnsi="Calibri"/>
                <w:color w:val="000000"/>
              </w:rPr>
              <w:t>以水定电、以电控水</w:t>
            </w:r>
            <w:r>
              <w:rPr>
                <w:rFonts w:ascii="Times New Roman" w:eastAsia="Times New Roman"/>
                <w:color w:val="000000"/>
              </w:rPr>
              <w:t>”</w:t>
            </w:r>
            <w:r>
              <w:rPr>
                <w:rFonts w:hint="eastAsia" w:hAnsi="Calibri"/>
                <w:color w:val="000000"/>
              </w:rPr>
              <w:t>的措施，严格控制地下水开采，要实行区域地下水取水总量和地下水水位</w:t>
            </w:r>
            <w:r>
              <w:rPr>
                <w:rFonts w:ascii="Times New Roman" w:eastAsia="Times New Roman"/>
                <w:color w:val="000000"/>
              </w:rPr>
              <w:t>“</w:t>
            </w:r>
            <w:r>
              <w:rPr>
                <w:rFonts w:hint="eastAsia" w:hAnsi="Calibri"/>
                <w:color w:val="000000"/>
              </w:rPr>
              <w:t>双控制</w:t>
            </w:r>
            <w:r>
              <w:rPr>
                <w:rFonts w:ascii="Times New Roman" w:eastAsia="Times New Roman"/>
                <w:color w:val="000000"/>
              </w:rPr>
              <w:t>”</w:t>
            </w:r>
            <w:r>
              <w:rPr>
                <w:rFonts w:hint="eastAsia" w:hAnsi="Calibri"/>
                <w:color w:val="000000"/>
              </w:rPr>
              <w:t>制度，地下水开采量只减不增。</w:t>
            </w:r>
          </w:p>
        </w:tc>
        <w:tc>
          <w:tcPr>
            <w:tcW w:w="3799" w:type="dxa"/>
            <w:vMerge w:val="continue"/>
            <w:shd w:val="clear" w:color="auto" w:fill="auto"/>
            <w:vAlign w:val="center"/>
          </w:tcPr>
          <w:p>
            <w:pPr>
              <w:pStyle w:val="70"/>
              <w:rPr>
                <w:rFonts w:hAnsi="Calibri"/>
                <w:color w:val="000000"/>
              </w:rPr>
            </w:pPr>
          </w:p>
        </w:tc>
        <w:tc>
          <w:tcPr>
            <w:tcW w:w="426" w:type="dxa"/>
            <w:shd w:val="clear" w:color="auto" w:fill="auto"/>
            <w:vAlign w:val="center"/>
          </w:tcPr>
          <w:p>
            <w:pPr>
              <w:pStyle w:val="70"/>
              <w:rPr>
                <w:rFonts w:hAnsi="Calibri" w:eastAsia="Times New Roman"/>
                <w:color w:val="000000"/>
              </w:rPr>
            </w:pPr>
            <w:r>
              <w:rPr>
                <w:rFonts w:hint="eastAsia" w:hAnsi="Calibri"/>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96" w:type="dxa"/>
            <w:vMerge w:val="continue"/>
            <w:shd w:val="clear" w:color="auto" w:fill="auto"/>
            <w:vAlign w:val="center"/>
          </w:tcPr>
          <w:p>
            <w:pPr>
              <w:pStyle w:val="70"/>
              <w:rPr>
                <w:rFonts w:hAnsi="Calibri"/>
                <w:color w:val="000000"/>
              </w:rPr>
            </w:pPr>
          </w:p>
        </w:tc>
        <w:tc>
          <w:tcPr>
            <w:tcW w:w="535" w:type="dxa"/>
            <w:vMerge w:val="continue"/>
            <w:shd w:val="clear" w:color="auto" w:fill="auto"/>
            <w:vAlign w:val="center"/>
          </w:tcPr>
          <w:p>
            <w:pPr>
              <w:pStyle w:val="70"/>
              <w:rPr>
                <w:rFonts w:hAnsi="Calibri"/>
                <w:color w:val="000000"/>
              </w:rPr>
            </w:pPr>
          </w:p>
        </w:tc>
        <w:tc>
          <w:tcPr>
            <w:tcW w:w="1342" w:type="dxa"/>
            <w:shd w:val="clear" w:color="auto" w:fill="auto"/>
            <w:vAlign w:val="center"/>
          </w:tcPr>
          <w:p>
            <w:pPr>
              <w:pStyle w:val="70"/>
              <w:rPr>
                <w:rFonts w:hAnsi="Calibri" w:eastAsia="Times New Roman"/>
                <w:color w:val="000000"/>
              </w:rPr>
            </w:pPr>
            <w:r>
              <w:rPr>
                <w:rFonts w:hint="eastAsia" w:hAnsi="Calibri"/>
                <w:color w:val="000000"/>
              </w:rPr>
              <w:t>能源利用总量及效率要求</w:t>
            </w:r>
          </w:p>
        </w:tc>
        <w:tc>
          <w:tcPr>
            <w:tcW w:w="6550" w:type="dxa"/>
            <w:shd w:val="clear" w:color="auto" w:fill="auto"/>
            <w:vAlign w:val="center"/>
          </w:tcPr>
          <w:p>
            <w:pPr>
              <w:pStyle w:val="70"/>
              <w:jc w:val="both"/>
              <w:rPr>
                <w:rFonts w:hAnsi="Calibri" w:eastAsia="Times New Roman"/>
                <w:color w:val="000000"/>
              </w:rPr>
            </w:pPr>
            <w:r>
              <w:rPr>
                <w:rFonts w:hint="eastAsia" w:hAnsi="Calibri" w:eastAsia="Times New Roman"/>
                <w:color w:val="000000"/>
              </w:rPr>
              <w:t>1</w:t>
            </w:r>
            <w:r>
              <w:rPr>
                <w:rFonts w:hint="eastAsia" w:hAnsi="Calibri"/>
                <w:color w:val="000000"/>
              </w:rPr>
              <w:t>、</w:t>
            </w:r>
            <w:r>
              <w:rPr>
                <w:rFonts w:hint="eastAsia" w:hAnsi="Calibri" w:eastAsia="Times New Roman"/>
                <w:color w:val="000000"/>
              </w:rPr>
              <w:t>2025</w:t>
            </w:r>
            <w:r>
              <w:rPr>
                <w:rFonts w:hint="eastAsia" w:hAnsi="Calibri"/>
                <w:color w:val="000000"/>
              </w:rPr>
              <w:t>年、</w:t>
            </w:r>
            <w:r>
              <w:rPr>
                <w:rFonts w:hint="eastAsia" w:hAnsi="Calibri" w:eastAsia="Times New Roman"/>
                <w:color w:val="000000"/>
              </w:rPr>
              <w:t>2035</w:t>
            </w:r>
            <w:r>
              <w:rPr>
                <w:rFonts w:hint="eastAsia" w:hAnsi="Calibri"/>
                <w:color w:val="000000"/>
              </w:rPr>
              <w:t>年昌吉州能源（煤炭）消费目标满足昌吉州</w:t>
            </w:r>
            <w:r>
              <w:rPr>
                <w:rFonts w:ascii="Times New Roman" w:eastAsia="Times New Roman"/>
                <w:color w:val="000000"/>
              </w:rPr>
              <w:t>“</w:t>
            </w:r>
            <w:r>
              <w:rPr>
                <w:rFonts w:hint="eastAsia" w:hAnsi="Calibri"/>
                <w:color w:val="000000"/>
              </w:rPr>
              <w:t>十四五</w:t>
            </w:r>
            <w:r>
              <w:rPr>
                <w:rFonts w:ascii="Times New Roman" w:eastAsia="Times New Roman"/>
                <w:color w:val="000000"/>
              </w:rPr>
              <w:t>”</w:t>
            </w:r>
            <w:r>
              <w:rPr>
                <w:rFonts w:hint="eastAsia" w:hAnsi="Calibri"/>
                <w:color w:val="000000"/>
              </w:rPr>
              <w:t>能源（煤炭）发展规划和中长期发展战略要求。</w:t>
            </w:r>
          </w:p>
        </w:tc>
        <w:tc>
          <w:tcPr>
            <w:tcW w:w="3799" w:type="dxa"/>
            <w:shd w:val="clear" w:color="auto" w:fill="auto"/>
            <w:vAlign w:val="center"/>
          </w:tcPr>
          <w:p>
            <w:pPr>
              <w:pStyle w:val="70"/>
              <w:rPr>
                <w:rFonts w:hAnsi="Calibri" w:eastAsia="Times New Roman"/>
                <w:color w:val="000000"/>
              </w:rPr>
            </w:pPr>
            <w:r>
              <w:rPr>
                <w:rFonts w:hint="eastAsia" w:hAnsi="Calibri"/>
                <w:color w:val="000000"/>
              </w:rPr>
              <w:t>本项目不涉及煤炭使用</w:t>
            </w:r>
          </w:p>
        </w:tc>
        <w:tc>
          <w:tcPr>
            <w:tcW w:w="426" w:type="dxa"/>
            <w:shd w:val="clear" w:color="auto" w:fill="auto"/>
            <w:vAlign w:val="center"/>
          </w:tcPr>
          <w:p>
            <w:pPr>
              <w:pStyle w:val="70"/>
              <w:rPr>
                <w:rFonts w:hAnsi="Calibri" w:eastAsia="Times New Roman"/>
                <w:color w:val="000000"/>
              </w:rPr>
            </w:pPr>
            <w:r>
              <w:rPr>
                <w:rFonts w:hint="eastAsia" w:hAnsi="Calibri"/>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96" w:type="dxa"/>
            <w:vMerge w:val="continue"/>
            <w:shd w:val="clear" w:color="auto" w:fill="auto"/>
            <w:vAlign w:val="center"/>
          </w:tcPr>
          <w:p>
            <w:pPr>
              <w:pStyle w:val="70"/>
              <w:rPr>
                <w:rFonts w:hAnsi="Calibri"/>
                <w:color w:val="000000"/>
              </w:rPr>
            </w:pPr>
          </w:p>
        </w:tc>
        <w:tc>
          <w:tcPr>
            <w:tcW w:w="535" w:type="dxa"/>
            <w:vMerge w:val="continue"/>
            <w:shd w:val="clear" w:color="auto" w:fill="auto"/>
            <w:vAlign w:val="center"/>
          </w:tcPr>
          <w:p>
            <w:pPr>
              <w:pStyle w:val="70"/>
              <w:rPr>
                <w:rFonts w:hAnsi="Calibri"/>
                <w:color w:val="000000"/>
              </w:rPr>
            </w:pPr>
          </w:p>
        </w:tc>
        <w:tc>
          <w:tcPr>
            <w:tcW w:w="1342" w:type="dxa"/>
            <w:shd w:val="clear" w:color="auto" w:fill="auto"/>
            <w:vAlign w:val="center"/>
          </w:tcPr>
          <w:p>
            <w:pPr>
              <w:pStyle w:val="70"/>
              <w:rPr>
                <w:rFonts w:hAnsi="Calibri" w:eastAsia="Times New Roman"/>
                <w:color w:val="000000"/>
              </w:rPr>
            </w:pPr>
            <w:r>
              <w:rPr>
                <w:rFonts w:hint="eastAsia" w:hAnsi="Calibri"/>
                <w:color w:val="000000"/>
              </w:rPr>
              <w:t>禁燃区要求</w:t>
            </w:r>
          </w:p>
        </w:tc>
        <w:tc>
          <w:tcPr>
            <w:tcW w:w="6550" w:type="dxa"/>
            <w:shd w:val="clear" w:color="auto" w:fill="auto"/>
            <w:vAlign w:val="center"/>
          </w:tcPr>
          <w:p>
            <w:pPr>
              <w:pStyle w:val="70"/>
              <w:jc w:val="both"/>
              <w:rPr>
                <w:rFonts w:hAnsi="Calibri" w:eastAsia="Times New Roman"/>
                <w:color w:val="000000"/>
              </w:rPr>
            </w:pPr>
            <w:r>
              <w:rPr>
                <w:rFonts w:hint="eastAsia" w:hAnsi="Calibri" w:eastAsia="Times New Roman"/>
                <w:color w:val="000000"/>
              </w:rPr>
              <w:t>1</w:t>
            </w:r>
            <w:r>
              <w:rPr>
                <w:rFonts w:hint="eastAsia" w:hAnsi="Calibri"/>
                <w:color w:val="000000"/>
              </w:rPr>
              <w:t>、禁燃区内的单位、个体经营户和个人禁止生产、销售、燃用高污染燃料。</w:t>
            </w:r>
          </w:p>
          <w:p>
            <w:pPr>
              <w:pStyle w:val="70"/>
              <w:jc w:val="both"/>
              <w:rPr>
                <w:rFonts w:hAnsi="Calibri" w:eastAsia="Times New Roman"/>
                <w:color w:val="000000"/>
              </w:rPr>
            </w:pPr>
            <w:r>
              <w:rPr>
                <w:rFonts w:hint="eastAsia" w:hAnsi="Calibri" w:eastAsia="Times New Roman"/>
                <w:color w:val="000000"/>
              </w:rPr>
              <w:t>2</w:t>
            </w:r>
            <w:r>
              <w:rPr>
                <w:rFonts w:hint="eastAsia" w:hAnsi="Calibri"/>
                <w:color w:val="000000"/>
              </w:rPr>
              <w:t>、禁燃区内的单位、个体经营户和个人禁止新建、扩建使用高污染燃料的设施；已建成的应当在各县（市）人民政府规定的期限内停止燃用高污染燃料，改用天然气、页岩气、液化气、油气、电等清洁能源或者在规定的期限内拆除。</w:t>
            </w:r>
          </w:p>
        </w:tc>
        <w:tc>
          <w:tcPr>
            <w:tcW w:w="3799" w:type="dxa"/>
            <w:shd w:val="clear" w:color="auto" w:fill="auto"/>
            <w:vAlign w:val="center"/>
          </w:tcPr>
          <w:p>
            <w:pPr>
              <w:pStyle w:val="70"/>
              <w:rPr>
                <w:rFonts w:hAnsi="Calibri" w:eastAsia="Times New Roman"/>
                <w:color w:val="000000"/>
              </w:rPr>
            </w:pPr>
            <w:r>
              <w:rPr>
                <w:rFonts w:hint="eastAsia" w:hAnsi="Calibri"/>
                <w:color w:val="000000"/>
              </w:rPr>
              <w:t>本项目不涉及生产、销售、燃用高污染燃料</w:t>
            </w:r>
          </w:p>
        </w:tc>
        <w:tc>
          <w:tcPr>
            <w:tcW w:w="426" w:type="dxa"/>
            <w:shd w:val="clear" w:color="auto" w:fill="auto"/>
            <w:vAlign w:val="center"/>
          </w:tcPr>
          <w:p>
            <w:pPr>
              <w:pStyle w:val="70"/>
              <w:rPr>
                <w:rFonts w:hAnsi="Calibri" w:eastAsia="Times New Roman"/>
                <w:color w:val="000000"/>
              </w:rPr>
            </w:pPr>
            <w:r>
              <w:rPr>
                <w:rFonts w:hint="eastAsia" w:hAnsi="Calibri"/>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96" w:type="dxa"/>
            <w:shd w:val="clear" w:color="auto" w:fill="auto"/>
            <w:vAlign w:val="center"/>
          </w:tcPr>
          <w:p>
            <w:pPr>
              <w:pStyle w:val="70"/>
              <w:rPr>
                <w:rFonts w:hAnsi="Calibri"/>
                <w:color w:val="000000"/>
              </w:rPr>
            </w:pPr>
            <w:r>
              <w:rPr>
                <w:rFonts w:hint="eastAsia" w:hAnsi="Calibri"/>
                <w:color w:val="000000"/>
              </w:rPr>
              <w:t>吉木萨尔县环境管控单元生态环境准入清单（优先保护单元）一般生态空间</w:t>
            </w:r>
          </w:p>
        </w:tc>
        <w:tc>
          <w:tcPr>
            <w:tcW w:w="535" w:type="dxa"/>
            <w:shd w:val="clear" w:color="auto" w:fill="auto"/>
            <w:vAlign w:val="center"/>
          </w:tcPr>
          <w:p>
            <w:pPr>
              <w:pStyle w:val="70"/>
              <w:rPr>
                <w:rFonts w:hAnsi="Calibri"/>
                <w:color w:val="000000"/>
              </w:rPr>
            </w:pPr>
            <w:r>
              <w:rPr>
                <w:rFonts w:hAnsi="Calibri"/>
                <w:color w:val="000000"/>
              </w:rPr>
              <w:t>空间布局约束</w:t>
            </w:r>
          </w:p>
        </w:tc>
        <w:tc>
          <w:tcPr>
            <w:tcW w:w="1342" w:type="dxa"/>
            <w:shd w:val="clear" w:color="auto" w:fill="auto"/>
            <w:vAlign w:val="center"/>
          </w:tcPr>
          <w:p>
            <w:pPr>
              <w:pStyle w:val="70"/>
              <w:rPr>
                <w:rFonts w:hAnsi="Calibri"/>
                <w:color w:val="000000"/>
              </w:rPr>
            </w:pPr>
            <w:r>
              <w:rPr>
                <w:rFonts w:hint="eastAsia" w:hAnsi="Calibri"/>
                <w:color w:val="000000"/>
              </w:rPr>
              <w:t>执行自治区总体准入要求中关于优先保护单元一般生态空间的准入要求</w:t>
            </w:r>
          </w:p>
        </w:tc>
        <w:tc>
          <w:tcPr>
            <w:tcW w:w="6550" w:type="dxa"/>
            <w:shd w:val="clear" w:color="auto" w:fill="auto"/>
            <w:vAlign w:val="center"/>
          </w:tcPr>
          <w:p>
            <w:pPr>
              <w:pStyle w:val="70"/>
              <w:rPr>
                <w:rFonts w:hAnsi="宋体" w:cs="宋体"/>
                <w:color w:val="000000"/>
              </w:rPr>
            </w:pPr>
            <w:r>
              <w:rPr>
                <w:rFonts w:hint="eastAsia" w:hAnsi="宋体" w:cs="宋体"/>
                <w:color w:val="000000"/>
              </w:rPr>
              <w:t>1</w:t>
            </w:r>
            <w:r>
              <w:rPr>
                <w:rFonts w:hAnsi="宋体" w:cs="宋体"/>
                <w:color w:val="000000"/>
              </w:rPr>
              <w:t>、</w:t>
            </w:r>
            <w:r>
              <w:rPr>
                <w:rFonts w:hint="eastAsia" w:hAnsi="宋体" w:cs="宋体"/>
                <w:color w:val="000000"/>
              </w:rPr>
              <w:t>推进天然林保护和围栏封育，以草定畜，严格控制载畜量，治理土壤侵蚀，维护与重建湿地、森林、草原等生态系统，严格保护具有水源涵养功能的植被。</w:t>
            </w:r>
          </w:p>
          <w:p>
            <w:pPr>
              <w:pStyle w:val="70"/>
              <w:rPr>
                <w:rFonts w:hAnsi="Calibri" w:eastAsia="Times New Roman"/>
                <w:color w:val="000000"/>
              </w:rPr>
            </w:pPr>
            <w:r>
              <w:rPr>
                <w:rFonts w:hAnsi="宋体" w:cs="宋体"/>
                <w:color w:val="000000"/>
              </w:rPr>
              <w:t>2、</w:t>
            </w:r>
            <w:r>
              <w:rPr>
                <w:rFonts w:hint="eastAsia" w:hAnsi="宋体" w:cs="宋体"/>
                <w:color w:val="000000"/>
              </w:rPr>
              <w:t>水环境功能区划目标水质为</w:t>
            </w:r>
            <w:r>
              <w:rPr>
                <w:rFonts w:hint="eastAsia" w:hAnsi="Calibri" w:eastAsia="Times New Roman"/>
                <w:color w:val="000000"/>
              </w:rPr>
              <w:t>I</w:t>
            </w:r>
            <w:r>
              <w:rPr>
                <w:rFonts w:hint="eastAsia" w:hAnsi="宋体" w:cs="宋体"/>
                <w:color w:val="000000"/>
              </w:rPr>
              <w:t>、</w:t>
            </w:r>
            <w:r>
              <w:rPr>
                <w:rFonts w:hint="eastAsia" w:hAnsi="Calibri" w:eastAsia="Times New Roman"/>
                <w:color w:val="000000"/>
              </w:rPr>
              <w:t>Ⅱ</w:t>
            </w:r>
            <w:r>
              <w:rPr>
                <w:rFonts w:hint="eastAsia" w:hAnsi="宋体" w:cs="宋体"/>
                <w:color w:val="000000"/>
              </w:rPr>
              <w:t>类水体岸边</w:t>
            </w:r>
            <w:r>
              <w:rPr>
                <w:rFonts w:hint="eastAsia" w:hAnsi="Calibri" w:eastAsia="Times New Roman"/>
                <w:color w:val="000000"/>
              </w:rPr>
              <w:t>1</w:t>
            </w:r>
            <w:r>
              <w:rPr>
                <w:rFonts w:hint="eastAsia" w:hAnsi="宋体" w:cs="宋体"/>
                <w:color w:val="000000"/>
              </w:rPr>
              <w:t>公里范围内（有山体等自然阻隔地形，具备阻隔条件，确保不会对水体产生影响的除外），禁止新（改、扩）建</w:t>
            </w:r>
            <w:r>
              <w:rPr>
                <w:rFonts w:ascii="Times New Roman" w:eastAsia="Times New Roman"/>
                <w:color w:val="000000"/>
              </w:rPr>
              <w:t>“</w:t>
            </w:r>
            <w:r>
              <w:rPr>
                <w:rFonts w:hint="eastAsia" w:hAnsi="宋体" w:cs="宋体"/>
                <w:color w:val="000000"/>
              </w:rPr>
              <w:t>高污染、高风险</w:t>
            </w:r>
            <w:r>
              <w:rPr>
                <w:rFonts w:ascii="Times New Roman" w:eastAsia="Times New Roman"/>
                <w:color w:val="000000"/>
              </w:rPr>
              <w:t>”</w:t>
            </w:r>
            <w:r>
              <w:rPr>
                <w:rFonts w:hint="eastAsia" w:hAnsi="宋体" w:cs="宋体"/>
                <w:color w:val="000000"/>
              </w:rPr>
              <w:t>的重化工、非金属矿采选、涉重金属等工业污染项目；现有</w:t>
            </w:r>
            <w:r>
              <w:rPr>
                <w:rFonts w:ascii="Times New Roman" w:eastAsia="Times New Roman"/>
                <w:color w:val="000000"/>
              </w:rPr>
              <w:t>“</w:t>
            </w:r>
            <w:r>
              <w:rPr>
                <w:rFonts w:hint="eastAsia" w:hAnsi="宋体" w:cs="宋体"/>
                <w:color w:val="000000"/>
              </w:rPr>
              <w:t>高污染、高风险</w:t>
            </w:r>
            <w:r>
              <w:rPr>
                <w:rFonts w:ascii="Times New Roman" w:eastAsia="Times New Roman"/>
                <w:color w:val="000000"/>
              </w:rPr>
              <w:t>”</w:t>
            </w:r>
            <w:r>
              <w:rPr>
                <w:rFonts w:hint="eastAsia" w:hAnsi="宋体" w:cs="宋体"/>
                <w:color w:val="000000"/>
              </w:rPr>
              <w:t>工业项目要强化治理、削减污染物排放量，严格控制水环境污染，消除环境风险隐患，对存在严重环境问题的依法关停整改或取缔。</w:t>
            </w:r>
          </w:p>
        </w:tc>
        <w:tc>
          <w:tcPr>
            <w:tcW w:w="3799" w:type="dxa"/>
            <w:shd w:val="clear" w:color="auto" w:fill="auto"/>
            <w:vAlign w:val="center"/>
          </w:tcPr>
          <w:p>
            <w:pPr>
              <w:pStyle w:val="70"/>
              <w:rPr>
                <w:rFonts w:hAnsi="Calibri"/>
                <w:color w:val="000000"/>
              </w:rPr>
            </w:pPr>
            <w:r>
              <w:rPr>
                <w:rFonts w:hint="eastAsia" w:hAnsi="Calibri"/>
                <w:color w:val="000000"/>
              </w:rPr>
              <w:t>本项目属于陆地矿产资源地质勘查，占地范围内不涉及天然林，本项目不属于</w:t>
            </w:r>
            <w:r>
              <w:rPr>
                <w:rFonts w:ascii="Times New Roman" w:eastAsia="Times New Roman"/>
                <w:color w:val="000000"/>
              </w:rPr>
              <w:t>“</w:t>
            </w:r>
            <w:r>
              <w:rPr>
                <w:rFonts w:hint="eastAsia" w:hAnsi="宋体" w:cs="宋体"/>
                <w:color w:val="000000"/>
              </w:rPr>
              <w:t>高污染、高风险</w:t>
            </w:r>
            <w:r>
              <w:rPr>
                <w:rFonts w:ascii="Times New Roman" w:eastAsia="Times New Roman"/>
                <w:color w:val="000000"/>
              </w:rPr>
              <w:t>”</w:t>
            </w:r>
            <w:r>
              <w:rPr>
                <w:rFonts w:hint="eastAsia" w:hAnsi="宋体" w:cs="宋体"/>
                <w:color w:val="000000"/>
              </w:rPr>
              <w:t>的重化工、非金属矿采选、涉重金属等工业污染项目，在完成取芯等任务后，实施封井，不涉及运营期，对周边环境影响较小</w:t>
            </w:r>
          </w:p>
        </w:tc>
        <w:tc>
          <w:tcPr>
            <w:tcW w:w="426" w:type="dxa"/>
            <w:shd w:val="clear" w:color="auto" w:fill="auto"/>
            <w:vAlign w:val="center"/>
          </w:tcPr>
          <w:p>
            <w:pPr>
              <w:pStyle w:val="70"/>
              <w:rPr>
                <w:rFonts w:hAnsi="Calibri"/>
                <w:color w:val="000000"/>
              </w:rPr>
            </w:pPr>
            <w:r>
              <w:rPr>
                <w:rFonts w:hint="eastAsia" w:hAnsi="Calibri"/>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96" w:type="dxa"/>
            <w:vMerge w:val="restart"/>
            <w:shd w:val="clear" w:color="auto" w:fill="auto"/>
            <w:vAlign w:val="center"/>
          </w:tcPr>
          <w:p>
            <w:pPr>
              <w:pStyle w:val="70"/>
              <w:rPr>
                <w:rFonts w:hAnsi="Calibri" w:eastAsia="Times New Roman"/>
                <w:color w:val="000000"/>
              </w:rPr>
            </w:pPr>
            <w:bookmarkStart w:id="50" w:name="_Toc69742115"/>
            <w:bookmarkStart w:id="51" w:name="_Toc65173551"/>
            <w:r>
              <w:rPr>
                <w:rFonts w:hint="eastAsia" w:hAnsi="Calibri"/>
                <w:color w:val="000000"/>
              </w:rPr>
              <w:t>阜康市环境管控单元生态环境准入清单（重点管控单元）</w:t>
            </w:r>
            <w:bookmarkEnd w:id="50"/>
            <w:bookmarkEnd w:id="51"/>
            <w:r>
              <w:rPr>
                <w:rFonts w:hint="eastAsia" w:hAnsi="Calibri"/>
                <w:color w:val="000000"/>
              </w:rPr>
              <w:t>阜康油页岩开采区</w:t>
            </w:r>
          </w:p>
        </w:tc>
        <w:tc>
          <w:tcPr>
            <w:tcW w:w="535" w:type="dxa"/>
            <w:shd w:val="clear" w:color="auto" w:fill="auto"/>
            <w:vAlign w:val="center"/>
          </w:tcPr>
          <w:p>
            <w:pPr>
              <w:pStyle w:val="70"/>
              <w:rPr>
                <w:rFonts w:hAnsi="Calibri" w:eastAsia="Times New Roman"/>
                <w:color w:val="000000"/>
                <w:lang w:val="zh-CN"/>
              </w:rPr>
            </w:pPr>
            <w:r>
              <w:rPr>
                <w:rFonts w:hint="eastAsia" w:hAnsi="Calibri"/>
                <w:color w:val="000000"/>
                <w:lang w:val="zh-CN"/>
              </w:rPr>
              <w:t>空间布局约束</w:t>
            </w:r>
          </w:p>
        </w:tc>
        <w:tc>
          <w:tcPr>
            <w:tcW w:w="1342" w:type="dxa"/>
            <w:shd w:val="clear" w:color="auto" w:fill="auto"/>
            <w:vAlign w:val="center"/>
          </w:tcPr>
          <w:p>
            <w:pPr>
              <w:pStyle w:val="70"/>
              <w:rPr>
                <w:rFonts w:hAnsi="Calibri" w:eastAsia="Times New Roman"/>
                <w:color w:val="000000"/>
                <w:lang w:val="zh-CN"/>
              </w:rPr>
            </w:pPr>
            <w:r>
              <w:rPr>
                <w:rFonts w:hint="eastAsia" w:hAnsi="Calibri"/>
                <w:color w:val="000000"/>
                <w:lang w:val="zh-CN"/>
              </w:rPr>
              <w:t>执行自治区、乌昌石片区总体准入要求中关于重点管控单元空间布局约束的准入要求</w:t>
            </w:r>
          </w:p>
        </w:tc>
        <w:tc>
          <w:tcPr>
            <w:tcW w:w="6550" w:type="dxa"/>
            <w:shd w:val="clear" w:color="auto" w:fill="auto"/>
            <w:vAlign w:val="center"/>
          </w:tcPr>
          <w:p>
            <w:pPr>
              <w:pStyle w:val="70"/>
              <w:rPr>
                <w:rFonts w:hAnsi="Calibri"/>
                <w:color w:val="000000"/>
              </w:rPr>
            </w:pPr>
            <w:r>
              <w:rPr>
                <w:rFonts w:hint="eastAsia" w:hAnsi="Calibri"/>
                <w:color w:val="000000"/>
              </w:rPr>
              <w:t>1、根据产业集聚区块的功能定位，建立分区差别化的产业准入条件。严格控制重要水系源头地区和重要生态功能区“高污染、高环境风险产品”工业项目准入。优化完善区域产业布局，合理规划布局“高污染、高环境风险产品”工业项目，鼓励对“高污染、高环境风险产品”工业项目进行淘汰和提升改造。合理规划居住区与工业功能区，在居住区和工业区、工业企业之间设置防护绿化隔离带。</w:t>
            </w:r>
          </w:p>
          <w:p>
            <w:pPr>
              <w:pStyle w:val="70"/>
              <w:rPr>
                <w:rFonts w:hAnsi="Calibri"/>
                <w:color w:val="000000"/>
              </w:rPr>
            </w:pPr>
            <w:r>
              <w:rPr>
                <w:rFonts w:hint="eastAsia" w:hAnsi="Calibri"/>
                <w:color w:val="000000"/>
              </w:rPr>
              <w:t>2、大气环境重点管控区内：禁止引进国家和自治区明令禁止或淘汰的产业及工艺、园区规划的项目；引进符合国家产业政策和清洁生产要求的、采用先进生产工艺和设备的、自动化程度高的、具有可靠先进的污染治理技术的生产项目。</w:t>
            </w:r>
          </w:p>
          <w:p>
            <w:pPr>
              <w:pStyle w:val="70"/>
              <w:rPr>
                <w:rFonts w:hAnsi="Calibri"/>
                <w:color w:val="000000"/>
              </w:rPr>
            </w:pPr>
            <w:r>
              <w:rPr>
                <w:rFonts w:hint="eastAsia" w:hAnsi="Calibri"/>
                <w:color w:val="000000"/>
              </w:rPr>
              <w:t>3、水环境重点管控区内：制定产业准入对污染排放不达标的企业限期整改，确保水污染物达标排放；加快推进生态园区建设和循环化改造，完善污水集中处理设施及再生水回用系统，加强配套管网建设，并确保稳定运行，工业废水必须经预处理达到集中处理要求后，方可进入污水集中处理设施，不断提高污水集中处理中水回用率。加强城镇配套管网建设，提高城镇生活污水出水排放标准，推进城镇生活污水深度治理，提高污水厂脱氮除磷效率。对农业污染重点管控区，推进畜禽养殖禁养区、限养区的划定，限期依法关闭或搬迁禁养区内的畜禽养殖场，对现有规模化畜禽养殖配套建设粪便污水贮存、处理、利用设施，鼓励设施农业循环发展模式，推进养殖废弃物资源化利用。控制化肥农药使用量，推进农膜回收及加工再利用，农药化肥等包装废弃物的安全收集处置设施建设，降低农业污染负荷。</w:t>
            </w:r>
          </w:p>
          <w:p>
            <w:pPr>
              <w:pStyle w:val="70"/>
              <w:rPr>
                <w:rFonts w:hAnsi="Calibri" w:eastAsia="Times New Roman"/>
                <w:color w:val="000000"/>
              </w:rPr>
            </w:pPr>
            <w:r>
              <w:rPr>
                <w:rFonts w:hint="eastAsia" w:hAnsi="Calibri"/>
                <w:color w:val="000000"/>
              </w:rPr>
              <w:t>4、土壤环境重点管控区内：引入新建产业或企业时，应结合产业发展规划，充分考虑企业类型、污染物排放特征以及外环境情况等因素，避免企业形成交叉污染；涉重金属、持久性有机物等有毒有害污染物工业企业退出用地，须经评估、治理，满足后续相应用地土壤环境质量要求。</w:t>
            </w:r>
          </w:p>
        </w:tc>
        <w:tc>
          <w:tcPr>
            <w:tcW w:w="3799" w:type="dxa"/>
            <w:shd w:val="clear" w:color="auto" w:fill="auto"/>
            <w:vAlign w:val="center"/>
          </w:tcPr>
          <w:p>
            <w:pPr>
              <w:pStyle w:val="70"/>
              <w:rPr>
                <w:rFonts w:hAnsi="Calibri" w:eastAsia="Times New Roman"/>
                <w:color w:val="000000"/>
              </w:rPr>
            </w:pPr>
            <w:r>
              <w:rPr>
                <w:rFonts w:hint="eastAsia" w:hAnsi="Calibri"/>
                <w:color w:val="000000"/>
              </w:rPr>
              <w:t>本项目不属于“高污染、高环境风险产品”工业项目，本项目不涉及运营期，不涉及油气开采，施工期后即进行封井，施工期产生的各项污染物均能合理合规处置，对周边环境影响较小</w:t>
            </w:r>
          </w:p>
        </w:tc>
        <w:tc>
          <w:tcPr>
            <w:tcW w:w="426" w:type="dxa"/>
            <w:shd w:val="clear" w:color="auto" w:fill="auto"/>
            <w:vAlign w:val="center"/>
          </w:tcPr>
          <w:p>
            <w:pPr>
              <w:pStyle w:val="70"/>
              <w:rPr>
                <w:rFonts w:hAnsi="Calibri" w:eastAsia="Times New Roman"/>
                <w:color w:val="000000"/>
              </w:rPr>
            </w:pPr>
            <w:r>
              <w:rPr>
                <w:rFonts w:hint="eastAsia" w:hAnsi="Calibri"/>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96" w:type="dxa"/>
            <w:vMerge w:val="continue"/>
            <w:shd w:val="clear" w:color="auto" w:fill="auto"/>
            <w:vAlign w:val="center"/>
          </w:tcPr>
          <w:p>
            <w:pPr>
              <w:pStyle w:val="70"/>
              <w:rPr>
                <w:rFonts w:hAnsi="Calibri"/>
                <w:color w:val="000000"/>
              </w:rPr>
            </w:pPr>
          </w:p>
        </w:tc>
        <w:tc>
          <w:tcPr>
            <w:tcW w:w="535" w:type="dxa"/>
            <w:shd w:val="clear" w:color="auto" w:fill="auto"/>
            <w:vAlign w:val="center"/>
          </w:tcPr>
          <w:p>
            <w:pPr>
              <w:pStyle w:val="70"/>
              <w:rPr>
                <w:rFonts w:hAnsi="Calibri" w:eastAsia="Times New Roman"/>
                <w:color w:val="000000"/>
                <w:lang w:val="zh-CN"/>
              </w:rPr>
            </w:pPr>
            <w:r>
              <w:rPr>
                <w:rFonts w:hint="eastAsia" w:hAnsi="Calibri"/>
                <w:color w:val="000000"/>
                <w:lang w:val="zh-CN"/>
              </w:rPr>
              <w:t>污染物排放管控</w:t>
            </w:r>
          </w:p>
        </w:tc>
        <w:tc>
          <w:tcPr>
            <w:tcW w:w="1342" w:type="dxa"/>
            <w:shd w:val="clear" w:color="auto" w:fill="auto"/>
            <w:vAlign w:val="center"/>
          </w:tcPr>
          <w:p>
            <w:pPr>
              <w:pStyle w:val="70"/>
              <w:rPr>
                <w:rFonts w:hAnsi="Calibri" w:eastAsia="Times New Roman"/>
                <w:color w:val="000000"/>
                <w:lang w:val="zh-CN"/>
              </w:rPr>
            </w:pPr>
            <w:r>
              <w:rPr>
                <w:rFonts w:hint="eastAsia" w:hAnsi="Calibri"/>
                <w:color w:val="000000"/>
                <w:lang w:val="zh-CN"/>
              </w:rPr>
              <w:t>执行自治区、乌昌石片区总体准入要求中关于重点管控单元污染物排放管控的准入要求以及阜康油页岩开采区准入要求</w:t>
            </w:r>
          </w:p>
        </w:tc>
        <w:tc>
          <w:tcPr>
            <w:tcW w:w="6550" w:type="dxa"/>
            <w:shd w:val="clear" w:color="auto" w:fill="auto"/>
            <w:vAlign w:val="center"/>
          </w:tcPr>
          <w:p>
            <w:pPr>
              <w:pStyle w:val="70"/>
              <w:rPr>
                <w:rFonts w:hAnsi="Calibri"/>
                <w:color w:val="000000"/>
              </w:rPr>
            </w:pPr>
            <w:r>
              <w:rPr>
                <w:rFonts w:hint="eastAsia" w:hAnsi="Calibri"/>
                <w:color w:val="000000"/>
              </w:rPr>
              <w:t>1、严格实施污染物总量控制制度，根据区域环境质量改善目标，削减污染物排放总量。新建工业项目污染物排放水平要达到同行业国内先进水平。加快落实污水处理厂建设及提升改造，推进工业园区（工业企业）污水处理综合利用设施建设，所有企业实现稳定达标排放。加强土壤和地下水污染防治与修复。</w:t>
            </w:r>
          </w:p>
          <w:p>
            <w:pPr>
              <w:pStyle w:val="70"/>
              <w:rPr>
                <w:rFonts w:hAnsi="Calibri" w:eastAsia="Times New Roman"/>
                <w:color w:val="000000"/>
              </w:rPr>
            </w:pPr>
            <w:r>
              <w:rPr>
                <w:rFonts w:hint="eastAsia" w:hAnsi="Calibri" w:eastAsia="Times New Roman"/>
                <w:color w:val="000000"/>
              </w:rPr>
              <w:t>2</w:t>
            </w:r>
            <w:r>
              <w:rPr>
                <w:rFonts w:hint="eastAsia" w:hAnsi="宋体" w:cs="宋体"/>
                <w:color w:val="000000"/>
              </w:rPr>
              <w:t>、在矿产资源开发利用过程中，坚持</w:t>
            </w:r>
            <w:r>
              <w:rPr>
                <w:rFonts w:ascii="Times New Roman" w:eastAsia="Times New Roman"/>
                <w:color w:val="000000"/>
              </w:rPr>
              <w:t>“</w:t>
            </w:r>
            <w:r>
              <w:rPr>
                <w:rFonts w:hint="eastAsia" w:hAnsi="宋体" w:cs="宋体"/>
                <w:color w:val="000000"/>
              </w:rPr>
              <w:t>矿产资源开发与矿山生态环境保护并重</w:t>
            </w:r>
            <w:r>
              <w:rPr>
                <w:rFonts w:ascii="Times New Roman" w:eastAsia="Times New Roman"/>
                <w:color w:val="000000"/>
              </w:rPr>
              <w:t>”</w:t>
            </w:r>
            <w:r>
              <w:rPr>
                <w:rFonts w:hint="eastAsia" w:hAnsi="宋体" w:cs="宋体"/>
                <w:color w:val="000000"/>
              </w:rPr>
              <w:t>的原则，坚持</w:t>
            </w:r>
            <w:r>
              <w:rPr>
                <w:rFonts w:ascii="Times New Roman" w:eastAsia="Times New Roman"/>
                <w:color w:val="000000"/>
              </w:rPr>
              <w:t>“</w:t>
            </w:r>
            <w:r>
              <w:rPr>
                <w:rFonts w:hint="eastAsia" w:hAnsi="宋体" w:cs="宋体"/>
                <w:color w:val="000000"/>
              </w:rPr>
              <w:t>预防为主、防治结合</w:t>
            </w:r>
            <w:r>
              <w:rPr>
                <w:rFonts w:ascii="Times New Roman" w:eastAsia="Times New Roman"/>
                <w:color w:val="000000"/>
              </w:rPr>
              <w:t>”</w:t>
            </w:r>
            <w:r>
              <w:rPr>
                <w:rFonts w:hint="eastAsia" w:hAnsi="宋体" w:cs="宋体"/>
                <w:color w:val="000000"/>
              </w:rPr>
              <w:t>的原则，坚持</w:t>
            </w:r>
            <w:r>
              <w:rPr>
                <w:rFonts w:ascii="Times New Roman" w:eastAsia="Times New Roman"/>
                <w:color w:val="000000"/>
              </w:rPr>
              <w:t>“</w:t>
            </w:r>
            <w:r>
              <w:rPr>
                <w:rFonts w:hint="eastAsia" w:hAnsi="宋体" w:cs="宋体"/>
                <w:color w:val="000000"/>
              </w:rPr>
              <w:t>谁开发，谁保护；谁破坏谁恢复；谁投资谁受益</w:t>
            </w:r>
            <w:r>
              <w:rPr>
                <w:rFonts w:ascii="Times New Roman" w:eastAsia="Times New Roman"/>
                <w:color w:val="000000"/>
              </w:rPr>
              <w:t>”</w:t>
            </w:r>
            <w:r>
              <w:rPr>
                <w:rFonts w:hint="eastAsia" w:hAnsi="宋体" w:cs="宋体"/>
                <w:color w:val="000000"/>
              </w:rPr>
              <w:t>，不断改善和提高矿山生态环境质量，实现矿业开发和生态环境保护的协调发展。</w:t>
            </w:r>
          </w:p>
          <w:p>
            <w:pPr>
              <w:pStyle w:val="70"/>
              <w:rPr>
                <w:rFonts w:hAnsi="Calibri" w:eastAsia="Times New Roman"/>
                <w:color w:val="000000"/>
              </w:rPr>
            </w:pPr>
            <w:r>
              <w:rPr>
                <w:rFonts w:hint="eastAsia" w:hAnsi="宋体" w:cs="宋体"/>
                <w:color w:val="000000"/>
              </w:rPr>
              <w:t>3、加强环境管理，使建设项目运行各种污染物排放达到国家相应标准或无害化处理；采取先进的污染物处理工艺和处理设施，提高项目污染物处理率；妥善处理施工期产生的各种废物、生活垃圾等、不得随意弃置，以免遇强降雨引起严重的水土污染。</w:t>
            </w:r>
          </w:p>
        </w:tc>
        <w:tc>
          <w:tcPr>
            <w:tcW w:w="3799" w:type="dxa"/>
            <w:shd w:val="clear" w:color="auto" w:fill="auto"/>
            <w:vAlign w:val="center"/>
          </w:tcPr>
          <w:p>
            <w:pPr>
              <w:pStyle w:val="70"/>
              <w:rPr>
                <w:rFonts w:hAnsi="Calibri" w:eastAsia="Times New Roman"/>
                <w:color w:val="000000"/>
              </w:rPr>
            </w:pPr>
            <w:r>
              <w:rPr>
                <w:rFonts w:hint="eastAsia" w:hAnsi="Calibri"/>
                <w:color w:val="000000"/>
              </w:rPr>
              <w:t>本项目不涉及总量控制指标，加强环境管理，施工期产生的各类污染物均能够合理合规处置</w:t>
            </w:r>
          </w:p>
        </w:tc>
        <w:tc>
          <w:tcPr>
            <w:tcW w:w="426" w:type="dxa"/>
            <w:shd w:val="clear" w:color="auto" w:fill="auto"/>
            <w:vAlign w:val="center"/>
          </w:tcPr>
          <w:p>
            <w:pPr>
              <w:pStyle w:val="70"/>
              <w:rPr>
                <w:rFonts w:hAnsi="Calibri" w:eastAsia="Times New Roman"/>
                <w:color w:val="000000"/>
              </w:rPr>
            </w:pPr>
            <w:r>
              <w:rPr>
                <w:rFonts w:hint="eastAsia" w:hAnsi="Calibri"/>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96" w:type="dxa"/>
            <w:vMerge w:val="continue"/>
            <w:shd w:val="clear" w:color="auto" w:fill="auto"/>
            <w:vAlign w:val="center"/>
          </w:tcPr>
          <w:p>
            <w:pPr>
              <w:pStyle w:val="70"/>
              <w:rPr>
                <w:rFonts w:hAnsi="Calibri"/>
                <w:color w:val="000000"/>
              </w:rPr>
            </w:pPr>
          </w:p>
        </w:tc>
        <w:tc>
          <w:tcPr>
            <w:tcW w:w="535" w:type="dxa"/>
            <w:shd w:val="clear" w:color="auto" w:fill="auto"/>
            <w:vAlign w:val="center"/>
          </w:tcPr>
          <w:p>
            <w:pPr>
              <w:pStyle w:val="70"/>
              <w:rPr>
                <w:rFonts w:hAnsi="Calibri" w:eastAsia="Times New Roman"/>
                <w:color w:val="000000"/>
                <w:lang w:val="zh-CN"/>
              </w:rPr>
            </w:pPr>
            <w:r>
              <w:rPr>
                <w:rFonts w:hint="eastAsia" w:hAnsi="Calibri"/>
                <w:color w:val="000000"/>
                <w:lang w:val="zh-CN"/>
              </w:rPr>
              <w:t>环境风险防控</w:t>
            </w:r>
          </w:p>
        </w:tc>
        <w:tc>
          <w:tcPr>
            <w:tcW w:w="1342" w:type="dxa"/>
            <w:shd w:val="clear" w:color="auto" w:fill="auto"/>
            <w:vAlign w:val="center"/>
          </w:tcPr>
          <w:p>
            <w:pPr>
              <w:pStyle w:val="70"/>
              <w:rPr>
                <w:rFonts w:hAnsi="Calibri" w:eastAsia="Times New Roman"/>
                <w:color w:val="000000"/>
                <w:lang w:val="zh-CN"/>
              </w:rPr>
            </w:pPr>
            <w:r>
              <w:rPr>
                <w:rFonts w:hint="eastAsia" w:hAnsi="Calibri"/>
                <w:color w:val="000000"/>
                <w:lang w:val="zh-CN"/>
              </w:rPr>
              <w:t>执行自治区、乌昌石片区总体准入要求中关于重点管控单元环境风险防控的准入要求以及阜康油页岩开采区准入要求</w:t>
            </w:r>
          </w:p>
        </w:tc>
        <w:tc>
          <w:tcPr>
            <w:tcW w:w="6550" w:type="dxa"/>
            <w:shd w:val="clear" w:color="auto" w:fill="auto"/>
            <w:vAlign w:val="center"/>
          </w:tcPr>
          <w:p>
            <w:pPr>
              <w:pStyle w:val="70"/>
              <w:rPr>
                <w:rFonts w:hAnsi="Calibri"/>
                <w:color w:val="000000"/>
              </w:rPr>
            </w:pPr>
            <w:r>
              <w:rPr>
                <w:rFonts w:hint="eastAsia" w:hAnsi="Calibri"/>
                <w:color w:val="000000"/>
              </w:rPr>
              <w:t>1、定期评估邻近环境敏感区的工业企业、工业集聚区环境和健康风险。强化工业集聚区企业环境风险防范设施设备建设和正常运行监管，加强重点环境风险管控企业应急预案制定，建立常态化的企业隐患排查整治监管机制，加强风险防控体系建设。</w:t>
            </w:r>
          </w:p>
          <w:p>
            <w:pPr>
              <w:pStyle w:val="70"/>
              <w:rPr>
                <w:rFonts w:hAnsi="Calibri" w:eastAsia="Times New Roman"/>
                <w:color w:val="000000"/>
              </w:rPr>
            </w:pPr>
            <w:r>
              <w:rPr>
                <w:rFonts w:hint="eastAsia" w:hAnsi="Calibri" w:eastAsia="Times New Roman"/>
                <w:color w:val="000000"/>
              </w:rPr>
              <w:t>2</w:t>
            </w:r>
            <w:r>
              <w:rPr>
                <w:rFonts w:hint="eastAsia" w:hAnsi="宋体" w:cs="宋体"/>
                <w:color w:val="000000"/>
              </w:rPr>
              <w:t>、现有矿山企业必须依法履行地质环境保护与矿山环境恢复治理、土地复垦等义务。建立矿山地质环境、土地资源破坏监测、报告和监管制度，加强对采矿权人履行矿山地质环境治理义务情况的监督检查，对违反法律、法规和有关政策规定造成生态环境破坏和环境污染的，要依法查处，限期整改达标，并按照国家规定予以补偿，逾期不达标的，实行限产或关闭。因采矿活动引发地质灾害的，治理经费由责任单位解决。</w:t>
            </w:r>
          </w:p>
          <w:p>
            <w:pPr>
              <w:pStyle w:val="70"/>
              <w:rPr>
                <w:rFonts w:hAnsi="Calibri" w:eastAsia="Times New Roman"/>
                <w:color w:val="000000"/>
              </w:rPr>
            </w:pPr>
            <w:r>
              <w:rPr>
                <w:rFonts w:hint="eastAsia" w:hAnsi="Calibri" w:eastAsia="Times New Roman"/>
                <w:color w:val="000000"/>
              </w:rPr>
              <w:t>3</w:t>
            </w:r>
            <w:r>
              <w:rPr>
                <w:rFonts w:hint="eastAsia" w:hAnsi="宋体" w:cs="宋体"/>
                <w:color w:val="000000"/>
              </w:rPr>
              <w:t>、建成州、县（市）、矿山三级矿山地质环境保护与恢复治理动态监测体系，制定完善的监测制度，以高新技术为支撑，构建面向地质矿产管理的矿政管理信息系统和数据库。</w:t>
            </w:r>
          </w:p>
        </w:tc>
        <w:tc>
          <w:tcPr>
            <w:tcW w:w="3799" w:type="dxa"/>
            <w:shd w:val="clear" w:color="auto" w:fill="auto"/>
            <w:vAlign w:val="center"/>
          </w:tcPr>
          <w:p>
            <w:pPr>
              <w:pStyle w:val="70"/>
              <w:rPr>
                <w:rFonts w:hAnsi="Calibri" w:eastAsia="Times New Roman"/>
                <w:color w:val="000000"/>
              </w:rPr>
            </w:pPr>
            <w:r>
              <w:rPr>
                <w:rFonts w:hint="eastAsia" w:hAnsi="Calibri"/>
                <w:color w:val="000000"/>
              </w:rPr>
              <w:t>本项目采取保护地表与植被，划定施工活动范围，严格控制和管理车辆及重型机械的行驶范围等措施，防止水土流失</w:t>
            </w:r>
          </w:p>
        </w:tc>
        <w:tc>
          <w:tcPr>
            <w:tcW w:w="426" w:type="dxa"/>
            <w:shd w:val="clear" w:color="auto" w:fill="auto"/>
            <w:vAlign w:val="center"/>
          </w:tcPr>
          <w:p>
            <w:pPr>
              <w:pStyle w:val="70"/>
              <w:rPr>
                <w:rFonts w:hAnsi="Calibri" w:eastAsia="Times New Roman"/>
                <w:color w:val="000000"/>
              </w:rPr>
            </w:pPr>
            <w:r>
              <w:rPr>
                <w:rFonts w:hint="eastAsia" w:hAnsi="Calibri"/>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96" w:type="dxa"/>
            <w:vMerge w:val="continue"/>
            <w:shd w:val="clear" w:color="auto" w:fill="auto"/>
            <w:vAlign w:val="center"/>
          </w:tcPr>
          <w:p>
            <w:pPr>
              <w:pStyle w:val="70"/>
              <w:rPr>
                <w:rFonts w:hAnsi="Calibri"/>
                <w:color w:val="000000"/>
              </w:rPr>
            </w:pPr>
          </w:p>
        </w:tc>
        <w:tc>
          <w:tcPr>
            <w:tcW w:w="535" w:type="dxa"/>
            <w:shd w:val="clear" w:color="auto" w:fill="auto"/>
            <w:vAlign w:val="center"/>
          </w:tcPr>
          <w:p>
            <w:pPr>
              <w:pStyle w:val="70"/>
              <w:rPr>
                <w:rFonts w:hAnsi="Calibri" w:eastAsia="Times New Roman"/>
                <w:color w:val="000000"/>
                <w:lang w:val="zh-CN"/>
              </w:rPr>
            </w:pPr>
            <w:r>
              <w:rPr>
                <w:rFonts w:hint="eastAsia" w:hAnsi="Calibri"/>
                <w:color w:val="000000"/>
                <w:lang w:val="zh-CN"/>
              </w:rPr>
              <w:t>资源利用效率</w:t>
            </w:r>
          </w:p>
        </w:tc>
        <w:tc>
          <w:tcPr>
            <w:tcW w:w="1342" w:type="dxa"/>
            <w:shd w:val="clear" w:color="auto" w:fill="auto"/>
            <w:vAlign w:val="center"/>
          </w:tcPr>
          <w:p>
            <w:pPr>
              <w:pStyle w:val="70"/>
              <w:rPr>
                <w:rFonts w:hAnsi="Calibri" w:eastAsia="Times New Roman"/>
                <w:color w:val="000000"/>
                <w:lang w:val="zh-CN"/>
              </w:rPr>
            </w:pPr>
            <w:r>
              <w:rPr>
                <w:rFonts w:hint="eastAsia" w:hAnsi="Calibri"/>
                <w:color w:val="000000"/>
                <w:lang w:val="zh-CN"/>
              </w:rPr>
              <w:t>执行自治区、乌昌石片区总体准入要求中关于重点管控单元资源利用效率的准入要求以及阜康油页岩开采区准入要求</w:t>
            </w:r>
          </w:p>
        </w:tc>
        <w:tc>
          <w:tcPr>
            <w:tcW w:w="6550" w:type="dxa"/>
            <w:shd w:val="clear" w:color="auto" w:fill="auto"/>
            <w:vAlign w:val="center"/>
          </w:tcPr>
          <w:p>
            <w:pPr>
              <w:pStyle w:val="70"/>
              <w:rPr>
                <w:rFonts w:hAnsi="Calibri"/>
                <w:color w:val="000000"/>
              </w:rPr>
            </w:pPr>
            <w:r>
              <w:rPr>
                <w:rFonts w:hint="eastAsia" w:hAnsi="Calibri"/>
                <w:color w:val="000000"/>
              </w:rPr>
              <w:t>1、推进工业集聚区生态化改造，强化企业清洁生产改造，推进节水型企业、节水型工业园区建设，提高资源能源利用效率。</w:t>
            </w:r>
          </w:p>
          <w:p>
            <w:pPr>
              <w:pStyle w:val="70"/>
              <w:rPr>
                <w:rFonts w:hAnsi="Calibri" w:eastAsia="Times New Roman"/>
                <w:color w:val="000000"/>
              </w:rPr>
            </w:pPr>
            <w:r>
              <w:rPr>
                <w:rFonts w:hint="eastAsia" w:hAnsi="宋体" w:cs="宋体"/>
                <w:color w:val="000000"/>
              </w:rPr>
              <w:t>2、引导和扶持矿山企业开展矿产资源利用技术的研发和创新，提高矿产资源综合利用水平，推动矿业循环经济发展；开展矿产的选矿、开采、新加工和新产品开发技术应用研究，不断提高资源利用效能、效率和效益。</w:t>
            </w:r>
          </w:p>
        </w:tc>
        <w:tc>
          <w:tcPr>
            <w:tcW w:w="3799" w:type="dxa"/>
            <w:shd w:val="clear" w:color="auto" w:fill="auto"/>
            <w:vAlign w:val="center"/>
          </w:tcPr>
          <w:p>
            <w:pPr>
              <w:pStyle w:val="70"/>
              <w:rPr>
                <w:rFonts w:hAnsi="Calibri" w:eastAsia="Times New Roman"/>
                <w:color w:val="000000"/>
              </w:rPr>
            </w:pPr>
            <w:r>
              <w:rPr>
                <w:rFonts w:hint="eastAsia" w:hAnsi="Calibri"/>
                <w:color w:val="000000"/>
              </w:rPr>
              <w:t>本项目</w:t>
            </w:r>
            <w:r>
              <w:rPr>
                <w:rFonts w:hint="eastAsia" w:hAnsi="Calibri"/>
                <w:snapToGrid w:val="0"/>
                <w:color w:val="000000"/>
              </w:rPr>
              <w:t>用水由车辆拉运，不开采地下水。</w:t>
            </w:r>
            <w:r>
              <w:rPr>
                <w:rFonts w:hint="eastAsia" w:hAnsi="Calibri"/>
                <w:color w:val="000000"/>
              </w:rPr>
              <w:t>本项目产生的钻井废水全部输送至</w:t>
            </w:r>
            <w:r>
              <w:rPr>
                <w:rFonts w:ascii="Times New Roman" w:eastAsia="Times New Roman"/>
                <w:color w:val="000000"/>
              </w:rPr>
              <w:t>“</w:t>
            </w:r>
            <w:r>
              <w:rPr>
                <w:rFonts w:hint="eastAsia" w:hAnsi="Calibri"/>
                <w:color w:val="000000"/>
              </w:rPr>
              <w:t>泥浆不落地</w:t>
            </w:r>
            <w:r>
              <w:rPr>
                <w:rFonts w:ascii="Times New Roman" w:eastAsia="Times New Roman"/>
                <w:color w:val="000000"/>
              </w:rPr>
              <w:t>”</w:t>
            </w:r>
            <w:r>
              <w:rPr>
                <w:rFonts w:hint="eastAsia" w:hAnsi="Calibri"/>
                <w:color w:val="000000"/>
              </w:rPr>
              <w:t>泥浆槽中循环利用，以达到节约用水的目的</w:t>
            </w:r>
          </w:p>
        </w:tc>
        <w:tc>
          <w:tcPr>
            <w:tcW w:w="426" w:type="dxa"/>
            <w:shd w:val="clear" w:color="auto" w:fill="auto"/>
            <w:vAlign w:val="center"/>
          </w:tcPr>
          <w:p>
            <w:pPr>
              <w:pStyle w:val="70"/>
              <w:rPr>
                <w:rFonts w:hAnsi="Calibri" w:eastAsia="Times New Roman"/>
                <w:color w:val="000000"/>
              </w:rPr>
            </w:pPr>
            <w:r>
              <w:rPr>
                <w:rFonts w:hint="eastAsia" w:hAnsi="Calibri"/>
                <w:color w:val="000000"/>
              </w:rPr>
              <w:t>符合</w:t>
            </w:r>
          </w:p>
        </w:tc>
      </w:tr>
    </w:tbl>
    <w:p>
      <w:pPr>
        <w:rPr>
          <w:color w:val="000000"/>
        </w:rPr>
        <w:sectPr>
          <w:pgSz w:w="16838" w:h="11906" w:orient="landscape"/>
          <w:pgMar w:top="1800" w:right="1440" w:bottom="1800" w:left="1440" w:header="851" w:footer="1077" w:gutter="0"/>
          <w:cols w:space="425" w:num="1"/>
          <w:docGrid w:linePitch="312" w:charSpace="0"/>
        </w:sectPr>
      </w:pPr>
    </w:p>
    <w:p>
      <w:pPr>
        <w:pStyle w:val="93"/>
        <w:rPr>
          <w:snapToGrid w:val="0"/>
          <w:color w:val="000000"/>
        </w:rPr>
      </w:pPr>
      <w:bookmarkStart w:id="52" w:name="_Toc110934655"/>
      <w:r>
        <w:rPr>
          <w:rFonts w:hint="eastAsia"/>
          <w:snapToGrid w:val="0"/>
          <w:color w:val="000000"/>
        </w:rPr>
        <w:t>地理位置图</w:t>
      </w:r>
      <w:bookmarkEnd w:id="52"/>
    </w:p>
    <w:p>
      <w:pPr>
        <w:pStyle w:val="3"/>
        <w:ind w:firstLine="0" w:firstLineChars="0"/>
        <w:jc w:val="center"/>
        <w:rPr>
          <w:snapToGrid w:val="0"/>
          <w:color w:val="000000"/>
        </w:rPr>
      </w:pPr>
      <w:r>
        <w:rPr>
          <w:rFonts w:cs="宋体"/>
          <w:color w:val="000000"/>
          <w:kern w:val="0"/>
        </w:rPr>
        <mc:AlternateContent>
          <mc:Choice Requires="wps">
            <w:drawing>
              <wp:anchor distT="0" distB="0" distL="114300" distR="114300" simplePos="0" relativeHeight="251660288" behindDoc="0" locked="0" layoutInCell="1" allowOverlap="1">
                <wp:simplePos x="0" y="0"/>
                <wp:positionH relativeFrom="margin">
                  <wp:posOffset>4792980</wp:posOffset>
                </wp:positionH>
                <wp:positionV relativeFrom="paragraph">
                  <wp:posOffset>2253615</wp:posOffset>
                </wp:positionV>
                <wp:extent cx="775970" cy="248920"/>
                <wp:effectExtent l="211455" t="15240" r="12700" b="554990"/>
                <wp:wrapNone/>
                <wp:docPr id="11" name="矩形标注 33"/>
                <wp:cNvGraphicFramePr/>
                <a:graphic xmlns:a="http://schemas.openxmlformats.org/drawingml/2006/main">
                  <a:graphicData uri="http://schemas.microsoft.com/office/word/2010/wordprocessingShape">
                    <wps:wsp>
                      <wps:cNvSpPr>
                        <a:spLocks noChangeArrowheads="1"/>
                      </wps:cNvSpPr>
                      <wps:spPr bwMode="auto">
                        <a:xfrm>
                          <a:off x="0" y="0"/>
                          <a:ext cx="775970" cy="248920"/>
                        </a:xfrm>
                        <a:prstGeom prst="wedgeRectCallout">
                          <a:avLst>
                            <a:gd name="adj1" fmla="val -71111"/>
                            <a:gd name="adj2" fmla="val 251532"/>
                          </a:avLst>
                        </a:prstGeom>
                        <a:noFill/>
                        <a:ln w="12700">
                          <a:solidFill>
                            <a:srgbClr val="000000"/>
                          </a:solidFill>
                          <a:miter lim="800000"/>
                        </a:ln>
                      </wps:spPr>
                      <wps:txbx>
                        <w:txbxContent>
                          <w:p>
                            <w:pPr>
                              <w:jc w:val="center"/>
                              <w:rPr>
                                <w:color w:val="FF0000"/>
                                <w:sz w:val="15"/>
                                <w:szCs w:val="15"/>
                              </w:rPr>
                            </w:pPr>
                            <w:r>
                              <w:rPr>
                                <w:rFonts w:hint="eastAsia"/>
                                <w:color w:val="FF0000"/>
                                <w:sz w:val="15"/>
                                <w:szCs w:val="15"/>
                              </w:rPr>
                              <w:t>本项目所在地</w:t>
                            </w:r>
                          </w:p>
                        </w:txbxContent>
                      </wps:txbx>
                      <wps:bodyPr rot="0" vert="horz" wrap="square" lIns="91440" tIns="45720" rIns="91440" bIns="45720" anchor="ctr" anchorCtr="0" upright="1">
                        <a:noAutofit/>
                      </wps:bodyPr>
                    </wps:wsp>
                  </a:graphicData>
                </a:graphic>
              </wp:anchor>
            </w:drawing>
          </mc:Choice>
          <mc:Fallback>
            <w:pict>
              <v:shape id="矩形标注 33" o:spid="_x0000_s1026" o:spt="61" type="#_x0000_t61" style="position:absolute;left:0pt;margin-left:377.4pt;margin-top:177.45pt;height:19.6pt;width:61.1pt;mso-position-horizontal-relative:margin;z-index:251660288;v-text-anchor:middle;mso-width-relative:page;mso-height-relative:page;" filled="f" stroked="t" coordsize="21600,21600" o:gfxdata="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dyl4A2AAAAAsBAAAPAAAA&#10;AAAAAAEAIAAAACIAAABkcnMvZG93bnJldi54bWxQSwECFAAUAAAACACHTuJA10bXL04CAABsBAAA&#10;DgAAAAAAAAABACAAAAAnAQAAZHJzL2Uyb0RvYy54bWxQSwUGAAAAAAYABgBZAQAA5wUAAAAA&#10;" adj="-4560,65131">
                <v:fill on="f" focussize="0,0"/>
                <v:stroke weight="1pt" color="#000000" miterlimit="8" joinstyle="miter"/>
                <v:imagedata o:title=""/>
                <o:lock v:ext="edit" aspectratio="f"/>
                <v:textbox>
                  <w:txbxContent>
                    <w:p>
                      <w:pPr>
                        <w:jc w:val="center"/>
                        <w:rPr>
                          <w:color w:val="FF0000"/>
                          <w:sz w:val="15"/>
                          <w:szCs w:val="15"/>
                        </w:rPr>
                      </w:pPr>
                      <w:r>
                        <w:rPr>
                          <w:rFonts w:hint="eastAsia"/>
                          <w:color w:val="FF0000"/>
                          <w:sz w:val="15"/>
                          <w:szCs w:val="15"/>
                        </w:rPr>
                        <w:t>本项目所在地</w:t>
                      </w:r>
                    </w:p>
                  </w:txbxContent>
                </v:textbox>
              </v:shape>
            </w:pict>
          </mc:Fallback>
        </mc:AlternateContent>
      </w:r>
      <w:r>
        <w:rPr>
          <w:rFonts w:cs="宋体"/>
          <w:color w:val="000000"/>
          <w:kern w:val="0"/>
        </w:rPr>
        <mc:AlternateContent>
          <mc:Choice Requires="wps">
            <w:drawing>
              <wp:anchor distT="0" distB="0" distL="114300" distR="114300" simplePos="0" relativeHeight="251661312" behindDoc="0" locked="0" layoutInCell="1" allowOverlap="1">
                <wp:simplePos x="0" y="0"/>
                <wp:positionH relativeFrom="column">
                  <wp:posOffset>4471670</wp:posOffset>
                </wp:positionH>
                <wp:positionV relativeFrom="paragraph">
                  <wp:posOffset>2993390</wp:posOffset>
                </wp:positionV>
                <wp:extent cx="210185" cy="153670"/>
                <wp:effectExtent l="13970" t="12065" r="13970" b="5715"/>
                <wp:wrapNone/>
                <wp:docPr id="10" name="Rectangle 13"/>
                <wp:cNvGraphicFramePr/>
                <a:graphic xmlns:a="http://schemas.openxmlformats.org/drawingml/2006/main">
                  <a:graphicData uri="http://schemas.microsoft.com/office/word/2010/wordprocessingShape">
                    <wps:wsp>
                      <wps:cNvSpPr>
                        <a:spLocks noChangeArrowheads="1"/>
                      </wps:cNvSpPr>
                      <wps:spPr bwMode="auto">
                        <a:xfrm>
                          <a:off x="0" y="0"/>
                          <a:ext cx="210185" cy="153670"/>
                        </a:xfrm>
                        <a:prstGeom prst="rect">
                          <a:avLst/>
                        </a:prstGeom>
                        <a:solidFill>
                          <a:srgbClr val="FF0000"/>
                        </a:solidFill>
                        <a:ln w="9525">
                          <a:solidFill>
                            <a:srgbClr val="FF0000"/>
                          </a:solidFill>
                          <a:miter lim="800000"/>
                        </a:ln>
                      </wps:spPr>
                      <wps:bodyPr rot="0" vert="horz" wrap="square" lIns="91440" tIns="45720" rIns="91440" bIns="45720" anchor="t" anchorCtr="0" upright="1">
                        <a:noAutofit/>
                      </wps:bodyPr>
                    </wps:wsp>
                  </a:graphicData>
                </a:graphic>
              </wp:anchor>
            </w:drawing>
          </mc:Choice>
          <mc:Fallback>
            <w:pict>
              <v:rect id="Rectangle 13" o:spid="_x0000_s1026" o:spt="1" style="position:absolute;left:0pt;margin-left:352.1pt;margin-top:235.7pt;height:12.1pt;width:16.55pt;z-index:251661312;mso-width-relative:page;mso-height-relative:page;" fillcolor="#FF0000" filled="t" stroked="t" coordsize="21600,21600" o:gfxdata="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9MfJA3AAAAAsBAAAPAAAAAAAA&#10;AAEAIAAAACIAAABkcnMvZG93bnJldi54bWxQSwECFAAUAAAACACHTuJA0V4CuA4CAAAlBAAADgAA&#10;AAAAAAABACAAAAArAQAAZHJzL2Uyb0RvYy54bWxQSwUGAAAAAAYABgBZAQAAqwUAAAAA&#10;">
                <v:fill on="t" focussize="0,0"/>
                <v:stroke color="#FF0000" miterlimit="8" joinstyle="miter"/>
                <v:imagedata o:title=""/>
                <o:lock v:ext="edit" aspectratio="f"/>
              </v:rect>
            </w:pict>
          </mc:Fallback>
        </mc:AlternateContent>
      </w:r>
      <w:r>
        <w:rPr>
          <w:color w:val="000000"/>
        </w:rPr>
        <w:pict>
          <v:shape id="_x0000_i1025" o:spt="75" type="#_x0000_t75" style="height:389.3pt;width:535pt;" filled="f" o:preferrelative="t" stroked="f" coordsize="21600,21600">
            <v:path/>
            <v:fill on="f" focussize="0,0"/>
            <v:stroke on="f" joinstyle="miter"/>
            <v:imagedata r:id="rId28" o:title=""/>
            <o:lock v:ext="edit" aspectratio="t"/>
            <w10:wrap type="none"/>
            <w10:anchorlock/>
          </v:shape>
        </w:pict>
      </w:r>
    </w:p>
    <w:p>
      <w:pPr>
        <w:pStyle w:val="3"/>
        <w:ind w:firstLine="0" w:firstLineChars="0"/>
        <w:rPr>
          <w:snapToGrid w:val="0"/>
          <w:color w:val="000000"/>
        </w:rPr>
        <w:sectPr>
          <w:pgSz w:w="16838" w:h="11906" w:orient="landscape"/>
          <w:pgMar w:top="1800" w:right="1440" w:bottom="1800" w:left="1440" w:header="851" w:footer="1077" w:gutter="0"/>
          <w:cols w:space="425" w:num="1"/>
          <w:docGrid w:linePitch="312" w:charSpace="0"/>
        </w:sectPr>
      </w:pPr>
    </w:p>
    <w:p>
      <w:pPr>
        <w:pStyle w:val="93"/>
        <w:rPr>
          <w:snapToGrid w:val="0"/>
          <w:color w:val="000000"/>
        </w:rPr>
      </w:pPr>
      <w:bookmarkStart w:id="53" w:name="_Toc110934656"/>
      <w:r>
        <w:rPr>
          <w:rFonts w:hint="eastAsia"/>
          <w:snapToGrid w:val="0"/>
          <w:color w:val="000000"/>
        </w:rPr>
        <w:t>施工总布置图</w:t>
      </w:r>
      <w:bookmarkEnd w:id="53"/>
    </w:p>
    <w:p>
      <w:pPr>
        <w:pStyle w:val="12"/>
        <w:spacing w:before="120"/>
        <w:rPr>
          <w:color w:val="000000"/>
        </w:rPr>
      </w:pPr>
      <w:r>
        <w:rPr>
          <w:color w:val="000000"/>
        </w:rPr>
        <w:drawing>
          <wp:inline distT="0" distB="0" distL="0" distR="0">
            <wp:extent cx="5273675" cy="5284470"/>
            <wp:effectExtent l="0" t="0" r="3175"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273675" cy="5284470"/>
                    </a:xfrm>
                    <a:prstGeom prst="rect">
                      <a:avLst/>
                    </a:prstGeom>
                    <a:noFill/>
                    <a:ln>
                      <a:noFill/>
                    </a:ln>
                  </pic:spPr>
                </pic:pic>
              </a:graphicData>
            </a:graphic>
          </wp:inline>
        </w:drawing>
      </w:r>
    </w:p>
    <w:p>
      <w:pPr>
        <w:rPr>
          <w:color w:val="000000"/>
        </w:rPr>
        <w:sectPr>
          <w:pgSz w:w="11906" w:h="16838"/>
          <w:pgMar w:top="1440" w:right="1800" w:bottom="1440" w:left="1800" w:header="851" w:footer="1077" w:gutter="0"/>
          <w:cols w:space="425" w:num="1"/>
          <w:docGrid w:linePitch="312" w:charSpace="0"/>
        </w:sectPr>
      </w:pPr>
    </w:p>
    <w:p>
      <w:pPr>
        <w:pStyle w:val="93"/>
        <w:rPr>
          <w:snapToGrid w:val="0"/>
          <w:color w:val="000000"/>
        </w:rPr>
      </w:pPr>
      <w:bookmarkStart w:id="54" w:name="_Toc110934657"/>
      <w:r>
        <w:rPr>
          <w:rFonts w:hint="eastAsia"/>
          <w:snapToGrid w:val="0"/>
          <w:color w:val="000000"/>
        </w:rPr>
        <w:t>现场照片</w:t>
      </w:r>
      <w:bookmarkEnd w:id="54"/>
    </w:p>
    <w:tbl>
      <w:tblPr>
        <w:tblStyle w:val="2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shd w:val="clear" w:color="auto" w:fill="auto"/>
          </w:tcPr>
          <w:p>
            <w:pPr>
              <w:pStyle w:val="12"/>
              <w:spacing w:before="120"/>
              <w:rPr>
                <w:snapToGrid w:val="0"/>
                <w:color w:val="000000"/>
              </w:rPr>
            </w:pPr>
            <w:r>
              <w:rPr>
                <w:color w:val="000000"/>
              </w:rPr>
              <w:drawing>
                <wp:inline distT="0" distB="0" distL="0" distR="0">
                  <wp:extent cx="2647315" cy="1988185"/>
                  <wp:effectExtent l="0" t="0" r="635" b="0"/>
                  <wp:docPr id="26" name="图片 26" descr="F:\企业微信缓存\WXWork\1688853028968556\Cache\Image\2022-07\9ff4549fb6feb2d39e942e38d83b26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F:\企业微信缓存\WXWork\1688853028968556\Cache\Image\2022-07\9ff4549fb6feb2d39e942e38d83b268e.jpg"/>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a:xfrm>
                            <a:off x="0" y="0"/>
                            <a:ext cx="2647315" cy="1988185"/>
                          </a:xfrm>
                          <a:prstGeom prst="rect">
                            <a:avLst/>
                          </a:prstGeom>
                          <a:noFill/>
                          <a:ln>
                            <a:noFill/>
                          </a:ln>
                        </pic:spPr>
                      </pic:pic>
                    </a:graphicData>
                  </a:graphic>
                </wp:inline>
              </w:drawing>
            </w:r>
          </w:p>
        </w:tc>
        <w:tc>
          <w:tcPr>
            <w:tcW w:w="4261" w:type="dxa"/>
            <w:shd w:val="clear" w:color="auto" w:fill="auto"/>
          </w:tcPr>
          <w:p>
            <w:pPr>
              <w:pStyle w:val="12"/>
              <w:spacing w:before="120"/>
              <w:rPr>
                <w:snapToGrid w:val="0"/>
                <w:color w:val="000000"/>
              </w:rPr>
            </w:pPr>
            <w:r>
              <w:rPr>
                <w:color w:val="000000"/>
              </w:rPr>
              <w:drawing>
                <wp:inline distT="0" distB="0" distL="0" distR="0">
                  <wp:extent cx="2637155" cy="1988185"/>
                  <wp:effectExtent l="0" t="0" r="0" b="0"/>
                  <wp:docPr id="27" name="图片 27" descr="F:\企业微信缓存\WXWork\1688853028968556\Cache\Image\2022-07\2eea2cc6adec1654636dfb45aa9d6f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F:\企业微信缓存\WXWork\1688853028968556\Cache\Image\2022-07\2eea2cc6adec1654636dfb45aa9d6f84.jpg"/>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a:xfrm>
                            <a:off x="0" y="0"/>
                            <a:ext cx="2637155" cy="198818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shd w:val="clear" w:color="auto" w:fill="auto"/>
          </w:tcPr>
          <w:p>
            <w:pPr>
              <w:pStyle w:val="12"/>
              <w:spacing w:before="120"/>
              <w:rPr>
                <w:snapToGrid w:val="0"/>
                <w:color w:val="000000"/>
              </w:rPr>
            </w:pPr>
            <w:r>
              <w:rPr>
                <w:rFonts w:hint="eastAsia"/>
                <w:snapToGrid w:val="0"/>
                <w:color w:val="000000"/>
              </w:rPr>
              <w:t>工程师现场踏勘 (大龙口-浅1)</w:t>
            </w:r>
          </w:p>
        </w:tc>
        <w:tc>
          <w:tcPr>
            <w:tcW w:w="4261" w:type="dxa"/>
            <w:shd w:val="clear" w:color="auto" w:fill="auto"/>
          </w:tcPr>
          <w:p>
            <w:pPr>
              <w:pStyle w:val="12"/>
              <w:spacing w:before="120"/>
              <w:rPr>
                <w:snapToGrid w:val="0"/>
                <w:color w:val="000000"/>
              </w:rPr>
            </w:pPr>
            <w:r>
              <w:rPr>
                <w:rFonts w:hint="eastAsia"/>
                <w:snapToGrid w:val="0"/>
                <w:color w:val="000000"/>
              </w:rPr>
              <w:t>工程师现场踏勘 (大龙口-浅1)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shd w:val="clear" w:color="auto" w:fill="auto"/>
          </w:tcPr>
          <w:p>
            <w:pPr>
              <w:pStyle w:val="12"/>
              <w:spacing w:before="120"/>
              <w:rPr>
                <w:snapToGrid w:val="0"/>
                <w:color w:val="000000"/>
              </w:rPr>
            </w:pPr>
            <w:r>
              <w:rPr>
                <w:color w:val="000000"/>
              </w:rPr>
              <w:drawing>
                <wp:inline distT="0" distB="0" distL="0" distR="0">
                  <wp:extent cx="2573020" cy="1924685"/>
                  <wp:effectExtent l="0" t="0" r="0" b="0"/>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573020" cy="1924685"/>
                          </a:xfrm>
                          <a:prstGeom prst="rect">
                            <a:avLst/>
                          </a:prstGeom>
                          <a:noFill/>
                          <a:ln>
                            <a:noFill/>
                          </a:ln>
                        </pic:spPr>
                      </pic:pic>
                    </a:graphicData>
                  </a:graphic>
                </wp:inline>
              </w:drawing>
            </w:r>
          </w:p>
        </w:tc>
        <w:tc>
          <w:tcPr>
            <w:tcW w:w="4261" w:type="dxa"/>
            <w:shd w:val="clear" w:color="auto" w:fill="auto"/>
          </w:tcPr>
          <w:p>
            <w:pPr>
              <w:pStyle w:val="12"/>
              <w:spacing w:before="120"/>
              <w:rPr>
                <w:snapToGrid w:val="0"/>
                <w:color w:val="000000"/>
              </w:rPr>
            </w:pPr>
            <w:r>
              <w:rPr>
                <w:color w:val="000000"/>
              </w:rPr>
              <w:drawing>
                <wp:inline distT="0" distB="0" distL="0" distR="0">
                  <wp:extent cx="2562225" cy="1924685"/>
                  <wp:effectExtent l="0" t="0" r="9525" b="0"/>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562225" cy="192468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shd w:val="clear" w:color="auto" w:fill="auto"/>
          </w:tcPr>
          <w:p>
            <w:pPr>
              <w:pStyle w:val="12"/>
              <w:spacing w:before="120"/>
              <w:rPr>
                <w:snapToGrid w:val="0"/>
                <w:color w:val="000000"/>
              </w:rPr>
            </w:pPr>
            <w:r>
              <w:rPr>
                <w:rFonts w:hint="eastAsia"/>
                <w:snapToGrid w:val="0"/>
                <w:color w:val="000000"/>
              </w:rPr>
              <w:t>工程师现场踏勘 (大龙口-浅</w:t>
            </w:r>
            <w:r>
              <w:rPr>
                <w:snapToGrid w:val="0"/>
                <w:color w:val="000000"/>
              </w:rPr>
              <w:t>2</w:t>
            </w:r>
            <w:r>
              <w:rPr>
                <w:rFonts w:hint="eastAsia"/>
                <w:snapToGrid w:val="0"/>
                <w:color w:val="000000"/>
              </w:rPr>
              <w:t>)</w:t>
            </w:r>
          </w:p>
        </w:tc>
        <w:tc>
          <w:tcPr>
            <w:tcW w:w="4261" w:type="dxa"/>
            <w:shd w:val="clear" w:color="auto" w:fill="auto"/>
          </w:tcPr>
          <w:p>
            <w:pPr>
              <w:pStyle w:val="12"/>
              <w:spacing w:before="120"/>
              <w:rPr>
                <w:snapToGrid w:val="0"/>
                <w:color w:val="000000"/>
              </w:rPr>
            </w:pPr>
            <w:r>
              <w:rPr>
                <w:rFonts w:hint="eastAsia"/>
                <w:snapToGrid w:val="0"/>
                <w:color w:val="000000"/>
              </w:rPr>
              <w:t>工程师现场踏勘 (大龙口-浅</w:t>
            </w:r>
            <w:r>
              <w:rPr>
                <w:snapToGrid w:val="0"/>
                <w:color w:val="000000"/>
              </w:rPr>
              <w:t>2</w:t>
            </w:r>
            <w:r>
              <w:rPr>
                <w:rFonts w:hint="eastAsia"/>
                <w:snapToGrid w:val="0"/>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shd w:val="clear" w:color="auto" w:fill="auto"/>
          </w:tcPr>
          <w:p>
            <w:pPr>
              <w:pStyle w:val="12"/>
              <w:spacing w:before="120"/>
              <w:rPr>
                <w:snapToGrid w:val="0"/>
                <w:color w:val="000000"/>
              </w:rPr>
            </w:pPr>
            <w:r>
              <w:rPr>
                <w:color w:val="000000"/>
              </w:rPr>
              <w:drawing>
                <wp:inline distT="0" distB="0" distL="0" distR="0">
                  <wp:extent cx="2573020" cy="1924685"/>
                  <wp:effectExtent l="0" t="0" r="0" b="0"/>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2573020" cy="1924685"/>
                          </a:xfrm>
                          <a:prstGeom prst="rect">
                            <a:avLst/>
                          </a:prstGeom>
                          <a:noFill/>
                          <a:ln>
                            <a:noFill/>
                          </a:ln>
                        </pic:spPr>
                      </pic:pic>
                    </a:graphicData>
                  </a:graphic>
                </wp:inline>
              </w:drawing>
            </w:r>
          </w:p>
        </w:tc>
        <w:tc>
          <w:tcPr>
            <w:tcW w:w="4261" w:type="dxa"/>
            <w:shd w:val="clear" w:color="auto" w:fill="auto"/>
          </w:tcPr>
          <w:p>
            <w:pPr>
              <w:pStyle w:val="12"/>
              <w:spacing w:before="120"/>
              <w:rPr>
                <w:snapToGrid w:val="0"/>
                <w:color w:val="000000"/>
              </w:rPr>
            </w:pPr>
            <w:r>
              <w:rPr>
                <w:color w:val="000000"/>
              </w:rPr>
              <w:drawing>
                <wp:inline distT="0" distB="0" distL="0" distR="0">
                  <wp:extent cx="2562225" cy="1924685"/>
                  <wp:effectExtent l="0" t="0" r="9525"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562225" cy="192468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shd w:val="clear" w:color="auto" w:fill="auto"/>
          </w:tcPr>
          <w:p>
            <w:pPr>
              <w:pStyle w:val="12"/>
              <w:spacing w:before="120"/>
              <w:rPr>
                <w:snapToGrid w:val="0"/>
                <w:color w:val="000000"/>
              </w:rPr>
            </w:pPr>
            <w:r>
              <w:rPr>
                <w:rFonts w:hint="eastAsia"/>
                <w:snapToGrid w:val="0"/>
                <w:color w:val="000000"/>
              </w:rPr>
              <w:t>工程师现场踏勘 (大龙口-浅3)</w:t>
            </w:r>
          </w:p>
        </w:tc>
        <w:tc>
          <w:tcPr>
            <w:tcW w:w="4261" w:type="dxa"/>
            <w:shd w:val="clear" w:color="auto" w:fill="auto"/>
          </w:tcPr>
          <w:p>
            <w:pPr>
              <w:pStyle w:val="12"/>
              <w:spacing w:before="120"/>
              <w:rPr>
                <w:snapToGrid w:val="0"/>
                <w:color w:val="000000"/>
              </w:rPr>
            </w:pPr>
            <w:r>
              <w:rPr>
                <w:rFonts w:hint="eastAsia"/>
                <w:snapToGrid w:val="0"/>
                <w:color w:val="000000"/>
              </w:rPr>
              <w:t>工程师现场踏勘 (大龙口-浅3)</w:t>
            </w:r>
          </w:p>
        </w:tc>
      </w:tr>
    </w:tbl>
    <w:p>
      <w:pPr>
        <w:pStyle w:val="12"/>
        <w:spacing w:before="120"/>
        <w:rPr>
          <w:snapToGrid w:val="0"/>
          <w:color w:val="000000"/>
        </w:rPr>
        <w:sectPr>
          <w:pgSz w:w="11906" w:h="16838"/>
          <w:pgMar w:top="1440" w:right="1800" w:bottom="1440" w:left="1800" w:header="851" w:footer="1077" w:gutter="0"/>
          <w:cols w:space="425" w:num="1"/>
          <w:docGrid w:linePitch="312" w:charSpace="0"/>
        </w:sectPr>
      </w:pPr>
    </w:p>
    <w:p>
      <w:pPr>
        <w:pStyle w:val="93"/>
        <w:rPr>
          <w:snapToGrid w:val="0"/>
          <w:color w:val="000000"/>
        </w:rPr>
      </w:pPr>
      <w:bookmarkStart w:id="55" w:name="_Toc110934658"/>
      <w:r>
        <w:rPr>
          <w:rFonts w:hint="eastAsia"/>
          <w:snapToGrid w:val="0"/>
          <w:color w:val="000000"/>
        </w:rPr>
        <w:t>植被类型分布图</w:t>
      </w:r>
      <w:bookmarkEnd w:id="55"/>
    </w:p>
    <w:p>
      <w:pPr>
        <w:pStyle w:val="12"/>
        <w:spacing w:before="120"/>
        <w:rPr>
          <w:snapToGrid w:val="0"/>
          <w:color w:val="000000"/>
        </w:rPr>
      </w:pPr>
      <w:r>
        <w:rPr>
          <w:color w:val="000000"/>
        </w:rPr>
        <w:drawing>
          <wp:inline distT="0" distB="0" distL="0" distR="0">
            <wp:extent cx="8867775" cy="4540250"/>
            <wp:effectExtent l="0" t="0" r="9525" b="0"/>
            <wp:docPr id="32" name="图片 32" descr="植被类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植被类型图"/>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8867775" cy="4540250"/>
                    </a:xfrm>
                    <a:prstGeom prst="rect">
                      <a:avLst/>
                    </a:prstGeom>
                    <a:noFill/>
                    <a:ln>
                      <a:noFill/>
                    </a:ln>
                  </pic:spPr>
                </pic:pic>
              </a:graphicData>
            </a:graphic>
          </wp:inline>
        </w:drawing>
      </w:r>
    </w:p>
    <w:p>
      <w:pPr>
        <w:rPr>
          <w:color w:val="000000"/>
        </w:rPr>
        <w:sectPr>
          <w:pgSz w:w="16838" w:h="11906" w:orient="landscape"/>
          <w:pgMar w:top="1797" w:right="1440" w:bottom="1417" w:left="1440" w:header="1417" w:footer="816" w:gutter="0"/>
          <w:cols w:space="425" w:num="1"/>
          <w:docGrid w:linePitch="312" w:charSpace="0"/>
        </w:sectPr>
      </w:pPr>
    </w:p>
    <w:p>
      <w:pPr>
        <w:pStyle w:val="93"/>
        <w:rPr>
          <w:snapToGrid w:val="0"/>
          <w:color w:val="000000"/>
        </w:rPr>
      </w:pPr>
      <w:bookmarkStart w:id="56" w:name="_Toc110934659"/>
      <w:r>
        <w:rPr>
          <w:rFonts w:hint="eastAsia"/>
          <w:snapToGrid w:val="0"/>
          <w:color w:val="000000"/>
        </w:rPr>
        <w:t>土壤类型分布图</w:t>
      </w:r>
      <w:bookmarkEnd w:id="56"/>
    </w:p>
    <w:p>
      <w:pPr>
        <w:pStyle w:val="12"/>
        <w:spacing w:before="120"/>
        <w:rPr>
          <w:snapToGrid w:val="0"/>
          <w:color w:val="000000"/>
        </w:rPr>
        <w:sectPr>
          <w:pgSz w:w="16838" w:h="11906" w:orient="landscape"/>
          <w:pgMar w:top="1797" w:right="1440" w:bottom="1417" w:left="1440" w:header="1417" w:footer="816" w:gutter="0"/>
          <w:cols w:space="425" w:num="1"/>
          <w:docGrid w:linePitch="312" w:charSpace="0"/>
        </w:sectPr>
      </w:pPr>
      <w:r>
        <w:rPr>
          <w:snapToGrid w:val="0"/>
          <w:color w:val="000000"/>
        </w:rPr>
        <w:drawing>
          <wp:inline distT="0" distB="0" distL="0" distR="0">
            <wp:extent cx="8856980" cy="3838575"/>
            <wp:effectExtent l="0" t="0" r="1270" b="9525"/>
            <wp:docPr id="33" name="图片 33" descr="土壤类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土壤类型图"/>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8856980" cy="3838575"/>
                    </a:xfrm>
                    <a:prstGeom prst="rect">
                      <a:avLst/>
                    </a:prstGeom>
                    <a:noFill/>
                    <a:ln>
                      <a:noFill/>
                    </a:ln>
                  </pic:spPr>
                </pic:pic>
              </a:graphicData>
            </a:graphic>
          </wp:inline>
        </w:drawing>
      </w:r>
    </w:p>
    <w:p>
      <w:pPr>
        <w:pStyle w:val="93"/>
        <w:rPr>
          <w:snapToGrid w:val="0"/>
          <w:color w:val="000000"/>
        </w:rPr>
      </w:pPr>
      <w:bookmarkStart w:id="57" w:name="_Toc110934660"/>
      <w:r>
        <w:rPr>
          <w:color w:val="000000"/>
        </w:rPr>
        <w:t>工程总平面布置</w:t>
      </w:r>
      <w:r>
        <w:rPr>
          <w:rFonts w:hint="eastAsia"/>
          <w:color w:val="000000"/>
        </w:rPr>
        <w:t>示意</w:t>
      </w:r>
      <w:r>
        <w:rPr>
          <w:color w:val="000000"/>
        </w:rPr>
        <w:t>图</w:t>
      </w:r>
      <w:bookmarkEnd w:id="57"/>
    </w:p>
    <w:p>
      <w:pPr>
        <w:pStyle w:val="12"/>
        <w:spacing w:before="120"/>
        <w:rPr>
          <w:snapToGrid w:val="0"/>
          <w:color w:val="000000"/>
        </w:rPr>
        <w:sectPr>
          <w:pgSz w:w="16838" w:h="11906" w:orient="landscape"/>
          <w:pgMar w:top="1797" w:right="1440" w:bottom="1417" w:left="1440" w:header="1417" w:footer="816" w:gutter="0"/>
          <w:cols w:space="425" w:num="1"/>
          <w:docGrid w:linePitch="312" w:charSpace="0"/>
        </w:sectPr>
      </w:pPr>
      <w:r>
        <w:rPr>
          <w:rFonts w:hint="eastAsia"/>
          <w:snapToGrid w:val="0"/>
          <w:color w:val="000000"/>
        </w:rPr>
        <w:drawing>
          <wp:inline distT="0" distB="0" distL="0" distR="0">
            <wp:extent cx="8856980" cy="5135245"/>
            <wp:effectExtent l="0" t="0" r="1270" b="8255"/>
            <wp:docPr id="34" name="图片 34" descr="总布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总布置"/>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8856980" cy="5135245"/>
                    </a:xfrm>
                    <a:prstGeom prst="rect">
                      <a:avLst/>
                    </a:prstGeom>
                    <a:noFill/>
                    <a:ln>
                      <a:noFill/>
                    </a:ln>
                  </pic:spPr>
                </pic:pic>
              </a:graphicData>
            </a:graphic>
          </wp:inline>
        </w:drawing>
      </w:r>
      <w:r>
        <w:rPr>
          <w:rFonts w:ascii="Calibri" w:hAnsi="Calibri"/>
          <w:color w:val="000000"/>
          <w:szCs w:val="21"/>
        </w:rPr>
        <w:drawing>
          <wp:inline distT="0" distB="0" distL="0" distR="0">
            <wp:extent cx="8863330" cy="534352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8863330" cy="5343525"/>
                    </a:xfrm>
                    <a:prstGeom prst="rect">
                      <a:avLst/>
                    </a:prstGeom>
                  </pic:spPr>
                </pic:pic>
              </a:graphicData>
            </a:graphic>
          </wp:inline>
        </w:drawing>
      </w:r>
      <w:r>
        <w:rPr>
          <w:color w:val="000000"/>
        </w:rPr>
        <w:drawing>
          <wp:inline distT="0" distB="0" distL="0" distR="0">
            <wp:extent cx="8863330" cy="5331460"/>
            <wp:effectExtent l="0" t="0" r="0" b="254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8863330" cy="5331460"/>
                    </a:xfrm>
                    <a:prstGeom prst="rect">
                      <a:avLst/>
                    </a:prstGeom>
                  </pic:spPr>
                </pic:pic>
              </a:graphicData>
            </a:graphic>
          </wp:inline>
        </w:drawing>
      </w:r>
      <w:r>
        <w:rPr>
          <w:color w:val="000000"/>
        </w:rPr>
        <w:drawing>
          <wp:inline distT="0" distB="0" distL="0" distR="0">
            <wp:extent cx="8863330" cy="4545330"/>
            <wp:effectExtent l="0" t="0" r="0" b="762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8863330" cy="4545330"/>
                    </a:xfrm>
                    <a:prstGeom prst="rect">
                      <a:avLst/>
                    </a:prstGeom>
                  </pic:spPr>
                </pic:pic>
              </a:graphicData>
            </a:graphic>
          </wp:inline>
        </w:drawing>
      </w:r>
    </w:p>
    <w:p>
      <w:pPr>
        <w:pStyle w:val="93"/>
        <w:rPr>
          <w:snapToGrid w:val="0"/>
          <w:color w:val="000000"/>
        </w:rPr>
      </w:pPr>
      <w:bookmarkStart w:id="58" w:name="_Toc110934661"/>
      <w:r>
        <w:rPr>
          <w:color w:val="000000"/>
        </w:rPr>
        <w:t>生态环境保护措施</w:t>
      </w:r>
      <w:r>
        <w:rPr>
          <w:rFonts w:hint="eastAsia"/>
          <w:color w:val="000000"/>
        </w:rPr>
        <w:t>平面布置示意图</w:t>
      </w:r>
      <w:bookmarkEnd w:id="58"/>
    </w:p>
    <w:p>
      <w:pPr>
        <w:pStyle w:val="12"/>
        <w:spacing w:before="120"/>
        <w:rPr>
          <w:snapToGrid w:val="0"/>
          <w:color w:val="000000"/>
        </w:rPr>
      </w:pPr>
      <w:r>
        <w:rPr>
          <w:snapToGrid w:val="0"/>
          <w:color w:val="000000"/>
        </w:rPr>
        <w:drawing>
          <wp:inline distT="0" distB="0" distL="0" distR="0">
            <wp:extent cx="8516620" cy="5018405"/>
            <wp:effectExtent l="0" t="0" r="0" b="0"/>
            <wp:docPr id="35" name="图片 35" descr="1生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1生态"/>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8516620" cy="5018405"/>
                    </a:xfrm>
                    <a:prstGeom prst="rect">
                      <a:avLst/>
                    </a:prstGeom>
                    <a:noFill/>
                    <a:ln>
                      <a:noFill/>
                    </a:ln>
                  </pic:spPr>
                </pic:pic>
              </a:graphicData>
            </a:graphic>
          </wp:inline>
        </w:drawing>
      </w:r>
      <w:r>
        <w:rPr>
          <w:rFonts w:ascii="Calibri" w:hAnsi="Calibri"/>
          <w:color w:val="000000"/>
          <w:szCs w:val="21"/>
        </w:rPr>
        <w:drawing>
          <wp:inline distT="0" distB="0" distL="0" distR="0">
            <wp:extent cx="8863330" cy="515302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8863330" cy="5153025"/>
                    </a:xfrm>
                    <a:prstGeom prst="rect">
                      <a:avLst/>
                    </a:prstGeom>
                  </pic:spPr>
                </pic:pic>
              </a:graphicData>
            </a:graphic>
          </wp:inline>
        </w:drawing>
      </w:r>
      <w:r>
        <w:rPr>
          <w:color w:val="000000"/>
        </w:rPr>
        <w:drawing>
          <wp:inline distT="0" distB="0" distL="0" distR="0">
            <wp:extent cx="8863330" cy="5197475"/>
            <wp:effectExtent l="0" t="0" r="0" b="317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8863330" cy="5197475"/>
                    </a:xfrm>
                    <a:prstGeom prst="rect">
                      <a:avLst/>
                    </a:prstGeom>
                  </pic:spPr>
                </pic:pic>
              </a:graphicData>
            </a:graphic>
          </wp:inline>
        </w:drawing>
      </w:r>
    </w:p>
    <w:p>
      <w:pPr>
        <w:pStyle w:val="93"/>
        <w:rPr>
          <w:snapToGrid w:val="0"/>
          <w:color w:val="000000"/>
        </w:rPr>
      </w:pPr>
      <w:bookmarkStart w:id="59" w:name="_Toc110934662"/>
      <w:r>
        <w:rPr>
          <w:rFonts w:hint="eastAsia"/>
          <w:color w:val="000000"/>
        </w:rPr>
        <w:t>本项目在昌吉回族自治州“三线一单”环境管控单元位置图</w:t>
      </w:r>
      <w:bookmarkEnd w:id="59"/>
    </w:p>
    <w:p>
      <w:pPr>
        <w:pStyle w:val="12"/>
        <w:spacing w:before="120"/>
        <w:rPr>
          <w:color w:val="000000"/>
        </w:rPr>
      </w:pPr>
      <w:r>
        <w:rPr>
          <w:rFonts w:hint="eastAsia"/>
          <w:color w:val="000000"/>
        </w:rPr>
        <w:drawing>
          <wp:inline distT="0" distB="0" distL="0" distR="0">
            <wp:extent cx="7687310" cy="4784725"/>
            <wp:effectExtent l="0" t="0" r="0" b="0"/>
            <wp:docPr id="38" name="图片 38" descr="三线一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三线一单"/>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7689631" cy="4786759"/>
                    </a:xfrm>
                    <a:prstGeom prst="rect">
                      <a:avLst/>
                    </a:prstGeom>
                    <a:noFill/>
                    <a:ln>
                      <a:noFill/>
                    </a:ln>
                  </pic:spPr>
                </pic:pic>
              </a:graphicData>
            </a:graphic>
          </wp:inline>
        </w:drawing>
      </w:r>
    </w:p>
    <w:sectPr>
      <w:pgSz w:w="16838" w:h="11906" w:orient="landscape"/>
      <w:pgMar w:top="1417" w:right="1440" w:bottom="1797" w:left="1440" w:header="1417" w:footer="816"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ourier New">
    <w:panose1 w:val="02070309020205020404"/>
    <w:charset w:val="00"/>
    <w:family w:val="modern"/>
    <w:pitch w:val="default"/>
    <w:sig w:usb0="E0002EFF" w:usb1="C0007843" w:usb2="00000009" w:usb3="00000000" w:csb0="400001FF" w:csb1="FFFF0000"/>
  </w:font>
  <w:font w:name="等线 Light">
    <w:panose1 w:val="02010600030101010101"/>
    <w:charset w:val="86"/>
    <w:family w:val="auto"/>
    <w:pitch w:val="default"/>
    <w:sig w:usb0="A00002BF" w:usb1="38CF7CFA" w:usb2="00000016" w:usb3="00000000" w:csb0="0004000F" w:csb1="00000000"/>
  </w:font>
  <w:font w:name="宋体).榽具.">
    <w:altName w:val="宋体"/>
    <w:panose1 w:val="00000000000000000000"/>
    <w:charset w:val="86"/>
    <w:family w:val="roman"/>
    <w:pitch w:val="default"/>
    <w:sig w:usb0="00000000" w:usb1="00000000" w:usb2="0000001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仿宋_GB2312">
    <w:panose1 w:val="02010609030101010101"/>
    <w:charset w:val="86"/>
    <w:family w:val="modern"/>
    <w:pitch w:val="default"/>
    <w:sig w:usb0="00000001" w:usb1="080E0000" w:usb2="00000000" w:usb3="00000000" w:csb0="00040000" w:csb1="00000000"/>
  </w:font>
  <w:font w:name="方正小标宋_GBK">
    <w:altName w:val="微软雅黑"/>
    <w:panose1 w:val="00000000000000000000"/>
    <w:charset w:val="86"/>
    <w:family w:val="script"/>
    <w:pitch w:val="default"/>
    <w:sig w:usb0="00000000" w:usb1="00000000" w:usb2="00000010" w:usb3="00000000" w:csb0="00040000"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EFF" w:usb1="C000785B" w:usb2="00000009" w:usb3="00000000" w:csb0="400001FF" w:csb1="FFFF0000"/>
  </w:font>
  <w:font w:name="Cambria Math">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framePr w:wrap="around" w:vAnchor="text" w:hAnchor="margin" w:xAlign="outside" w:y="1"/>
      <w:rPr>
        <w:rStyle w:val="34"/>
      </w:rPr>
    </w:pPr>
    <w:r>
      <w:rPr>
        <w:rStyle w:val="34"/>
      </w:rPr>
      <w:fldChar w:fldCharType="begin"/>
    </w:r>
    <w:r>
      <w:rPr>
        <w:rStyle w:val="34"/>
      </w:rPr>
      <w:instrText xml:space="preserve">PAGE  </w:instrText>
    </w:r>
    <w:r>
      <w:rPr>
        <w:rStyle w:val="34"/>
      </w:rPr>
      <w:fldChar w:fldCharType="end"/>
    </w:r>
  </w:p>
  <w:p>
    <w:pPr>
      <w:pStyle w:val="21"/>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w:fldChar w:fldCharType="begin"/>
    </w:r>
    <w:r>
      <w:instrText xml:space="preserve">PAGE   \* MERGEFORMAT</w:instrText>
    </w:r>
    <w:r>
      <w:fldChar w:fldCharType="separate"/>
    </w:r>
    <w:r>
      <w:rPr>
        <w:lang w:val="zh-CN"/>
      </w:rPr>
      <w:t>57</w:t>
    </w:r>
    <w: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C123DC"/>
    <w:multiLevelType w:val="multilevel"/>
    <w:tmpl w:val="16C123DC"/>
    <w:lvl w:ilvl="0" w:tentative="0">
      <w:start w:val="1"/>
      <w:numFmt w:val="decimal"/>
      <w:pStyle w:val="68"/>
      <w:suff w:val="nothing"/>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4F006C0E"/>
    <w:multiLevelType w:val="multilevel"/>
    <w:tmpl w:val="4F006C0E"/>
    <w:lvl w:ilvl="0" w:tentative="0">
      <w:start w:val="1"/>
      <w:numFmt w:val="decimal"/>
      <w:pStyle w:val="91"/>
      <w:suff w:val="nothing"/>
      <w:lvlText w:val="附件%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5839548E"/>
    <w:multiLevelType w:val="multilevel"/>
    <w:tmpl w:val="5839548E"/>
    <w:lvl w:ilvl="0" w:tentative="0">
      <w:start w:val="1"/>
      <w:numFmt w:val="decimal"/>
      <w:pStyle w:val="2"/>
      <w:isLgl/>
      <w:suff w:val="space"/>
      <w:lvlText w:val="%1"/>
      <w:lvlJc w:val="left"/>
      <w:pPr>
        <w:ind w:left="0" w:firstLine="0"/>
      </w:pPr>
      <w:rPr>
        <w:rFonts w:hint="eastAsia"/>
      </w:rPr>
    </w:lvl>
    <w:lvl w:ilvl="1" w:tentative="0">
      <w:start w:val="1"/>
      <w:numFmt w:val="decimal"/>
      <w:pStyle w:val="4"/>
      <w:isLgl/>
      <w:suff w:val="space"/>
      <w:lvlText w:val="%1.%2"/>
      <w:lvlJc w:val="left"/>
      <w:pPr>
        <w:ind w:left="0" w:firstLine="0"/>
      </w:pPr>
      <w:rPr>
        <w:rFonts w:hint="eastAsia"/>
      </w:rPr>
    </w:lvl>
    <w:lvl w:ilvl="2" w:tentative="0">
      <w:start w:val="1"/>
      <w:numFmt w:val="decimal"/>
      <w:pStyle w:val="5"/>
      <w:isLgl/>
      <w:suff w:val="space"/>
      <w:lvlText w:val="%1.%2.%3"/>
      <w:lvlJc w:val="left"/>
      <w:pPr>
        <w:ind w:left="0" w:firstLine="0"/>
      </w:pPr>
      <w:rPr>
        <w:rFonts w:hint="eastAsia"/>
      </w:rPr>
    </w:lvl>
    <w:lvl w:ilvl="3" w:tentative="0">
      <w:start w:val="1"/>
      <w:numFmt w:val="decimal"/>
      <w:pStyle w:val="6"/>
      <w:isLgl/>
      <w:suff w:val="space"/>
      <w:lvlText w:val="%1.%2.%3.%4"/>
      <w:lvlJc w:val="left"/>
      <w:pPr>
        <w:ind w:left="0" w:firstLine="0"/>
      </w:pPr>
      <w:rPr>
        <w:rFonts w:hint="eastAsia"/>
      </w:rPr>
    </w:lvl>
    <w:lvl w:ilvl="4" w:tentative="0">
      <w:start w:val="1"/>
      <w:numFmt w:val="decimal"/>
      <w:pStyle w:val="7"/>
      <w:isLgl/>
      <w:suff w:val="space"/>
      <w:lvlText w:val="%1.%2.%3.%4.%5"/>
      <w:lvlJc w:val="left"/>
      <w:pPr>
        <w:ind w:left="0" w:firstLine="0"/>
      </w:pPr>
      <w:rPr>
        <w:rFonts w:hint="eastAsia"/>
      </w:rPr>
    </w:lvl>
    <w:lvl w:ilvl="5" w:tentative="0">
      <w:start w:val="1"/>
      <w:numFmt w:val="decimal"/>
      <w:pStyle w:val="8"/>
      <w:isLgl/>
      <w:suff w:val="space"/>
      <w:lvlText w:val="%1.%2.%3.%4.%5.%6"/>
      <w:lvlJc w:val="left"/>
      <w:pPr>
        <w:ind w:left="0" w:firstLine="0"/>
      </w:pPr>
      <w:rPr>
        <w:rFonts w:hint="eastAsia"/>
      </w:rPr>
    </w:lvl>
    <w:lvl w:ilvl="6" w:tentative="0">
      <w:start w:val="1"/>
      <w:numFmt w:val="decimal"/>
      <w:pStyle w:val="9"/>
      <w:isLgl/>
      <w:suff w:val="nothing"/>
      <w:lvlText w:val="%1.%2.%3.%4.%5.%6.%7"/>
      <w:lvlJc w:val="left"/>
      <w:pPr>
        <w:ind w:left="0" w:firstLine="0"/>
      </w:pPr>
      <w:rPr>
        <w:rFonts w:hint="eastAsia"/>
        <w:b w:val="0"/>
        <w:bCs w:val="0"/>
        <w:i w:val="0"/>
        <w:iCs w:val="0"/>
        <w:caps w:val="0"/>
        <w:smallCaps w:val="0"/>
        <w:strike w:val="0"/>
        <w:dstrike w:val="0"/>
        <w:vanish w:val="0"/>
        <w:color w:val="000000"/>
        <w:spacing w:val="0"/>
        <w:position w:val="0"/>
        <w:u w:val="none"/>
        <w:vertAlign w:val="baseline"/>
      </w:rPr>
    </w:lvl>
    <w:lvl w:ilvl="7" w:tentative="0">
      <w:start w:val="1"/>
      <w:numFmt w:val="decimal"/>
      <w:pStyle w:val="10"/>
      <w:isLgl/>
      <w:suff w:val="space"/>
      <w:lvlText w:val="%1.%2.%3.%4.%5.%6.%7.%8"/>
      <w:lvlJc w:val="left"/>
      <w:pPr>
        <w:ind w:left="0" w:firstLine="0"/>
      </w:pPr>
      <w:rPr>
        <w:rFonts w:hint="eastAsia"/>
      </w:rPr>
    </w:lvl>
    <w:lvl w:ilvl="8" w:tentative="0">
      <w:start w:val="1"/>
      <w:numFmt w:val="decimal"/>
      <w:pStyle w:val="11"/>
      <w:isLgl/>
      <w:suff w:val="space"/>
      <w:lvlText w:val="%1.%2.%3.%4.%5.%6.%7.%8.%9"/>
      <w:lvlJc w:val="left"/>
      <w:pPr>
        <w:ind w:left="0" w:firstLine="0"/>
      </w:pPr>
      <w:rPr>
        <w:rFonts w:hint="eastAsia"/>
      </w:rPr>
    </w:lvl>
  </w:abstractNum>
  <w:abstractNum w:abstractNumId="3">
    <w:nsid w:val="699B31E6"/>
    <w:multiLevelType w:val="multilevel"/>
    <w:tmpl w:val="699B31E6"/>
    <w:lvl w:ilvl="0" w:tentative="0">
      <w:start w:val="1"/>
      <w:numFmt w:val="decimal"/>
      <w:pStyle w:val="93"/>
      <w:suff w:val="nothing"/>
      <w:lvlText w:val="附图%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71B21497"/>
    <w:multiLevelType w:val="multilevel"/>
    <w:tmpl w:val="71B21497"/>
    <w:lvl w:ilvl="0" w:tentative="0">
      <w:start w:val="1"/>
      <w:numFmt w:val="decimal"/>
      <w:pStyle w:val="54"/>
      <w:isLgl/>
      <w:suff w:val="nothing"/>
      <w:lvlText w:val="（%1）"/>
      <w:lvlJc w:val="left"/>
      <w:pPr>
        <w:ind w:left="0" w:firstLine="476"/>
      </w:pPr>
      <w:rPr>
        <w:rFonts w:hint="eastAsia" w:ascii="宋体" w:eastAsia="宋体"/>
      </w:rPr>
    </w:lvl>
    <w:lvl w:ilvl="1" w:tentative="0">
      <w:start w:val="1"/>
      <w:numFmt w:val="decimalEnclosedCircle"/>
      <w:pStyle w:val="56"/>
      <w:isLgl/>
      <w:suff w:val="nothing"/>
      <w:lvlText w:val="%2）"/>
      <w:lvlJc w:val="left"/>
      <w:pPr>
        <w:ind w:left="0" w:firstLine="476"/>
      </w:pPr>
      <w:rPr>
        <w:rFonts w:hint="eastAsia" w:ascii="宋体" w:eastAsia="宋体"/>
      </w:rPr>
    </w:lvl>
    <w:lvl w:ilvl="2" w:tentative="0">
      <w:start w:val="1"/>
      <w:numFmt w:val="decimalEnclosedCircle"/>
      <w:pStyle w:val="58"/>
      <w:suff w:val="nothing"/>
      <w:lvlText w:val="%3"/>
      <w:lvlJc w:val="left"/>
      <w:pPr>
        <w:ind w:left="0" w:firstLine="476"/>
      </w:pPr>
      <w:rPr>
        <w:rFonts w:hint="eastAsia" w:ascii="宋体" w:eastAsia="宋体"/>
      </w:rPr>
    </w:lvl>
    <w:lvl w:ilvl="3" w:tentative="0">
      <w:start w:val="1"/>
      <w:numFmt w:val="lowerLetter"/>
      <w:pStyle w:val="60"/>
      <w:suff w:val="nothing"/>
      <w:lvlText w:val="%4."/>
      <w:lvlJc w:val="left"/>
      <w:pPr>
        <w:ind w:left="0" w:firstLine="476"/>
      </w:pPr>
      <w:rPr>
        <w:rFonts w:hint="eastAsia" w:ascii="宋体" w:eastAsia="宋体"/>
      </w:rPr>
    </w:lvl>
    <w:lvl w:ilvl="4" w:tentative="0">
      <w:start w:val="1"/>
      <w:numFmt w:val="upperRoman"/>
      <w:pStyle w:val="62"/>
      <w:suff w:val="nothing"/>
      <w:lvlText w:val="%5."/>
      <w:lvlJc w:val="left"/>
      <w:pPr>
        <w:ind w:left="0" w:firstLine="476"/>
      </w:pPr>
      <w:rPr>
        <w:rFonts w:hint="eastAsia" w:ascii="宋体" w:eastAsia="宋体"/>
      </w:rPr>
    </w:lvl>
    <w:lvl w:ilvl="5" w:tentative="0">
      <w:start w:val="1"/>
      <w:numFmt w:val="lowerRoman"/>
      <w:pStyle w:val="64"/>
      <w:suff w:val="nothing"/>
      <w:lvlText w:val="%6."/>
      <w:lvlJc w:val="left"/>
      <w:pPr>
        <w:ind w:left="0" w:firstLine="476"/>
      </w:pPr>
      <w:rPr>
        <w:rFonts w:hint="eastAsia" w:ascii="宋体" w:eastAsia="宋体"/>
      </w:rPr>
    </w:lvl>
    <w:lvl w:ilvl="6" w:tentative="0">
      <w:start w:val="1"/>
      <w:numFmt w:val="ordinal"/>
      <w:pStyle w:val="66"/>
      <w:suff w:val="nothing"/>
      <w:lvlText w:val="%7."/>
      <w:lvlJc w:val="left"/>
      <w:pPr>
        <w:ind w:left="0" w:firstLine="476"/>
      </w:pPr>
      <w:rPr>
        <w:rFonts w:hint="eastAsia"/>
      </w:rPr>
    </w:lvl>
    <w:lvl w:ilvl="7" w:tentative="0">
      <w:start w:val="1"/>
      <w:numFmt w:val="none"/>
      <w:suff w:val="nothing"/>
      <w:lvlText w:val=""/>
      <w:lvlJc w:val="left"/>
      <w:pPr>
        <w:ind w:left="0" w:firstLine="476"/>
      </w:pPr>
      <w:rPr>
        <w:rFonts w:hint="eastAsia"/>
      </w:rPr>
    </w:lvl>
    <w:lvl w:ilvl="8" w:tentative="0">
      <w:start w:val="1"/>
      <w:numFmt w:val="none"/>
      <w:suff w:val="nothing"/>
      <w:lvlText w:val=""/>
      <w:lvlJc w:val="left"/>
      <w:pPr>
        <w:ind w:left="0" w:firstLine="476"/>
      </w:pPr>
      <w:rPr>
        <w:rFonts w:hint="eastAsia"/>
      </w:rPr>
    </w:lvl>
  </w:abstractNum>
  <w:abstractNum w:abstractNumId="5">
    <w:nsid w:val="7E752ED4"/>
    <w:multiLevelType w:val="multilevel"/>
    <w:tmpl w:val="7E752ED4"/>
    <w:lvl w:ilvl="0" w:tentative="0">
      <w:start w:val="1"/>
      <w:numFmt w:val="decimal"/>
      <w:pStyle w:val="89"/>
      <w:suff w:val="nothing"/>
      <w:lvlText w:val="附表%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4"/>
  </w:num>
  <w:num w:numId="3">
    <w:abstractNumId w:val="0"/>
  </w:num>
  <w:num w:numId="4">
    <w:abstractNumId w:val="5"/>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characterSpacingControl w:val="doNotCompress"/>
  <w:noLineBreaksAfter w:lang="zh-CN" w:val="$([{£¥·‘“〈《「『【〔〖〝﹙﹛﹝＄（．［｛￡￥"/>
  <w:noLineBreaksBefore w:lang="zh-CN" w:val="!%),.:;&gt;?]}¢¨°·ˇˉ―‖’”…‰′″›℃∶、。〃〉》」』】〕〗〞︶︺︾﹀﹄﹚﹜﹞！＂％＇），．：；？］｀｜｝～￠"/>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4947"/>
    <w:rsid w:val="00001CED"/>
    <w:rsid w:val="00001E67"/>
    <w:rsid w:val="000024AD"/>
    <w:rsid w:val="00003CD8"/>
    <w:rsid w:val="00006FEE"/>
    <w:rsid w:val="00014965"/>
    <w:rsid w:val="0001523A"/>
    <w:rsid w:val="00016ECB"/>
    <w:rsid w:val="0002114D"/>
    <w:rsid w:val="00021E8F"/>
    <w:rsid w:val="00023DDD"/>
    <w:rsid w:val="00025CBE"/>
    <w:rsid w:val="000269F6"/>
    <w:rsid w:val="00031939"/>
    <w:rsid w:val="00032D25"/>
    <w:rsid w:val="000515F8"/>
    <w:rsid w:val="00051FB5"/>
    <w:rsid w:val="0005219D"/>
    <w:rsid w:val="000544CA"/>
    <w:rsid w:val="00054F9E"/>
    <w:rsid w:val="0005568F"/>
    <w:rsid w:val="00056D6E"/>
    <w:rsid w:val="0006153D"/>
    <w:rsid w:val="0006164D"/>
    <w:rsid w:val="00061AD3"/>
    <w:rsid w:val="00061B1F"/>
    <w:rsid w:val="00061B88"/>
    <w:rsid w:val="00063B60"/>
    <w:rsid w:val="000664DB"/>
    <w:rsid w:val="000707DE"/>
    <w:rsid w:val="0007127D"/>
    <w:rsid w:val="00071AE5"/>
    <w:rsid w:val="00074775"/>
    <w:rsid w:val="00074783"/>
    <w:rsid w:val="000801E0"/>
    <w:rsid w:val="00082A29"/>
    <w:rsid w:val="0008331D"/>
    <w:rsid w:val="00083C18"/>
    <w:rsid w:val="00084CCC"/>
    <w:rsid w:val="00091D01"/>
    <w:rsid w:val="00092899"/>
    <w:rsid w:val="00097540"/>
    <w:rsid w:val="000A0088"/>
    <w:rsid w:val="000A0326"/>
    <w:rsid w:val="000A07E5"/>
    <w:rsid w:val="000A178E"/>
    <w:rsid w:val="000A557E"/>
    <w:rsid w:val="000A7201"/>
    <w:rsid w:val="000B058F"/>
    <w:rsid w:val="000B11DC"/>
    <w:rsid w:val="000B62E4"/>
    <w:rsid w:val="000B693F"/>
    <w:rsid w:val="000C09AC"/>
    <w:rsid w:val="000C0A63"/>
    <w:rsid w:val="000C2915"/>
    <w:rsid w:val="000C437E"/>
    <w:rsid w:val="000D07D7"/>
    <w:rsid w:val="000D13B8"/>
    <w:rsid w:val="000D1B79"/>
    <w:rsid w:val="000D328B"/>
    <w:rsid w:val="000D5FD6"/>
    <w:rsid w:val="000D6D66"/>
    <w:rsid w:val="000E0422"/>
    <w:rsid w:val="000E30B3"/>
    <w:rsid w:val="000E47F7"/>
    <w:rsid w:val="000E5F16"/>
    <w:rsid w:val="000F4452"/>
    <w:rsid w:val="000F49C7"/>
    <w:rsid w:val="000F6C49"/>
    <w:rsid w:val="000F6DA1"/>
    <w:rsid w:val="000F701B"/>
    <w:rsid w:val="001019F1"/>
    <w:rsid w:val="001056A0"/>
    <w:rsid w:val="00106939"/>
    <w:rsid w:val="00115279"/>
    <w:rsid w:val="0011547D"/>
    <w:rsid w:val="00117459"/>
    <w:rsid w:val="0011749A"/>
    <w:rsid w:val="0012434F"/>
    <w:rsid w:val="001270CF"/>
    <w:rsid w:val="00127A68"/>
    <w:rsid w:val="00133F87"/>
    <w:rsid w:val="001350E5"/>
    <w:rsid w:val="00136A81"/>
    <w:rsid w:val="00140B13"/>
    <w:rsid w:val="00141B68"/>
    <w:rsid w:val="0014610F"/>
    <w:rsid w:val="001466DA"/>
    <w:rsid w:val="001475CE"/>
    <w:rsid w:val="00153462"/>
    <w:rsid w:val="0015391E"/>
    <w:rsid w:val="00154A21"/>
    <w:rsid w:val="00154DE1"/>
    <w:rsid w:val="00155B40"/>
    <w:rsid w:val="0015646F"/>
    <w:rsid w:val="00156D70"/>
    <w:rsid w:val="00157435"/>
    <w:rsid w:val="00163EEA"/>
    <w:rsid w:val="00165640"/>
    <w:rsid w:val="00167A07"/>
    <w:rsid w:val="0017046A"/>
    <w:rsid w:val="001704A3"/>
    <w:rsid w:val="00172998"/>
    <w:rsid w:val="0017504D"/>
    <w:rsid w:val="00177422"/>
    <w:rsid w:val="001775A9"/>
    <w:rsid w:val="00184F10"/>
    <w:rsid w:val="00185546"/>
    <w:rsid w:val="0019146B"/>
    <w:rsid w:val="00191A0F"/>
    <w:rsid w:val="00191C89"/>
    <w:rsid w:val="001940C7"/>
    <w:rsid w:val="00194398"/>
    <w:rsid w:val="00195937"/>
    <w:rsid w:val="00197900"/>
    <w:rsid w:val="001A097E"/>
    <w:rsid w:val="001A0F7B"/>
    <w:rsid w:val="001A7D2A"/>
    <w:rsid w:val="001B0718"/>
    <w:rsid w:val="001B5150"/>
    <w:rsid w:val="001B574C"/>
    <w:rsid w:val="001C0AF9"/>
    <w:rsid w:val="001C155A"/>
    <w:rsid w:val="001C48C0"/>
    <w:rsid w:val="001C6910"/>
    <w:rsid w:val="001D01AD"/>
    <w:rsid w:val="001D0CEC"/>
    <w:rsid w:val="001D2C55"/>
    <w:rsid w:val="001D6726"/>
    <w:rsid w:val="001E766A"/>
    <w:rsid w:val="001F3347"/>
    <w:rsid w:val="001F4440"/>
    <w:rsid w:val="001F69E4"/>
    <w:rsid w:val="00206A65"/>
    <w:rsid w:val="00207D92"/>
    <w:rsid w:val="002101AB"/>
    <w:rsid w:val="00211048"/>
    <w:rsid w:val="00212D31"/>
    <w:rsid w:val="002130C7"/>
    <w:rsid w:val="002218A8"/>
    <w:rsid w:val="0022306D"/>
    <w:rsid w:val="002243E5"/>
    <w:rsid w:val="00226574"/>
    <w:rsid w:val="002278EC"/>
    <w:rsid w:val="00227AC7"/>
    <w:rsid w:val="00230782"/>
    <w:rsid w:val="00231637"/>
    <w:rsid w:val="00232922"/>
    <w:rsid w:val="00234EE2"/>
    <w:rsid w:val="002357C7"/>
    <w:rsid w:val="002367C4"/>
    <w:rsid w:val="0023797B"/>
    <w:rsid w:val="00237CF5"/>
    <w:rsid w:val="00250795"/>
    <w:rsid w:val="00250E99"/>
    <w:rsid w:val="00253777"/>
    <w:rsid w:val="0025679E"/>
    <w:rsid w:val="00260B3E"/>
    <w:rsid w:val="00260C68"/>
    <w:rsid w:val="002648B0"/>
    <w:rsid w:val="00265318"/>
    <w:rsid w:val="00271D42"/>
    <w:rsid w:val="002742C5"/>
    <w:rsid w:val="00275271"/>
    <w:rsid w:val="0027535E"/>
    <w:rsid w:val="00275AA6"/>
    <w:rsid w:val="002807D5"/>
    <w:rsid w:val="00281A8B"/>
    <w:rsid w:val="00282CCD"/>
    <w:rsid w:val="00295B6B"/>
    <w:rsid w:val="002A168C"/>
    <w:rsid w:val="002A2C48"/>
    <w:rsid w:val="002A3EED"/>
    <w:rsid w:val="002A4A39"/>
    <w:rsid w:val="002A5A17"/>
    <w:rsid w:val="002A6425"/>
    <w:rsid w:val="002A7AF3"/>
    <w:rsid w:val="002B0146"/>
    <w:rsid w:val="002B49E2"/>
    <w:rsid w:val="002B7154"/>
    <w:rsid w:val="002B7B00"/>
    <w:rsid w:val="002B7C44"/>
    <w:rsid w:val="002C1388"/>
    <w:rsid w:val="002C3C6A"/>
    <w:rsid w:val="002C6907"/>
    <w:rsid w:val="002C6FAB"/>
    <w:rsid w:val="002D35B6"/>
    <w:rsid w:val="002D42DB"/>
    <w:rsid w:val="002D46DB"/>
    <w:rsid w:val="002D65BB"/>
    <w:rsid w:val="002D7E6E"/>
    <w:rsid w:val="002E1F3A"/>
    <w:rsid w:val="002E298A"/>
    <w:rsid w:val="002E341D"/>
    <w:rsid w:val="002F02A4"/>
    <w:rsid w:val="002F272B"/>
    <w:rsid w:val="002F4023"/>
    <w:rsid w:val="002F7C6D"/>
    <w:rsid w:val="003027E4"/>
    <w:rsid w:val="0030332C"/>
    <w:rsid w:val="00312296"/>
    <w:rsid w:val="0031340E"/>
    <w:rsid w:val="00316464"/>
    <w:rsid w:val="003204CA"/>
    <w:rsid w:val="0032073A"/>
    <w:rsid w:val="00321D8E"/>
    <w:rsid w:val="00330677"/>
    <w:rsid w:val="00334996"/>
    <w:rsid w:val="00336969"/>
    <w:rsid w:val="00336C52"/>
    <w:rsid w:val="00341B3E"/>
    <w:rsid w:val="00341B42"/>
    <w:rsid w:val="00342549"/>
    <w:rsid w:val="00344458"/>
    <w:rsid w:val="0034485B"/>
    <w:rsid w:val="00345154"/>
    <w:rsid w:val="0034560E"/>
    <w:rsid w:val="00347497"/>
    <w:rsid w:val="00350523"/>
    <w:rsid w:val="00352975"/>
    <w:rsid w:val="003539FA"/>
    <w:rsid w:val="00356868"/>
    <w:rsid w:val="00362903"/>
    <w:rsid w:val="00362CE1"/>
    <w:rsid w:val="0036485B"/>
    <w:rsid w:val="00373B0D"/>
    <w:rsid w:val="0037660E"/>
    <w:rsid w:val="00376988"/>
    <w:rsid w:val="00377DE2"/>
    <w:rsid w:val="00381A72"/>
    <w:rsid w:val="00383D0E"/>
    <w:rsid w:val="00384FA9"/>
    <w:rsid w:val="00390813"/>
    <w:rsid w:val="003913BF"/>
    <w:rsid w:val="003918A9"/>
    <w:rsid w:val="00391B5C"/>
    <w:rsid w:val="003947DF"/>
    <w:rsid w:val="00394D34"/>
    <w:rsid w:val="00395E1F"/>
    <w:rsid w:val="003A1948"/>
    <w:rsid w:val="003B152A"/>
    <w:rsid w:val="003B2DD3"/>
    <w:rsid w:val="003B545B"/>
    <w:rsid w:val="003C2E40"/>
    <w:rsid w:val="003C6C50"/>
    <w:rsid w:val="003C74EF"/>
    <w:rsid w:val="003D2C3A"/>
    <w:rsid w:val="003D3EE9"/>
    <w:rsid w:val="003D56E7"/>
    <w:rsid w:val="003D577C"/>
    <w:rsid w:val="003E05E9"/>
    <w:rsid w:val="003E0FBD"/>
    <w:rsid w:val="003E6826"/>
    <w:rsid w:val="003E7681"/>
    <w:rsid w:val="003F0809"/>
    <w:rsid w:val="003F2E9E"/>
    <w:rsid w:val="003F611C"/>
    <w:rsid w:val="003F755C"/>
    <w:rsid w:val="0040052C"/>
    <w:rsid w:val="00403556"/>
    <w:rsid w:val="00404BF4"/>
    <w:rsid w:val="00406F01"/>
    <w:rsid w:val="00411B36"/>
    <w:rsid w:val="004121D7"/>
    <w:rsid w:val="0041422F"/>
    <w:rsid w:val="00414D10"/>
    <w:rsid w:val="00416D50"/>
    <w:rsid w:val="00417772"/>
    <w:rsid w:val="00420E6A"/>
    <w:rsid w:val="00423652"/>
    <w:rsid w:val="00424035"/>
    <w:rsid w:val="00425E2F"/>
    <w:rsid w:val="00427A21"/>
    <w:rsid w:val="00433CA9"/>
    <w:rsid w:val="0043521D"/>
    <w:rsid w:val="00436AB5"/>
    <w:rsid w:val="00442024"/>
    <w:rsid w:val="0044254C"/>
    <w:rsid w:val="00442D1E"/>
    <w:rsid w:val="00443F6A"/>
    <w:rsid w:val="0044420B"/>
    <w:rsid w:val="00450A17"/>
    <w:rsid w:val="00457399"/>
    <w:rsid w:val="00466321"/>
    <w:rsid w:val="004672AF"/>
    <w:rsid w:val="0046777A"/>
    <w:rsid w:val="004727B0"/>
    <w:rsid w:val="00480247"/>
    <w:rsid w:val="0048081D"/>
    <w:rsid w:val="0048117E"/>
    <w:rsid w:val="00482FFF"/>
    <w:rsid w:val="00483F8E"/>
    <w:rsid w:val="004855F6"/>
    <w:rsid w:val="00486F0C"/>
    <w:rsid w:val="0048747B"/>
    <w:rsid w:val="0049291D"/>
    <w:rsid w:val="00494670"/>
    <w:rsid w:val="004946B1"/>
    <w:rsid w:val="00495594"/>
    <w:rsid w:val="004A0EB4"/>
    <w:rsid w:val="004A3823"/>
    <w:rsid w:val="004A58E9"/>
    <w:rsid w:val="004A59BB"/>
    <w:rsid w:val="004B3547"/>
    <w:rsid w:val="004B43A3"/>
    <w:rsid w:val="004B4C49"/>
    <w:rsid w:val="004B58A5"/>
    <w:rsid w:val="004B5F9A"/>
    <w:rsid w:val="004B63D9"/>
    <w:rsid w:val="004B6874"/>
    <w:rsid w:val="004C05C6"/>
    <w:rsid w:val="004C0882"/>
    <w:rsid w:val="004C1405"/>
    <w:rsid w:val="004C55BE"/>
    <w:rsid w:val="004C72C0"/>
    <w:rsid w:val="004D10DC"/>
    <w:rsid w:val="004D54A8"/>
    <w:rsid w:val="004E020B"/>
    <w:rsid w:val="004E0477"/>
    <w:rsid w:val="004E13A1"/>
    <w:rsid w:val="004E5B30"/>
    <w:rsid w:val="004E7F63"/>
    <w:rsid w:val="004F0779"/>
    <w:rsid w:val="004F1230"/>
    <w:rsid w:val="004F173F"/>
    <w:rsid w:val="004F177C"/>
    <w:rsid w:val="004F20B7"/>
    <w:rsid w:val="004F2DCE"/>
    <w:rsid w:val="004F333F"/>
    <w:rsid w:val="005039CB"/>
    <w:rsid w:val="0050558F"/>
    <w:rsid w:val="005055F4"/>
    <w:rsid w:val="005057E0"/>
    <w:rsid w:val="00506286"/>
    <w:rsid w:val="005066A5"/>
    <w:rsid w:val="00510813"/>
    <w:rsid w:val="00511DE0"/>
    <w:rsid w:val="005142D3"/>
    <w:rsid w:val="00517F02"/>
    <w:rsid w:val="00523B31"/>
    <w:rsid w:val="00524547"/>
    <w:rsid w:val="00525315"/>
    <w:rsid w:val="005258A2"/>
    <w:rsid w:val="00530F7C"/>
    <w:rsid w:val="0053301F"/>
    <w:rsid w:val="00534567"/>
    <w:rsid w:val="00534DB2"/>
    <w:rsid w:val="00534F43"/>
    <w:rsid w:val="00535A84"/>
    <w:rsid w:val="00536889"/>
    <w:rsid w:val="005423C3"/>
    <w:rsid w:val="00542B0D"/>
    <w:rsid w:val="00542E07"/>
    <w:rsid w:val="00544A8F"/>
    <w:rsid w:val="005473EC"/>
    <w:rsid w:val="00547F2E"/>
    <w:rsid w:val="00554A7B"/>
    <w:rsid w:val="0055572C"/>
    <w:rsid w:val="0056064F"/>
    <w:rsid w:val="0056158D"/>
    <w:rsid w:val="00561B84"/>
    <w:rsid w:val="00562375"/>
    <w:rsid w:val="00563141"/>
    <w:rsid w:val="00563523"/>
    <w:rsid w:val="00564C0C"/>
    <w:rsid w:val="00564E1D"/>
    <w:rsid w:val="00571729"/>
    <w:rsid w:val="00571D98"/>
    <w:rsid w:val="005720AE"/>
    <w:rsid w:val="00574F6D"/>
    <w:rsid w:val="0058030D"/>
    <w:rsid w:val="00582045"/>
    <w:rsid w:val="005847E2"/>
    <w:rsid w:val="00586983"/>
    <w:rsid w:val="00587A54"/>
    <w:rsid w:val="00590479"/>
    <w:rsid w:val="00590AE3"/>
    <w:rsid w:val="005918F1"/>
    <w:rsid w:val="0059191F"/>
    <w:rsid w:val="00593DD1"/>
    <w:rsid w:val="0059619D"/>
    <w:rsid w:val="005A06B7"/>
    <w:rsid w:val="005A1759"/>
    <w:rsid w:val="005A77A7"/>
    <w:rsid w:val="005A7CD3"/>
    <w:rsid w:val="005B02FE"/>
    <w:rsid w:val="005B60F3"/>
    <w:rsid w:val="005B76DC"/>
    <w:rsid w:val="005C1718"/>
    <w:rsid w:val="005C783A"/>
    <w:rsid w:val="005D0369"/>
    <w:rsid w:val="005D4A7C"/>
    <w:rsid w:val="005D5254"/>
    <w:rsid w:val="005D53FE"/>
    <w:rsid w:val="005D7A0F"/>
    <w:rsid w:val="005E0438"/>
    <w:rsid w:val="005E1791"/>
    <w:rsid w:val="005E2CE6"/>
    <w:rsid w:val="005E3F1D"/>
    <w:rsid w:val="005E41FD"/>
    <w:rsid w:val="005E6324"/>
    <w:rsid w:val="005E6481"/>
    <w:rsid w:val="005E7CDC"/>
    <w:rsid w:val="005F0B72"/>
    <w:rsid w:val="005F228B"/>
    <w:rsid w:val="005F27D0"/>
    <w:rsid w:val="005F29CD"/>
    <w:rsid w:val="005F4DFB"/>
    <w:rsid w:val="005F64C3"/>
    <w:rsid w:val="005F6CC0"/>
    <w:rsid w:val="005F6FE3"/>
    <w:rsid w:val="00603E5B"/>
    <w:rsid w:val="0060412A"/>
    <w:rsid w:val="00604BC8"/>
    <w:rsid w:val="006107A7"/>
    <w:rsid w:val="006139C3"/>
    <w:rsid w:val="00615B4C"/>
    <w:rsid w:val="00615B5D"/>
    <w:rsid w:val="0062140C"/>
    <w:rsid w:val="0062146F"/>
    <w:rsid w:val="006301B0"/>
    <w:rsid w:val="00630D1C"/>
    <w:rsid w:val="006343AF"/>
    <w:rsid w:val="0063634A"/>
    <w:rsid w:val="0064250D"/>
    <w:rsid w:val="0064290B"/>
    <w:rsid w:val="0064527F"/>
    <w:rsid w:val="00647C8C"/>
    <w:rsid w:val="006535EB"/>
    <w:rsid w:val="00654A58"/>
    <w:rsid w:val="00657397"/>
    <w:rsid w:val="00662BB2"/>
    <w:rsid w:val="00663016"/>
    <w:rsid w:val="0066364D"/>
    <w:rsid w:val="006638D3"/>
    <w:rsid w:val="00665BD3"/>
    <w:rsid w:val="00670676"/>
    <w:rsid w:val="00670D6B"/>
    <w:rsid w:val="00671F7D"/>
    <w:rsid w:val="00674605"/>
    <w:rsid w:val="006748B8"/>
    <w:rsid w:val="006752A1"/>
    <w:rsid w:val="00675DBD"/>
    <w:rsid w:val="00681C3F"/>
    <w:rsid w:val="0068535B"/>
    <w:rsid w:val="00685F30"/>
    <w:rsid w:val="0068701C"/>
    <w:rsid w:val="0068736E"/>
    <w:rsid w:val="00691521"/>
    <w:rsid w:val="0069290A"/>
    <w:rsid w:val="00697032"/>
    <w:rsid w:val="006975AC"/>
    <w:rsid w:val="006A110F"/>
    <w:rsid w:val="006A15FB"/>
    <w:rsid w:val="006A2EDA"/>
    <w:rsid w:val="006A427B"/>
    <w:rsid w:val="006A49D6"/>
    <w:rsid w:val="006A65D9"/>
    <w:rsid w:val="006A72BF"/>
    <w:rsid w:val="006B3236"/>
    <w:rsid w:val="006B332A"/>
    <w:rsid w:val="006B33BD"/>
    <w:rsid w:val="006C3F75"/>
    <w:rsid w:val="006C4B9D"/>
    <w:rsid w:val="006C4C78"/>
    <w:rsid w:val="006C5478"/>
    <w:rsid w:val="006C728D"/>
    <w:rsid w:val="006D170E"/>
    <w:rsid w:val="006D3FB5"/>
    <w:rsid w:val="006D7CD5"/>
    <w:rsid w:val="006E06AF"/>
    <w:rsid w:val="006E1E57"/>
    <w:rsid w:val="006E5E79"/>
    <w:rsid w:val="006F0C8C"/>
    <w:rsid w:val="006F1789"/>
    <w:rsid w:val="006F3FEC"/>
    <w:rsid w:val="006F7742"/>
    <w:rsid w:val="0070150C"/>
    <w:rsid w:val="007059C4"/>
    <w:rsid w:val="00706C5D"/>
    <w:rsid w:val="00707135"/>
    <w:rsid w:val="007118E6"/>
    <w:rsid w:val="00712BF2"/>
    <w:rsid w:val="00712FCE"/>
    <w:rsid w:val="007203DF"/>
    <w:rsid w:val="00721CD1"/>
    <w:rsid w:val="007225C9"/>
    <w:rsid w:val="0072509A"/>
    <w:rsid w:val="0072512E"/>
    <w:rsid w:val="00731B01"/>
    <w:rsid w:val="00733F38"/>
    <w:rsid w:val="00735CD7"/>
    <w:rsid w:val="00745956"/>
    <w:rsid w:val="007460FA"/>
    <w:rsid w:val="00747159"/>
    <w:rsid w:val="00750417"/>
    <w:rsid w:val="0075094F"/>
    <w:rsid w:val="00754034"/>
    <w:rsid w:val="00754BF1"/>
    <w:rsid w:val="00755A30"/>
    <w:rsid w:val="00755E1C"/>
    <w:rsid w:val="00756556"/>
    <w:rsid w:val="0076132B"/>
    <w:rsid w:val="007623AE"/>
    <w:rsid w:val="007644A4"/>
    <w:rsid w:val="00764AFA"/>
    <w:rsid w:val="0077042F"/>
    <w:rsid w:val="00770B19"/>
    <w:rsid w:val="00771F43"/>
    <w:rsid w:val="00772531"/>
    <w:rsid w:val="00774FA0"/>
    <w:rsid w:val="007756A7"/>
    <w:rsid w:val="00776620"/>
    <w:rsid w:val="007773B8"/>
    <w:rsid w:val="00777875"/>
    <w:rsid w:val="00777B6D"/>
    <w:rsid w:val="00781A11"/>
    <w:rsid w:val="00784855"/>
    <w:rsid w:val="00784F39"/>
    <w:rsid w:val="0078545C"/>
    <w:rsid w:val="00786C02"/>
    <w:rsid w:val="00787B0D"/>
    <w:rsid w:val="007906C4"/>
    <w:rsid w:val="0079313B"/>
    <w:rsid w:val="007940EA"/>
    <w:rsid w:val="00794568"/>
    <w:rsid w:val="00795928"/>
    <w:rsid w:val="007967E8"/>
    <w:rsid w:val="007A1273"/>
    <w:rsid w:val="007A2CBE"/>
    <w:rsid w:val="007A5368"/>
    <w:rsid w:val="007A63F2"/>
    <w:rsid w:val="007B68DE"/>
    <w:rsid w:val="007C0825"/>
    <w:rsid w:val="007C1857"/>
    <w:rsid w:val="007C514F"/>
    <w:rsid w:val="007D0F95"/>
    <w:rsid w:val="007D7ECB"/>
    <w:rsid w:val="007E25A1"/>
    <w:rsid w:val="007E4BD2"/>
    <w:rsid w:val="007E524F"/>
    <w:rsid w:val="007E6A58"/>
    <w:rsid w:val="007E7145"/>
    <w:rsid w:val="007F3916"/>
    <w:rsid w:val="007F556B"/>
    <w:rsid w:val="007F726C"/>
    <w:rsid w:val="007F74F4"/>
    <w:rsid w:val="00801179"/>
    <w:rsid w:val="00802479"/>
    <w:rsid w:val="00802DC0"/>
    <w:rsid w:val="00805372"/>
    <w:rsid w:val="00805B7B"/>
    <w:rsid w:val="00810E24"/>
    <w:rsid w:val="008119DF"/>
    <w:rsid w:val="0081293E"/>
    <w:rsid w:val="00814FFB"/>
    <w:rsid w:val="00820568"/>
    <w:rsid w:val="00823604"/>
    <w:rsid w:val="00824D6A"/>
    <w:rsid w:val="00827416"/>
    <w:rsid w:val="00831164"/>
    <w:rsid w:val="00831A80"/>
    <w:rsid w:val="008332C8"/>
    <w:rsid w:val="00833743"/>
    <w:rsid w:val="008340A4"/>
    <w:rsid w:val="00836799"/>
    <w:rsid w:val="00837028"/>
    <w:rsid w:val="00837131"/>
    <w:rsid w:val="00840069"/>
    <w:rsid w:val="00841621"/>
    <w:rsid w:val="008439E1"/>
    <w:rsid w:val="00844676"/>
    <w:rsid w:val="00845F57"/>
    <w:rsid w:val="008521E0"/>
    <w:rsid w:val="008525B0"/>
    <w:rsid w:val="00857AF5"/>
    <w:rsid w:val="008631EE"/>
    <w:rsid w:val="00866A19"/>
    <w:rsid w:val="00867CBC"/>
    <w:rsid w:val="00867E9D"/>
    <w:rsid w:val="00876C30"/>
    <w:rsid w:val="00877017"/>
    <w:rsid w:val="008773C0"/>
    <w:rsid w:val="00880364"/>
    <w:rsid w:val="008804F7"/>
    <w:rsid w:val="00881E79"/>
    <w:rsid w:val="00886C4C"/>
    <w:rsid w:val="0088711C"/>
    <w:rsid w:val="0088797A"/>
    <w:rsid w:val="008879BB"/>
    <w:rsid w:val="00892927"/>
    <w:rsid w:val="00892ECF"/>
    <w:rsid w:val="00892F06"/>
    <w:rsid w:val="00894285"/>
    <w:rsid w:val="00896436"/>
    <w:rsid w:val="008A40AE"/>
    <w:rsid w:val="008A4E19"/>
    <w:rsid w:val="008A67C5"/>
    <w:rsid w:val="008A728F"/>
    <w:rsid w:val="008B22E1"/>
    <w:rsid w:val="008B3C78"/>
    <w:rsid w:val="008B4AE9"/>
    <w:rsid w:val="008B4CFD"/>
    <w:rsid w:val="008B5223"/>
    <w:rsid w:val="008B65B4"/>
    <w:rsid w:val="008B683E"/>
    <w:rsid w:val="008B7446"/>
    <w:rsid w:val="008B747C"/>
    <w:rsid w:val="008B7E0E"/>
    <w:rsid w:val="008C1820"/>
    <w:rsid w:val="008C2136"/>
    <w:rsid w:val="008C30AD"/>
    <w:rsid w:val="008D068E"/>
    <w:rsid w:val="008D0F7A"/>
    <w:rsid w:val="008D237A"/>
    <w:rsid w:val="008D63BE"/>
    <w:rsid w:val="008D7C22"/>
    <w:rsid w:val="008E0CFF"/>
    <w:rsid w:val="008E1034"/>
    <w:rsid w:val="008E5D6B"/>
    <w:rsid w:val="008E689B"/>
    <w:rsid w:val="008E76F0"/>
    <w:rsid w:val="008F047A"/>
    <w:rsid w:val="008F10C8"/>
    <w:rsid w:val="008F15FE"/>
    <w:rsid w:val="008F1BCD"/>
    <w:rsid w:val="008F2A94"/>
    <w:rsid w:val="008F5187"/>
    <w:rsid w:val="008F709C"/>
    <w:rsid w:val="009021EF"/>
    <w:rsid w:val="0090312B"/>
    <w:rsid w:val="00904961"/>
    <w:rsid w:val="00906376"/>
    <w:rsid w:val="0091736D"/>
    <w:rsid w:val="0093091F"/>
    <w:rsid w:val="00931001"/>
    <w:rsid w:val="00931863"/>
    <w:rsid w:val="00933524"/>
    <w:rsid w:val="00935529"/>
    <w:rsid w:val="009420F3"/>
    <w:rsid w:val="0094278D"/>
    <w:rsid w:val="00945AB5"/>
    <w:rsid w:val="0095308A"/>
    <w:rsid w:val="00955AEE"/>
    <w:rsid w:val="00956F14"/>
    <w:rsid w:val="009620FD"/>
    <w:rsid w:val="0096247A"/>
    <w:rsid w:val="00965894"/>
    <w:rsid w:val="00965F4B"/>
    <w:rsid w:val="00970F8A"/>
    <w:rsid w:val="00971FB5"/>
    <w:rsid w:val="00972D2A"/>
    <w:rsid w:val="00975CC5"/>
    <w:rsid w:val="00976328"/>
    <w:rsid w:val="00976B4E"/>
    <w:rsid w:val="009774CB"/>
    <w:rsid w:val="00984458"/>
    <w:rsid w:val="00985283"/>
    <w:rsid w:val="0098529E"/>
    <w:rsid w:val="00986C5B"/>
    <w:rsid w:val="00987322"/>
    <w:rsid w:val="00996400"/>
    <w:rsid w:val="0099648A"/>
    <w:rsid w:val="009A0F3B"/>
    <w:rsid w:val="009A1FBE"/>
    <w:rsid w:val="009A4054"/>
    <w:rsid w:val="009A4B75"/>
    <w:rsid w:val="009A72C7"/>
    <w:rsid w:val="009B0897"/>
    <w:rsid w:val="009B2786"/>
    <w:rsid w:val="009B59F4"/>
    <w:rsid w:val="009C63B8"/>
    <w:rsid w:val="009C6E7E"/>
    <w:rsid w:val="009D0852"/>
    <w:rsid w:val="009D1FBF"/>
    <w:rsid w:val="009E3731"/>
    <w:rsid w:val="009E399C"/>
    <w:rsid w:val="009E43C1"/>
    <w:rsid w:val="009E7E95"/>
    <w:rsid w:val="009F116F"/>
    <w:rsid w:val="009F17A5"/>
    <w:rsid w:val="009F329E"/>
    <w:rsid w:val="009F34E9"/>
    <w:rsid w:val="009F3513"/>
    <w:rsid w:val="009F4D80"/>
    <w:rsid w:val="009F6BC6"/>
    <w:rsid w:val="009F7ED3"/>
    <w:rsid w:val="00A01BE0"/>
    <w:rsid w:val="00A03607"/>
    <w:rsid w:val="00A047FF"/>
    <w:rsid w:val="00A04FEF"/>
    <w:rsid w:val="00A07A92"/>
    <w:rsid w:val="00A11F9F"/>
    <w:rsid w:val="00A122CD"/>
    <w:rsid w:val="00A12A32"/>
    <w:rsid w:val="00A14248"/>
    <w:rsid w:val="00A14947"/>
    <w:rsid w:val="00A21929"/>
    <w:rsid w:val="00A21B2C"/>
    <w:rsid w:val="00A23124"/>
    <w:rsid w:val="00A23DC5"/>
    <w:rsid w:val="00A240AB"/>
    <w:rsid w:val="00A27D4B"/>
    <w:rsid w:val="00A3091A"/>
    <w:rsid w:val="00A31292"/>
    <w:rsid w:val="00A3214E"/>
    <w:rsid w:val="00A33D82"/>
    <w:rsid w:val="00A34028"/>
    <w:rsid w:val="00A35568"/>
    <w:rsid w:val="00A3681B"/>
    <w:rsid w:val="00A36B8A"/>
    <w:rsid w:val="00A37056"/>
    <w:rsid w:val="00A4358F"/>
    <w:rsid w:val="00A44C57"/>
    <w:rsid w:val="00A46F67"/>
    <w:rsid w:val="00A523BB"/>
    <w:rsid w:val="00A52D7C"/>
    <w:rsid w:val="00A54AA1"/>
    <w:rsid w:val="00A568FF"/>
    <w:rsid w:val="00A56E2C"/>
    <w:rsid w:val="00A61496"/>
    <w:rsid w:val="00A616A4"/>
    <w:rsid w:val="00A61833"/>
    <w:rsid w:val="00A624C6"/>
    <w:rsid w:val="00A63A87"/>
    <w:rsid w:val="00A63CEC"/>
    <w:rsid w:val="00A7031E"/>
    <w:rsid w:val="00A728B1"/>
    <w:rsid w:val="00A763DE"/>
    <w:rsid w:val="00A803D6"/>
    <w:rsid w:val="00A81282"/>
    <w:rsid w:val="00A81DD8"/>
    <w:rsid w:val="00A8610D"/>
    <w:rsid w:val="00A8713F"/>
    <w:rsid w:val="00A91167"/>
    <w:rsid w:val="00A9171C"/>
    <w:rsid w:val="00A92FFD"/>
    <w:rsid w:val="00A9581E"/>
    <w:rsid w:val="00A95975"/>
    <w:rsid w:val="00A9708D"/>
    <w:rsid w:val="00AA2C17"/>
    <w:rsid w:val="00AA4172"/>
    <w:rsid w:val="00AA6817"/>
    <w:rsid w:val="00AA6B34"/>
    <w:rsid w:val="00AB1914"/>
    <w:rsid w:val="00AB5330"/>
    <w:rsid w:val="00AB7747"/>
    <w:rsid w:val="00AC2532"/>
    <w:rsid w:val="00AC376C"/>
    <w:rsid w:val="00AC3888"/>
    <w:rsid w:val="00AC6734"/>
    <w:rsid w:val="00AC7C07"/>
    <w:rsid w:val="00AD1507"/>
    <w:rsid w:val="00AD575A"/>
    <w:rsid w:val="00AD5A70"/>
    <w:rsid w:val="00AD738B"/>
    <w:rsid w:val="00AE1131"/>
    <w:rsid w:val="00AE16CE"/>
    <w:rsid w:val="00AE1BF4"/>
    <w:rsid w:val="00AE2038"/>
    <w:rsid w:val="00AE5D97"/>
    <w:rsid w:val="00AE6794"/>
    <w:rsid w:val="00B01110"/>
    <w:rsid w:val="00B016BB"/>
    <w:rsid w:val="00B02262"/>
    <w:rsid w:val="00B03CEC"/>
    <w:rsid w:val="00B0748C"/>
    <w:rsid w:val="00B1139B"/>
    <w:rsid w:val="00B1209F"/>
    <w:rsid w:val="00B12AD0"/>
    <w:rsid w:val="00B24F30"/>
    <w:rsid w:val="00B31ABF"/>
    <w:rsid w:val="00B335AE"/>
    <w:rsid w:val="00B3664F"/>
    <w:rsid w:val="00B37CE1"/>
    <w:rsid w:val="00B40ACF"/>
    <w:rsid w:val="00B43738"/>
    <w:rsid w:val="00B46BAA"/>
    <w:rsid w:val="00B50B2D"/>
    <w:rsid w:val="00B50B5F"/>
    <w:rsid w:val="00B52B03"/>
    <w:rsid w:val="00B531A6"/>
    <w:rsid w:val="00B54128"/>
    <w:rsid w:val="00B55826"/>
    <w:rsid w:val="00B57F8E"/>
    <w:rsid w:val="00B60426"/>
    <w:rsid w:val="00B622DD"/>
    <w:rsid w:val="00B63522"/>
    <w:rsid w:val="00B76F1D"/>
    <w:rsid w:val="00B80BA3"/>
    <w:rsid w:val="00B92A19"/>
    <w:rsid w:val="00B9544C"/>
    <w:rsid w:val="00BA0F7E"/>
    <w:rsid w:val="00BA29E9"/>
    <w:rsid w:val="00BA5ECE"/>
    <w:rsid w:val="00BA7527"/>
    <w:rsid w:val="00BB23A4"/>
    <w:rsid w:val="00BB3618"/>
    <w:rsid w:val="00BB45DD"/>
    <w:rsid w:val="00BB52BC"/>
    <w:rsid w:val="00BB7427"/>
    <w:rsid w:val="00BC0C9E"/>
    <w:rsid w:val="00BC2E1A"/>
    <w:rsid w:val="00BC32DC"/>
    <w:rsid w:val="00BC7F69"/>
    <w:rsid w:val="00BD0CB1"/>
    <w:rsid w:val="00BD1B51"/>
    <w:rsid w:val="00BD3A30"/>
    <w:rsid w:val="00BD47F6"/>
    <w:rsid w:val="00BD5C6B"/>
    <w:rsid w:val="00BD5C9F"/>
    <w:rsid w:val="00BE312D"/>
    <w:rsid w:val="00BE3FCA"/>
    <w:rsid w:val="00BE6ACF"/>
    <w:rsid w:val="00BE6C85"/>
    <w:rsid w:val="00BE6D1D"/>
    <w:rsid w:val="00BF588F"/>
    <w:rsid w:val="00C05719"/>
    <w:rsid w:val="00C10578"/>
    <w:rsid w:val="00C11469"/>
    <w:rsid w:val="00C17441"/>
    <w:rsid w:val="00C17D62"/>
    <w:rsid w:val="00C21716"/>
    <w:rsid w:val="00C21FDC"/>
    <w:rsid w:val="00C24EE7"/>
    <w:rsid w:val="00C2596A"/>
    <w:rsid w:val="00C271BE"/>
    <w:rsid w:val="00C27425"/>
    <w:rsid w:val="00C3092C"/>
    <w:rsid w:val="00C328FE"/>
    <w:rsid w:val="00C32D2A"/>
    <w:rsid w:val="00C33A05"/>
    <w:rsid w:val="00C37EC5"/>
    <w:rsid w:val="00C4043A"/>
    <w:rsid w:val="00C42500"/>
    <w:rsid w:val="00C425F0"/>
    <w:rsid w:val="00C434B9"/>
    <w:rsid w:val="00C4409D"/>
    <w:rsid w:val="00C455BE"/>
    <w:rsid w:val="00C51E5F"/>
    <w:rsid w:val="00C53832"/>
    <w:rsid w:val="00C543EC"/>
    <w:rsid w:val="00C564F1"/>
    <w:rsid w:val="00C61E4B"/>
    <w:rsid w:val="00C626A2"/>
    <w:rsid w:val="00C62E3A"/>
    <w:rsid w:val="00C64503"/>
    <w:rsid w:val="00C64A1F"/>
    <w:rsid w:val="00C64BFF"/>
    <w:rsid w:val="00C75F2C"/>
    <w:rsid w:val="00C763C9"/>
    <w:rsid w:val="00C80057"/>
    <w:rsid w:val="00C82C79"/>
    <w:rsid w:val="00C84753"/>
    <w:rsid w:val="00C91142"/>
    <w:rsid w:val="00C91611"/>
    <w:rsid w:val="00C96C1D"/>
    <w:rsid w:val="00C97710"/>
    <w:rsid w:val="00CA1104"/>
    <w:rsid w:val="00CA1CD6"/>
    <w:rsid w:val="00CA3585"/>
    <w:rsid w:val="00CA3D5A"/>
    <w:rsid w:val="00CA4C7C"/>
    <w:rsid w:val="00CA5998"/>
    <w:rsid w:val="00CB0183"/>
    <w:rsid w:val="00CB08B4"/>
    <w:rsid w:val="00CB1EA3"/>
    <w:rsid w:val="00CB414E"/>
    <w:rsid w:val="00CB552C"/>
    <w:rsid w:val="00CB5848"/>
    <w:rsid w:val="00CB6A9E"/>
    <w:rsid w:val="00CC0C19"/>
    <w:rsid w:val="00CC45E4"/>
    <w:rsid w:val="00CC490B"/>
    <w:rsid w:val="00CC6181"/>
    <w:rsid w:val="00CD2BCD"/>
    <w:rsid w:val="00CD36AA"/>
    <w:rsid w:val="00CD3791"/>
    <w:rsid w:val="00CD631F"/>
    <w:rsid w:val="00CD65B0"/>
    <w:rsid w:val="00CE02CD"/>
    <w:rsid w:val="00CE0487"/>
    <w:rsid w:val="00CE10E9"/>
    <w:rsid w:val="00CE32D8"/>
    <w:rsid w:val="00CE4037"/>
    <w:rsid w:val="00CF190E"/>
    <w:rsid w:val="00CF51BB"/>
    <w:rsid w:val="00D0072E"/>
    <w:rsid w:val="00D05654"/>
    <w:rsid w:val="00D06FE0"/>
    <w:rsid w:val="00D1422A"/>
    <w:rsid w:val="00D147FF"/>
    <w:rsid w:val="00D14DC8"/>
    <w:rsid w:val="00D15727"/>
    <w:rsid w:val="00D16332"/>
    <w:rsid w:val="00D23F7B"/>
    <w:rsid w:val="00D24972"/>
    <w:rsid w:val="00D2515E"/>
    <w:rsid w:val="00D30492"/>
    <w:rsid w:val="00D308ED"/>
    <w:rsid w:val="00D33224"/>
    <w:rsid w:val="00D355DA"/>
    <w:rsid w:val="00D41B8E"/>
    <w:rsid w:val="00D4440F"/>
    <w:rsid w:val="00D47217"/>
    <w:rsid w:val="00D50357"/>
    <w:rsid w:val="00D543F0"/>
    <w:rsid w:val="00D56178"/>
    <w:rsid w:val="00D56CF0"/>
    <w:rsid w:val="00D56F5C"/>
    <w:rsid w:val="00D704B1"/>
    <w:rsid w:val="00D70B63"/>
    <w:rsid w:val="00D7105A"/>
    <w:rsid w:val="00D72375"/>
    <w:rsid w:val="00D72B92"/>
    <w:rsid w:val="00D72ED4"/>
    <w:rsid w:val="00D730DD"/>
    <w:rsid w:val="00D73F61"/>
    <w:rsid w:val="00D754C0"/>
    <w:rsid w:val="00D776A2"/>
    <w:rsid w:val="00D801C4"/>
    <w:rsid w:val="00D825B7"/>
    <w:rsid w:val="00D90836"/>
    <w:rsid w:val="00D91C61"/>
    <w:rsid w:val="00D92A9C"/>
    <w:rsid w:val="00D95896"/>
    <w:rsid w:val="00D95CC6"/>
    <w:rsid w:val="00D96F41"/>
    <w:rsid w:val="00DA2DA3"/>
    <w:rsid w:val="00DA62BD"/>
    <w:rsid w:val="00DA6615"/>
    <w:rsid w:val="00DA6F2B"/>
    <w:rsid w:val="00DA76AE"/>
    <w:rsid w:val="00DB181E"/>
    <w:rsid w:val="00DB1C7A"/>
    <w:rsid w:val="00DB1EF2"/>
    <w:rsid w:val="00DB2983"/>
    <w:rsid w:val="00DB343D"/>
    <w:rsid w:val="00DB50F6"/>
    <w:rsid w:val="00DB5579"/>
    <w:rsid w:val="00DB5CFE"/>
    <w:rsid w:val="00DB6AF0"/>
    <w:rsid w:val="00DC0D65"/>
    <w:rsid w:val="00DC4161"/>
    <w:rsid w:val="00DC72A6"/>
    <w:rsid w:val="00DC752F"/>
    <w:rsid w:val="00DD1691"/>
    <w:rsid w:val="00DD2113"/>
    <w:rsid w:val="00DD265E"/>
    <w:rsid w:val="00DD3228"/>
    <w:rsid w:val="00DD660B"/>
    <w:rsid w:val="00DD6901"/>
    <w:rsid w:val="00DD75EE"/>
    <w:rsid w:val="00DE0607"/>
    <w:rsid w:val="00DE31FA"/>
    <w:rsid w:val="00DE55A1"/>
    <w:rsid w:val="00DE6FCC"/>
    <w:rsid w:val="00DF1930"/>
    <w:rsid w:val="00DF514A"/>
    <w:rsid w:val="00DF5D6A"/>
    <w:rsid w:val="00DF7BF8"/>
    <w:rsid w:val="00E00B3A"/>
    <w:rsid w:val="00E00F50"/>
    <w:rsid w:val="00E030E7"/>
    <w:rsid w:val="00E0358D"/>
    <w:rsid w:val="00E04EFA"/>
    <w:rsid w:val="00E06327"/>
    <w:rsid w:val="00E2064B"/>
    <w:rsid w:val="00E25239"/>
    <w:rsid w:val="00E265B1"/>
    <w:rsid w:val="00E275B0"/>
    <w:rsid w:val="00E301C7"/>
    <w:rsid w:val="00E412D0"/>
    <w:rsid w:val="00E44310"/>
    <w:rsid w:val="00E4591C"/>
    <w:rsid w:val="00E4600B"/>
    <w:rsid w:val="00E47CDB"/>
    <w:rsid w:val="00E566BC"/>
    <w:rsid w:val="00E60982"/>
    <w:rsid w:val="00E60C8D"/>
    <w:rsid w:val="00E60CA5"/>
    <w:rsid w:val="00E6162F"/>
    <w:rsid w:val="00E6311B"/>
    <w:rsid w:val="00E649E8"/>
    <w:rsid w:val="00E65D97"/>
    <w:rsid w:val="00E6666A"/>
    <w:rsid w:val="00E67EFD"/>
    <w:rsid w:val="00E702DC"/>
    <w:rsid w:val="00E70517"/>
    <w:rsid w:val="00E71462"/>
    <w:rsid w:val="00E71FFB"/>
    <w:rsid w:val="00E74C33"/>
    <w:rsid w:val="00E75D60"/>
    <w:rsid w:val="00E76D1D"/>
    <w:rsid w:val="00E806F8"/>
    <w:rsid w:val="00E81F21"/>
    <w:rsid w:val="00E823F4"/>
    <w:rsid w:val="00E826C6"/>
    <w:rsid w:val="00E86667"/>
    <w:rsid w:val="00E87752"/>
    <w:rsid w:val="00E8793B"/>
    <w:rsid w:val="00E90CFA"/>
    <w:rsid w:val="00E90F81"/>
    <w:rsid w:val="00E91A6D"/>
    <w:rsid w:val="00E9242D"/>
    <w:rsid w:val="00E928E5"/>
    <w:rsid w:val="00E94FD6"/>
    <w:rsid w:val="00EA0915"/>
    <w:rsid w:val="00EA79D9"/>
    <w:rsid w:val="00EB041C"/>
    <w:rsid w:val="00EB1CC0"/>
    <w:rsid w:val="00EC5874"/>
    <w:rsid w:val="00ED192D"/>
    <w:rsid w:val="00ED30B4"/>
    <w:rsid w:val="00ED31F5"/>
    <w:rsid w:val="00ED501D"/>
    <w:rsid w:val="00EF1C2D"/>
    <w:rsid w:val="00EF2759"/>
    <w:rsid w:val="00EF45EB"/>
    <w:rsid w:val="00EF47A3"/>
    <w:rsid w:val="00EF5099"/>
    <w:rsid w:val="00EF5E33"/>
    <w:rsid w:val="00F00075"/>
    <w:rsid w:val="00F07822"/>
    <w:rsid w:val="00F15AEF"/>
    <w:rsid w:val="00F15C95"/>
    <w:rsid w:val="00F22985"/>
    <w:rsid w:val="00F24110"/>
    <w:rsid w:val="00F241AB"/>
    <w:rsid w:val="00F267B1"/>
    <w:rsid w:val="00F27795"/>
    <w:rsid w:val="00F30DD8"/>
    <w:rsid w:val="00F31382"/>
    <w:rsid w:val="00F35829"/>
    <w:rsid w:val="00F358D7"/>
    <w:rsid w:val="00F36AA9"/>
    <w:rsid w:val="00F42868"/>
    <w:rsid w:val="00F463E4"/>
    <w:rsid w:val="00F465A7"/>
    <w:rsid w:val="00F50B7C"/>
    <w:rsid w:val="00F5202D"/>
    <w:rsid w:val="00F52CF6"/>
    <w:rsid w:val="00F54496"/>
    <w:rsid w:val="00F55C38"/>
    <w:rsid w:val="00F57AA2"/>
    <w:rsid w:val="00F61097"/>
    <w:rsid w:val="00F62DCC"/>
    <w:rsid w:val="00F657CC"/>
    <w:rsid w:val="00F71348"/>
    <w:rsid w:val="00F7175E"/>
    <w:rsid w:val="00F74345"/>
    <w:rsid w:val="00F74441"/>
    <w:rsid w:val="00F77F30"/>
    <w:rsid w:val="00F82589"/>
    <w:rsid w:val="00F82B19"/>
    <w:rsid w:val="00F82BD8"/>
    <w:rsid w:val="00F8371D"/>
    <w:rsid w:val="00F90AA7"/>
    <w:rsid w:val="00F9212D"/>
    <w:rsid w:val="00FA301A"/>
    <w:rsid w:val="00FA406A"/>
    <w:rsid w:val="00FA5CB6"/>
    <w:rsid w:val="00FA77A8"/>
    <w:rsid w:val="00FB0247"/>
    <w:rsid w:val="00FB16A6"/>
    <w:rsid w:val="00FB30B4"/>
    <w:rsid w:val="00FC66AC"/>
    <w:rsid w:val="00FD18F4"/>
    <w:rsid w:val="00FD35CF"/>
    <w:rsid w:val="00FD74B4"/>
    <w:rsid w:val="00FE362C"/>
    <w:rsid w:val="00FF0C7B"/>
    <w:rsid w:val="00FF1E31"/>
    <w:rsid w:val="00FF6FCE"/>
    <w:rsid w:val="00FF7518"/>
    <w:rsid w:val="00FF7F18"/>
    <w:rsid w:val="00FF7FD8"/>
    <w:rsid w:val="05742AC8"/>
    <w:rsid w:val="06352F05"/>
    <w:rsid w:val="063E7D85"/>
    <w:rsid w:val="070875E0"/>
    <w:rsid w:val="07293586"/>
    <w:rsid w:val="07295285"/>
    <w:rsid w:val="07770C56"/>
    <w:rsid w:val="092217DD"/>
    <w:rsid w:val="093A7294"/>
    <w:rsid w:val="0BD27BF6"/>
    <w:rsid w:val="0E110D06"/>
    <w:rsid w:val="0F13775A"/>
    <w:rsid w:val="0F9A112B"/>
    <w:rsid w:val="106D2F64"/>
    <w:rsid w:val="10B63710"/>
    <w:rsid w:val="111C2F7A"/>
    <w:rsid w:val="113013DE"/>
    <w:rsid w:val="122B06C2"/>
    <w:rsid w:val="13951726"/>
    <w:rsid w:val="14396509"/>
    <w:rsid w:val="1447165C"/>
    <w:rsid w:val="17735226"/>
    <w:rsid w:val="1A1C66C0"/>
    <w:rsid w:val="1A42393B"/>
    <w:rsid w:val="1B046F80"/>
    <w:rsid w:val="1B3267B5"/>
    <w:rsid w:val="1BC25DC8"/>
    <w:rsid w:val="1C5E7925"/>
    <w:rsid w:val="1C887FC8"/>
    <w:rsid w:val="1D5F6196"/>
    <w:rsid w:val="1D6132A5"/>
    <w:rsid w:val="1D8E56D5"/>
    <w:rsid w:val="1E7A43DA"/>
    <w:rsid w:val="1EB277FE"/>
    <w:rsid w:val="1FE7539E"/>
    <w:rsid w:val="20963CB8"/>
    <w:rsid w:val="20B07FB6"/>
    <w:rsid w:val="213B74B1"/>
    <w:rsid w:val="215A2310"/>
    <w:rsid w:val="21DE318A"/>
    <w:rsid w:val="21EF5B80"/>
    <w:rsid w:val="22576990"/>
    <w:rsid w:val="229C4EAB"/>
    <w:rsid w:val="252D53FE"/>
    <w:rsid w:val="25EC2D81"/>
    <w:rsid w:val="264528BD"/>
    <w:rsid w:val="27D15DD1"/>
    <w:rsid w:val="28A76295"/>
    <w:rsid w:val="29206EB8"/>
    <w:rsid w:val="29E325E0"/>
    <w:rsid w:val="2A452503"/>
    <w:rsid w:val="2BA936A8"/>
    <w:rsid w:val="2C315A5A"/>
    <w:rsid w:val="2D9E56F5"/>
    <w:rsid w:val="2E667F96"/>
    <w:rsid w:val="2E8226AB"/>
    <w:rsid w:val="2F832C79"/>
    <w:rsid w:val="2FEF2D58"/>
    <w:rsid w:val="30580BC9"/>
    <w:rsid w:val="311E2ED7"/>
    <w:rsid w:val="315C449C"/>
    <w:rsid w:val="31B82709"/>
    <w:rsid w:val="32400B34"/>
    <w:rsid w:val="329E6876"/>
    <w:rsid w:val="33D934D4"/>
    <w:rsid w:val="33FE2F6A"/>
    <w:rsid w:val="36074A7F"/>
    <w:rsid w:val="36923549"/>
    <w:rsid w:val="36B75FBF"/>
    <w:rsid w:val="36FB4891"/>
    <w:rsid w:val="38F12CD3"/>
    <w:rsid w:val="38F94775"/>
    <w:rsid w:val="392971ED"/>
    <w:rsid w:val="3B3763D1"/>
    <w:rsid w:val="3CDA245A"/>
    <w:rsid w:val="3CEE0A37"/>
    <w:rsid w:val="3F660E74"/>
    <w:rsid w:val="407A6407"/>
    <w:rsid w:val="423A3BCC"/>
    <w:rsid w:val="433A6FE6"/>
    <w:rsid w:val="4350713C"/>
    <w:rsid w:val="436653E0"/>
    <w:rsid w:val="44CD14E0"/>
    <w:rsid w:val="458946E9"/>
    <w:rsid w:val="46D955A7"/>
    <w:rsid w:val="47133957"/>
    <w:rsid w:val="4779329E"/>
    <w:rsid w:val="47A07E0C"/>
    <w:rsid w:val="4870272E"/>
    <w:rsid w:val="49DC7715"/>
    <w:rsid w:val="4A023139"/>
    <w:rsid w:val="4A7B576F"/>
    <w:rsid w:val="4C4A0649"/>
    <w:rsid w:val="4CE470D3"/>
    <w:rsid w:val="4DEC4FB0"/>
    <w:rsid w:val="4E075D8A"/>
    <w:rsid w:val="4FC62A8C"/>
    <w:rsid w:val="4FE20F0D"/>
    <w:rsid w:val="50504C4B"/>
    <w:rsid w:val="509C6E7C"/>
    <w:rsid w:val="5162104E"/>
    <w:rsid w:val="53A039CC"/>
    <w:rsid w:val="53A1505A"/>
    <w:rsid w:val="54063E08"/>
    <w:rsid w:val="543437E8"/>
    <w:rsid w:val="559B174B"/>
    <w:rsid w:val="55CE0CF4"/>
    <w:rsid w:val="56B22A9C"/>
    <w:rsid w:val="57B72A76"/>
    <w:rsid w:val="5A3C747D"/>
    <w:rsid w:val="5ABE2233"/>
    <w:rsid w:val="5B276D18"/>
    <w:rsid w:val="5BDF5D95"/>
    <w:rsid w:val="5DF87A0F"/>
    <w:rsid w:val="5F1A2B43"/>
    <w:rsid w:val="5FB837BB"/>
    <w:rsid w:val="62364782"/>
    <w:rsid w:val="63D40BE9"/>
    <w:rsid w:val="63E0211F"/>
    <w:rsid w:val="65373578"/>
    <w:rsid w:val="673F2C7A"/>
    <w:rsid w:val="681F6961"/>
    <w:rsid w:val="68610A2F"/>
    <w:rsid w:val="68805514"/>
    <w:rsid w:val="694E2071"/>
    <w:rsid w:val="697A3B33"/>
    <w:rsid w:val="699E2456"/>
    <w:rsid w:val="6B322639"/>
    <w:rsid w:val="6C636C38"/>
    <w:rsid w:val="6DB34098"/>
    <w:rsid w:val="6DB545B6"/>
    <w:rsid w:val="6E4375A0"/>
    <w:rsid w:val="6E514CED"/>
    <w:rsid w:val="6E79491A"/>
    <w:rsid w:val="6EB563D5"/>
    <w:rsid w:val="6F225983"/>
    <w:rsid w:val="6FFC5590"/>
    <w:rsid w:val="70301DA3"/>
    <w:rsid w:val="706D1DD0"/>
    <w:rsid w:val="70856B87"/>
    <w:rsid w:val="70D527EE"/>
    <w:rsid w:val="711F69A8"/>
    <w:rsid w:val="715B5300"/>
    <w:rsid w:val="715F4BD7"/>
    <w:rsid w:val="71D27F8A"/>
    <w:rsid w:val="71F744C6"/>
    <w:rsid w:val="71F960CF"/>
    <w:rsid w:val="731F5D5E"/>
    <w:rsid w:val="741E793C"/>
    <w:rsid w:val="758D75E2"/>
    <w:rsid w:val="77762421"/>
    <w:rsid w:val="780F09F4"/>
    <w:rsid w:val="789C4F47"/>
    <w:rsid w:val="78A90480"/>
    <w:rsid w:val="79811327"/>
    <w:rsid w:val="7A364017"/>
    <w:rsid w:val="7A8265E1"/>
    <w:rsid w:val="7B686D42"/>
    <w:rsid w:val="7B841746"/>
    <w:rsid w:val="7D0239FF"/>
    <w:rsid w:val="7D5E40CD"/>
    <w:rsid w:val="7D693BED"/>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ocked="1"/>
    <w:lsdException w:qFormat="1" w:uiPriority="0" w:semiHidden="0" w:name="heading 3" w:locked="1"/>
    <w:lsdException w:qFormat="1" w:uiPriority="0" w:semiHidden="0" w:name="heading 4" w:locked="1"/>
    <w:lsdException w:qFormat="1" w:uiPriority="0" w:semiHidden="0" w:name="heading 5" w:locked="1"/>
    <w:lsdException w:qFormat="1" w:uiPriority="0" w:semiHidden="0" w:name="heading 6" w:locked="1"/>
    <w:lsdException w:qFormat="1" w:uiPriority="0" w:semiHidden="0" w:name="heading 7" w:locked="1"/>
    <w:lsdException w:qFormat="1" w:uiPriority="0" w:semiHidden="0" w:name="heading 8" w:locked="1"/>
    <w:lsdException w:qFormat="1" w:uiPriority="0" w:semiHidden="0" w:name="heading 9" w:locked="1"/>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ocked="1"/>
    <w:lsdException w:qFormat="1" w:uiPriority="39" w:semiHidden="0" w:name="toc 2" w:locked="1"/>
    <w:lsdException w:qFormat="1" w:uiPriority="39"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nhideWhenUsed="0" w:uiPriority="0" w:semiHidden="0" w:name="Normal Indent"/>
    <w:lsdException w:unhideWhenUsed="0" w:uiPriority="0" w:semiHidden="0" w:name="footnote text"/>
    <w:lsdException w:qFormat="1" w:uiPriority="0" w:name="annotation text"/>
    <w:lsdException w:qFormat="1" w:uiPriority="99" w:semiHidden="0" w:name="header"/>
    <w:lsdException w:qFormat="1" w:uiPriority="99" w:semiHidden="0" w:name="footer"/>
    <w:lsdException w:unhideWhenUsed="0" w:uiPriority="0" w:semiHidden="0" w:name="index heading"/>
    <w:lsdException w:qFormat="1" w:unhideWhenUsed="0" w:uiPriority="0" w:semiHidden="0" w:name="caption" w:locked="1"/>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99"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ocked="1"/>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ocked="1"/>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22" w:semiHidden="0" w:name="Strong" w:locked="1"/>
    <w:lsdException w:qFormat="1" w:unhideWhenUsed="0" w:uiPriority="20" w:semiHidden="0" w:name="Emphasis" w:locked="1"/>
    <w:lsdException w:unhideWhenUsed="0" w:uiPriority="0" w:semiHidden="0" w:name="Document Map"/>
    <w:lsdException w:qFormat="1" w:uiPriority="99" w:semiHidden="0" w:name="Plain Text"/>
    <w:lsdException w:unhideWhenUsed="0" w:uiPriority="0" w:semiHidden="0" w:name="E-mail Signature"/>
    <w:lsdException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qFormat="1"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iPriority="99" w:name="annotation subject"/>
    <w:lsdException w:uiPriority="0" w:name="Table Simple 1"/>
    <w:lsdException w:uiPriority="0" w:name="Table Simple 2"/>
    <w:lsdException w:uiPriority="0" w:name="Table Simple 3"/>
    <w:lsdException w:uiPriority="0" w:name="Table Classic 1"/>
    <w:lsdException w:qFormat="1" w:uiPriority="99" w:semiHidden="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next w:val="3"/>
    <w:link w:val="79"/>
    <w:qFormat/>
    <w:uiPriority w:val="0"/>
    <w:pPr>
      <w:widowControl w:val="0"/>
      <w:numPr>
        <w:ilvl w:val="0"/>
        <w:numId w:val="1"/>
      </w:numPr>
      <w:adjustRightInd w:val="0"/>
      <w:snapToGrid w:val="0"/>
      <w:spacing w:before="100" w:beforeAutospacing="1" w:line="360" w:lineRule="auto"/>
      <w:outlineLvl w:val="0"/>
    </w:pPr>
    <w:rPr>
      <w:rFonts w:ascii="黑体" w:hAnsi="Times New Roman" w:eastAsia="黑体" w:cs="Times New Roman"/>
      <w:kern w:val="44"/>
      <w:sz w:val="30"/>
      <w:szCs w:val="44"/>
      <w:lang w:val="en-US" w:eastAsia="zh-CN" w:bidi="ar-SA"/>
    </w:rPr>
  </w:style>
  <w:style w:type="paragraph" w:styleId="4">
    <w:name w:val="heading 2"/>
    <w:next w:val="3"/>
    <w:link w:val="80"/>
    <w:unhideWhenUsed/>
    <w:qFormat/>
    <w:locked/>
    <w:uiPriority w:val="0"/>
    <w:pPr>
      <w:keepNext/>
      <w:widowControl w:val="0"/>
      <w:numPr>
        <w:ilvl w:val="1"/>
        <w:numId w:val="1"/>
      </w:numPr>
      <w:adjustRightInd w:val="0"/>
      <w:snapToGrid w:val="0"/>
      <w:spacing w:before="100" w:beforeAutospacing="1" w:line="360" w:lineRule="auto"/>
      <w:outlineLvl w:val="1"/>
    </w:pPr>
    <w:rPr>
      <w:rFonts w:ascii="黑体" w:hAnsi="Cambria" w:eastAsia="黑体" w:cs="Times New Roman"/>
      <w:bCs/>
      <w:kern w:val="2"/>
      <w:sz w:val="28"/>
      <w:szCs w:val="32"/>
      <w:lang w:val="en-US" w:eastAsia="zh-CN" w:bidi="ar-SA"/>
    </w:rPr>
  </w:style>
  <w:style w:type="paragraph" w:styleId="5">
    <w:name w:val="heading 3"/>
    <w:next w:val="3"/>
    <w:link w:val="81"/>
    <w:unhideWhenUsed/>
    <w:qFormat/>
    <w:locked/>
    <w:uiPriority w:val="0"/>
    <w:pPr>
      <w:keepNext/>
      <w:widowControl w:val="0"/>
      <w:numPr>
        <w:ilvl w:val="2"/>
        <w:numId w:val="1"/>
      </w:numPr>
      <w:adjustRightInd w:val="0"/>
      <w:snapToGrid w:val="0"/>
      <w:spacing w:before="100" w:beforeAutospacing="1" w:line="360" w:lineRule="auto"/>
      <w:outlineLvl w:val="2"/>
    </w:pPr>
    <w:rPr>
      <w:rFonts w:ascii="黑体" w:hAnsi="Calibri" w:eastAsia="黑体" w:cs="Times New Roman"/>
      <w:bCs/>
      <w:kern w:val="2"/>
      <w:sz w:val="24"/>
      <w:szCs w:val="32"/>
      <w:lang w:val="en-US" w:eastAsia="zh-CN" w:bidi="ar-SA"/>
    </w:rPr>
  </w:style>
  <w:style w:type="paragraph" w:styleId="6">
    <w:name w:val="heading 4"/>
    <w:next w:val="3"/>
    <w:link w:val="82"/>
    <w:unhideWhenUsed/>
    <w:qFormat/>
    <w:locked/>
    <w:uiPriority w:val="0"/>
    <w:pPr>
      <w:keepNext/>
      <w:widowControl w:val="0"/>
      <w:numPr>
        <w:ilvl w:val="3"/>
        <w:numId w:val="1"/>
      </w:numPr>
      <w:adjustRightInd w:val="0"/>
      <w:snapToGrid w:val="0"/>
      <w:spacing w:before="100" w:beforeAutospacing="1" w:line="360" w:lineRule="auto"/>
      <w:outlineLvl w:val="3"/>
    </w:pPr>
    <w:rPr>
      <w:rFonts w:ascii="宋体" w:hAnsi="Cambria" w:eastAsia="宋体" w:cs="Times New Roman"/>
      <w:b/>
      <w:bCs/>
      <w:kern w:val="2"/>
      <w:sz w:val="24"/>
      <w:szCs w:val="28"/>
      <w:lang w:val="en-US" w:eastAsia="zh-CN" w:bidi="ar-SA"/>
    </w:rPr>
  </w:style>
  <w:style w:type="paragraph" w:styleId="7">
    <w:name w:val="heading 5"/>
    <w:next w:val="3"/>
    <w:link w:val="83"/>
    <w:unhideWhenUsed/>
    <w:qFormat/>
    <w:locked/>
    <w:uiPriority w:val="0"/>
    <w:pPr>
      <w:keepNext/>
      <w:keepLines/>
      <w:numPr>
        <w:ilvl w:val="4"/>
        <w:numId w:val="1"/>
      </w:numPr>
      <w:spacing w:before="100" w:beforeAutospacing="1" w:line="360" w:lineRule="auto"/>
      <w:outlineLvl w:val="4"/>
    </w:pPr>
    <w:rPr>
      <w:rFonts w:ascii="宋体" w:hAnsi="Calibri" w:eastAsia="宋体" w:cs="Times New Roman"/>
      <w:bCs/>
      <w:kern w:val="2"/>
      <w:sz w:val="24"/>
      <w:szCs w:val="28"/>
      <w:lang w:val="en-US" w:eastAsia="zh-CN" w:bidi="ar-SA"/>
    </w:rPr>
  </w:style>
  <w:style w:type="paragraph" w:styleId="8">
    <w:name w:val="heading 6"/>
    <w:next w:val="3"/>
    <w:link w:val="84"/>
    <w:unhideWhenUsed/>
    <w:qFormat/>
    <w:locked/>
    <w:uiPriority w:val="0"/>
    <w:pPr>
      <w:keepNext/>
      <w:keepLines/>
      <w:numPr>
        <w:ilvl w:val="5"/>
        <w:numId w:val="1"/>
      </w:numPr>
      <w:spacing w:line="360" w:lineRule="auto"/>
      <w:outlineLvl w:val="5"/>
    </w:pPr>
    <w:rPr>
      <w:rFonts w:ascii="宋体" w:hAnsi="Cambria" w:eastAsia="宋体" w:cs="Times New Roman"/>
      <w:bCs/>
      <w:kern w:val="2"/>
      <w:sz w:val="24"/>
      <w:szCs w:val="24"/>
      <w:lang w:val="en-US" w:eastAsia="zh-CN" w:bidi="ar-SA"/>
    </w:rPr>
  </w:style>
  <w:style w:type="paragraph" w:styleId="9">
    <w:name w:val="heading 7"/>
    <w:next w:val="3"/>
    <w:link w:val="85"/>
    <w:unhideWhenUsed/>
    <w:qFormat/>
    <w:locked/>
    <w:uiPriority w:val="0"/>
    <w:pPr>
      <w:keepNext/>
      <w:keepLines/>
      <w:numPr>
        <w:ilvl w:val="6"/>
        <w:numId w:val="1"/>
      </w:numPr>
      <w:spacing w:line="360" w:lineRule="auto"/>
      <w:outlineLvl w:val="6"/>
    </w:pPr>
    <w:rPr>
      <w:rFonts w:ascii="宋体" w:hAnsi="Calibri" w:eastAsia="宋体" w:cs="Times New Roman"/>
      <w:bCs/>
      <w:kern w:val="2"/>
      <w:sz w:val="24"/>
      <w:szCs w:val="24"/>
      <w:lang w:val="en-US" w:eastAsia="zh-CN" w:bidi="ar-SA"/>
    </w:rPr>
  </w:style>
  <w:style w:type="paragraph" w:styleId="10">
    <w:name w:val="heading 8"/>
    <w:next w:val="3"/>
    <w:link w:val="86"/>
    <w:unhideWhenUsed/>
    <w:qFormat/>
    <w:locked/>
    <w:uiPriority w:val="0"/>
    <w:pPr>
      <w:keepNext/>
      <w:keepLines/>
      <w:numPr>
        <w:ilvl w:val="7"/>
        <w:numId w:val="1"/>
      </w:numPr>
      <w:spacing w:line="360" w:lineRule="auto"/>
      <w:outlineLvl w:val="7"/>
    </w:pPr>
    <w:rPr>
      <w:rFonts w:ascii="宋体" w:hAnsi="Cambria" w:eastAsia="宋体" w:cs="Times New Roman"/>
      <w:kern w:val="2"/>
      <w:sz w:val="24"/>
      <w:szCs w:val="24"/>
      <w:lang w:val="en-US" w:eastAsia="zh-CN" w:bidi="ar-SA"/>
    </w:rPr>
  </w:style>
  <w:style w:type="paragraph" w:styleId="11">
    <w:name w:val="heading 9"/>
    <w:next w:val="3"/>
    <w:link w:val="87"/>
    <w:unhideWhenUsed/>
    <w:qFormat/>
    <w:locked/>
    <w:uiPriority w:val="0"/>
    <w:pPr>
      <w:keepNext/>
      <w:keepLines/>
      <w:numPr>
        <w:ilvl w:val="8"/>
        <w:numId w:val="1"/>
      </w:numPr>
      <w:spacing w:line="360" w:lineRule="auto"/>
      <w:outlineLvl w:val="8"/>
    </w:pPr>
    <w:rPr>
      <w:rFonts w:ascii="宋体" w:hAnsi="Cambria" w:eastAsia="宋体" w:cs="Times New Roman"/>
      <w:kern w:val="2"/>
      <w:sz w:val="24"/>
      <w:szCs w:val="21"/>
      <w:lang w:val="en-US" w:eastAsia="zh-CN" w:bidi="ar-SA"/>
    </w:rPr>
  </w:style>
  <w:style w:type="character" w:default="1" w:styleId="32">
    <w:name w:val="Default Paragraph Font"/>
    <w:semiHidden/>
    <w:unhideWhenUsed/>
    <w:uiPriority w:val="1"/>
  </w:style>
  <w:style w:type="table" w:default="1" w:styleId="29">
    <w:name w:val="Normal Table"/>
    <w:semiHidden/>
    <w:unhideWhenUsed/>
    <w:uiPriority w:val="99"/>
    <w:tblPr>
      <w:tblLayout w:type="fixed"/>
      <w:tblCellMar>
        <w:top w:w="0" w:type="dxa"/>
        <w:left w:w="108" w:type="dxa"/>
        <w:bottom w:w="0" w:type="dxa"/>
        <w:right w:w="108" w:type="dxa"/>
      </w:tblCellMar>
    </w:tblPr>
  </w:style>
  <w:style w:type="paragraph" w:customStyle="1" w:styleId="3">
    <w:name w:val="SSEC 正文"/>
    <w:link w:val="76"/>
    <w:qFormat/>
    <w:uiPriority w:val="0"/>
    <w:pPr>
      <w:widowControl w:val="0"/>
      <w:adjustRightInd w:val="0"/>
      <w:snapToGrid w:val="0"/>
      <w:spacing w:line="331" w:lineRule="auto"/>
      <w:ind w:firstLine="200" w:firstLineChars="200"/>
      <w:jc w:val="both"/>
    </w:pPr>
    <w:rPr>
      <w:rFonts w:ascii="宋体" w:hAnsi="宋体" w:eastAsia="宋体" w:cs="Times New Roman"/>
      <w:kern w:val="2"/>
      <w:sz w:val="24"/>
      <w:szCs w:val="24"/>
      <w:lang w:val="en-US" w:eastAsia="zh-CN" w:bidi="ar-SA"/>
    </w:rPr>
  </w:style>
  <w:style w:type="paragraph" w:styleId="12">
    <w:name w:val="caption"/>
    <w:next w:val="1"/>
    <w:link w:val="114"/>
    <w:qFormat/>
    <w:locked/>
    <w:uiPriority w:val="0"/>
    <w:pPr>
      <w:widowControl w:val="0"/>
      <w:adjustRightInd w:val="0"/>
      <w:snapToGrid w:val="0"/>
      <w:spacing w:beforeLines="50" w:line="360" w:lineRule="auto"/>
      <w:jc w:val="center"/>
    </w:pPr>
    <w:rPr>
      <w:rFonts w:ascii="宋体" w:hAnsi="Cambria" w:eastAsia="宋体" w:cs="Times New Roman"/>
      <w:kern w:val="2"/>
      <w:sz w:val="21"/>
      <w:lang w:val="en-US" w:eastAsia="zh-CN" w:bidi="ar-SA"/>
    </w:rPr>
  </w:style>
  <w:style w:type="paragraph" w:styleId="13">
    <w:name w:val="annotation text"/>
    <w:basedOn w:val="1"/>
    <w:link w:val="49"/>
    <w:semiHidden/>
    <w:unhideWhenUsed/>
    <w:qFormat/>
    <w:uiPriority w:val="0"/>
    <w:pPr>
      <w:jc w:val="left"/>
    </w:pPr>
    <w:rPr>
      <w:rFonts w:ascii="Calibri" w:hAnsi="Calibri"/>
      <w:szCs w:val="21"/>
    </w:rPr>
  </w:style>
  <w:style w:type="paragraph" w:styleId="14">
    <w:name w:val="Body Text"/>
    <w:basedOn w:val="1"/>
    <w:link w:val="40"/>
    <w:uiPriority w:val="0"/>
    <w:pPr>
      <w:widowControl/>
      <w:snapToGrid w:val="0"/>
      <w:spacing w:before="60" w:after="160" w:line="259" w:lineRule="auto"/>
      <w:ind w:right="113"/>
    </w:pPr>
    <w:rPr>
      <w:kern w:val="0"/>
      <w:sz w:val="18"/>
      <w:szCs w:val="18"/>
    </w:rPr>
  </w:style>
  <w:style w:type="paragraph" w:styleId="15">
    <w:name w:val="Body Text Indent"/>
    <w:basedOn w:val="1"/>
    <w:link w:val="51"/>
    <w:semiHidden/>
    <w:uiPriority w:val="0"/>
    <w:pPr>
      <w:spacing w:after="120"/>
      <w:ind w:left="420" w:leftChars="200"/>
    </w:pPr>
  </w:style>
  <w:style w:type="paragraph" w:styleId="16">
    <w:name w:val="toc 3"/>
    <w:basedOn w:val="1"/>
    <w:next w:val="1"/>
    <w:unhideWhenUsed/>
    <w:qFormat/>
    <w:locked/>
    <w:uiPriority w:val="39"/>
    <w:pPr>
      <w:ind w:left="420"/>
      <w:jc w:val="left"/>
    </w:pPr>
    <w:rPr>
      <w:rFonts w:ascii="Calibri" w:hAnsi="Calibri" w:cs="Calibri"/>
      <w:sz w:val="20"/>
      <w:szCs w:val="20"/>
    </w:rPr>
  </w:style>
  <w:style w:type="paragraph" w:styleId="17">
    <w:name w:val="Plain Text"/>
    <w:basedOn w:val="1"/>
    <w:link w:val="88"/>
    <w:unhideWhenUsed/>
    <w:qFormat/>
    <w:uiPriority w:val="99"/>
    <w:rPr>
      <w:rFonts w:ascii="宋体" w:hAnsi="Courier New" w:cs="Courier New"/>
      <w:szCs w:val="21"/>
    </w:rPr>
  </w:style>
  <w:style w:type="paragraph" w:styleId="18">
    <w:name w:val="Date"/>
    <w:basedOn w:val="1"/>
    <w:next w:val="1"/>
    <w:link w:val="42"/>
    <w:uiPriority w:val="0"/>
    <w:pPr>
      <w:ind w:left="100" w:leftChars="2500"/>
    </w:pPr>
    <w:rPr>
      <w:kern w:val="0"/>
      <w:sz w:val="20"/>
    </w:rPr>
  </w:style>
  <w:style w:type="paragraph" w:styleId="19">
    <w:name w:val="Body Text Indent 2"/>
    <w:basedOn w:val="1"/>
    <w:link w:val="111"/>
    <w:qFormat/>
    <w:uiPriority w:val="0"/>
    <w:pPr>
      <w:spacing w:after="120" w:line="480" w:lineRule="auto"/>
      <w:ind w:left="420" w:leftChars="200"/>
    </w:pPr>
  </w:style>
  <w:style w:type="paragraph" w:styleId="20">
    <w:name w:val="Balloon Text"/>
    <w:basedOn w:val="1"/>
    <w:link w:val="48"/>
    <w:semiHidden/>
    <w:uiPriority w:val="0"/>
    <w:rPr>
      <w:sz w:val="18"/>
      <w:szCs w:val="18"/>
    </w:rPr>
  </w:style>
  <w:style w:type="paragraph" w:styleId="21">
    <w:name w:val="footer"/>
    <w:link w:val="39"/>
    <w:unhideWhenUsed/>
    <w:qFormat/>
    <w:uiPriority w:val="99"/>
    <w:pPr>
      <w:tabs>
        <w:tab w:val="center" w:pos="4153"/>
        <w:tab w:val="right" w:pos="8306"/>
      </w:tabs>
      <w:snapToGrid w:val="0"/>
      <w:textAlignment w:val="center"/>
    </w:pPr>
    <w:rPr>
      <w:rFonts w:ascii="宋体" w:hAnsi="Calibri" w:eastAsia="宋体" w:cs="Times New Roman"/>
      <w:kern w:val="2"/>
      <w:sz w:val="18"/>
      <w:szCs w:val="18"/>
      <w:lang w:val="en-US" w:eastAsia="zh-CN" w:bidi="ar-SA"/>
    </w:rPr>
  </w:style>
  <w:style w:type="paragraph" w:styleId="22">
    <w:name w:val="header"/>
    <w:link w:val="38"/>
    <w:unhideWhenUsed/>
    <w:qFormat/>
    <w:uiPriority w:val="99"/>
    <w:pPr>
      <w:pBdr>
        <w:bottom w:val="single" w:color="auto" w:sz="4" w:space="1"/>
      </w:pBdr>
      <w:tabs>
        <w:tab w:val="center" w:pos="4153"/>
        <w:tab w:val="right" w:pos="8306"/>
      </w:tabs>
      <w:snapToGrid w:val="0"/>
      <w:jc w:val="center"/>
    </w:pPr>
    <w:rPr>
      <w:rFonts w:ascii="宋体" w:hAnsi="Calibri" w:eastAsia="宋体" w:cs="Times New Roman"/>
      <w:kern w:val="2"/>
      <w:sz w:val="18"/>
      <w:szCs w:val="18"/>
      <w:lang w:val="en-US" w:eastAsia="zh-CN" w:bidi="ar-SA"/>
    </w:rPr>
  </w:style>
  <w:style w:type="paragraph" w:styleId="23">
    <w:name w:val="toc 1"/>
    <w:next w:val="1"/>
    <w:link w:val="95"/>
    <w:unhideWhenUsed/>
    <w:qFormat/>
    <w:locked/>
    <w:uiPriority w:val="39"/>
    <w:pPr>
      <w:adjustRightInd w:val="0"/>
      <w:snapToGrid w:val="0"/>
      <w:spacing w:line="360" w:lineRule="auto"/>
      <w:jc w:val="both"/>
    </w:pPr>
    <w:rPr>
      <w:rFonts w:ascii="黑体" w:hAnsi="Calibri" w:eastAsia="宋体" w:cs="Calibri"/>
      <w:b/>
      <w:bCs/>
      <w:kern w:val="2"/>
      <w:sz w:val="28"/>
      <w:lang w:val="en-US" w:eastAsia="zh-CN" w:bidi="ar-SA"/>
    </w:rPr>
  </w:style>
  <w:style w:type="paragraph" w:styleId="24">
    <w:name w:val="toc 2"/>
    <w:next w:val="1"/>
    <w:link w:val="96"/>
    <w:unhideWhenUsed/>
    <w:qFormat/>
    <w:locked/>
    <w:uiPriority w:val="39"/>
    <w:pPr>
      <w:adjustRightInd w:val="0"/>
      <w:snapToGrid w:val="0"/>
      <w:spacing w:line="360" w:lineRule="auto"/>
      <w:ind w:left="420" w:leftChars="200"/>
      <w:jc w:val="both"/>
    </w:pPr>
    <w:rPr>
      <w:rFonts w:ascii="黑体" w:hAnsi="Calibri" w:eastAsia="宋体" w:cs="Calibri"/>
      <w:iCs/>
      <w:kern w:val="2"/>
      <w:sz w:val="24"/>
      <w:lang w:val="en-US" w:eastAsia="zh-CN" w:bidi="ar-SA"/>
    </w:rPr>
  </w:style>
  <w:style w:type="paragraph" w:styleId="25">
    <w:name w:val="HTML Preformatted"/>
    <w:basedOn w:val="1"/>
    <w:link w:val="117"/>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26">
    <w:name w:val="Normal (Web)"/>
    <w:basedOn w:val="1"/>
    <w:link w:val="41"/>
    <w:uiPriority w:val="99"/>
    <w:pPr>
      <w:widowControl/>
      <w:spacing w:before="100" w:beforeAutospacing="1" w:after="100" w:afterAutospacing="1"/>
      <w:jc w:val="left"/>
    </w:pPr>
    <w:rPr>
      <w:rFonts w:ascii="宋体" w:hAnsi="宋体"/>
      <w:kern w:val="0"/>
      <w:sz w:val="24"/>
    </w:rPr>
  </w:style>
  <w:style w:type="paragraph" w:styleId="27">
    <w:name w:val="Title"/>
    <w:basedOn w:val="1"/>
    <w:next w:val="1"/>
    <w:link w:val="78"/>
    <w:qFormat/>
    <w:locked/>
    <w:uiPriority w:val="10"/>
    <w:pPr>
      <w:spacing w:before="240" w:after="60"/>
      <w:jc w:val="center"/>
      <w:outlineLvl w:val="0"/>
    </w:pPr>
    <w:rPr>
      <w:rFonts w:ascii="Cambria" w:hAnsi="Cambria"/>
      <w:b/>
      <w:bCs/>
      <w:sz w:val="32"/>
      <w:szCs w:val="32"/>
    </w:rPr>
  </w:style>
  <w:style w:type="paragraph" w:styleId="28">
    <w:name w:val="annotation subject"/>
    <w:basedOn w:val="13"/>
    <w:next w:val="13"/>
    <w:link w:val="52"/>
    <w:semiHidden/>
    <w:unhideWhenUsed/>
    <w:qFormat/>
    <w:uiPriority w:val="99"/>
    <w:rPr>
      <w:b/>
      <w:bCs/>
    </w:rPr>
  </w:style>
  <w:style w:type="table" w:styleId="30">
    <w:name w:val="Table Grid"/>
    <w:basedOn w:val="29"/>
    <w:qFormat/>
    <w:uiPriority w:val="0"/>
    <w:rPr>
      <w:rFonts w:ascii="Calibri" w:hAnsi="Calibri"/>
      <w:kern w:val="2"/>
      <w:sz w:val="21"/>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styleId="31">
    <w:name w:val="Table Classic 2"/>
    <w:basedOn w:val="29"/>
    <w:unhideWhenUsed/>
    <w:qFormat/>
    <w:uiPriority w:val="99"/>
    <w:pPr>
      <w:widowControl w:val="0"/>
      <w:jc w:val="both"/>
    </w:pPr>
    <w:rPr>
      <w:rFonts w:ascii="宋体" w:hAnsi="宋体"/>
      <w:kern w:val="2"/>
      <w:sz w:val="21"/>
      <w:szCs w:val="21"/>
    </w:rPr>
    <w:tblPr>
      <w:tblBorders>
        <w:top w:val="single" w:color="000000" w:sz="12" w:space="0"/>
        <w:bottom w:val="single" w:color="000000" w:sz="12" w:space="0"/>
      </w:tblBorders>
      <w:tblLayout w:type="fixed"/>
    </w:tblPr>
    <w:tcPr>
      <w:shd w:val="clear" w:color="auto" w:fill="auto"/>
    </w:tcPr>
    <w:tblStylePr w:type="firstRow">
      <w:rPr>
        <w:color w:val="FFFFFF"/>
      </w:rPr>
      <w:tblPr>
        <w:tblLayout w:type="fixed"/>
      </w:tblPr>
      <w:tcPr>
        <w:tcBorders>
          <w:bottom w:val="single" w:color="000000" w:sz="6" w:space="0"/>
          <w:tl2br w:val="nil"/>
          <w:tr2bl w:val="nil"/>
        </w:tcBorders>
        <w:shd w:val="solid" w:color="800080" w:fill="FFFFFF"/>
      </w:tcPr>
    </w:tblStylePr>
    <w:tblStylePr w:type="lastRow">
      <w:tblPr>
        <w:tblLayout w:type="fixed"/>
      </w:tblPr>
      <w:tcPr>
        <w:tcBorders>
          <w:top w:val="single" w:color="000000" w:sz="6" w:space="0"/>
          <w:tl2br w:val="nil"/>
          <w:tr2bl w:val="nil"/>
        </w:tcBorders>
      </w:tcPr>
    </w:tblStylePr>
    <w:tblStylePr w:type="firstCol">
      <w:rPr>
        <w:b/>
        <w:bCs/>
      </w:rPr>
      <w:tblPr>
        <w:tblLayout w:type="fixed"/>
      </w:tblPr>
      <w:tcPr>
        <w:tcBorders>
          <w:tl2br w:val="nil"/>
          <w:tr2bl w:val="nil"/>
        </w:tcBorders>
        <w:shd w:val="solid" w:color="C0C0C0" w:fill="FFFFFF"/>
      </w:tcPr>
    </w:tblStylePr>
    <w:tblStylePr w:type="neCell">
      <w:rPr>
        <w:b/>
        <w:bCs/>
      </w:rPr>
      <w:tblPr>
        <w:tblLayout w:type="fixed"/>
      </w:tblPr>
      <w:tcPr>
        <w:tcBorders>
          <w:tl2br w:val="nil"/>
          <w:tr2bl w:val="nil"/>
        </w:tcBorders>
      </w:tcPr>
    </w:tblStylePr>
    <w:tblStylePr w:type="nwCell">
      <w:tblPr>
        <w:tblLayout w:type="fixed"/>
      </w:tblPr>
      <w:tcPr>
        <w:tcBorders>
          <w:tl2br w:val="nil"/>
          <w:tr2bl w:val="nil"/>
        </w:tcBorders>
        <w:shd w:val="solid" w:color="800080" w:fill="FFFFFF"/>
      </w:tcPr>
    </w:tblStylePr>
    <w:tblStylePr w:type="swCell">
      <w:rPr>
        <w:color w:val="000080"/>
      </w:rPr>
      <w:tblPr>
        <w:tblLayout w:type="fixed"/>
      </w:tblPr>
      <w:tcPr>
        <w:tcBorders>
          <w:tl2br w:val="nil"/>
          <w:tr2bl w:val="nil"/>
        </w:tcBorders>
      </w:tcPr>
    </w:tblStylePr>
  </w:style>
  <w:style w:type="character" w:styleId="33">
    <w:name w:val="Strong"/>
    <w:qFormat/>
    <w:locked/>
    <w:uiPriority w:val="22"/>
    <w:rPr>
      <w:b/>
      <w:bCs/>
    </w:rPr>
  </w:style>
  <w:style w:type="character" w:styleId="34">
    <w:name w:val="page number"/>
    <w:qFormat/>
    <w:uiPriority w:val="0"/>
  </w:style>
  <w:style w:type="character" w:styleId="35">
    <w:name w:val="Emphasis"/>
    <w:qFormat/>
    <w:locked/>
    <w:uiPriority w:val="20"/>
    <w:rPr>
      <w:i/>
      <w:iCs/>
    </w:rPr>
  </w:style>
  <w:style w:type="character" w:styleId="36">
    <w:name w:val="Hyperlink"/>
    <w:unhideWhenUsed/>
    <w:uiPriority w:val="99"/>
    <w:rPr>
      <w:color w:val="0000FF"/>
      <w:u w:val="single"/>
    </w:rPr>
  </w:style>
  <w:style w:type="character" w:styleId="37">
    <w:name w:val="annotation reference"/>
    <w:semiHidden/>
    <w:unhideWhenUsed/>
    <w:qFormat/>
    <w:uiPriority w:val="99"/>
    <w:rPr>
      <w:sz w:val="21"/>
      <w:szCs w:val="21"/>
    </w:rPr>
  </w:style>
  <w:style w:type="character" w:customStyle="1" w:styleId="38">
    <w:name w:val="页眉 Char"/>
    <w:link w:val="22"/>
    <w:locked/>
    <w:uiPriority w:val="99"/>
    <w:rPr>
      <w:rFonts w:ascii="宋体" w:hAnsi="Calibri"/>
      <w:kern w:val="2"/>
      <w:sz w:val="18"/>
      <w:szCs w:val="18"/>
    </w:rPr>
  </w:style>
  <w:style w:type="character" w:customStyle="1" w:styleId="39">
    <w:name w:val="页脚 Char"/>
    <w:link w:val="21"/>
    <w:qFormat/>
    <w:locked/>
    <w:uiPriority w:val="99"/>
    <w:rPr>
      <w:rFonts w:ascii="宋体" w:hAnsi="Calibri"/>
      <w:kern w:val="2"/>
      <w:sz w:val="18"/>
      <w:szCs w:val="18"/>
    </w:rPr>
  </w:style>
  <w:style w:type="character" w:customStyle="1" w:styleId="40">
    <w:name w:val="正文文本 Char"/>
    <w:link w:val="14"/>
    <w:qFormat/>
    <w:locked/>
    <w:uiPriority w:val="0"/>
    <w:rPr>
      <w:sz w:val="18"/>
    </w:rPr>
  </w:style>
  <w:style w:type="character" w:customStyle="1" w:styleId="41">
    <w:name w:val="普通(网站) Char1"/>
    <w:link w:val="26"/>
    <w:locked/>
    <w:uiPriority w:val="0"/>
    <w:rPr>
      <w:rFonts w:ascii="宋体" w:hAnsi="宋体" w:eastAsia="宋体"/>
      <w:sz w:val="24"/>
    </w:rPr>
  </w:style>
  <w:style w:type="character" w:customStyle="1" w:styleId="42">
    <w:name w:val="日期 Char"/>
    <w:link w:val="18"/>
    <w:qFormat/>
    <w:locked/>
    <w:uiPriority w:val="0"/>
    <w:rPr>
      <w:rFonts w:ascii="Times New Roman" w:hAnsi="Times New Roman" w:eastAsia="宋体"/>
      <w:sz w:val="24"/>
    </w:rPr>
  </w:style>
  <w:style w:type="character" w:customStyle="1" w:styleId="43">
    <w:name w:val="日期 字符"/>
    <w:semiHidden/>
    <w:qFormat/>
    <w:uiPriority w:val="0"/>
    <w:rPr>
      <w:rFonts w:ascii="Times New Roman" w:hAnsi="Times New Roman" w:eastAsia="宋体" w:cs="Times New Roman"/>
      <w:sz w:val="24"/>
      <w:szCs w:val="24"/>
    </w:rPr>
  </w:style>
  <w:style w:type="character" w:customStyle="1" w:styleId="44">
    <w:name w:val="正文文本 字符1"/>
    <w:semiHidden/>
    <w:uiPriority w:val="0"/>
    <w:rPr>
      <w:rFonts w:ascii="Times New Roman" w:hAnsi="Times New Roman" w:eastAsia="宋体" w:cs="Times New Roman"/>
      <w:sz w:val="24"/>
      <w:szCs w:val="24"/>
    </w:rPr>
  </w:style>
  <w:style w:type="paragraph" w:customStyle="1" w:styleId="45">
    <w:name w:val="普通(网站)2"/>
    <w:basedOn w:val="1"/>
    <w:uiPriority w:val="0"/>
    <w:pPr>
      <w:widowControl/>
      <w:spacing w:before="100" w:beforeAutospacing="1" w:after="100" w:afterAutospacing="1"/>
      <w:jc w:val="left"/>
    </w:pPr>
    <w:rPr>
      <w:rFonts w:ascii="宋体" w:hAnsi="宋体"/>
      <w:sz w:val="24"/>
      <w:szCs w:val="20"/>
    </w:rPr>
  </w:style>
  <w:style w:type="character" w:customStyle="1" w:styleId="46">
    <w:name w:val="表格 Char"/>
    <w:link w:val="47"/>
    <w:locked/>
    <w:uiPriority w:val="0"/>
    <w:rPr>
      <w:rFonts w:ascii="宋体"/>
      <w:sz w:val="21"/>
    </w:rPr>
  </w:style>
  <w:style w:type="paragraph" w:customStyle="1" w:styleId="47">
    <w:name w:val="表格"/>
    <w:basedOn w:val="1"/>
    <w:next w:val="1"/>
    <w:link w:val="46"/>
    <w:qFormat/>
    <w:uiPriority w:val="0"/>
    <w:pPr>
      <w:adjustRightInd w:val="0"/>
      <w:snapToGrid w:val="0"/>
      <w:spacing w:beforeLines="10" w:afterLines="10" w:line="259" w:lineRule="auto"/>
      <w:jc w:val="center"/>
    </w:pPr>
    <w:rPr>
      <w:rFonts w:ascii="宋体"/>
      <w:kern w:val="0"/>
      <w:sz w:val="20"/>
      <w:szCs w:val="21"/>
    </w:rPr>
  </w:style>
  <w:style w:type="character" w:customStyle="1" w:styleId="48">
    <w:name w:val="批注框文本 Char"/>
    <w:link w:val="20"/>
    <w:semiHidden/>
    <w:qFormat/>
    <w:locked/>
    <w:uiPriority w:val="0"/>
    <w:rPr>
      <w:kern w:val="2"/>
      <w:sz w:val="18"/>
      <w:szCs w:val="18"/>
    </w:rPr>
  </w:style>
  <w:style w:type="character" w:customStyle="1" w:styleId="49">
    <w:name w:val="批注文字 Char"/>
    <w:link w:val="13"/>
    <w:semiHidden/>
    <w:qFormat/>
    <w:locked/>
    <w:uiPriority w:val="0"/>
    <w:rPr>
      <w:rFonts w:ascii="Calibri" w:hAnsi="Calibri"/>
      <w:kern w:val="2"/>
      <w:sz w:val="21"/>
      <w:szCs w:val="21"/>
    </w:rPr>
  </w:style>
  <w:style w:type="character" w:customStyle="1" w:styleId="50">
    <w:name w:val="批注文字 字符1"/>
    <w:semiHidden/>
    <w:uiPriority w:val="0"/>
    <w:rPr>
      <w:rFonts w:ascii="Times New Roman" w:hAnsi="Times New Roman" w:eastAsia="宋体" w:cs="Times New Roman"/>
      <w:sz w:val="24"/>
      <w:szCs w:val="24"/>
    </w:rPr>
  </w:style>
  <w:style w:type="character" w:customStyle="1" w:styleId="51">
    <w:name w:val="正文文本缩进 Char"/>
    <w:link w:val="15"/>
    <w:semiHidden/>
    <w:qFormat/>
    <w:locked/>
    <w:uiPriority w:val="0"/>
    <w:rPr>
      <w:rFonts w:ascii="Times New Roman" w:hAnsi="Times New Roman" w:eastAsia="宋体" w:cs="Times New Roman"/>
      <w:sz w:val="24"/>
      <w:szCs w:val="24"/>
    </w:rPr>
  </w:style>
  <w:style w:type="character" w:customStyle="1" w:styleId="52">
    <w:name w:val="批注主题 Char"/>
    <w:link w:val="28"/>
    <w:semiHidden/>
    <w:qFormat/>
    <w:locked/>
    <w:uiPriority w:val="99"/>
    <w:rPr>
      <w:rFonts w:ascii="Calibri" w:hAnsi="Calibri"/>
      <w:b/>
      <w:bCs/>
      <w:kern w:val="2"/>
      <w:sz w:val="21"/>
      <w:szCs w:val="21"/>
    </w:rPr>
  </w:style>
  <w:style w:type="character" w:customStyle="1" w:styleId="53">
    <w:name w:val="普通(网站) Char"/>
    <w:locked/>
    <w:uiPriority w:val="0"/>
    <w:rPr>
      <w:rFonts w:ascii="宋体" w:hAnsi="宋体" w:eastAsia="宋体"/>
      <w:sz w:val="24"/>
    </w:rPr>
  </w:style>
  <w:style w:type="paragraph" w:customStyle="1" w:styleId="54">
    <w:name w:val="SSEC 1级序号"/>
    <w:link w:val="55"/>
    <w:qFormat/>
    <w:uiPriority w:val="0"/>
    <w:pPr>
      <w:widowControl w:val="0"/>
      <w:numPr>
        <w:ilvl w:val="0"/>
        <w:numId w:val="2"/>
      </w:numPr>
      <w:adjustRightInd w:val="0"/>
      <w:snapToGrid w:val="0"/>
      <w:spacing w:line="331" w:lineRule="auto"/>
      <w:jc w:val="both"/>
    </w:pPr>
    <w:rPr>
      <w:rFonts w:ascii="宋体" w:hAnsi="宋体" w:eastAsia="宋体" w:cs="Times New Roman"/>
      <w:kern w:val="2"/>
      <w:sz w:val="24"/>
      <w:szCs w:val="24"/>
      <w:lang w:val="en-US" w:eastAsia="zh-CN" w:bidi="ar-SA"/>
    </w:rPr>
  </w:style>
  <w:style w:type="character" w:customStyle="1" w:styleId="55">
    <w:name w:val="SSEC 1级序号 字符"/>
    <w:link w:val="54"/>
    <w:qFormat/>
    <w:uiPriority w:val="0"/>
    <w:rPr>
      <w:rFonts w:ascii="宋体" w:hAnsi="宋体"/>
      <w:kern w:val="2"/>
      <w:sz w:val="24"/>
      <w:szCs w:val="24"/>
    </w:rPr>
  </w:style>
  <w:style w:type="paragraph" w:customStyle="1" w:styleId="56">
    <w:name w:val="SSEC 2级序号"/>
    <w:basedOn w:val="54"/>
    <w:link w:val="57"/>
    <w:qFormat/>
    <w:uiPriority w:val="0"/>
    <w:pPr>
      <w:numPr>
        <w:ilvl w:val="1"/>
      </w:numPr>
    </w:pPr>
  </w:style>
  <w:style w:type="character" w:customStyle="1" w:styleId="57">
    <w:name w:val="SSEC 2级序号 字符"/>
    <w:link w:val="56"/>
    <w:uiPriority w:val="0"/>
    <w:rPr>
      <w:rFonts w:ascii="宋体" w:hAnsi="宋体"/>
      <w:kern w:val="2"/>
      <w:sz w:val="24"/>
      <w:szCs w:val="24"/>
    </w:rPr>
  </w:style>
  <w:style w:type="paragraph" w:customStyle="1" w:styleId="58">
    <w:name w:val="SSEC 3级序号"/>
    <w:basedOn w:val="54"/>
    <w:link w:val="59"/>
    <w:qFormat/>
    <w:uiPriority w:val="0"/>
    <w:pPr>
      <w:numPr>
        <w:ilvl w:val="2"/>
      </w:numPr>
    </w:pPr>
  </w:style>
  <w:style w:type="character" w:customStyle="1" w:styleId="59">
    <w:name w:val="SSEC 3级序号 字符"/>
    <w:link w:val="58"/>
    <w:qFormat/>
    <w:uiPriority w:val="0"/>
    <w:rPr>
      <w:rFonts w:ascii="宋体" w:hAnsi="宋体"/>
      <w:kern w:val="2"/>
      <w:sz w:val="24"/>
      <w:szCs w:val="24"/>
    </w:rPr>
  </w:style>
  <w:style w:type="paragraph" w:customStyle="1" w:styleId="60">
    <w:name w:val="SSEC 4级序号"/>
    <w:basedOn w:val="54"/>
    <w:link w:val="61"/>
    <w:qFormat/>
    <w:uiPriority w:val="0"/>
    <w:pPr>
      <w:numPr>
        <w:ilvl w:val="3"/>
      </w:numPr>
    </w:pPr>
  </w:style>
  <w:style w:type="character" w:customStyle="1" w:styleId="61">
    <w:name w:val="SSEC 4级序号 字符"/>
    <w:link w:val="60"/>
    <w:qFormat/>
    <w:uiPriority w:val="0"/>
    <w:rPr>
      <w:rFonts w:ascii="宋体" w:hAnsi="宋体"/>
      <w:kern w:val="2"/>
      <w:sz w:val="24"/>
      <w:szCs w:val="24"/>
    </w:rPr>
  </w:style>
  <w:style w:type="paragraph" w:customStyle="1" w:styleId="62">
    <w:name w:val="SSEC 5级序号"/>
    <w:basedOn w:val="54"/>
    <w:link w:val="63"/>
    <w:qFormat/>
    <w:uiPriority w:val="0"/>
    <w:pPr>
      <w:numPr>
        <w:ilvl w:val="4"/>
      </w:numPr>
    </w:pPr>
  </w:style>
  <w:style w:type="character" w:customStyle="1" w:styleId="63">
    <w:name w:val="SSEC 5级序号 字符"/>
    <w:link w:val="62"/>
    <w:uiPriority w:val="0"/>
    <w:rPr>
      <w:rFonts w:ascii="宋体" w:hAnsi="宋体"/>
      <w:kern w:val="2"/>
      <w:sz w:val="24"/>
      <w:szCs w:val="24"/>
    </w:rPr>
  </w:style>
  <w:style w:type="paragraph" w:customStyle="1" w:styleId="64">
    <w:name w:val="SSEC 6级序号"/>
    <w:basedOn w:val="54"/>
    <w:link w:val="65"/>
    <w:qFormat/>
    <w:uiPriority w:val="0"/>
    <w:pPr>
      <w:numPr>
        <w:ilvl w:val="5"/>
      </w:numPr>
    </w:pPr>
  </w:style>
  <w:style w:type="character" w:customStyle="1" w:styleId="65">
    <w:name w:val="SSEC 6级序号 字符"/>
    <w:link w:val="64"/>
    <w:uiPriority w:val="0"/>
    <w:rPr>
      <w:rFonts w:ascii="宋体" w:hAnsi="宋体"/>
      <w:kern w:val="2"/>
      <w:sz w:val="24"/>
      <w:szCs w:val="24"/>
    </w:rPr>
  </w:style>
  <w:style w:type="paragraph" w:customStyle="1" w:styleId="66">
    <w:name w:val="SSEC 7级序号"/>
    <w:basedOn w:val="54"/>
    <w:link w:val="67"/>
    <w:qFormat/>
    <w:uiPriority w:val="0"/>
    <w:pPr>
      <w:numPr>
        <w:ilvl w:val="6"/>
      </w:numPr>
    </w:pPr>
  </w:style>
  <w:style w:type="character" w:customStyle="1" w:styleId="67">
    <w:name w:val="SSEC 7级序号 字符"/>
    <w:link w:val="66"/>
    <w:qFormat/>
    <w:uiPriority w:val="0"/>
    <w:rPr>
      <w:rFonts w:ascii="宋体" w:hAnsi="宋体"/>
      <w:kern w:val="2"/>
      <w:sz w:val="24"/>
      <w:szCs w:val="24"/>
    </w:rPr>
  </w:style>
  <w:style w:type="paragraph" w:customStyle="1" w:styleId="68">
    <w:name w:val="SSEC 表内序号"/>
    <w:link w:val="69"/>
    <w:qFormat/>
    <w:uiPriority w:val="0"/>
    <w:pPr>
      <w:widowControl w:val="0"/>
      <w:numPr>
        <w:ilvl w:val="0"/>
        <w:numId w:val="3"/>
      </w:numPr>
      <w:adjustRightInd w:val="0"/>
      <w:snapToGrid w:val="0"/>
      <w:jc w:val="center"/>
      <w:textAlignment w:val="center"/>
    </w:pPr>
    <w:rPr>
      <w:rFonts w:ascii="宋体" w:hAnsi="Times New Roman" w:eastAsia="宋体" w:cs="Times New Roman"/>
      <w:kern w:val="2"/>
      <w:sz w:val="21"/>
      <w:szCs w:val="21"/>
      <w:lang w:val="en-US" w:eastAsia="zh-CN" w:bidi="ar-SA"/>
    </w:rPr>
  </w:style>
  <w:style w:type="character" w:customStyle="1" w:styleId="69">
    <w:name w:val="SSEC 表内序号 字符"/>
    <w:link w:val="68"/>
    <w:qFormat/>
    <w:uiPriority w:val="0"/>
    <w:rPr>
      <w:rFonts w:ascii="宋体"/>
      <w:kern w:val="2"/>
      <w:sz w:val="21"/>
      <w:szCs w:val="21"/>
    </w:rPr>
  </w:style>
  <w:style w:type="paragraph" w:customStyle="1" w:styleId="70">
    <w:name w:val="SSEC 表字居中"/>
    <w:link w:val="71"/>
    <w:qFormat/>
    <w:uiPriority w:val="0"/>
    <w:pPr>
      <w:widowControl w:val="0"/>
      <w:adjustRightInd w:val="0"/>
      <w:snapToGrid w:val="0"/>
      <w:jc w:val="center"/>
      <w:textAlignment w:val="center"/>
    </w:pPr>
    <w:rPr>
      <w:rFonts w:ascii="宋体" w:hAnsi="Times New Roman" w:eastAsia="宋体" w:cs="Times New Roman"/>
      <w:kern w:val="2"/>
      <w:sz w:val="21"/>
      <w:szCs w:val="21"/>
      <w:lang w:val="en-US" w:eastAsia="zh-CN" w:bidi="ar-SA"/>
    </w:rPr>
  </w:style>
  <w:style w:type="character" w:customStyle="1" w:styleId="71">
    <w:name w:val="SSEC 表字居中 字符"/>
    <w:link w:val="70"/>
    <w:qFormat/>
    <w:uiPriority w:val="0"/>
    <w:rPr>
      <w:rFonts w:ascii="宋体"/>
      <w:kern w:val="2"/>
      <w:sz w:val="21"/>
      <w:szCs w:val="21"/>
    </w:rPr>
  </w:style>
  <w:style w:type="paragraph" w:customStyle="1" w:styleId="72">
    <w:name w:val="SSEC 表字居左"/>
    <w:link w:val="73"/>
    <w:qFormat/>
    <w:uiPriority w:val="0"/>
    <w:pPr>
      <w:keepNext/>
      <w:widowControl w:val="0"/>
      <w:adjustRightInd w:val="0"/>
      <w:snapToGrid w:val="0"/>
      <w:spacing w:line="331" w:lineRule="auto"/>
      <w:ind w:firstLine="200" w:firstLineChars="200"/>
    </w:pPr>
    <w:rPr>
      <w:rFonts w:ascii="宋体" w:hAnsi="Calibri" w:eastAsia="宋体" w:cs="Times New Roman"/>
      <w:kern w:val="2"/>
      <w:sz w:val="21"/>
      <w:szCs w:val="21"/>
      <w:lang w:val="en-US" w:eastAsia="zh-CN" w:bidi="ar-SA"/>
    </w:rPr>
  </w:style>
  <w:style w:type="character" w:customStyle="1" w:styleId="73">
    <w:name w:val="SSEC 表字居左 字符"/>
    <w:link w:val="72"/>
    <w:uiPriority w:val="0"/>
    <w:rPr>
      <w:rFonts w:ascii="宋体" w:hAnsi="Calibri"/>
      <w:kern w:val="2"/>
      <w:sz w:val="21"/>
      <w:szCs w:val="21"/>
    </w:rPr>
  </w:style>
  <w:style w:type="paragraph" w:customStyle="1" w:styleId="74">
    <w:name w:val="SSEC 目录名"/>
    <w:link w:val="75"/>
    <w:qFormat/>
    <w:uiPriority w:val="0"/>
    <w:pPr>
      <w:widowControl w:val="0"/>
      <w:adjustRightInd w:val="0"/>
      <w:snapToGrid w:val="0"/>
      <w:spacing w:before="100" w:beforeAutospacing="1" w:line="360" w:lineRule="auto"/>
      <w:jc w:val="center"/>
    </w:pPr>
    <w:rPr>
      <w:rFonts w:ascii="黑体" w:hAnsi="黑体" w:eastAsia="黑体" w:cs="Times New Roman"/>
      <w:kern w:val="2"/>
      <w:sz w:val="32"/>
      <w:szCs w:val="30"/>
      <w:lang w:val="en-US" w:eastAsia="zh-CN" w:bidi="ar-SA"/>
    </w:rPr>
  </w:style>
  <w:style w:type="character" w:customStyle="1" w:styleId="75">
    <w:name w:val="SSEC 目录名 字符"/>
    <w:link w:val="74"/>
    <w:uiPriority w:val="0"/>
    <w:rPr>
      <w:rFonts w:ascii="黑体" w:hAnsi="黑体" w:eastAsia="黑体"/>
      <w:kern w:val="2"/>
      <w:sz w:val="32"/>
      <w:szCs w:val="30"/>
    </w:rPr>
  </w:style>
  <w:style w:type="character" w:customStyle="1" w:styleId="76">
    <w:name w:val="SSEC 正文 字符"/>
    <w:link w:val="3"/>
    <w:qFormat/>
    <w:uiPriority w:val="0"/>
    <w:rPr>
      <w:rFonts w:ascii="宋体" w:hAnsi="宋体"/>
      <w:kern w:val="2"/>
      <w:sz w:val="24"/>
      <w:szCs w:val="24"/>
    </w:rPr>
  </w:style>
  <w:style w:type="table" w:customStyle="1" w:styleId="77">
    <w:name w:val="SSEC表格样式"/>
    <w:basedOn w:val="29"/>
    <w:qFormat/>
    <w:uiPriority w:val="99"/>
    <w:pPr>
      <w:adjustRightInd w:val="0"/>
      <w:snapToGrid w:val="0"/>
    </w:pPr>
    <w:rPr>
      <w:kern w:val="2"/>
      <w:sz w:val="21"/>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cPr>
      <w:vAlign w:val="center"/>
    </w:tcPr>
  </w:style>
  <w:style w:type="character" w:customStyle="1" w:styleId="78">
    <w:name w:val="标题 Char"/>
    <w:link w:val="27"/>
    <w:qFormat/>
    <w:uiPriority w:val="10"/>
    <w:rPr>
      <w:rFonts w:ascii="Cambria" w:hAnsi="Cambria"/>
      <w:b/>
      <w:bCs/>
      <w:kern w:val="2"/>
      <w:sz w:val="32"/>
      <w:szCs w:val="32"/>
    </w:rPr>
  </w:style>
  <w:style w:type="character" w:customStyle="1" w:styleId="79">
    <w:name w:val="标题 1 Char"/>
    <w:link w:val="2"/>
    <w:uiPriority w:val="0"/>
    <w:rPr>
      <w:rFonts w:ascii="黑体" w:eastAsia="黑体"/>
      <w:kern w:val="44"/>
      <w:sz w:val="30"/>
      <w:szCs w:val="44"/>
    </w:rPr>
  </w:style>
  <w:style w:type="character" w:customStyle="1" w:styleId="80">
    <w:name w:val="标题 2 Char"/>
    <w:link w:val="4"/>
    <w:uiPriority w:val="0"/>
    <w:rPr>
      <w:rFonts w:ascii="黑体" w:hAnsi="Cambria" w:eastAsia="黑体"/>
      <w:bCs/>
      <w:kern w:val="2"/>
      <w:sz w:val="28"/>
      <w:szCs w:val="32"/>
    </w:rPr>
  </w:style>
  <w:style w:type="character" w:customStyle="1" w:styleId="81">
    <w:name w:val="标题 3 Char"/>
    <w:link w:val="5"/>
    <w:qFormat/>
    <w:uiPriority w:val="0"/>
    <w:rPr>
      <w:rFonts w:ascii="黑体" w:hAnsi="Calibri" w:eastAsia="黑体"/>
      <w:bCs/>
      <w:kern w:val="2"/>
      <w:sz w:val="24"/>
      <w:szCs w:val="32"/>
    </w:rPr>
  </w:style>
  <w:style w:type="character" w:customStyle="1" w:styleId="82">
    <w:name w:val="标题 4 Char"/>
    <w:link w:val="6"/>
    <w:qFormat/>
    <w:uiPriority w:val="0"/>
    <w:rPr>
      <w:rFonts w:ascii="宋体" w:hAnsi="Cambria"/>
      <w:b/>
      <w:bCs/>
      <w:kern w:val="2"/>
      <w:sz w:val="24"/>
      <w:szCs w:val="28"/>
    </w:rPr>
  </w:style>
  <w:style w:type="character" w:customStyle="1" w:styleId="83">
    <w:name w:val="标题 5 Char"/>
    <w:link w:val="7"/>
    <w:uiPriority w:val="0"/>
    <w:rPr>
      <w:rFonts w:ascii="宋体" w:hAnsi="Calibri"/>
      <w:bCs/>
      <w:kern w:val="2"/>
      <w:sz w:val="24"/>
      <w:szCs w:val="28"/>
    </w:rPr>
  </w:style>
  <w:style w:type="character" w:customStyle="1" w:styleId="84">
    <w:name w:val="标题 6 Char"/>
    <w:link w:val="8"/>
    <w:uiPriority w:val="0"/>
    <w:rPr>
      <w:rFonts w:ascii="宋体" w:hAnsi="Cambria"/>
      <w:bCs/>
      <w:kern w:val="2"/>
      <w:sz w:val="24"/>
      <w:szCs w:val="24"/>
    </w:rPr>
  </w:style>
  <w:style w:type="character" w:customStyle="1" w:styleId="85">
    <w:name w:val="标题 7 Char"/>
    <w:link w:val="9"/>
    <w:uiPriority w:val="0"/>
    <w:rPr>
      <w:rFonts w:ascii="宋体" w:hAnsi="Calibri"/>
      <w:bCs/>
      <w:kern w:val="2"/>
      <w:sz w:val="24"/>
      <w:szCs w:val="24"/>
    </w:rPr>
  </w:style>
  <w:style w:type="character" w:customStyle="1" w:styleId="86">
    <w:name w:val="标题 8 Char"/>
    <w:link w:val="10"/>
    <w:uiPriority w:val="0"/>
    <w:rPr>
      <w:rFonts w:ascii="宋体" w:hAnsi="Cambria"/>
      <w:kern w:val="2"/>
      <w:sz w:val="24"/>
      <w:szCs w:val="24"/>
    </w:rPr>
  </w:style>
  <w:style w:type="character" w:customStyle="1" w:styleId="87">
    <w:name w:val="标题 9 Char"/>
    <w:link w:val="11"/>
    <w:uiPriority w:val="0"/>
    <w:rPr>
      <w:rFonts w:ascii="宋体" w:hAnsi="Cambria"/>
      <w:kern w:val="2"/>
      <w:sz w:val="24"/>
      <w:szCs w:val="21"/>
    </w:rPr>
  </w:style>
  <w:style w:type="character" w:customStyle="1" w:styleId="88">
    <w:name w:val="纯文本 Char"/>
    <w:link w:val="17"/>
    <w:qFormat/>
    <w:uiPriority w:val="99"/>
    <w:rPr>
      <w:rFonts w:ascii="宋体" w:hAnsi="Courier New" w:cs="Courier New"/>
      <w:kern w:val="2"/>
      <w:sz w:val="21"/>
      <w:szCs w:val="21"/>
    </w:rPr>
  </w:style>
  <w:style w:type="paragraph" w:customStyle="1" w:styleId="89">
    <w:name w:val="附表"/>
    <w:basedOn w:val="1"/>
    <w:link w:val="90"/>
    <w:qFormat/>
    <w:uiPriority w:val="0"/>
    <w:pPr>
      <w:keepNext/>
      <w:numPr>
        <w:ilvl w:val="0"/>
        <w:numId w:val="4"/>
      </w:numPr>
      <w:outlineLvl w:val="1"/>
    </w:pPr>
    <w:rPr>
      <w:rFonts w:ascii="黑体" w:hAnsi="黑体" w:eastAsia="黑体"/>
      <w:sz w:val="28"/>
      <w:szCs w:val="28"/>
    </w:rPr>
  </w:style>
  <w:style w:type="character" w:customStyle="1" w:styleId="90">
    <w:name w:val="附表 Char"/>
    <w:link w:val="89"/>
    <w:qFormat/>
    <w:uiPriority w:val="0"/>
    <w:rPr>
      <w:rFonts w:ascii="黑体" w:hAnsi="黑体" w:eastAsia="黑体"/>
      <w:kern w:val="2"/>
      <w:sz w:val="28"/>
      <w:szCs w:val="28"/>
    </w:rPr>
  </w:style>
  <w:style w:type="paragraph" w:customStyle="1" w:styleId="91">
    <w:name w:val="附件"/>
    <w:basedOn w:val="4"/>
    <w:link w:val="92"/>
    <w:qFormat/>
    <w:uiPriority w:val="0"/>
    <w:pPr>
      <w:numPr>
        <w:ilvl w:val="0"/>
        <w:numId w:val="5"/>
      </w:numPr>
      <w:adjustRightInd/>
      <w:snapToGrid/>
      <w:spacing w:before="0" w:beforeAutospacing="0" w:line="240" w:lineRule="auto"/>
    </w:pPr>
  </w:style>
  <w:style w:type="character" w:customStyle="1" w:styleId="92">
    <w:name w:val="附件 Char"/>
    <w:link w:val="91"/>
    <w:qFormat/>
    <w:uiPriority w:val="0"/>
    <w:rPr>
      <w:rFonts w:ascii="黑体" w:hAnsi="Cambria" w:eastAsia="黑体"/>
      <w:bCs/>
      <w:kern w:val="2"/>
      <w:sz w:val="28"/>
      <w:szCs w:val="32"/>
    </w:rPr>
  </w:style>
  <w:style w:type="paragraph" w:customStyle="1" w:styleId="93">
    <w:name w:val="附图"/>
    <w:link w:val="94"/>
    <w:qFormat/>
    <w:uiPriority w:val="0"/>
    <w:pPr>
      <w:keepNext/>
      <w:numPr>
        <w:ilvl w:val="0"/>
        <w:numId w:val="6"/>
      </w:numPr>
      <w:outlineLvl w:val="1"/>
    </w:pPr>
    <w:rPr>
      <w:rFonts w:ascii="黑体" w:hAnsi="黑体" w:eastAsia="黑体" w:cs="Times New Roman"/>
      <w:kern w:val="2"/>
      <w:sz w:val="28"/>
      <w:szCs w:val="28"/>
      <w:lang w:val="en-US" w:eastAsia="zh-CN" w:bidi="ar-SA"/>
    </w:rPr>
  </w:style>
  <w:style w:type="character" w:customStyle="1" w:styleId="94">
    <w:name w:val="附图 Char"/>
    <w:link w:val="93"/>
    <w:qFormat/>
    <w:uiPriority w:val="0"/>
    <w:rPr>
      <w:rFonts w:ascii="黑体" w:hAnsi="黑体" w:eastAsia="黑体"/>
      <w:kern w:val="2"/>
      <w:sz w:val="28"/>
      <w:szCs w:val="28"/>
    </w:rPr>
  </w:style>
  <w:style w:type="character" w:customStyle="1" w:styleId="95">
    <w:name w:val="目录 1 Char"/>
    <w:link w:val="23"/>
    <w:qFormat/>
    <w:uiPriority w:val="39"/>
    <w:rPr>
      <w:rFonts w:ascii="黑体" w:hAnsi="Calibri" w:cs="Calibri"/>
      <w:b/>
      <w:bCs/>
      <w:kern w:val="2"/>
      <w:sz w:val="28"/>
    </w:rPr>
  </w:style>
  <w:style w:type="character" w:customStyle="1" w:styleId="96">
    <w:name w:val="目录 2 Char"/>
    <w:link w:val="24"/>
    <w:uiPriority w:val="39"/>
    <w:rPr>
      <w:rFonts w:ascii="黑体" w:hAnsi="Calibri" w:cs="Calibri"/>
      <w:iCs/>
      <w:kern w:val="2"/>
      <w:sz w:val="24"/>
    </w:rPr>
  </w:style>
  <w:style w:type="paragraph" w:customStyle="1" w:styleId="97">
    <w:name w:val="表头"/>
    <w:basedOn w:val="1"/>
    <w:link w:val="100"/>
    <w:qFormat/>
    <w:uiPriority w:val="0"/>
    <w:pPr>
      <w:jc w:val="center"/>
    </w:pPr>
    <w:rPr>
      <w:rFonts w:ascii="宋体" w:hAnsi="宋体"/>
      <w:szCs w:val="20"/>
    </w:rPr>
  </w:style>
  <w:style w:type="character" w:customStyle="1" w:styleId="98">
    <w:name w:val="SSEC正文 20150323 Char"/>
    <w:link w:val="99"/>
    <w:qFormat/>
    <w:uiPriority w:val="0"/>
    <w:rPr>
      <w:rFonts w:ascii="宋体" w:hAnsi="宋体"/>
      <w:sz w:val="24"/>
      <w:szCs w:val="24"/>
    </w:rPr>
  </w:style>
  <w:style w:type="paragraph" w:customStyle="1" w:styleId="99">
    <w:name w:val="SSEC正文 20150323"/>
    <w:link w:val="98"/>
    <w:qFormat/>
    <w:uiPriority w:val="0"/>
    <w:pPr>
      <w:adjustRightInd w:val="0"/>
      <w:snapToGrid w:val="0"/>
      <w:spacing w:line="331" w:lineRule="auto"/>
      <w:ind w:firstLine="200" w:firstLineChars="200"/>
      <w:jc w:val="both"/>
    </w:pPr>
    <w:rPr>
      <w:rFonts w:ascii="宋体" w:hAnsi="宋体" w:eastAsia="宋体" w:cs="Times New Roman"/>
      <w:sz w:val="24"/>
      <w:szCs w:val="24"/>
      <w:lang w:val="en-US" w:eastAsia="zh-CN" w:bidi="ar-SA"/>
    </w:rPr>
  </w:style>
  <w:style w:type="character" w:customStyle="1" w:styleId="100">
    <w:name w:val="表头 字符"/>
    <w:link w:val="97"/>
    <w:qFormat/>
    <w:locked/>
    <w:uiPriority w:val="0"/>
    <w:rPr>
      <w:rFonts w:ascii="宋体" w:hAnsi="宋体"/>
      <w:kern w:val="2"/>
      <w:sz w:val="21"/>
    </w:rPr>
  </w:style>
  <w:style w:type="paragraph" w:customStyle="1" w:styleId="101">
    <w:name w:val="表字居左X2"/>
    <w:basedOn w:val="70"/>
    <w:qFormat/>
    <w:uiPriority w:val="0"/>
    <w:pPr>
      <w:spacing w:line="331" w:lineRule="auto"/>
      <w:ind w:firstLine="200" w:firstLineChars="200"/>
      <w:jc w:val="both"/>
    </w:pPr>
    <w:rPr>
      <w:rFonts w:hAnsi="宋体" w:cs="宋体"/>
    </w:rPr>
  </w:style>
  <w:style w:type="paragraph" w:customStyle="1" w:styleId="102">
    <w:name w:val="IDDS表格正文"/>
    <w:basedOn w:val="1"/>
    <w:qFormat/>
    <w:uiPriority w:val="0"/>
    <w:pPr>
      <w:spacing w:line="300" w:lineRule="auto"/>
      <w:jc w:val="center"/>
    </w:pPr>
    <w:rPr>
      <w:rFonts w:cs="宋体"/>
      <w:szCs w:val="20"/>
    </w:rPr>
  </w:style>
  <w:style w:type="paragraph" w:customStyle="1" w:styleId="103">
    <w:name w:val="Table Paragraph"/>
    <w:basedOn w:val="1"/>
    <w:qFormat/>
    <w:uiPriority w:val="1"/>
    <w:pPr>
      <w:spacing w:before="8"/>
      <w:jc w:val="center"/>
    </w:pPr>
    <w:rPr>
      <w:rFonts w:ascii="宋体" w:hAnsi="宋体" w:cs="宋体"/>
      <w:kern w:val="0"/>
      <w:sz w:val="22"/>
      <w:szCs w:val="22"/>
      <w:lang w:eastAsia="en-US"/>
    </w:rPr>
  </w:style>
  <w:style w:type="character" w:customStyle="1" w:styleId="104">
    <w:name w:val="表格内字体 Char"/>
    <w:link w:val="105"/>
    <w:locked/>
    <w:uiPriority w:val="0"/>
    <w:rPr>
      <w:rFonts w:ascii="宋体" w:hAnsi="宋体"/>
      <w:kern w:val="2"/>
      <w:sz w:val="21"/>
      <w:szCs w:val="24"/>
    </w:rPr>
  </w:style>
  <w:style w:type="paragraph" w:customStyle="1" w:styleId="105">
    <w:name w:val="表格内字体"/>
    <w:basedOn w:val="1"/>
    <w:next w:val="1"/>
    <w:link w:val="104"/>
    <w:qFormat/>
    <w:uiPriority w:val="0"/>
    <w:pPr>
      <w:adjustRightInd w:val="0"/>
      <w:snapToGrid w:val="0"/>
      <w:jc w:val="center"/>
    </w:pPr>
    <w:rPr>
      <w:rFonts w:ascii="宋体" w:hAnsi="宋体"/>
    </w:rPr>
  </w:style>
  <w:style w:type="paragraph" w:customStyle="1" w:styleId="106">
    <w:name w:val="xl41"/>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szCs w:val="20"/>
    </w:rPr>
  </w:style>
  <w:style w:type="paragraph" w:customStyle="1" w:styleId="107">
    <w:name w:val="正文格式"/>
    <w:basedOn w:val="1"/>
    <w:link w:val="108"/>
    <w:qFormat/>
    <w:uiPriority w:val="0"/>
    <w:pPr>
      <w:adjustRightInd w:val="0"/>
      <w:snapToGrid w:val="0"/>
      <w:spacing w:line="331" w:lineRule="auto"/>
      <w:ind w:firstLine="482"/>
    </w:pPr>
    <w:rPr>
      <w:rFonts w:ascii="宋体" w:hAnsi="宋体"/>
      <w:sz w:val="24"/>
    </w:rPr>
  </w:style>
  <w:style w:type="character" w:customStyle="1" w:styleId="108">
    <w:name w:val="正文格式 Char"/>
    <w:link w:val="107"/>
    <w:qFormat/>
    <w:uiPriority w:val="0"/>
    <w:rPr>
      <w:rFonts w:ascii="宋体" w:hAnsi="宋体"/>
      <w:kern w:val="2"/>
      <w:sz w:val="24"/>
      <w:szCs w:val="24"/>
    </w:rPr>
  </w:style>
  <w:style w:type="paragraph" w:customStyle="1" w:styleId="109">
    <w:name w:val="样式1"/>
    <w:basedOn w:val="101"/>
    <w:qFormat/>
    <w:uiPriority w:val="0"/>
  </w:style>
  <w:style w:type="paragraph" w:customStyle="1" w:styleId="110">
    <w:name w:val="样式 表字居左X2 + 首行缩进:  2 字符"/>
    <w:basedOn w:val="101"/>
    <w:qFormat/>
    <w:uiPriority w:val="0"/>
    <w:pPr>
      <w:ind w:firstLine="420"/>
    </w:pPr>
    <w:rPr>
      <w:szCs w:val="20"/>
    </w:rPr>
  </w:style>
  <w:style w:type="character" w:customStyle="1" w:styleId="111">
    <w:name w:val="正文文本缩进 2 Char"/>
    <w:link w:val="19"/>
    <w:qFormat/>
    <w:uiPriority w:val="0"/>
    <w:rPr>
      <w:kern w:val="2"/>
      <w:sz w:val="21"/>
      <w:szCs w:val="24"/>
    </w:rPr>
  </w:style>
  <w:style w:type="paragraph" w:customStyle="1" w:styleId="112">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Cs w:val="20"/>
    </w:rPr>
  </w:style>
  <w:style w:type="paragraph" w:customStyle="1" w:styleId="113">
    <w:name w:val="TOC Heading"/>
    <w:basedOn w:val="2"/>
    <w:next w:val="1"/>
    <w:unhideWhenUsed/>
    <w:qFormat/>
    <w:uiPriority w:val="39"/>
    <w:pPr>
      <w:keepNext/>
      <w:keepLines/>
      <w:widowControl/>
      <w:numPr>
        <w:numId w:val="0"/>
      </w:numPr>
      <w:adjustRightInd/>
      <w:snapToGrid/>
      <w:spacing w:before="240" w:beforeAutospacing="0" w:line="259" w:lineRule="auto"/>
      <w:outlineLvl w:val="9"/>
    </w:pPr>
    <w:rPr>
      <w:rFonts w:ascii="等线 Light" w:hAnsi="等线 Light" w:eastAsia="等线 Light"/>
      <w:color w:val="2E74B5"/>
      <w:kern w:val="0"/>
      <w:sz w:val="32"/>
      <w:szCs w:val="32"/>
    </w:rPr>
  </w:style>
  <w:style w:type="character" w:customStyle="1" w:styleId="114">
    <w:name w:val="题注 Char2"/>
    <w:link w:val="12"/>
    <w:qFormat/>
    <w:uiPriority w:val="0"/>
    <w:rPr>
      <w:rFonts w:ascii="宋体" w:hAnsi="Cambria"/>
      <w:kern w:val="2"/>
      <w:sz w:val="21"/>
    </w:rPr>
  </w:style>
  <w:style w:type="paragraph" w:customStyle="1" w:styleId="115">
    <w:name w:val="SSEC表字居中 20150323"/>
    <w:link w:val="116"/>
    <w:qFormat/>
    <w:uiPriority w:val="0"/>
    <w:pPr>
      <w:adjustRightInd w:val="0"/>
      <w:snapToGrid w:val="0"/>
      <w:jc w:val="center"/>
    </w:pPr>
    <w:rPr>
      <w:rFonts w:ascii="宋体" w:hAnsi="Times New Roman" w:eastAsia="宋体" w:cs="Times New Roman"/>
      <w:kern w:val="2"/>
      <w:sz w:val="21"/>
      <w:szCs w:val="21"/>
      <w:lang w:val="en-US" w:eastAsia="zh-CN" w:bidi="ar-SA"/>
    </w:rPr>
  </w:style>
  <w:style w:type="character" w:customStyle="1" w:styleId="116">
    <w:name w:val="SSEC表字居中 20150323 Char"/>
    <w:link w:val="115"/>
    <w:qFormat/>
    <w:uiPriority w:val="0"/>
    <w:rPr>
      <w:rFonts w:ascii="宋体"/>
      <w:kern w:val="2"/>
      <w:sz w:val="21"/>
      <w:szCs w:val="21"/>
    </w:rPr>
  </w:style>
  <w:style w:type="character" w:customStyle="1" w:styleId="117">
    <w:name w:val="HTML 预设格式 Char"/>
    <w:link w:val="25"/>
    <w:qFormat/>
    <w:uiPriority w:val="99"/>
    <w:rPr>
      <w:rFonts w:ascii="宋体" w:hAnsi="宋体" w:cs="宋体"/>
      <w:sz w:val="24"/>
      <w:szCs w:val="24"/>
    </w:rPr>
  </w:style>
  <w:style w:type="paragraph" w:customStyle="1" w:styleId="118">
    <w:name w:val="Default"/>
    <w:qFormat/>
    <w:uiPriority w:val="0"/>
    <w:pPr>
      <w:widowControl w:val="0"/>
      <w:autoSpaceDE w:val="0"/>
      <w:autoSpaceDN w:val="0"/>
      <w:adjustRightInd w:val="0"/>
    </w:pPr>
    <w:rPr>
      <w:rFonts w:ascii="宋体).榽具." w:hAnsi="Times New Roman" w:eastAsia="宋体).榽具." w:cs="宋体).榽具."/>
      <w:color w:val="000000"/>
      <w:sz w:val="24"/>
      <w:szCs w:val="24"/>
      <w:lang w:val="en-US" w:eastAsia="zh-CN" w:bidi="ar-SA"/>
    </w:rPr>
  </w:style>
  <w:style w:type="paragraph" w:customStyle="1" w:styleId="119">
    <w:name w:val="xl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kern w:val="0"/>
      <w:sz w:val="24"/>
      <w:szCs w:val="20"/>
    </w:rPr>
  </w:style>
  <w:style w:type="character" w:customStyle="1" w:styleId="120">
    <w:name w:val="STC 正文 字符"/>
    <w:link w:val="121"/>
    <w:qFormat/>
    <w:locked/>
    <w:uiPriority w:val="0"/>
    <w:rPr>
      <w:rFonts w:ascii="宋体" w:hAnsi="宋体"/>
      <w:sz w:val="24"/>
    </w:rPr>
  </w:style>
  <w:style w:type="paragraph" w:customStyle="1" w:styleId="121">
    <w:name w:val="STC 正文"/>
    <w:link w:val="120"/>
    <w:qFormat/>
    <w:uiPriority w:val="0"/>
    <w:pPr>
      <w:widowControl w:val="0"/>
      <w:adjustRightInd w:val="0"/>
      <w:snapToGrid w:val="0"/>
      <w:spacing w:line="331" w:lineRule="auto"/>
      <w:ind w:firstLine="200" w:firstLineChars="200"/>
      <w:jc w:val="both"/>
    </w:pPr>
    <w:rPr>
      <w:rFonts w:ascii="宋体" w:hAnsi="宋体" w:eastAsia="宋体" w:cs="Times New Roman"/>
      <w:sz w:val="24"/>
      <w:lang w:val="en-US" w:eastAsia="zh-CN" w:bidi="ar-SA"/>
    </w:rPr>
  </w:style>
  <w:style w:type="table" w:customStyle="1" w:styleId="122">
    <w:name w:val="网格型3"/>
    <w:basedOn w:val="29"/>
    <w:qFormat/>
    <w:uiPriority w:val="59"/>
    <w:rPr>
      <w:rFonts w:ascii="Calibri" w:hAnsi="Calibri"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23">
    <w:name w:val="Revision"/>
    <w:hidden/>
    <w:semiHidden/>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1" Type="http://schemas.openxmlformats.org/officeDocument/2006/relationships/fontTable" Target="fontTable.xml"/><Relationship Id="rId50" Type="http://schemas.openxmlformats.org/officeDocument/2006/relationships/customXml" Target="../customXml/item2.xml"/><Relationship Id="rId5" Type="http://schemas.openxmlformats.org/officeDocument/2006/relationships/footer" Target="footer3.xml"/><Relationship Id="rId49" Type="http://schemas.openxmlformats.org/officeDocument/2006/relationships/numbering" Target="numbering.xml"/><Relationship Id="rId48" Type="http://schemas.openxmlformats.org/officeDocument/2006/relationships/customXml" Target="../customXml/item1.xml"/><Relationship Id="rId47" Type="http://schemas.openxmlformats.org/officeDocument/2006/relationships/image" Target="media/image39.jpeg"/><Relationship Id="rId46" Type="http://schemas.openxmlformats.org/officeDocument/2006/relationships/image" Target="media/image38.jpeg"/><Relationship Id="rId45" Type="http://schemas.openxmlformats.org/officeDocument/2006/relationships/image" Target="media/image37.jpeg"/><Relationship Id="rId44" Type="http://schemas.openxmlformats.org/officeDocument/2006/relationships/image" Target="media/image36.jpeg"/><Relationship Id="rId43" Type="http://schemas.openxmlformats.org/officeDocument/2006/relationships/image" Target="media/image35.jpeg"/><Relationship Id="rId42" Type="http://schemas.openxmlformats.org/officeDocument/2006/relationships/image" Target="media/image34.jpeg"/><Relationship Id="rId41" Type="http://schemas.openxmlformats.org/officeDocument/2006/relationships/image" Target="media/image33.jpeg"/><Relationship Id="rId40" Type="http://schemas.openxmlformats.org/officeDocument/2006/relationships/image" Target="media/image32.jpeg"/><Relationship Id="rId4" Type="http://schemas.openxmlformats.org/officeDocument/2006/relationships/footer" Target="footer2.xml"/><Relationship Id="rId39" Type="http://schemas.openxmlformats.org/officeDocument/2006/relationships/image" Target="media/image31.jpeg"/><Relationship Id="rId38" Type="http://schemas.openxmlformats.org/officeDocument/2006/relationships/image" Target="media/image30.jpeg"/><Relationship Id="rId37" Type="http://schemas.openxmlformats.org/officeDocument/2006/relationships/image" Target="media/image29.jpeg"/><Relationship Id="rId36" Type="http://schemas.openxmlformats.org/officeDocument/2006/relationships/image" Target="media/image28.png"/><Relationship Id="rId35" Type="http://schemas.openxmlformats.org/officeDocument/2006/relationships/image" Target="media/image27.jpeg"/><Relationship Id="rId34" Type="http://schemas.openxmlformats.org/officeDocument/2006/relationships/image" Target="media/image26.png"/><Relationship Id="rId33" Type="http://schemas.openxmlformats.org/officeDocument/2006/relationships/image" Target="file:///F:\&#20225;&#19994;&#24494;&#20449;&#32531;&#23384;\WXWork\1688853028968556\Cache\Image\2022-07\2eea2cc6adec1654636dfb45aa9d6f84.jpg" TargetMode="External"/><Relationship Id="rId32" Type="http://schemas.openxmlformats.org/officeDocument/2006/relationships/image" Target="media/image25.jpeg"/><Relationship Id="rId31" Type="http://schemas.openxmlformats.org/officeDocument/2006/relationships/image" Target="file:///F:\&#20225;&#19994;&#24494;&#20449;&#32531;&#23384;\WXWork\1688853028968556\Cache\Image\2022-07\9ff4549fb6feb2d39e942e38d83b268e.jpg" TargetMode="External"/><Relationship Id="rId30" Type="http://schemas.openxmlformats.org/officeDocument/2006/relationships/image" Target="media/image24.jpeg"/><Relationship Id="rId3" Type="http://schemas.openxmlformats.org/officeDocument/2006/relationships/footer" Target="footer1.xml"/><Relationship Id="rId29" Type="http://schemas.openxmlformats.org/officeDocument/2006/relationships/image" Target="media/image23.png"/><Relationship Id="rId28" Type="http://schemas.openxmlformats.org/officeDocument/2006/relationships/image" Target="media/image22.emf"/><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0527D76-C97B-474D-8DB4-7D05CAB6AF03}">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101</Pages>
  <Words>8313</Words>
  <Characters>47389</Characters>
  <Lines>394</Lines>
  <Paragraphs>111</Paragraphs>
  <TotalTime>2005</TotalTime>
  <ScaleCrop>false</ScaleCrop>
  <LinksUpToDate>false</LinksUpToDate>
  <CharactersWithSpaces>55591</CharactersWithSpaces>
  <Application>WPS Office_11.8.2.8555_F1E327BC-269C-435d-A152-05C5408002CA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2022-07-18T03:11:00Z</dcterms:created>
  <dc:creator>lhj</dc:creator>
  <cp:lastModifiedBy>pc20181112</cp:lastModifiedBy>
  <cp:lastPrinted>2022-08-09T09:03:00Z</cp:lastPrinted>
  <dcterms:modified xsi:type="dcterms:W3CDTF">2022-08-10T10:03:52Z</dcterms:modified>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2052-11.8.2.8555</vt:lpwstr>
  </property>
</Properties>
</file>