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keepNext w:val="0"/>
        <w:keepLines w:val="0"/>
        <w:pageBreakBefore w:val="0"/>
        <w:widowControl/>
        <w:tabs>
          <w:tab w:val="right" w:leader="dot" w:pos="8306"/>
          <w:tab w:val="clear" w:pos="8296"/>
        </w:tabs>
        <w:kinsoku/>
        <w:wordWrap/>
        <w:overflowPunct w:val="0"/>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bCs w:val="0"/>
          <w:color w:val="000000" w:themeColor="text1"/>
          <w:sz w:val="36"/>
          <w:szCs w:val="36"/>
          <w:highlight w:val="none"/>
          <w:lang w:val="en-US" w:eastAsia="zh-CN"/>
          <w14:textFill>
            <w14:solidFill>
              <w14:schemeClr w14:val="tx1"/>
            </w14:solidFill>
          </w14:textFill>
        </w:rPr>
      </w:pPr>
      <w:bookmarkStart w:id="244" w:name="_GoBack"/>
      <w:bookmarkEnd w:id="244"/>
      <w:r>
        <w:rPr>
          <w:rFonts w:hint="default" w:ascii="Times New Roman" w:hAnsi="Times New Roman" w:eastAsia="宋体" w:cs="Times New Roman"/>
          <w:b/>
          <w:bCs w:val="0"/>
          <w:color w:val="000000" w:themeColor="text1"/>
          <w:sz w:val="36"/>
          <w:szCs w:val="36"/>
          <w:highlight w:val="none"/>
          <w:lang w:val="en-US" w:eastAsia="zh-CN"/>
          <w14:textFill>
            <w14:solidFill>
              <w14:schemeClr w14:val="tx1"/>
            </w14:solidFill>
          </w14:textFill>
        </w:rPr>
        <w:t>目  录</w:t>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14:textFill>
            <w14:solidFill>
              <w14:schemeClr w14:val="tx1"/>
            </w14:solidFill>
          </w14:textFill>
        </w:rPr>
        <w:fldChar w:fldCharType="begin"/>
      </w:r>
      <w:r>
        <w:rPr>
          <w:rFonts w:hint="default" w:ascii="Times New Roman" w:hAnsi="Times New Roman" w:eastAsia="宋体" w:cs="Times New Roman"/>
          <w:b/>
          <w:color w:val="000000" w:themeColor="text1"/>
          <w:sz w:val="24"/>
          <w:szCs w:val="24"/>
          <w:highlight w:val="none"/>
          <w:lang w:val="en-US"/>
          <w14:textFill>
            <w14:solidFill>
              <w14:schemeClr w14:val="tx1"/>
            </w14:solidFill>
          </w14:textFill>
        </w:rPr>
        <w:instrText xml:space="preserve"> TOC \o "1-2" \h \z \u </w:instrText>
      </w:r>
      <w:r>
        <w:rPr>
          <w:rFonts w:hint="default" w:ascii="Times New Roman" w:hAnsi="Times New Roman" w:eastAsia="宋体" w:cs="Times New Roman"/>
          <w:b/>
          <w:color w:val="000000" w:themeColor="text1"/>
          <w:sz w:val="24"/>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_Toc29731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1  概述</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_Toc29731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_Toc9786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1.1评价任务由来</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_Toc9786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_Toc22013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1.</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4"/>
          <w:highlight w:val="none"/>
          <w14:textFill>
            <w14:solidFill>
              <w14:schemeClr w14:val="tx1"/>
            </w14:solidFill>
          </w14:textFill>
        </w:rPr>
        <w:t>环境影响评价的工作过程</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_Toc22013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_Toc22667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1.</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4"/>
          <w:highlight w:val="none"/>
          <w14:textFill>
            <w14:solidFill>
              <w14:schemeClr w14:val="tx1"/>
            </w14:solidFill>
          </w14:textFill>
        </w:rPr>
        <w:t>分析判定相关情况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_Toc22667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_Toc12171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1.</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4"/>
          <w:highlight w:val="none"/>
          <w14:textFill>
            <w14:solidFill>
              <w14:schemeClr w14:val="tx1"/>
            </w14:solidFill>
          </w14:textFill>
        </w:rPr>
        <w:t>关注的主要环境问题及环境影响</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_Toc12171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_Toc4605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1.</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4"/>
          <w:highlight w:val="none"/>
          <w14:textFill>
            <w14:solidFill>
              <w14:schemeClr w14:val="tx1"/>
            </w14:solidFill>
          </w14:textFill>
        </w:rPr>
        <w:t>环境影响评价主要结论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_Toc4605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_Toc27139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2  总则</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_Toc27139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_Toc721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2.1编制依据</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_Toc721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_Toc14586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2.2评价目的</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_Toc14586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_Toc11062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2.3评价原则</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_Toc11062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_Toc4875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2.4评价工作程序</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_Toc4875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_Toc27103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2.5评价内容和评价重点</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_Toc27103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_Toc7323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2.6环境影响因素和评价因子筛选</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_Toc7323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_Toc30768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Cs w:val="24"/>
          <w:highlight w:val="none"/>
          <w14:textFill>
            <w14:solidFill>
              <w14:schemeClr w14:val="tx1"/>
            </w14:solidFill>
          </w14:textFill>
        </w:rPr>
        <w:t>评价工作等级及评价范围</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_Toc30768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_Toc32198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4"/>
          <w:highlight w:val="none"/>
          <w14:textFill>
            <w14:solidFill>
              <w14:schemeClr w14:val="tx1"/>
            </w14:solidFill>
          </w14:textFill>
        </w:rPr>
        <w:t>评价标准</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_Toc32198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_Toc2293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2.9环境功能区划</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_Toc2293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_Toc9408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2.10环境保护目标</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_Toc9408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28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_Toc9672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3  建设项目工程分析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_Toc9672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_Toc16426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3.</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4"/>
          <w:highlight w:val="none"/>
          <w14:textFill>
            <w14:solidFill>
              <w14:schemeClr w14:val="tx1"/>
            </w14:solidFill>
          </w14:textFill>
        </w:rPr>
        <w:t>项目概况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_Toc16426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30</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_Toc2178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kern w:val="0"/>
          <w:szCs w:val="24"/>
          <w:highlight w:val="none"/>
          <w14:textFill>
            <w14:solidFill>
              <w14:schemeClr w14:val="tx1"/>
            </w14:solidFill>
          </w14:textFill>
        </w:rPr>
        <w:t>3.</w:t>
      </w:r>
      <w:r>
        <w:rPr>
          <w:rFonts w:hint="default" w:ascii="Times New Roman" w:hAnsi="Times New Roman" w:eastAsia="宋体" w:cs="Times New Roman"/>
          <w:color w:val="000000" w:themeColor="text1"/>
          <w:kern w:val="0"/>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工程分析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_Toc2178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34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_Toc22833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3.3总量控制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_Toc22833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51</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_Toc22900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4  环境现状调查与评价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_Toc22900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_Toc29544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4.1自然环境现状调查与评价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_Toc29544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52</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_Toc16450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4.2木垒民生工业园简介</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_Toc16450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_Toc2243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4.</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4"/>
          <w:highlight w:val="none"/>
          <w14:textFill>
            <w14:solidFill>
              <w14:schemeClr w14:val="tx1"/>
            </w14:solidFill>
          </w14:textFill>
        </w:rPr>
        <w:t>环境质量现状与评价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_Toc2243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58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_Toc25732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5  环境影响预测与评价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_Toc25732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73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_Toc10783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5.1施工期环境影响分析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_Toc10783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73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_Toc9385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5.2营运期环境影响分析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_Toc9385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77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_Toc4397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5.3环境风险评价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_Toc4397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103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_Toc15528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6  环境保护措施及其可行性论证</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_Toc15528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_Toc5839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6.1施工期环境保护措施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_Toc5839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_Toc9092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bCs/>
          <w:color w:val="000000" w:themeColor="text1"/>
          <w:szCs w:val="24"/>
          <w:highlight w:val="none"/>
          <w14:textFill>
            <w14:solidFill>
              <w14:schemeClr w14:val="tx1"/>
            </w14:solidFill>
          </w14:textFill>
        </w:rPr>
        <w:t>6.2营运期环境保护措施</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_Toc9092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117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_Toc22808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7  环境影响经济损益分析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_Toc22808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_Toc23987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7.1 环保措施投资估算</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_Toc23987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133</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_Toc30352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7.2环保措施的费用指标估算</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_Toc30352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_Toc13278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7.3环境效益</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_Toc13278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_Toc12405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8  环境管理与监测计划</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_Toc12405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_Toc30878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8.1环境管理</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_Toc30878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_Toc5124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bCs/>
          <w:color w:val="000000" w:themeColor="text1"/>
          <w:szCs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zCs w:val="24"/>
          <w:highlight w:val="none"/>
          <w14:textFill>
            <w14:solidFill>
              <w14:schemeClr w14:val="tx1"/>
            </w14:solidFill>
          </w14:textFill>
        </w:rPr>
        <w:t>.2环境监测计划</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_Toc5124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_Toc7456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8.3环境保护竣工验收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_Toc7456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138</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7"/>
        <w:keepNext w:val="0"/>
        <w:keepLines w:val="0"/>
        <w:pageBreakBefore w:val="0"/>
        <w:widowControl/>
        <w:tabs>
          <w:tab w:val="right" w:leader="dot" w:pos="8306"/>
          <w:tab w:val="clear" w:pos="829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_Toc2835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30"/>
          <w:highlight w:val="none"/>
          <w14:textFill>
            <w14:solidFill>
              <w14:schemeClr w14:val="tx1"/>
            </w14:solidFill>
          </w14:textFill>
        </w:rPr>
        <w:t>9  环境影响评价结论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_Toc2835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_Toc5072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9.1建设项目概况</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_Toc5072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_Toc30346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9.2建设项目环境可行性分析</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_Toc30346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_Toc14717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9.3环境质量现状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_Toc14717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144</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_Toc18801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9.4施工期环境影响结论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_Toc18801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_Toc156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9.</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4"/>
          <w:highlight w:val="none"/>
          <w14:textFill>
            <w14:solidFill>
              <w14:schemeClr w14:val="tx1"/>
            </w14:solidFill>
          </w14:textFill>
        </w:rPr>
        <w:t>营运期环境影响评价</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_Toc156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145</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_Toc4532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9.</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6环境保护措施结论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_Toc4532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_Toc14221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9.7</w:t>
      </w:r>
      <w:r>
        <w:rPr>
          <w:rFonts w:hint="default" w:ascii="Times New Roman" w:hAnsi="Times New Roman" w:eastAsia="宋体" w:cs="Times New Roman"/>
          <w:color w:val="000000" w:themeColor="text1"/>
          <w:szCs w:val="24"/>
          <w:highlight w:val="none"/>
          <w14:textFill>
            <w14:solidFill>
              <w14:schemeClr w14:val="tx1"/>
            </w14:solidFill>
          </w14:textFill>
        </w:rPr>
        <w:t>总量控制</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_Toc14221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146</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_Toc977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9.8</w:t>
      </w:r>
      <w:r>
        <w:rPr>
          <w:rFonts w:hint="default" w:ascii="Times New Roman" w:hAnsi="Times New Roman" w:eastAsia="宋体" w:cs="Times New Roman"/>
          <w:color w:val="000000" w:themeColor="text1"/>
          <w:szCs w:val="24"/>
          <w:highlight w:val="none"/>
          <w14:textFill>
            <w14:solidFill>
              <w14:schemeClr w14:val="tx1"/>
            </w14:solidFill>
          </w14:textFill>
        </w:rPr>
        <w:t>公众参与结论</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_Toc977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Style w:val="19"/>
        <w:keepNext w:val="0"/>
        <w:keepLines w:val="0"/>
        <w:pageBreakBefore w:val="0"/>
        <w:widowControl/>
        <w:tabs>
          <w:tab w:val="right" w:leader="dot" w:pos="8306"/>
        </w:tabs>
        <w:kinsoku w:val="0"/>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Cs w:val="24"/>
          <w:highlight w:val="none"/>
          <w:lang w:val="en-US"/>
          <w14:textFill>
            <w14:solidFill>
              <w14:schemeClr w14:val="tx1"/>
            </w14:solidFill>
          </w14:textFill>
        </w:rPr>
        <w:instrText xml:space="preserve"> HYPERLINK \l _Toc18956 </w:instrText>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separate"/>
      </w:r>
      <w:r>
        <w:rPr>
          <w:rFonts w:hint="default" w:ascii="Times New Roman" w:hAnsi="Times New Roman" w:eastAsia="宋体" w:cs="Times New Roman"/>
          <w:color w:val="000000" w:themeColor="text1"/>
          <w:szCs w:val="24"/>
          <w:highlight w:val="none"/>
          <w14:textFill>
            <w14:solidFill>
              <w14:schemeClr w14:val="tx1"/>
            </w14:solidFill>
          </w14:textFill>
        </w:rPr>
        <w:t>9.</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Cs w:val="24"/>
          <w:highlight w:val="none"/>
          <w14:textFill>
            <w14:solidFill>
              <w14:schemeClr w14:val="tx1"/>
            </w14:solidFill>
          </w14:textFill>
        </w:rPr>
        <w:t>建议</w:t>
      </w:r>
      <w:r>
        <w:rPr>
          <w:rFonts w:hint="default" w:ascii="Times New Roman" w:hAnsi="Times New Roman" w:eastAsia="宋体" w:cs="Times New Roman"/>
          <w:color w:val="000000" w:themeColor="text1"/>
          <w14:textFill>
            <w14:solidFill>
              <w14:schemeClr w14:val="tx1"/>
            </w14:solidFill>
          </w14:textFill>
        </w:rPr>
        <w:tab/>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PAGEREF _Toc18956 \h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147</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keepNext w:val="0"/>
        <w:keepLines w:val="0"/>
        <w:pageBreakBefore w:val="0"/>
        <w:widowControl/>
        <w:kinsoku/>
        <w:wordWrap/>
        <w:overflowPunct w:val="0"/>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Cs w:val="24"/>
          <w:highlight w:val="none"/>
          <w:lang w:val="en-US"/>
          <w14:textFill>
            <w14:solidFill>
              <w14:schemeClr w14:val="tx1"/>
            </w14:solidFill>
          </w14:textFill>
        </w:rPr>
        <w:fldChar w:fldCharType="end"/>
      </w:r>
    </w:p>
    <w:p>
      <w:pPr>
        <w:pageBreakBefore w:val="0"/>
        <w:kinsoku/>
        <w:overflowPunct w:val="0"/>
        <w:bidi w:val="0"/>
        <w:snapToGrid w:val="0"/>
        <w:spacing w:line="360" w:lineRule="auto"/>
        <w:jc w:val="left"/>
        <w:rPr>
          <w:rFonts w:hint="default" w:ascii="Times New Roman" w:hAnsi="Times New Roman" w:eastAsia="宋体" w:cs="Times New Roman"/>
          <w:color w:val="000000" w:themeColor="text1"/>
          <w:sz w:val="24"/>
          <w:szCs w:val="24"/>
          <w:highlight w:val="none"/>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0" w:name="_Toc24529"/>
      <w:bookmarkStart w:id="1" w:name="_Toc29731"/>
      <w:bookmarkStart w:id="2" w:name="_Toc8124"/>
      <w:r>
        <w:rPr>
          <w:rFonts w:hint="default" w:ascii="Times New Roman" w:hAnsi="Times New Roman" w:eastAsia="宋体" w:cs="Times New Roman"/>
          <w:color w:val="000000" w:themeColor="text1"/>
          <w:sz w:val="30"/>
          <w:szCs w:val="30"/>
          <w:highlight w:val="none"/>
          <w14:textFill>
            <w14:solidFill>
              <w14:schemeClr w14:val="tx1"/>
            </w14:solidFill>
          </w14:textFill>
        </w:rPr>
        <w:t>1  概述</w:t>
      </w:r>
      <w:bookmarkEnd w:id="0"/>
      <w:bookmarkEnd w:id="1"/>
      <w:bookmarkEnd w:id="2"/>
    </w:p>
    <w:p>
      <w:pPr>
        <w:pStyle w:val="5"/>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3" w:name="_Toc9786"/>
      <w:bookmarkStart w:id="4" w:name="_Toc9774"/>
      <w:bookmarkStart w:id="5" w:name="_Toc18538"/>
      <w:r>
        <w:rPr>
          <w:rFonts w:hint="default" w:ascii="Times New Roman" w:hAnsi="Times New Roman" w:eastAsia="宋体" w:cs="Times New Roman"/>
          <w:color w:val="000000" w:themeColor="text1"/>
          <w:sz w:val="24"/>
          <w:szCs w:val="24"/>
          <w:highlight w:val="none"/>
          <w14:textFill>
            <w14:solidFill>
              <w14:schemeClr w14:val="tx1"/>
            </w14:solidFill>
          </w14:textFill>
        </w:rPr>
        <w:t>1.1评价任务由来</w:t>
      </w:r>
      <w:bookmarkEnd w:id="3"/>
      <w:bookmarkEnd w:id="4"/>
      <w:bookmarkEnd w:id="5"/>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随着化石资源（石油、煤炭）的大量开发，不可再生资源保有储量越来越少，终有枯竭的一天，因此需坚持可持续发展的原则，采取途径减少不可再生资源消耗的比重。目前，国家已将新能源的开发提到了战略高度，风能、太阳能和潮汐能等将是未来一段时间新能源发展的重点。从现有的开发技术和经济性看，风能开发具有一定的优势，随着平价上网进程加快，风电机组的价格将进一步降低，风电的竞争力将大大增强。开发风电是降低国家化石资源消耗比重的重要措施，有利于改善当地的能源结构。</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风能是一种清洁而稳定的新能源，在环境污染和温室气体排放日益严重的今天，风力发电作为全球公认可以有效减缓气候变化、提高能源安全、促进低碳经济增长的方案，得到各国政府、机构和企业等的高度关注。此外，由于风电技术相对成熟，且具有更高的成本效益和资源有效性，因此，风电也成为近年来世界上增长最快的能源之一。</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中国风电市场的高速发展起源于国家对电力企业的可再生能源配额限制。增加可再生能源发展力度。考虑到太阳能电的增速虽快但增量有限，完成配额主要依赖风电。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推进绿色发展，建立健全绿色低碳循环发展的经济体系，壮大清洁能源等产业，推进能源生产和消费革命，构建清洁低碳、安全高效的能源体系。木垒县利用风光资源独特的地理优势，大力发展以光伏、风电为主的新能源产业，全力打造现代化风光电产业园和千万千瓦级清洁能源基地。风电场的建设将有利于改善系统电源结构，缓解电力行业较大的环境保护压力，减少新疆维吾尔自治区的污染气体排放量，从而改善空气质量。</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风力发电行业主要由上游原材料生产、中游零部件制造和风力机组制造、以及下游风电场运营和电网运营等环节构成。风电产业链中，风电发电机叶片是使风电发电机风轮旋转并产生气动力的关键的部件，是风电部件中确定性较高、市场容量较大、盈利模式清晰的行业。</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东方美泽风电设备制造（新疆）有限公司拟投资49000万元在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新疆昌吉州木垒哈萨克自治县民生工业园区新型产业及轻工业区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建设东方电气（新疆）新能源高端装备制造基地项目。对推动以木垒为核心区的《新疆昌吉州新能源2020-2025年发展规划》，着力打造新疆木垒准东千万千瓦级清洁能源基地有着积极作用。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内容为年产1500MW风电叶片及主机制造生产项目，项目新建风电主机厂房、叶片厂房、配套用房（办公楼、食堂、倒班宿舍）、固废库、门卫等，以及配套的厂区管网、公用动力设施、环保和消防设施。东方美泽风电设备制造（新疆）有限公司于2022年3月委托新疆煤炭设计研究院有限责任公司承担了东方电气（新疆）新能源高端装备制造基地项目环境影响评价工作。</w:t>
      </w:r>
    </w:p>
    <w:p>
      <w:pPr>
        <w:pStyle w:val="5"/>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6" w:name="_Toc12034"/>
      <w:bookmarkStart w:id="7" w:name="_Toc28393"/>
      <w:bookmarkStart w:id="8" w:name="_Toc7022"/>
      <w:bookmarkStart w:id="9" w:name="_Toc2276"/>
      <w:bookmarkStart w:id="10" w:name="_Toc16543"/>
      <w:bookmarkStart w:id="11" w:name="_Toc12471"/>
      <w:bookmarkStart w:id="12" w:name="_Toc17123"/>
      <w:bookmarkStart w:id="13" w:name="_Toc29039"/>
      <w:bookmarkStart w:id="14" w:name="_Toc474747825"/>
      <w:bookmarkStart w:id="15" w:name="_Toc22013"/>
      <w:bookmarkStart w:id="16" w:name="_Toc22055"/>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环境影响评价的工作过程</w:t>
      </w:r>
      <w:bookmarkEnd w:id="6"/>
      <w:bookmarkEnd w:id="7"/>
      <w:bookmarkEnd w:id="8"/>
      <w:bookmarkEnd w:id="9"/>
      <w:bookmarkEnd w:id="10"/>
      <w:bookmarkEnd w:id="11"/>
      <w:bookmarkEnd w:id="12"/>
      <w:bookmarkEnd w:id="13"/>
      <w:bookmarkEnd w:id="14"/>
      <w:bookmarkEnd w:id="15"/>
      <w:bookmarkEnd w:id="16"/>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根据国务院令第682号《建设项目环境保护管理条例》和《中华人民共和国环境影响评价法》的有关规定，受东方美泽风电设备制造（新疆）有限公司的委托，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新疆煤炭设计研究院有限责任公司</w:t>
      </w:r>
      <w:r>
        <w:rPr>
          <w:rFonts w:hint="default" w:ascii="Times New Roman" w:hAnsi="Times New Roman" w:eastAsia="宋体" w:cs="Times New Roman"/>
          <w:color w:val="000000" w:themeColor="text1"/>
          <w:sz w:val="24"/>
          <w:szCs w:val="24"/>
          <w:highlight w:val="none"/>
          <w14:textFill>
            <w14:solidFill>
              <w14:schemeClr w14:val="tx1"/>
            </w14:solidFill>
          </w14:textFill>
        </w:rPr>
        <w:t>承担了本项目的环境影响评价工作。评价单位在现场踏查、收集有关资料及工程分析的基础上，按照环评工作的程序，编制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完成了《东方电气（新疆）新能源高端装备制造基地项目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5"/>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7" w:name="_Toc2232"/>
      <w:bookmarkStart w:id="18" w:name="_Toc17548"/>
      <w:bookmarkStart w:id="19" w:name="_Toc836"/>
      <w:bookmarkStart w:id="20" w:name="_Toc474747826"/>
      <w:bookmarkStart w:id="21" w:name="_Toc32451"/>
      <w:bookmarkStart w:id="22" w:name="_Toc15218"/>
      <w:bookmarkStart w:id="23" w:name="_Toc31998"/>
      <w:bookmarkStart w:id="24" w:name="_Toc2628"/>
      <w:bookmarkStart w:id="25" w:name="_Toc3341"/>
      <w:bookmarkStart w:id="26" w:name="_Toc4492"/>
      <w:bookmarkStart w:id="27" w:name="_Toc22667"/>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分析判定相关情况</w:t>
      </w:r>
      <w:bookmarkEnd w:id="17"/>
      <w:bookmarkEnd w:id="18"/>
      <w:bookmarkEnd w:id="19"/>
      <w:bookmarkEnd w:id="20"/>
      <w:bookmarkEnd w:id="21"/>
      <w:bookmarkEnd w:id="22"/>
      <w:bookmarkEnd w:id="23"/>
      <w:bookmarkEnd w:id="24"/>
      <w:bookmarkEnd w:id="25"/>
      <w:bookmarkEnd w:id="26"/>
      <w:bookmarkEnd w:id="27"/>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28" w:name="_Toc12428"/>
      <w:bookmarkStart w:id="29" w:name="_Toc25700"/>
      <w:bookmarkStart w:id="30" w:name="_Toc20933"/>
      <w:bookmarkStart w:id="31" w:name="_Toc474747827"/>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1.3.1项目类别判定</w:t>
      </w:r>
      <w:bookmarkEnd w:id="28"/>
      <w:bookmarkEnd w:id="29"/>
      <w:bookmarkEnd w:id="30"/>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照《国民经济行业分类》（GB/T4754-2017），项目应属于“C3811发电机及发电机组制造中风力发电风轮叶片”类项目；根据《建设项目环境影响评价分类管理名录（2021年版）》，项目属于“三十五、电气机械和器材制造业”之“381电机制造，年用溶剂型涂料（含稀释剂）10吨及以上的”，项目设置有油漆涂装工序，且油漆用量大于10t/a，故须编制环境影响报告书。我公司在接受环评工作委托后，即可组织了课题组进行资料收集，并进行了现场踏勘。在初步工程分析的基础上，委托了监测单位进行了现状监测，并依据工程分析结果进行了相应影响分析和预测，得出了环评初步结论。在此基础上，按照相关技术导则和规范的要求，编制了《东方电气（新疆）新能源高端装备制造基地项目环境影响报告书》。</w:t>
      </w:r>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32" w:name="_Toc9206"/>
      <w:bookmarkStart w:id="33" w:name="_Toc12707"/>
      <w:bookmarkStart w:id="34" w:name="_Toc23014"/>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1.3.2产业政策相符性分析</w:t>
      </w:r>
      <w:bookmarkEnd w:id="32"/>
      <w:bookmarkEnd w:id="33"/>
      <w:bookmarkEnd w:id="34"/>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根据《国民经济行业分类》（GB/T4754-2017），项目属于C3811发电机及发电机组制造中风力发电风轮叶片制造。根据《产业结构调整指导目录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2021年修改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国家发展和改革委员会令第49号，2021年12月31日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本项目不属于鼓励类、限制类及淘汰类范围，属于允许类项目。</w:t>
      </w:r>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35" w:name="_Toc11172"/>
      <w:bookmarkStart w:id="36" w:name="_Toc16412"/>
      <w:bookmarkStart w:id="37" w:name="_Toc30705"/>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1.3.3</w:t>
      </w:r>
      <w:bookmarkEnd w:id="35"/>
      <w:bookmarkEnd w:id="36"/>
      <w:bookmarkEnd w:id="37"/>
      <w:bookmarkStart w:id="38" w:name="_Toc23817"/>
      <w:bookmarkStart w:id="39" w:name="_Toc13253"/>
      <w:bookmarkStart w:id="40" w:name="_Toc2408"/>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选址合理性分析</w:t>
      </w:r>
      <w:bookmarkEnd w:id="38"/>
      <w:bookmarkEnd w:id="39"/>
      <w:bookmarkEnd w:id="40"/>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新疆昌吉州木垒哈萨克自治县民生工业园区新型产业及轻工业区</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新建项目。项目所在地目前环境质量基本满足功能区划要求，厂址周围无自然保护区、名胜古迹、生活饮用水源地、生态脆弱敏感区和其他需要特殊保护的敏感目标。项目厂址外环境关系较为简单，无特殊环境敏感点。周边具备供水及供电接入条件。即项目区域基础设施较完善，供水、供电、通信等均能满足项目生产及员工生活要求。同时，项目不位于生态保护红线内；不占用林地和基本农田，项目选址符合“三线一单”空间布局约束要求，项目在采取本报告提出的污染防治措施后，污染物均能达标排放，对周围环境污染影响小，符合区域环境功能要求。</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本项目所在地不在《新疆维吾尔自治区主体功能区规划》中划定的重点开发区域、限制开发区域和禁止开发区域内，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从环境保护角度分析，项目选址合理可行。</w:t>
      </w:r>
    </w:p>
    <w:p>
      <w:pPr>
        <w:pStyle w:val="6"/>
        <w:keepNext/>
        <w:keepLines/>
        <w:pageBreakBefore w:val="0"/>
        <w:widowControl w:val="0"/>
        <w:kinsoku/>
        <w:wordWrap/>
        <w:overflowPunct w:val="0"/>
        <w:topLinePunct w:val="0"/>
        <w:autoSpaceDE/>
        <w:autoSpaceDN/>
        <w:bidi w:val="0"/>
        <w:adjustRightInd w:val="0"/>
        <w:snapToGrid/>
        <w:spacing w:before="0" w:after="0" w:line="360" w:lineRule="auto"/>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41" w:name="_Toc32581"/>
      <w:bookmarkStart w:id="42" w:name="_Toc12050"/>
      <w:bookmarkStart w:id="43" w:name="_Toc4749"/>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1.3.4平面布置合理性分析</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建设方提供的总平面布置图中，拟建项目根据工艺生产流程，运输条件及满足建筑设计防火规范的要求，本项目总平面布置充分考虑了项目所在地的环境特征，总体布置按功能区划分为生产区、原料储存区、成品储存区。本项目大门位于厂区西侧，生活区布置于西北角；厂区北侧为材料区和主机装配车间，南侧为叶片堆放场地；项目区中部为叶片生产车间，叶片生产原辅材料库位于叶片生产车间的南侧，方便原料的运输和成品的暂存，距离所需工序近，设置合理。在交通组织方面充分考虑物流运输出入的方便性，降低对项目区内噪音的干扰。项目区分区明确，格局简洁。总体来看，本项目总平面布置基本合理可行，项目平面布置图详见附图5。</w:t>
      </w:r>
    </w:p>
    <w:p>
      <w:pPr>
        <w:pStyle w:val="6"/>
        <w:keepNext/>
        <w:keepLines/>
        <w:pageBreakBefore w:val="0"/>
        <w:widowControl w:val="0"/>
        <w:kinsoku/>
        <w:wordWrap/>
        <w:overflowPunct w:val="0"/>
        <w:topLinePunct w:val="0"/>
        <w:autoSpaceDE/>
        <w:autoSpaceDN/>
        <w:bidi w:val="0"/>
        <w:adjustRightInd w:val="0"/>
        <w:snapToGrid/>
        <w:spacing w:before="0" w:after="0" w:line="360" w:lineRule="auto"/>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1.3.5“三线一单”分析</w:t>
      </w:r>
      <w:bookmarkEnd w:id="41"/>
      <w:bookmarkEnd w:id="42"/>
      <w:bookmarkEnd w:id="43"/>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（1）与《新疆维吾尔自治区“三线一单”生态环境分区管控方案》相符性分析</w:t>
      </w:r>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2021年2月21日，新疆维吾尔自治区人民政府发布了《</w:t>
      </w:r>
      <w:r>
        <w:rPr>
          <w:rFonts w:hint="default" w:ascii="Times New Roman" w:hAnsi="Times New Roman" w:eastAsia="宋体" w:cs="Times New Roman"/>
          <w:color w:val="000000" w:themeColor="text1"/>
          <w:sz w:val="24"/>
          <w:szCs w:val="24"/>
          <w:highlight w:val="none"/>
          <w14:textFill>
            <w14:solidFill>
              <w14:schemeClr w14:val="tx1"/>
            </w14:solidFill>
          </w14:textFill>
        </w:rPr>
        <w:t>新疆维吾尔自治区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三线一单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生态环境分区管控方案</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》（新政发〔2021〕18号），本工程与自治区“三线一单”生态分区管控方案的相符性分析如下</w:t>
      </w:r>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①生态保护红线</w:t>
      </w:r>
    </w:p>
    <w:p>
      <w:pPr>
        <w:keepNext w:val="0"/>
        <w:keepLines w:val="0"/>
        <w:pageBreakBefore w:val="0"/>
        <w:widowControl/>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态保护红线是生态空间范围内具有特殊重要生态功能必须实行强制性保护的区域。相关规划环评应将生态空间管控作为重要内容，规划区涉及生态保护红线，在规划环评结论和审查意见中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keepNext w:val="0"/>
        <w:keepLines w:val="0"/>
        <w:pageBreakBefore w:val="0"/>
        <w:widowControl/>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本项目所在</w:t>
      </w:r>
      <w:r>
        <w:rPr>
          <w:rFonts w:hint="default" w:ascii="Times New Roman" w:hAnsi="Times New Roman" w:eastAsia="宋体" w:cs="Times New Roman"/>
          <w:color w:val="000000" w:themeColor="text1"/>
          <w:sz w:val="24"/>
          <w:szCs w:val="24"/>
          <w:highlight w:val="none"/>
          <w14:textFill>
            <w14:solidFill>
              <w14:schemeClr w14:val="tx1"/>
            </w14:solidFill>
          </w14:textFill>
        </w:rPr>
        <w:t>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域内无自然保护区、风景名胜区等特殊生态敏感区，不在生态保护红线区内，即本项目不涉及生态保护红线</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详见附图1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环境质量底线</w:t>
      </w:r>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总量控制要求。</w:t>
      </w:r>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区域环境空气</w:t>
      </w:r>
      <w:r>
        <w:rPr>
          <w:rFonts w:hint="default" w:ascii="Times New Roman" w:hAnsi="Times New Roman" w:eastAsia="宋体" w:cs="Times New Roman"/>
          <w:caps w:val="0"/>
          <w:color w:val="000000" w:themeColor="text1"/>
          <w:kern w:val="2"/>
          <w:sz w:val="24"/>
          <w:szCs w:val="24"/>
          <w:lang w:val="en-US" w:eastAsia="zh-CN" w:bidi="ar-SA"/>
          <w14:textFill>
            <w14:solidFill>
              <w14:schemeClr w14:val="tx1"/>
            </w14:solidFill>
          </w14:textFill>
        </w:rPr>
        <w:t>满足《环境空气质量标准》（GB3095-2012）二级标准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项目厂界声环境符合《声环境质量标准》(GB3096-2008)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类标准。区域环境质量现状较好。</w:t>
      </w:r>
    </w:p>
    <w:p>
      <w:pPr>
        <w:pStyle w:val="33"/>
        <w:keepNext w:val="0"/>
        <w:keepLines w:val="0"/>
        <w:pageBreakBefore w:val="0"/>
        <w:widowControl/>
        <w:kinsoku/>
        <w:wordWrap/>
        <w:overflowPunct w:val="0"/>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根据项目所在区域环境质量现状调查和污染物排放影响预分析测，本项目营运后对区域内环境影响较小，环境质量可以保持现有水平。项目生产中生产废水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排入园区下水管网</w:t>
      </w:r>
      <w:r>
        <w:rPr>
          <w:rFonts w:hint="default" w:ascii="Times New Roman" w:hAnsi="Times New Roman" w:eastAsia="宋体" w:cs="Times New Roman"/>
          <w:color w:val="000000" w:themeColor="text1"/>
          <w:sz w:val="24"/>
          <w:szCs w:val="24"/>
          <w:highlight w:val="none"/>
          <w14:textFill>
            <w14:solidFill>
              <w14:schemeClr w14:val="tx1"/>
            </w14:solidFill>
          </w14:textFill>
        </w:rPr>
        <w:t>。各项废气采取防治措施后均可实现达标排放，各项固体废物均可得到妥善处置。采取相关环保措施后，项目污染物排放不会对区域环境质量底线造成冲击。</w:t>
      </w:r>
    </w:p>
    <w:p>
      <w:pPr>
        <w:pStyle w:val="33"/>
        <w:keepNext w:val="0"/>
        <w:keepLines w:val="0"/>
        <w:pageBreakBefore w:val="0"/>
        <w:widowControl/>
        <w:kinsoku/>
        <w:wordWrap/>
        <w:overflowPunct w:val="0"/>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③资源利用上线。</w:t>
      </w:r>
    </w:p>
    <w:p>
      <w:pPr>
        <w:pStyle w:val="33"/>
        <w:keepNext w:val="0"/>
        <w:keepLines w:val="0"/>
        <w:pageBreakBefore w:val="0"/>
        <w:widowControl/>
        <w:kinsoku/>
        <w:wordWrap/>
        <w:overflowPunct w:val="0"/>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资源是环境的载体，资源利用上线是个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pStyle w:val="33"/>
        <w:keepNext w:val="0"/>
        <w:keepLines w:val="0"/>
        <w:pageBreakBefore w:val="0"/>
        <w:kinsoku/>
        <w:wordWrap/>
        <w:overflowPunct w:val="0"/>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本项目营运过程存在一定电能、水等资源的消耗，项目资源消耗量相对于区域资源利用总量较少，符合资源利用上线要求。</w:t>
      </w:r>
    </w:p>
    <w:p>
      <w:pPr>
        <w:keepNext w:val="0"/>
        <w:keepLines w:val="0"/>
        <w:pageBreakBefore w:val="0"/>
        <w:widowControl w:val="0"/>
        <w:numPr>
          <w:ilvl w:val="0"/>
          <w:numId w:val="0"/>
        </w:numPr>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生态环境准入清单</w:t>
      </w:r>
    </w:p>
    <w:p>
      <w:pPr>
        <w:pStyle w:val="33"/>
        <w:keepNext w:val="0"/>
        <w:keepLines w:val="0"/>
        <w:pageBreakBefore w:val="0"/>
        <w:kinsoku/>
        <w:wordWrap/>
        <w:overflowPunct w:val="0"/>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根据《产业结构调整指导目录（2019年本）（2021年修改）》（国家发展和改革委员会令第49号，2021年12月31日），该项目不属于鼓励类、限制类及淘汰类范围，属于允许类项目。本项目建设符合国家产业政策要求。</w:t>
      </w:r>
    </w:p>
    <w:p>
      <w:pPr>
        <w:pStyle w:val="33"/>
        <w:keepNext w:val="0"/>
        <w:keepLines w:val="0"/>
        <w:pageBreakBefore w:val="0"/>
        <w:kinsoku/>
        <w:wordWrap/>
        <w:overflowPunct w:val="0"/>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市场准入负面清单（2020年版）》（发改体改【2020】1880号）、《关于印发新疆维吾尔自治区28个国家重点生态功能区县（市）产业准入负面清单（试行）的通知》（新发改规划【2017】89号）和《关于印发新疆维吾尔自治区17个新增纳入国家重点生态功能区县（市）产业准入负面清单（试行）的通知》（新发改规划（2017）1796号）文规定，本项目未列入该清单。</w:t>
      </w:r>
    </w:p>
    <w:p>
      <w:pPr>
        <w:pStyle w:val="14"/>
        <w:keepNext w:val="0"/>
        <w:keepLines w:val="0"/>
        <w:pageBreakBefore w:val="0"/>
        <w:widowControl w:val="0"/>
        <w:kinsoku/>
        <w:wordWrap/>
        <w:overflowPunct w:val="0"/>
        <w:topLinePunct w:val="0"/>
        <w:autoSpaceDE/>
        <w:autoSpaceDN/>
        <w:bidi w:val="0"/>
        <w:adjustRightInd/>
        <w:snapToGrid/>
        <w:spacing w:after="0" w:line="360" w:lineRule="auto"/>
        <w:ind w:left="0" w:leftChars="0"/>
        <w:jc w:val="both"/>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与《</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昌吉回族自治州“三线一单”生态环境分区管控方案及生态环境准入清单</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符合性分析</w:t>
      </w:r>
    </w:p>
    <w:p>
      <w:pPr>
        <w:pStyle w:val="14"/>
        <w:keepNext w:val="0"/>
        <w:keepLines w:val="0"/>
        <w:pageBreakBefore w:val="0"/>
        <w:widowControl w:val="0"/>
        <w:kinsoku/>
        <w:wordWrap/>
        <w:overflowPunct w:val="0"/>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本项目位于新疆昌吉州木垒哈萨克自治县民生工业园区新型产业及轻工业区，根据《昌吉回族自治州“三线一单”环境管控单元分类图》，本项目区属于划定的</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重点</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管控单元，</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详见附图2</w:t>
      </w:r>
      <w:r>
        <w:rPr>
          <w:rFonts w:hint="default"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。环境管控单元名称：木垒县民生工业园区，环境管控单元编码ZH65232820002。本项目与其符合情况见下表。</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表1.3-1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与《昌吉回族自治州“三线一单”生态环境分区管控方案及生态环境准入清单》符合性分析一览表</w:t>
      </w:r>
    </w:p>
    <w:tbl>
      <w:tblPr>
        <w:tblStyle w:val="24"/>
        <w:tblW w:w="54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5"/>
        <w:gridCol w:w="611"/>
        <w:gridCol w:w="478"/>
        <w:gridCol w:w="473"/>
        <w:gridCol w:w="3815"/>
        <w:gridCol w:w="2754"/>
        <w:gridCol w:w="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7"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t>环境管控单元编码</w:t>
            </w:r>
          </w:p>
        </w:tc>
        <w:tc>
          <w:tcPr>
            <w:tcW w:w="334"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t>环境管控单元</w:t>
            </w:r>
          </w:p>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t>名称</w:t>
            </w:r>
          </w:p>
        </w:tc>
        <w:tc>
          <w:tcPr>
            <w:tcW w:w="262"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t>环境管控单元类别</w:t>
            </w:r>
          </w:p>
        </w:tc>
        <w:tc>
          <w:tcPr>
            <w:tcW w:w="2351" w:type="pct"/>
            <w:gridSpan w:val="2"/>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管控要求</w:t>
            </w:r>
          </w:p>
        </w:tc>
        <w:tc>
          <w:tcPr>
            <w:tcW w:w="1509"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本项目情况</w:t>
            </w:r>
          </w:p>
        </w:tc>
        <w:tc>
          <w:tcPr>
            <w:tcW w:w="193"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7" w:type="pct"/>
            <w:vMerge w:val="restart"/>
            <w:tcBorders>
              <w:tl2br w:val="nil"/>
              <w:tr2bl w:val="nil"/>
            </w:tcBorders>
            <w:noWrap w:val="0"/>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ZH65232820002</w:t>
            </w:r>
          </w:p>
        </w:tc>
        <w:tc>
          <w:tcPr>
            <w:tcW w:w="334" w:type="pct"/>
            <w:vMerge w:val="restart"/>
            <w:tcBorders>
              <w:tl2br w:val="nil"/>
              <w:tr2bl w:val="nil"/>
            </w:tcBorders>
            <w:noWrap w:val="0"/>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木垒县民生工业园区</w:t>
            </w:r>
          </w:p>
        </w:tc>
        <w:tc>
          <w:tcPr>
            <w:tcW w:w="262" w:type="pct"/>
            <w:vMerge w:val="restart"/>
            <w:tcBorders>
              <w:tl2br w:val="nil"/>
              <w:tr2bl w:val="nil"/>
            </w:tcBorders>
            <w:noWrap w:val="0"/>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重点管控单元</w:t>
            </w:r>
          </w:p>
        </w:tc>
        <w:tc>
          <w:tcPr>
            <w:tcW w:w="259" w:type="pct"/>
            <w:tcBorders>
              <w:tl2br w:val="nil"/>
              <w:tr2bl w:val="nil"/>
            </w:tcBorders>
            <w:noWrap w:val="0"/>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b/>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空间布局约束</w:t>
            </w:r>
          </w:p>
        </w:tc>
        <w:tc>
          <w:tcPr>
            <w:tcW w:w="2091" w:type="pct"/>
            <w:tcBorders>
              <w:tl2br w:val="nil"/>
              <w:tr2bl w:val="nil"/>
            </w:tcBorders>
            <w:noWrap w:val="0"/>
            <w:vAlign w:val="center"/>
          </w:tcPr>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1、执行自治区总体准入要求中关于重点管控单元空间布局约束的准入要求（表2-3A6.1）。</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入园企业需符合园区产业发展定位。农副产品加工及民族特色旅游产业区发展的主要产业为：农副产品精、深加工、民族刺绣文化、民族工艺品、旅游文化产品等；农畜产品及食品加工区主要发展农畜产品和食品加工业；矿产资源综合利用加工及物流园区主要发展石材、石灰石加工产业、仓储物流业；新型产业及轻工业区主要发展装备制造产业和轻工业。</w:t>
            </w:r>
          </w:p>
        </w:tc>
        <w:tc>
          <w:tcPr>
            <w:tcW w:w="1509"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选址位于民生工业园区新型产业及轻工业区，新型产业及轻工业区可利用木垒及周边地区的光伏、风电项目，建设开发装备制造加工产业及轻工业产品加工制造。本项目是建设开发新能源装备制造加工产业，符合木垒民生工业园的产业定位。</w:t>
            </w:r>
          </w:p>
        </w:tc>
        <w:tc>
          <w:tcPr>
            <w:tcW w:w="193"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7" w:type="pct"/>
            <w:vMerge w:val="continue"/>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p>
        </w:tc>
        <w:tc>
          <w:tcPr>
            <w:tcW w:w="334" w:type="pct"/>
            <w:vMerge w:val="continue"/>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pPr>
          </w:p>
        </w:tc>
        <w:tc>
          <w:tcPr>
            <w:tcW w:w="262" w:type="pct"/>
            <w:vMerge w:val="continue"/>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p>
        </w:tc>
        <w:tc>
          <w:tcPr>
            <w:tcW w:w="259" w:type="pct"/>
            <w:tcBorders>
              <w:tl2br w:val="nil"/>
              <w:tr2bl w:val="nil"/>
            </w:tcBorders>
            <w:noWrap w:val="0"/>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污染物排放管控</w:t>
            </w:r>
          </w:p>
        </w:tc>
        <w:tc>
          <w:tcPr>
            <w:tcW w:w="2091" w:type="pct"/>
            <w:tcBorders>
              <w:tl2br w:val="nil"/>
              <w:tr2bl w:val="nil"/>
            </w:tcBorders>
            <w:noWrap w:val="0"/>
            <w:vAlign w:val="center"/>
          </w:tcPr>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1、执行自治区总体准入要求中关于重点管控单元污染物排放管控的准入要求（表2-3 A6.2）。</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2、对开发区、工业园区、高新区等进行集中整治，限期进行达标改造，减少工业集聚区污染。</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3、完善园区集中供热设施，积极推广集中供热。</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年平均不达标县市（园区），禁止新（改、扩）建未落实SO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1"/>
                <w:szCs w:val="21"/>
                <w:highlight w:val="none"/>
                <w14:textFill>
                  <w14:solidFill>
                    <w14:schemeClr w14:val="tx1"/>
                  </w14:solidFill>
                </w14:textFill>
              </w:rPr>
              <w:t>、烟粉尘、挥发性有机物（VOCs）等四项大气污染物总量指标昌吉州区域内倍量替代的项目。</w:t>
            </w:r>
          </w:p>
        </w:tc>
        <w:tc>
          <w:tcPr>
            <w:tcW w:w="1509"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本项目设置灌注、涂装车间为密闭车间，通过上进风+侧面吸风+粗效吸附箱+活性炭吸附/脱附+催化燃烧（热源采用电加热）+风机+一根27米排气筒</w:t>
            </w: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排放。粉尘经除尘器处理后排放。项目区冬季供暖采用园区集中供热。</w:t>
            </w:r>
          </w:p>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所在地木垒县环境空气质量满足《环境空气质量标准》（GB3095-2012）二级标准。本工程总量指标由建设单位向当地生态环境主管部门申请。总量指标由当地总量指标中调剂解决，本项目总量控制指标替代来源可满足。</w:t>
            </w:r>
          </w:p>
        </w:tc>
        <w:tc>
          <w:tcPr>
            <w:tcW w:w="193" w:type="pct"/>
            <w:tcBorders>
              <w:tl2br w:val="nil"/>
              <w:tr2bl w:val="nil"/>
            </w:tcBorders>
            <w:noWrap w:val="0"/>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7" w:type="pct"/>
            <w:vMerge w:val="continue"/>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p>
        </w:tc>
        <w:tc>
          <w:tcPr>
            <w:tcW w:w="334" w:type="pct"/>
            <w:vMerge w:val="continue"/>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pPr>
          </w:p>
        </w:tc>
        <w:tc>
          <w:tcPr>
            <w:tcW w:w="262" w:type="pct"/>
            <w:vMerge w:val="continue"/>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p>
        </w:tc>
        <w:tc>
          <w:tcPr>
            <w:tcW w:w="259"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环境风险防控</w:t>
            </w:r>
          </w:p>
        </w:tc>
        <w:tc>
          <w:tcPr>
            <w:tcW w:w="2091" w:type="pct"/>
            <w:vAlign w:val="center"/>
          </w:tcPr>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1、执行自治区总体准入要求中关于重点管控单元环境风险防控的准入要求（表2-3 A6.3）。</w:t>
            </w:r>
          </w:p>
        </w:tc>
        <w:tc>
          <w:tcPr>
            <w:tcW w:w="1509" w:type="pct"/>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本项目执行自治区总体准入要求中关于重点管控单元污染物排放管控的准入要求；本项目建设有关防腐蚀、防泄漏设施，防止有毒有害物质污染土壤和地下水。</w:t>
            </w:r>
          </w:p>
        </w:tc>
        <w:tc>
          <w:tcPr>
            <w:tcW w:w="193" w:type="pct"/>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47" w:type="pct"/>
            <w:vMerge w:val="continue"/>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p>
        </w:tc>
        <w:tc>
          <w:tcPr>
            <w:tcW w:w="334" w:type="pct"/>
            <w:vMerge w:val="continue"/>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highlight w:val="none"/>
                <w:lang w:bidi="en-US"/>
                <w14:textFill>
                  <w14:solidFill>
                    <w14:schemeClr w14:val="tx1"/>
                  </w14:solidFill>
                </w14:textFill>
              </w:rPr>
            </w:pPr>
          </w:p>
        </w:tc>
        <w:tc>
          <w:tcPr>
            <w:tcW w:w="262" w:type="pct"/>
            <w:vMerge w:val="continue"/>
            <w:vAlign w:val="center"/>
          </w:tcPr>
          <w:p>
            <w:pPr>
              <w:keepNext w:val="0"/>
              <w:keepLines w:val="0"/>
              <w:pageBreakBefore w:val="0"/>
              <w:widowControl/>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kern w:val="0"/>
                <w:sz w:val="21"/>
                <w:szCs w:val="21"/>
                <w:highlight w:val="none"/>
                <w:lang w:bidi="en-US"/>
                <w14:textFill>
                  <w14:solidFill>
                    <w14:schemeClr w14:val="tx1"/>
                  </w14:solidFill>
                </w14:textFill>
              </w:rPr>
            </w:pPr>
          </w:p>
        </w:tc>
        <w:tc>
          <w:tcPr>
            <w:tcW w:w="259"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资源利用效率</w:t>
            </w:r>
          </w:p>
        </w:tc>
        <w:tc>
          <w:tcPr>
            <w:tcW w:w="2091" w:type="pct"/>
            <w:vAlign w:val="center"/>
          </w:tcPr>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1、执行自治区总体准入要求中关于重点管控单元资源利用效率的准入要求（表2-3 A6.4）。</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2、入园企业单位工业增加值综合能耗≤0.5t标煤/万元，单位工业增加值新鲜水耗≤8m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/万元，工业用水重复利用率≥75%。</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3、采用清洁能源，实施建筑节能和推广采暖供热系统节能措施，鼓励入园单位采用节能工艺，增加可利用资源的回收量，降低消耗。</w:t>
            </w:r>
          </w:p>
          <w:p>
            <w:pPr>
              <w:pStyle w:val="46"/>
              <w:keepNext w:val="0"/>
              <w:keepLines w:val="0"/>
              <w:pageBreakBefore w:val="0"/>
              <w:widowControl/>
              <w:kinsoku/>
              <w:wordWrap/>
              <w:overflowPunct w:val="0"/>
              <w:topLinePunct w:val="0"/>
              <w:bidi w:val="0"/>
              <w:adjustRightInd/>
              <w:snapToGrid/>
              <w:ind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4、园区水资源开发总量、土地投资强度、能耗消费增量等指标应达到水利、国土、能源等部门相应要求。</w:t>
            </w:r>
          </w:p>
        </w:tc>
        <w:tc>
          <w:tcPr>
            <w:tcW w:w="1509" w:type="pct"/>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项目区冬季供暖采用园区集中供热。生产用热采用电加热的方式。</w:t>
            </w:r>
          </w:p>
        </w:tc>
        <w:tc>
          <w:tcPr>
            <w:tcW w:w="193" w:type="pct"/>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bl>
    <w:p>
      <w:pPr>
        <w:pStyle w:val="6"/>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44" w:name="_Toc28298"/>
      <w:bookmarkStart w:id="45" w:name="_Toc29683"/>
      <w:bookmarkStart w:id="46" w:name="_Toc32425"/>
      <w:bookmarkStart w:id="47" w:name="_Toc31144"/>
      <w:bookmarkStart w:id="48" w:name="_Toc16259"/>
      <w:bookmarkStart w:id="49" w:name="_Toc24163"/>
      <w:bookmarkStart w:id="50" w:name="_Toc13948"/>
      <w:bookmarkStart w:id="51" w:name="_Toc7319"/>
      <w:bookmarkStart w:id="52" w:name="_Toc13620"/>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1.3.6与新疆木垒民生工业园区总体规划（2014-2030年）环境影响报告书的审查意见的符合性分析</w:t>
      </w:r>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根据《关于新疆木垒民生工业园区总体规划（2014-2030年）环境影响报告书的审查意见》（新环函〔2017〕1169号）：</w:t>
      </w:r>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严守生态保护红线，优化园区产业结构、空间布局促进园区产业集约与绿色发展。结合区域发展方向、人口分布及环境保护等要求，须根据居民点等环境保护目标分布情况合理控制企业布局，不宜布局环境空气污染严重或与其产业定位不符的企业，以减少园区内企业大气污染对县城区域环境空气的影响。</w:t>
      </w:r>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坚守环境质量底线，严格污染物总量管控。根据规划区域及周边环境质量现状和目标，确定区域污染物排放总量上限。落实园区煤炭及其他颗粒状物料储运全封闭防尘措施，采取有效措施减少二氧化硫、氮氧化物、挥发性有机物、臭气、颗粒物、化学需氧量、氨氮等污染物的排放量，确保实现区域环境质量改善目标，各类大气污染物排放须满足国家和自治区现行污染物排放标准要求。</w:t>
      </w:r>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结合区域资源消耗上线，落实环境准入负面清单管理要求。结合区域发展定位、开发布局、生态环境保护目标，以及供给侧结构性改革“去产能、去库存、去杠杆、降成本、补短板等相关要求，制定规划园区鼓励发展的产业准入清单和禁止或限制准入清单（包括重要的生产工序和产品），并在园区规划实施中推进落实。坚持实行入园企业环保准入审核制度，不符合产业政策、行业准入条件、自治区环境准入条件的项目以及与园区产业功能定位不符的“三高”项目一律不得入驻园区。对于入园的建设项目必须开展环境影响评价，严格执行建设项目‘三同时’环境管理制度。”</w:t>
      </w:r>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型产业主要以风电、光伏等装备制造为主，轻工业主要以无污染或轻度污染加工、制造工业为主。本项目位于新疆昌吉州木垒哈萨克自治县民生工业园区新型产业及轻工业区（四区），占地为工业用地，现状为空地。本项目的建设符合木垒县民生工业园新型产业及轻工业区的产业定位，项目用地类型属于工业用地，符合园区用地规划。项目的建设符合新疆木垒民生工业园区总体发展规划。各类污染物排放均能满足国家和自治区现行污染物排放标准要求，符合国家产业政策及准入条件。</w:t>
      </w:r>
    </w:p>
    <w:p>
      <w:pPr>
        <w:pStyle w:val="6"/>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1.3.7与《关于印发新疆维吾尔自治区“十三五”挥发性有机物污染防治实施方案的通知》的符合性分析</w:t>
      </w:r>
    </w:p>
    <w:p>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w:t>
      </w:r>
      <w:r>
        <w:rPr>
          <w:rFonts w:hint="default" w:ascii="Times New Roman" w:hAnsi="Times New Roman" w:eastAsia="宋体" w:cs="Times New Roman"/>
          <w:b/>
          <w:bCs/>
          <w:color w:val="000000" w:themeColor="text1"/>
          <w:szCs w:val="21"/>
          <w:lang w:val="en-US" w:eastAsia="zh-CN"/>
          <w14:textFill>
            <w14:solidFill>
              <w14:schemeClr w14:val="tx1"/>
            </w14:solidFill>
          </w14:textFill>
        </w:rPr>
        <w:t xml:space="preserve">1.3-2 </w:t>
      </w:r>
      <w:r>
        <w:rPr>
          <w:rFonts w:hint="default" w:ascii="Times New Roman" w:hAnsi="Times New Roman" w:eastAsia="宋体" w:cs="Times New Roman"/>
          <w:b/>
          <w:color w:val="000000" w:themeColor="text1"/>
          <w:szCs w:val="21"/>
          <w14:textFill>
            <w14:solidFill>
              <w14:schemeClr w14:val="tx1"/>
            </w14:solidFill>
          </w14:textFill>
        </w:rPr>
        <w:t xml:space="preserve">  与《关于印发新疆维吾尔自治区“十三五”挥发性有机物污染防治实施方案的通知》的符合性分析</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0" w:type="dxa"/>
        </w:tblCellMar>
      </w:tblPr>
      <w:tblGrid>
        <w:gridCol w:w="581"/>
        <w:gridCol w:w="7"/>
        <w:gridCol w:w="4716"/>
        <w:gridCol w:w="2573"/>
        <w:gridCol w:w="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0" w:type="dxa"/>
          </w:tblCellMar>
        </w:tblPrEx>
        <w:trPr>
          <w:trHeight w:val="460" w:hRule="atLeast"/>
          <w:jc w:val="center"/>
        </w:trPr>
        <w:tc>
          <w:tcPr>
            <w:tcW w:w="328"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2825" w:type="pct"/>
            <w:gridSpan w:val="2"/>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《关于印发新疆维吾尔自治区“十三五”挥发性有机物污染防治实施方案的通知》中要求</w:t>
            </w:r>
          </w:p>
        </w:tc>
        <w:tc>
          <w:tcPr>
            <w:tcW w:w="1542"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305"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0" w:type="dxa"/>
          </w:tblCellMar>
        </w:tblPrEx>
        <w:trPr>
          <w:trHeight w:val="920" w:hRule="atLeast"/>
          <w:jc w:val="center"/>
        </w:trPr>
        <w:tc>
          <w:tcPr>
            <w:tcW w:w="328"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治理重点</w:t>
            </w:r>
          </w:p>
        </w:tc>
        <w:tc>
          <w:tcPr>
            <w:tcW w:w="2825" w:type="pct"/>
            <w:gridSpan w:val="2"/>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（一）重点地区。“乌一昌一石”“奎一独一乌”区域，O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浓度超标地区。</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（二）重点行业。重点推进石化、化工、包装印刷、工业涂装等重点行业以及机动车、油品储运销等交通源VOCs污染防治。</w:t>
            </w:r>
          </w:p>
        </w:tc>
        <w:tc>
          <w:tcPr>
            <w:tcW w:w="1542"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本项目位于新疆昌吉州木垒哈萨克自治县民生工业园区新型产业及轻工业区，属于重点地区。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本工程含涂装工序，均采用了辊涂技术，本项目设置涂装车间为密闭车间，通过上进风+侧面吸风+粗效吸附箱+活性炭吸附/脱附+催化燃烧（热源采用电加热）+风机+一根27米排气筒</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p>
        </w:tc>
        <w:tc>
          <w:tcPr>
            <w:tcW w:w="305"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0" w:type="dxa"/>
          </w:tblCellMar>
        </w:tblPrEx>
        <w:trPr>
          <w:trHeight w:val="2100" w:hRule="atLeast"/>
          <w:jc w:val="center"/>
        </w:trPr>
        <w:tc>
          <w:tcPr>
            <w:tcW w:w="328" w:type="pct"/>
            <w:vMerge w:val="restar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主要任务</w:t>
            </w:r>
          </w:p>
        </w:tc>
        <w:tc>
          <w:tcPr>
            <w:tcW w:w="2825" w:type="pct"/>
            <w:gridSpan w:val="2"/>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（一）加大产业结构调整力度。</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1.加快推进“散乱污”企业综合整治。结合第二次全国污染源普查，继续推进“散乱污”企业排查、整治工作，建立涉VOCs排放的企业管理台账，实施分类处置。</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2.严格建设项目环境准入。提高VOCs排放重点行业环保准入门槛，严格控制新增污染物排放量。“乌一昌一石”“奎一独一乌”区域及O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浓度超标地区严格限制石化、化工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1542"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本项目位于新疆昌吉州木垒哈萨克自治县民生工业园区，符合新建涉VOCs排放的工业企业要入园区的要求；本项目在审批前需取得VOCs排放总量指标</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05"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0" w:type="dxa"/>
          </w:tblCellMar>
        </w:tblPrEx>
        <w:trPr>
          <w:trHeight w:val="560" w:hRule="atLeast"/>
          <w:jc w:val="center"/>
        </w:trPr>
        <w:tc>
          <w:tcPr>
            <w:tcW w:w="328" w:type="pct"/>
            <w:vMerge w:val="continue"/>
            <w:tcBorders>
              <w:tl2br w:val="nil"/>
              <w:tr2bl w:val="nil"/>
            </w:tcBorders>
            <w:tcMar>
              <w:top w:w="0" w:type="dxa"/>
              <w:left w:w="57"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825" w:type="pct"/>
            <w:gridSpan w:val="2"/>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（二）加快实施工业源VOCs污染防治</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快推进化工行业VOCs综合治理。推广使用低（无）VOCs含量、低反应活性的原辅材料和产品……参照石化行业VOCs治理任务要求，全面推进化工企业设备动静密封点、储存、装卸、废水系统、有组织工艺废气和非正常工况等源项整治……加强无组织废气排放控制，含VOCs物料的储存、输送、投料、卸料，涉及VOCs物料的生产及含VOCs产品分装等过程应密闭操作。反应尾气、蒸馏装置不凝尾气等工艺排气，工艺容器的置换气、吹扫气、抽真空排气等应进行收集治理。</w:t>
            </w:r>
          </w:p>
        </w:tc>
        <w:tc>
          <w:tcPr>
            <w:tcW w:w="1542"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本项目仅生产过程涉及VOCs排放，且涉及VOCs物料的生产过程处于密闭操作状态，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本项目设置灌注、涂装车间为密闭车间，通过上进风+侧面吸风+粗效吸附箱+活性炭吸附/脱附+催化燃烧（热源采用电加热）+风机+一根27米排气筒</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w:t>
            </w:r>
          </w:p>
        </w:tc>
        <w:tc>
          <w:tcPr>
            <w:tcW w:w="305"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0" w:type="dxa"/>
          </w:tblCellMar>
        </w:tblPrEx>
        <w:trPr>
          <w:trHeight w:val="90" w:hRule="atLeast"/>
          <w:jc w:val="center"/>
        </w:trPr>
        <w:tc>
          <w:tcPr>
            <w:tcW w:w="332" w:type="pct"/>
            <w:gridSpan w:val="2"/>
            <w:vMerge w:val="restar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建立健全</w:t>
            </w:r>
          </w:p>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VOCs</w:t>
            </w:r>
            <w:r>
              <w:rPr>
                <w:rFonts w:hint="default" w:ascii="Times New Roman" w:hAnsi="Times New Roman" w:eastAsia="宋体" w:cs="Times New Roman"/>
                <w:color w:val="000000" w:themeColor="text1"/>
                <w:sz w:val="21"/>
                <w:szCs w:val="21"/>
                <w14:textFill>
                  <w14:solidFill>
                    <w14:schemeClr w14:val="tx1"/>
                  </w14:solidFill>
                </w14:textFill>
              </w:rPr>
              <w:t>管理体系</w:t>
            </w:r>
          </w:p>
        </w:tc>
        <w:tc>
          <w:tcPr>
            <w:tcW w:w="2821"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1.建立健全监测监控体系。加强环境质量和污染源排放VOCs自动监测工作，强化VOCs执法能力建设，全面提升VOCs环保监管能力。O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超标地区建设一套VOCs组分自动监测系统。将石化、化工、包装印刷、工业涂装等VOCs排放重点源纳入重点排污单位名录，石化、煤化工（含现代煤化工、炼焦、合成氨）主要排污口要安装VOCs污染物排放自动监测设备，并与环保部门联网，开展厂界VOCs监测；其他企业配备便携式VOCs检测仪。工业集中区应结合园区排放特征，配置VOCs连续自动采样体系或符合园区排放特征的VOCs监测监控体系。</w:t>
            </w:r>
          </w:p>
        </w:tc>
        <w:tc>
          <w:tcPr>
            <w:tcW w:w="1542"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企业应配备VOCs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在线</w:t>
            </w:r>
            <w:r>
              <w:rPr>
                <w:rFonts w:hint="default" w:ascii="Times New Roman" w:hAnsi="Times New Roman" w:eastAsia="宋体" w:cs="Times New Roman"/>
                <w:color w:val="000000" w:themeColor="text1"/>
                <w:sz w:val="21"/>
                <w:szCs w:val="21"/>
                <w14:textFill>
                  <w14:solidFill>
                    <w14:schemeClr w14:val="tx1"/>
                  </w14:solidFill>
                </w14:textFill>
              </w:rPr>
              <w:t>检测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default" w:ascii="Times New Roman" w:hAnsi="Times New Roman" w:eastAsia="宋体" w:cs="Times New Roman"/>
                <w:color w:val="000000" w:themeColor="text1"/>
                <w:sz w:val="21"/>
                <w:szCs w:val="21"/>
                <w14:textFill>
                  <w14:solidFill>
                    <w14:schemeClr w14:val="tx1"/>
                  </w14:solidFill>
                </w14:textFill>
              </w:rPr>
              <w:t>。企业应办理排污许可证明，需在项目建设完成后立即填报办理。</w:t>
            </w:r>
          </w:p>
        </w:tc>
        <w:tc>
          <w:tcPr>
            <w:tcW w:w="305"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0" w:type="dxa"/>
          </w:tblCellMar>
        </w:tblPrEx>
        <w:trPr>
          <w:trHeight w:val="1160" w:hRule="atLeast"/>
          <w:jc w:val="center"/>
        </w:trPr>
        <w:tc>
          <w:tcPr>
            <w:tcW w:w="332" w:type="pct"/>
            <w:gridSpan w:val="2"/>
            <w:vMerge w:val="continue"/>
            <w:tcBorders>
              <w:tl2br w:val="nil"/>
              <w:tr2bl w:val="nil"/>
            </w:tcBorders>
            <w:tcMar>
              <w:top w:w="0" w:type="dxa"/>
              <w:left w:w="57"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2821"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实施排污许可制度。加快石化、制药行业VOCs排污许可工作，到2018年底前，完成排污许可证核发。到2020年底前，在包装印刷、汽车制造等VOCs排放重点行业全面推行排污许可制度。通过排污许可管理，落实企业VOCs源头削减、过程控制和末端治理措施要求，逐步规范涉VOCs工业企业自行监测、台账记录和定期报告的具体规定，推进企业持证、按证排污，严厉处罚无证和不按证排污行为。</w:t>
            </w:r>
          </w:p>
        </w:tc>
        <w:tc>
          <w:tcPr>
            <w:tcW w:w="1542"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企业应办理排污许可证明，需在项目建设完成后立即填报办理。</w:t>
            </w:r>
          </w:p>
        </w:tc>
        <w:tc>
          <w:tcPr>
            <w:tcW w:w="305" w:type="pct"/>
            <w:tcBorders>
              <w:tl2br w:val="nil"/>
              <w:tr2bl w:val="nil"/>
            </w:tcBorders>
            <w:tcMar>
              <w:top w:w="0" w:type="dxa"/>
              <w:left w:w="57" w:type="dxa"/>
              <w:bottom w:w="0" w:type="dxa"/>
              <w:right w:w="0" w:type="dxa"/>
            </w:tcMar>
            <w:vAlign w:val="center"/>
          </w:tcPr>
          <w:p>
            <w:pPr>
              <w:pStyle w:val="56"/>
              <w:keepNext w:val="0"/>
              <w:keepLines w:val="0"/>
              <w:pageBreakBefore w:val="0"/>
              <w:widowControl w:val="0"/>
              <w:kinsoku/>
              <w:wordWrap/>
              <w:overflowPunct/>
              <w:topLinePunct w:val="0"/>
              <w:autoSpaceDE w:val="0"/>
              <w:autoSpaceDN w:val="0"/>
              <w:bidi w:val="0"/>
              <w:adjustRightInd/>
              <w:snapToGrid/>
              <w:spacing w:line="240" w:lineRule="auto"/>
              <w:ind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pStyle w:val="6"/>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1.3.8与《挥发性有机物VOCs污染防治技术政策》（生态环境部公告2013年第31号）的相符性</w:t>
      </w:r>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表1.3-3 拟建项目与《挥发性有机物VOCs污染防治技术政策》的相符性</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4606"/>
        <w:gridCol w:w="2460"/>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4606"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要求</w:t>
            </w:r>
          </w:p>
        </w:tc>
        <w:tc>
          <w:tcPr>
            <w:tcW w:w="2460"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符合性分析</w:t>
            </w:r>
          </w:p>
        </w:tc>
        <w:tc>
          <w:tcPr>
            <w:tcW w:w="76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4606"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鼓励使用通过环境标志产品认证的环保型涂料、油墨、胶粘剂和清洗剂；根据涂装工艺的不同，鼓励使用水性涂料、高固份涂料、粉末涂料、紫外光固化（UV）涂料等环保型涂料；推广采用静电喷涂、淋涂、辊涂、浸涂等效率较高的涂装工艺；应尽量避免无VOCs净化、回收措施的露天喷涂作业；含VOCs产品的使用过程中，应采取废气收集措施，提高废气收集效率，减少废气的无组织排放与逸散，并对收集后的废气进行回收或处理后达标排放。</w:t>
            </w:r>
          </w:p>
        </w:tc>
        <w:tc>
          <w:tcPr>
            <w:tcW w:w="2460"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本项目使用的含VOCs的涂料均满足《低挥发性有机化合物含量涂料产品技术要求》（GB/T38597-2020）要求。</w:t>
            </w:r>
          </w:p>
        </w:tc>
        <w:tc>
          <w:tcPr>
            <w:tcW w:w="76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4606"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对于含中等浓度VOCs的废气，可采用吸附技术回收有机溶剂，或采用催化燃烧和热力焚烧技术净化后达标排放。</w:t>
            </w:r>
          </w:p>
        </w:tc>
        <w:tc>
          <w:tcPr>
            <w:tcW w:w="2460"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本项目设置灌注、涂装车间为密闭车间，通过上进风+侧面吸风+粗效吸附箱+活性炭吸附/脱附+催化燃烧（热源采用电加热）+风机+一根27米排气筒排放。</w:t>
            </w:r>
          </w:p>
        </w:tc>
        <w:tc>
          <w:tcPr>
            <w:tcW w:w="76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4606"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当采用吸附回收（浓缩）、催化燃烧、热力焚烧、等离子体等方法进行末端治理时，应编制本单位事故火灾、爆炸等应急救援预案，配备应急救援人员和器材，并开展应急演练。</w:t>
            </w:r>
          </w:p>
        </w:tc>
        <w:tc>
          <w:tcPr>
            <w:tcW w:w="2460"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本项目正式运行前应修订事故火灾、爆炸等应急救援预案，配备应急救援人员和器材，运行后应开展应急演练</w:t>
            </w:r>
          </w:p>
        </w:tc>
        <w:tc>
          <w:tcPr>
            <w:tcW w:w="763" w:type="dxa"/>
            <w:vAlign w:val="center"/>
          </w:tcPr>
          <w:p>
            <w:pPr>
              <w:keepNext w:val="0"/>
              <w:keepLines w:val="0"/>
              <w:pageBreakBefore w:val="0"/>
              <w:widowControl/>
              <w:kinsoku/>
              <w:wordWrap/>
              <w:overflowPunct w:val="0"/>
              <w:topLinePunct w:val="0"/>
              <w:autoSpaceDE w:val="0"/>
              <w:autoSpaceDN w:val="0"/>
              <w:bidi w:val="0"/>
              <w:adjustRightInd/>
              <w:snapToGrid/>
              <w:spacing w:before="0" w:after="0" w:line="240" w:lineRule="auto"/>
              <w:jc w:val="center"/>
              <w:textAlignment w:val="baseline"/>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pStyle w:val="6"/>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1.3.9与第十四个五年规划和2035年远景目标纲要的相符性</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根据《新疆维吾尔自治区国民经济和社会发展第十四个五年规划和2035年远景目标纲要》中第五篇第三章中指出：“</w:t>
      </w:r>
      <w:r>
        <w:rPr>
          <w:rFonts w:hint="default" w:ascii="Times New Roman" w:hAnsi="Times New Roman" w:eastAsia="宋体" w:cs="Times New Roman"/>
          <w:color w:val="000000" w:themeColor="text1"/>
          <w:sz w:val="24"/>
          <w:szCs w:val="24"/>
          <w14:textFill>
            <w14:solidFill>
              <w14:schemeClr w14:val="tx1"/>
            </w14:solidFill>
          </w14:textFill>
        </w:rPr>
        <w:t>发展壮大新能源产业。加强风电关键设备及零部件研发和生产，有序发展分布式光伏发电，到2025年新能源装机占比稳定在40%以上。推进风能、光伏发电进行电解水制氢。</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昌吉州国民经济和社会发展第十四个五年规划和2035年远景目标纲要》中第二章构建现代产业体系第二节推动主导产业强基增效和转型升级三、优化提升特色产业中指出：“强化装备制造协同配套发展。根据县（市）、园区产业发展定位、现有基础及市场需求，以输变电装备为核心，差异化布局装备制造及配套产业，积极发展矿山工程机械装备、化工装备、农机装备等制造和运维服务，大力发展关键零部件制造，支持装备制造企业向工程总包、集成解决方案提供商转型。加快推进铸造产业园建设，进一步提高装备制造业配套能力。主动承接东中部装备制造业转移，建设西北乃至中亚区域特色装备制造基地。探索在木垒和奇台建设新能源装备生产基地，重点培育兆瓦级风力发电机组、齿轮箱等风电部件，高稳定性光伏发电器件、大功率逆变器等光伏部件，逐步形成风光电装备制造业产业链。到2025年，装备制造产业产值实现170亿元。”</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新疆维吾尔自治区生态环境保护“十四五”规划》文件相关内容要求：坚持高质量发展与严格环境准入标准相结合，坚持淘汰落后与鼓励先进相结合，支持产业发展向产业链中下游、价值链中高端迈进，坚持推进产业结构优化调整。全力推动节能环保产业发展，引导产业向绿色生产、清洁生产、循环生产转变，加快推进产业转型升级；支持企业实施智能化改造升级，推动石油开采、石油化工、煤化工、有色金属、钢铁、焦化、建材、农副产品加工等传统产业的重点企业改进工艺、节能降耗、提质增效，促进传统产业绿色化、智能化、高端化发展；发展固废、危废处理、节能环保装备、再生资源再制造、牲畜废弃物综合利用产业。依托准东硅基新材料，重点发展太阳能电池制造和组件封装，并延伸发展储能设备、光伏电站配套装备和输变电设备等，鼓励发展分布式光伏系统所需要的小微装备，以及光伏面板的清洁装备，实现全产业链配套，打造新疆重要的光伏装备生产基地。</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随着电力需求持续增长，将带动风电叶片产业整体需求持续上升，利用木垒及周边地区的光伏、风电项目，本项目是建设开发新能源装备制造加工产业。本项目的建设符合相关发展规划。</w:t>
      </w:r>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53" w:name="_Toc12171"/>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关注的主要环境问题及环境影响</w:t>
      </w:r>
      <w:bookmarkEnd w:id="31"/>
      <w:bookmarkEnd w:id="44"/>
      <w:bookmarkEnd w:id="45"/>
      <w:bookmarkEnd w:id="46"/>
      <w:bookmarkEnd w:id="47"/>
      <w:bookmarkEnd w:id="48"/>
      <w:bookmarkEnd w:id="49"/>
      <w:bookmarkEnd w:id="50"/>
      <w:bookmarkEnd w:id="51"/>
      <w:bookmarkEnd w:id="52"/>
      <w:bookmarkEnd w:id="53"/>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建设以废气、废水、固废排放为主要污染特征，其大气污染物处理措施是否合理、生产废水综合利用不外排可行性、固废处置可行性等是减少项目建设对外环境污染的重点关注问题。还需重视项目营运期引发的环境影响能否满足区域环境功能，采取的污染防治措施能否保证各项污染物达标排放，项目环境风险是否可以接受。</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因此，本项目环境影响评价以工程分析、大气环境影响评价、水环境影响评价、固体废弃物影响分析、</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环境治理</w:t>
      </w:r>
      <w:r>
        <w:rPr>
          <w:rFonts w:hint="default" w:ascii="Times New Roman" w:hAnsi="Times New Roman" w:eastAsia="宋体" w:cs="Times New Roman"/>
          <w:color w:val="000000" w:themeColor="text1"/>
          <w:sz w:val="24"/>
          <w:szCs w:val="24"/>
          <w:highlight w:val="none"/>
          <w14:textFill>
            <w14:solidFill>
              <w14:schemeClr w14:val="tx1"/>
            </w14:solidFill>
          </w14:textFill>
        </w:rPr>
        <w:t>措施及经济技术可行性分析作为本次评价的重点。</w:t>
      </w:r>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54" w:name="_Toc16327"/>
      <w:bookmarkStart w:id="55" w:name="_Toc5814"/>
      <w:bookmarkStart w:id="56" w:name="_Toc4605"/>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环境影响评价主要结论</w:t>
      </w:r>
      <w:bookmarkEnd w:id="54"/>
      <w:bookmarkEnd w:id="55"/>
      <w:bookmarkEnd w:id="56"/>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东方电气（新疆）新能源高端装备制造基地项目符合国家产业政策，所采用的设备和技术参数符合清洁生产要求，在采用报告书提出的各项环境保护措施后，可实现达标排放，污染物排放总量符合区域控制要求，对外环境影响可以接受。</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因此，在保证落实各项环境保护措施，确保各类污染物均达标排放不会对周边环境产生不利影响，并且满足总量控制要求的前提下，从环保角度看，项目建设可行。</w:t>
      </w: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57" w:name="_Toc15619"/>
      <w:bookmarkStart w:id="58" w:name="_Toc27139"/>
      <w:bookmarkStart w:id="59" w:name="_Toc14952"/>
      <w:r>
        <w:rPr>
          <w:rFonts w:hint="default" w:ascii="Times New Roman" w:hAnsi="Times New Roman" w:eastAsia="宋体" w:cs="Times New Roman"/>
          <w:color w:val="000000" w:themeColor="text1"/>
          <w:sz w:val="30"/>
          <w:szCs w:val="30"/>
          <w:highlight w:val="none"/>
          <w14:textFill>
            <w14:solidFill>
              <w14:schemeClr w14:val="tx1"/>
            </w14:solidFill>
          </w14:textFill>
        </w:rPr>
        <w:t>2  总则</w:t>
      </w:r>
      <w:bookmarkEnd w:id="57"/>
      <w:bookmarkEnd w:id="58"/>
      <w:bookmarkEnd w:id="59"/>
    </w:p>
    <w:p>
      <w:pPr>
        <w:pStyle w:val="5"/>
        <w:keepNext/>
        <w:keepLines/>
        <w:pageBreakBefore w:val="0"/>
        <w:kinsoku/>
        <w:wordWrap/>
        <w:overflowPunct w:val="0"/>
        <w:topLinePunct w:val="0"/>
        <w:bidi w:val="0"/>
        <w:adjustRightInd/>
        <w:snapToGrid/>
        <w:spacing w:before="0" w:after="0" w:line="360" w:lineRule="auto"/>
        <w:jc w:val="both"/>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60" w:name="_Toc18469"/>
      <w:bookmarkStart w:id="61" w:name="_Toc19167"/>
      <w:bookmarkStart w:id="62" w:name="_Toc721"/>
      <w:r>
        <w:rPr>
          <w:rFonts w:hint="default" w:ascii="Times New Roman" w:hAnsi="Times New Roman" w:eastAsia="宋体" w:cs="Times New Roman"/>
          <w:color w:val="000000" w:themeColor="text1"/>
          <w:sz w:val="24"/>
          <w:szCs w:val="24"/>
          <w:highlight w:val="none"/>
          <w14:textFill>
            <w14:solidFill>
              <w14:schemeClr w14:val="tx1"/>
            </w14:solidFill>
          </w14:textFill>
        </w:rPr>
        <w:t>2.1编制依据</w:t>
      </w:r>
      <w:bookmarkEnd w:id="60"/>
      <w:bookmarkEnd w:id="61"/>
      <w:bookmarkEnd w:id="62"/>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63" w:name="_Toc5211965"/>
      <w:bookmarkStart w:id="64" w:name="_Toc2864"/>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2.1.1法律法规</w:t>
      </w:r>
      <w:bookmarkEnd w:id="63"/>
      <w:bookmarkEnd w:id="64"/>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（1）《中华人民共和国环境保护法》，2015年1月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日实施；</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（2）《中华人民共和国环境影响评价法》，2018年12月29日（修订）；</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（3）《中华人民共和国大气污染防治法》，2018年10月26日（修订）；</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（4）《中华人民共和国水污染防治法》，2018年1月1日；</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（5）《中华人民共和国环境噪声污染防治法》，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日实施；</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（6）《中华人民共和国固体废物污染环境防治法》，2020年4月29日；</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（7）《中华人民共和国土壤污染防治法》，2019年1月1日实施；</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（8）《中华人民共和国清洁生产促进法》，2012年7月1日；</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（9）《中华人民共和国循环经济促进法》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2018年修正，2018年10月26日起施行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（10）《中华人民共和国水法》，2016年7月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日（修订）；</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（11）《中华人民共和国水土保持法》，2011年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（12）《中华人民共和国安全生产法》，2014年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（13）《中华人民共和国土地管理法》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2019年8月26日修订，2020年1月1日起实施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（14）《中华人民共和国节约能源法》，2018年12月26日（修订）；</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（15）《环境影响评价公众参与办法》，生态环境部令第4号，2018年7月14日；</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（16）《建设项目环境保护管理条例》，2017年10月1日。</w:t>
      </w:r>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65" w:name="_Toc5211966"/>
      <w:bookmarkStart w:id="66" w:name="_Toc23054"/>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2.1.2部门规章</w:t>
      </w:r>
      <w:bookmarkEnd w:id="65"/>
      <w:bookmarkEnd w:id="66"/>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（1）《建设项目环境影响评价分类管理名录》，2021年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（2）《产业结构调整指导目录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2021年修改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国家发展和改革委员会令第49号，2021年12月31日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（3）《关于进一步加强环境影响评价管理防范环境风险的通知》（环发〔2012〕77号）；</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（4）《国务院关于加强环境保护重点工作的意见》，国发〔2011〕35号，2011年10月17日；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）《危险废物经营许可证管理办法》（201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年修订）；</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）《国家危险废物名录（2021年版）》，部令第15号，2020年11月25日；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）《环境影响评价公众参与办法》，生态环境部令第4号，2019年1月1日。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）《控制污染物排放许可制实施方案》，2016年11月10日；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）《企业事业单位环境信息公开办法》，2015年1月1日。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）《关于做好环境影响评价制度与排污许可制衔接相关工作的通知》，环办环评[2017]84号，2017年11月15日。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67" w:name="_Toc23617"/>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2.1.3技术导则</w:t>
      </w:r>
      <w:bookmarkEnd w:id="67"/>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建设项目环境影响评价技术导则 总纲</w:t>
      </w:r>
      <w:r>
        <w:rPr>
          <w:rFonts w:hint="default" w:ascii="Times New Roman" w:hAnsi="Times New Roman" w:eastAsia="宋体" w:cs="Times New Roman"/>
          <w:color w:val="000000" w:themeColor="text1"/>
          <w:sz w:val="24"/>
          <w:szCs w:val="24"/>
          <w:highlight w:val="none"/>
          <w14:textFill>
            <w14:solidFill>
              <w14:schemeClr w14:val="tx1"/>
            </w14:solidFill>
          </w14:textFill>
        </w:rPr>
        <w:t>》（HJ2.1-2016）；</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（2）《环境影响评价技术导则 大气环境》（HJ2.2-2018）；</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（3）《环境影响评价技术导则 地表水环境》（HJ2.3-2018）；</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（4）《环境影响评价技术导则 地下水环境》（HJ610-2016）；</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（5）《环境影响评价技术导则 声环境》（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HJ 2.4-2021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（6）《环境影响评价技术导则 生态影响》（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HJ 19-2022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（7）《环境影响评价技术导则 土壤环境（试行）》（HJ 964-2018）；</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（8）《建设项目环境风险评价技术导则》（HJ169-2018）；</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（9）《排污单位自行监测技术指南总则》（HJ819-2017）；</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（10）《排污许可证申请与核发技术规范 总则》（HJ942-2018）；</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（11）《排污单位自行监测技术指南 总则》（HJ 819-2017）。</w:t>
      </w:r>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68" w:name="_Toc31352"/>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2.1.4相关规划</w:t>
      </w:r>
      <w:bookmarkEnd w:id="68"/>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（1）《新疆维吾尔自治区环境保护条例》（2018年修订）；</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（2）《“十四五”生态保护监管规划》（2022年3月）；</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（3）《新疆维吾尔自治区主体功能区规划》，2016年10月24日；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（4）新疆维吾尔自治区国民经济和社会发展第十四个五年规划和2035年远景目标纲要（2021年2月5日新疆维吾尔自治区第十三届人民代表大会第四次会议通过）；</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（5）《新疆维吾尔自治区大气污染防治条例》，新疆维吾尔自治区人民代表大会，2018年15号文，2019年1月1日；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（6）《关于印发新疆维吾尔自治区土壤污染防治工作方案的通知》（新政发〔2017〕25号）</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（7）《关于印发新疆维吾尔自治区水污染防治工作方案的通知》（新政发〔2016〕21号）；</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（8）《自治区打赢蓝天保卫战三年行动计划（2018-2020年）》（新政发〔2018〕66号，2018年9月20日）；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（9）《新疆维吾尔自治区突发环境事件应急预案编制导则（试行）》，（新环发〔2014〕234号）2014年6月12日；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（10）《关于加快解决当前挥发性有机物治理突出问题的通知》（环大气〔2021〕65号）；</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（11）关于印发新疆维吾尔自治区“十三五”挥发性有机物污染防治工作实施方案的通知。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（12）《中共中央国务院关于深入打好污染防治攻坚战的意见》（2021年11月2日）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（13）《关于印发〈重点行业挥发性有机物综合治理方案〉的通知》（生态环境部，2019年6月26日）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（14）《自治区党委、自治区人民政府印发〈关于全面加强生态环境保护坚决打好污染防治攻坚战实施方案〉的通知》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（15）《新疆维吾尔自治区“三线一单”生态环境分区管控方案》（新政发〔2021〕18号，2021年2月21号，新疆维吾尔自治区人民政府）；</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（16）《昌吉回族自治州“三线一单”生态环境分区管控方案及生态环境准入清单》（昌州政办发〔2021〕41号，2021年06月30日）。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6"/>
        <w:keepNext/>
        <w:keepLines/>
        <w:pageBreakBefore w:val="0"/>
        <w:widowControl w:val="0"/>
        <w:kinsoku/>
        <w:wordWrap/>
        <w:overflowPunct w:val="0"/>
        <w:topLinePunct w:val="0"/>
        <w:autoSpaceDE/>
        <w:autoSpaceDN/>
        <w:bidi w:val="0"/>
        <w:adjustRightInd/>
        <w:snapToGrid/>
        <w:spacing w:before="0" w:after="0" w:line="360" w:lineRule="auto"/>
        <w:jc w:val="both"/>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69" w:name="_Toc7632"/>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2.1.5其他文件及报告</w:t>
      </w:r>
      <w:bookmarkEnd w:id="69"/>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（1）《东方电气（新疆）新能源高端装备制造基地项目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登记备案证</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木发改备案</w:t>
      </w: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木垒哈萨克自治县发展和改革委员会，</w:t>
      </w: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）2012年9月，自治区人民政府出具了《关于同意设立木垒民生工业园区的批复》（新政函〔2012〕234号）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）《关于新疆木垒民生工业园区总体规划（2014-2030年）环境影响报告书的审查意见》（新环函〔2017〕1169号）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本项目的环评委托书；</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建设项目环境现状监测报告。</w:t>
      </w:r>
    </w:p>
    <w:p>
      <w:pPr>
        <w:pStyle w:val="5"/>
        <w:pageBreakBefore w:val="0"/>
        <w:kinsoku/>
        <w:wordWrap/>
        <w:overflowPunct w:val="0"/>
        <w:topLinePunct w:val="0"/>
        <w:bidi w:val="0"/>
        <w:adjustRightInd/>
        <w:snapToGrid/>
        <w:spacing w:before="0" w:after="0" w:line="360" w:lineRule="auto"/>
        <w:jc w:val="both"/>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70" w:name="_Toc14586"/>
      <w:bookmarkStart w:id="71" w:name="_Toc29611"/>
      <w:bookmarkStart w:id="72" w:name="_Toc30274"/>
      <w:r>
        <w:rPr>
          <w:rFonts w:hint="default" w:ascii="Times New Roman" w:hAnsi="Times New Roman" w:eastAsia="宋体" w:cs="Times New Roman"/>
          <w:color w:val="000000" w:themeColor="text1"/>
          <w:sz w:val="24"/>
          <w:szCs w:val="24"/>
          <w:highlight w:val="none"/>
          <w14:textFill>
            <w14:solidFill>
              <w14:schemeClr w14:val="tx1"/>
            </w14:solidFill>
          </w14:textFill>
        </w:rPr>
        <w:t>2.2评价目的</w:t>
      </w:r>
      <w:bookmarkEnd w:id="70"/>
      <w:bookmarkEnd w:id="71"/>
      <w:bookmarkEnd w:id="72"/>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环境影响评价将通过详细的工程分析，确定本工程污染物排放特征及源强参数，在区域环境空气、地表水、噪声等环境现状调查和评价的基础上，采用合理的核算方法分析项目投产后对周围环境可能产生的环境影响、影响程度及范围，在污染物达标排放及污染物总量控制原则的指导下，对本项目已采取的污染治理措施的技术可行性及经济合理性进行论证分析，分析项目的环境可行性，并提出切实可行的污染防治整改措施及建议，为各级管理部门在本项目建成运营后的日常环境管理提供科学依据。</w:t>
      </w:r>
    </w:p>
    <w:p>
      <w:pPr>
        <w:pStyle w:val="5"/>
        <w:pageBreakBefore w:val="0"/>
        <w:kinsoku/>
        <w:wordWrap/>
        <w:overflowPunct w:val="0"/>
        <w:topLinePunct w:val="0"/>
        <w:bidi w:val="0"/>
        <w:adjustRightInd/>
        <w:snapToGrid/>
        <w:spacing w:before="0" w:after="0" w:line="360" w:lineRule="auto"/>
        <w:jc w:val="both"/>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73" w:name="_Toc18949"/>
      <w:bookmarkStart w:id="74" w:name="_Toc11062"/>
      <w:bookmarkStart w:id="75" w:name="_Toc12144"/>
      <w:r>
        <w:rPr>
          <w:rFonts w:hint="default" w:ascii="Times New Roman" w:hAnsi="Times New Roman" w:eastAsia="宋体" w:cs="Times New Roman"/>
          <w:color w:val="000000" w:themeColor="text1"/>
          <w:sz w:val="24"/>
          <w:szCs w:val="24"/>
          <w:highlight w:val="none"/>
          <w14:textFill>
            <w14:solidFill>
              <w14:schemeClr w14:val="tx1"/>
            </w14:solidFill>
          </w14:textFill>
        </w:rPr>
        <w:t>2.3评价原则</w:t>
      </w:r>
      <w:bookmarkEnd w:id="73"/>
      <w:bookmarkEnd w:id="74"/>
      <w:bookmarkEnd w:id="75"/>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突出环境影响评价的源头预防作用，坚持保护和改善环境质量。</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（1）依法评价</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贯彻执行我国环境保护相关法律法规、标准、政策和规划等，优化项目建设，服务环境管理。</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（2）科学评价</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规范环境影响评价方法，科学分析项目建设对环境质量的影响。</w:t>
      </w:r>
    </w:p>
    <w:p>
      <w:pPr>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（3）突出重点</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根据建设项目的工程内容及其特点，明确与环境要素间的作用效应关系，根据规划环境影响评价结论和审查意见，充分利用符合时效的数据资料和成果，对建设项目主要环境影响予以重点分析和评价。</w:t>
      </w:r>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76" w:name="_Toc4875"/>
      <w:bookmarkStart w:id="77" w:name="_Toc7379"/>
      <w:bookmarkStart w:id="78" w:name="_Toc15653"/>
      <w:r>
        <w:rPr>
          <w:rFonts w:hint="default" w:ascii="Times New Roman" w:hAnsi="Times New Roman" w:eastAsia="宋体" w:cs="Times New Roman"/>
          <w:color w:val="000000" w:themeColor="text1"/>
          <w:sz w:val="24"/>
          <w:szCs w:val="24"/>
          <w:highlight w:val="none"/>
          <w14:textFill>
            <w14:solidFill>
              <w14:schemeClr w14:val="tx1"/>
            </w14:solidFill>
          </w14:textFill>
        </w:rPr>
        <w:t>2.4评价工作程序</w:t>
      </w:r>
      <w:bookmarkEnd w:id="76"/>
      <w:bookmarkEnd w:id="77"/>
      <w:bookmarkEnd w:id="78"/>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环境影响评价工作程序见图2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p>
    <w:p>
      <w:pPr>
        <w:pageBreakBefore w:val="0"/>
        <w:widowControl/>
        <w:kinsoku/>
        <w:overflowPunct w:val="0"/>
        <w:bidi w:val="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drawing>
          <wp:inline distT="0" distB="0" distL="0" distR="0">
            <wp:extent cx="4848225" cy="5943600"/>
            <wp:effectExtent l="0" t="0" r="9525" b="0"/>
            <wp:docPr id="7" name="图片 5" descr="C:\Users\Administrator.USER-20170815BF\AppData\Roaming\Tencent\Users\1486276306\QQ\WinTemp\RichOle\`}G6L__C[JAQ72X7`NCC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strator.USER-20170815BF\AppData\Roaming\Tencent\Users\1486276306\QQ\WinTemp\RichOle\`}G6L__C[JAQ72X7`NCCBOR.png"/>
                    <pic:cNvPicPr>
                      <a:picLocks noChangeAspect="1" noChangeArrowheads="1"/>
                    </pic:cNvPicPr>
                  </pic:nvPicPr>
                  <pic:blipFill>
                    <a:blip r:embed="rId11"/>
                    <a:srcRect/>
                    <a:stretch>
                      <a:fillRect/>
                    </a:stretch>
                  </pic:blipFill>
                  <pic:spPr>
                    <a:xfrm>
                      <a:off x="0" y="0"/>
                      <a:ext cx="4848225" cy="5943600"/>
                    </a:xfrm>
                    <a:prstGeom prst="rect">
                      <a:avLst/>
                    </a:prstGeom>
                    <a:noFill/>
                    <a:ln w="9525">
                      <a:noFill/>
                      <a:miter lim="800000"/>
                      <a:headEnd/>
                      <a:tailEnd/>
                    </a:ln>
                  </pic:spPr>
                </pic:pic>
              </a:graphicData>
            </a:graphic>
          </wp:inline>
        </w:drawing>
      </w:r>
    </w:p>
    <w:p>
      <w:pPr>
        <w:pageBreakBefore w:val="0"/>
        <w:kinsoku/>
        <w:overflowPunct w:val="0"/>
        <w:bidi w:val="0"/>
        <w:snapToGrid w:val="0"/>
        <w:ind w:firstLine="442" w:firstLineChars="200"/>
        <w:jc w:val="center"/>
        <w:rPr>
          <w:rFonts w:hint="default" w:ascii="Times New Roman" w:hAnsi="Times New Roman" w:eastAsia="宋体" w:cs="Times New Roman"/>
          <w:b/>
          <w:bCs/>
          <w:color w:val="000000" w:themeColor="text1"/>
          <w:sz w:val="22"/>
          <w:szCs w:val="22"/>
          <w:highlight w:val="none"/>
          <w14:textFill>
            <w14:solidFill>
              <w14:schemeClr w14:val="tx1"/>
            </w14:solidFill>
          </w14:textFill>
        </w:rPr>
      </w:pPr>
      <w:r>
        <w:rPr>
          <w:rFonts w:hint="default" w:ascii="Times New Roman" w:hAnsi="Times New Roman" w:eastAsia="宋体" w:cs="Times New Roman"/>
          <w:b/>
          <w:bCs/>
          <w:color w:val="000000" w:themeColor="text1"/>
          <w:sz w:val="22"/>
          <w:szCs w:val="22"/>
          <w:highlight w:val="none"/>
          <w14:textFill>
            <w14:solidFill>
              <w14:schemeClr w14:val="tx1"/>
            </w14:solidFill>
          </w14:textFill>
        </w:rPr>
        <w:t>图2</w:t>
      </w:r>
      <w:r>
        <w:rPr>
          <w:rFonts w:hint="default" w:ascii="Times New Roman" w:hAnsi="Times New Roman" w:eastAsia="宋体" w:cs="Times New Roman"/>
          <w:b/>
          <w:bCs/>
          <w:color w:val="000000" w:themeColor="text1"/>
          <w:sz w:val="22"/>
          <w:szCs w:val="22"/>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2"/>
          <w:szCs w:val="22"/>
          <w:highlight w:val="none"/>
          <w14:textFill>
            <w14:solidFill>
              <w14:schemeClr w14:val="tx1"/>
            </w14:solidFill>
          </w14:textFill>
        </w:rPr>
        <w:t>1  环境影响评价工作程序图</w:t>
      </w:r>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79" w:name="_Toc27103"/>
      <w:bookmarkStart w:id="80" w:name="_Toc15979"/>
      <w:bookmarkStart w:id="81" w:name="_Toc26897"/>
      <w:r>
        <w:rPr>
          <w:rFonts w:hint="default" w:ascii="Times New Roman" w:hAnsi="Times New Roman" w:eastAsia="宋体" w:cs="Times New Roman"/>
          <w:color w:val="000000" w:themeColor="text1"/>
          <w:sz w:val="24"/>
          <w:szCs w:val="24"/>
          <w:highlight w:val="none"/>
          <w14:textFill>
            <w14:solidFill>
              <w14:schemeClr w14:val="tx1"/>
            </w14:solidFill>
          </w14:textFill>
        </w:rPr>
        <w:t>2.5评价内容和评价重点</w:t>
      </w:r>
      <w:bookmarkEnd w:id="79"/>
      <w:bookmarkEnd w:id="80"/>
      <w:bookmarkEnd w:id="81"/>
    </w:p>
    <w:p>
      <w:pPr>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2.5.1评价内容</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（1）收集和监测项目影响区域的环境质量状况，进行环境质量现状评价。</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（2）分析项目运行对社会、水、空气和声环境可能产生的有利、不利影响，分析已有环保防治措施的可行性和有效性。</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（3）环境经济损益分析。</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（4）拟定环境管理、监测计划。</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（5）项目环境可行性分析。</w:t>
      </w:r>
    </w:p>
    <w:p>
      <w:pPr>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2.5.2评价重点</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本项目行业特点及周围环境敏感点情况，将项目运营期大气环境和噪声作为评价重点，对地表水、固体废物的影响予以一般性评价，同时认真贯彻执行“清洁生产”、“总量控制”和“节能减排”原则，提出相应的污染防治对策。</w:t>
      </w:r>
    </w:p>
    <w:p>
      <w:pPr>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2.5.3评价时段</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本项目评价时段划分为施工期、运营期。</w:t>
      </w:r>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82" w:name="_Toc27031"/>
      <w:bookmarkStart w:id="83" w:name="_Toc13075"/>
      <w:bookmarkStart w:id="84" w:name="_Toc7323"/>
      <w:r>
        <w:rPr>
          <w:rFonts w:hint="default" w:ascii="Times New Roman" w:hAnsi="Times New Roman" w:eastAsia="宋体" w:cs="Times New Roman"/>
          <w:color w:val="000000" w:themeColor="text1"/>
          <w:sz w:val="24"/>
          <w:szCs w:val="24"/>
          <w:highlight w:val="none"/>
          <w14:textFill>
            <w14:solidFill>
              <w14:schemeClr w14:val="tx1"/>
            </w14:solidFill>
          </w14:textFill>
        </w:rPr>
        <w:t>2.6环境影响因素和评价因子筛选</w:t>
      </w:r>
      <w:bookmarkEnd w:id="82"/>
      <w:bookmarkEnd w:id="83"/>
      <w:bookmarkEnd w:id="84"/>
    </w:p>
    <w:p>
      <w:pPr>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2.6.1环境影响因素</w:t>
      </w:r>
    </w:p>
    <w:p>
      <w:pPr>
        <w:pageBreakBefore w:val="0"/>
        <w:widowControl/>
        <w:kinsoku/>
        <w:wordWrap/>
        <w:overflowPunct w:val="0"/>
        <w:topLinePunct w:val="0"/>
        <w:autoSpaceDE w:val="0"/>
        <w:autoSpaceDN w:val="0"/>
        <w:bidi w:val="0"/>
        <w:adjustRightInd/>
        <w:snapToGrid/>
        <w:spacing w:line="360" w:lineRule="auto"/>
        <w:ind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综合考虑拟建项目的性质、工程特点、实施阶段，识别出拟建项目可能对</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各环境要素产生的影响。拟建项目环境影响识别结果见</w:t>
      </w:r>
      <w:r>
        <w:rPr>
          <w:rFonts w:hint="default" w:ascii="Times New Roman" w:hAnsi="Times New Roman" w:eastAsia="宋体" w:cs="Times New Roman"/>
          <w:color w:val="000000" w:themeColor="text1"/>
          <w:sz w:val="24"/>
          <w:szCs w:val="24"/>
          <w:highlight w:val="none"/>
          <w14:textFill>
            <w14:solidFill>
              <w14:schemeClr w14:val="tx1"/>
            </w14:solidFill>
          </w14:textFill>
        </w:rPr>
        <w:t>详见表2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环境影响要素识别与筛选</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73"/>
        <w:gridCol w:w="775"/>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环境要素</w:t>
            </w:r>
          </w:p>
        </w:tc>
        <w:tc>
          <w:tcPr>
            <w:tcW w:w="453"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影响因子</w:t>
            </w:r>
          </w:p>
        </w:tc>
        <w:tc>
          <w:tcPr>
            <w:tcW w:w="1819" w:type="pct"/>
            <w:gridSpan w:val="4"/>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施工期</w:t>
            </w:r>
          </w:p>
        </w:tc>
        <w:tc>
          <w:tcPr>
            <w:tcW w:w="2274" w:type="pct"/>
            <w:gridSpan w:val="5"/>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土建</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安装</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运输</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噪声</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固废</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噪声</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自然环境</w:t>
            </w:r>
          </w:p>
        </w:tc>
        <w:tc>
          <w:tcPr>
            <w:tcW w:w="45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地表水</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土建</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安装</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运输</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噪声</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地下水</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声环境</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2LP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生态环境</w:t>
            </w:r>
          </w:p>
        </w:tc>
        <w:tc>
          <w:tcPr>
            <w:tcW w:w="45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土壤</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1SP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植被</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1LP</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5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000" w:type="pct"/>
            <w:gridSpan w:val="11"/>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both"/>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影响程度：1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轻微；2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一般；3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显著；影响时段：S</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短期；L长期；影响范围：P</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局部；W</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大范围。</w:t>
            </w:r>
          </w:p>
        </w:tc>
      </w:tr>
    </w:tbl>
    <w:p>
      <w:pPr>
        <w:pageBreakBefore w:val="0"/>
        <w:kinsoku/>
        <w:overflowPunct w:val="0"/>
        <w:bidi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2.6.2评价因子</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根据项目建设和运行的特点，本工程评价因子筛选从生态环境、环境空气、声环境、地下水环境等几方面进行。本工程评价因子筛选结果见表2.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-2。</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2.6-2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环境影响评价因子一览表</w:t>
      </w:r>
    </w:p>
    <w:tbl>
      <w:tblPr>
        <w:tblStyle w:val="2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58"/>
        <w:gridCol w:w="1962"/>
        <w:gridCol w:w="2623"/>
        <w:gridCol w:w="1897"/>
        <w:gridCol w:w="138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38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项目</w:t>
            </w:r>
          </w:p>
        </w:tc>
        <w:tc>
          <w:tcPr>
            <w:tcW w:w="269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现状评价因子</w:t>
            </w:r>
          </w:p>
        </w:tc>
        <w:tc>
          <w:tcPr>
            <w:tcW w:w="111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影响评价因子</w:t>
            </w:r>
          </w:p>
        </w:tc>
        <w:tc>
          <w:tcPr>
            <w:tcW w:w="81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总量控制因子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38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51"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施工期</w:t>
            </w:r>
          </w:p>
        </w:tc>
        <w:tc>
          <w:tcPr>
            <w:tcW w:w="1538"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w:t>
            </w:r>
          </w:p>
        </w:tc>
        <w:tc>
          <w:tcPr>
            <w:tcW w:w="111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p>
        </w:tc>
        <w:tc>
          <w:tcPr>
            <w:tcW w:w="810"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大气环境</w:t>
            </w:r>
          </w:p>
        </w:tc>
        <w:tc>
          <w:tcPr>
            <w:tcW w:w="1151"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TSP、PM10、CO、HC、甲苯、二甲苯、非甲烷总烃、VOCs</w:t>
            </w:r>
          </w:p>
        </w:tc>
        <w:tc>
          <w:tcPr>
            <w:tcW w:w="1538"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TSP、二甲苯、甲苯、VOCs</w:t>
            </w:r>
          </w:p>
        </w:tc>
        <w:tc>
          <w:tcPr>
            <w:tcW w:w="1113"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TSP、甲苯、二甲苯、VOCs</w:t>
            </w:r>
          </w:p>
        </w:tc>
        <w:tc>
          <w:tcPr>
            <w:tcW w:w="810" w:type="pct"/>
            <w:tcBorders>
              <w:tl2br w:val="nil"/>
              <w:tr2bl w:val="nil"/>
            </w:tcBorders>
            <w:shd w:val="clear" w:color="auto" w:fill="auto"/>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VOCs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地表水环境</w:t>
            </w:r>
          </w:p>
        </w:tc>
        <w:tc>
          <w:tcPr>
            <w:tcW w:w="1151" w:type="pct"/>
            <w:tcBorders>
              <w:tl2br w:val="nil"/>
              <w:tr2bl w:val="nil"/>
            </w:tcBorders>
            <w:shd w:val="clear" w:color="auto" w:fill="auto"/>
            <w:vAlign w:val="center"/>
          </w:tcPr>
          <w:p>
            <w:pPr>
              <w:keepNext w:val="0"/>
              <w:keepLines w:val="0"/>
              <w:pageBreakBefore w:val="0"/>
              <w:widowControl/>
              <w:kinsoku/>
              <w:wordWrap/>
              <w:overflowPunct w:val="0"/>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COD、NH</w:t>
            </w:r>
            <w:r>
              <w:rPr>
                <w:rFonts w:hint="default" w:ascii="Times New Roman" w:hAnsi="Times New Roman" w:eastAsia="宋体" w:cs="Times New Roman"/>
                <w:color w:val="000000" w:themeColor="text1"/>
                <w:spacing w:val="-5"/>
                <w:position w:val="-3"/>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-N、SS、石</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油类</w:t>
            </w:r>
          </w:p>
        </w:tc>
        <w:tc>
          <w:tcPr>
            <w:tcW w:w="1538" w:type="pct"/>
            <w:tcBorders>
              <w:tl2br w:val="nil"/>
              <w:tr2bl w:val="nil"/>
            </w:tcBorders>
            <w:shd w:val="clear" w:color="auto" w:fill="auto"/>
            <w:vAlign w:val="center"/>
          </w:tcPr>
          <w:p>
            <w:pPr>
              <w:keepNext w:val="0"/>
              <w:keepLines w:val="0"/>
              <w:pageBreakBefore w:val="0"/>
              <w:widowControl/>
              <w:kinsoku/>
              <w:wordWrap/>
              <w:overflowPunct w:val="0"/>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COD、NH</w:t>
            </w:r>
            <w:r>
              <w:rPr>
                <w:rFonts w:hint="default" w:ascii="Times New Roman" w:hAnsi="Times New Roman" w:eastAsia="宋体" w:cs="Times New Roman"/>
                <w:color w:val="000000" w:themeColor="text1"/>
                <w:spacing w:val="-3"/>
                <w:position w:val="-3"/>
                <w:sz w:val="21"/>
                <w:szCs w:val="21"/>
                <w:highlight w:val="none"/>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-N、SS、动植物油</w:t>
            </w:r>
            <w:r>
              <w:rPr>
                <w:rFonts w:hint="default" w:ascii="Times New Roman" w:hAnsi="Times New Roman" w:eastAsia="宋体" w:cs="Times New Roman"/>
                <w:color w:val="000000" w:themeColor="text1"/>
                <w:sz w:val="21"/>
                <w:szCs w:val="21"/>
                <w:highlight w:val="none"/>
                <w14:textFill>
                  <w14:solidFill>
                    <w14:schemeClr w14:val="tx1"/>
                  </w14:solidFill>
                </w14:textFill>
              </w:rPr>
              <w:t>等</w:t>
            </w:r>
          </w:p>
        </w:tc>
        <w:tc>
          <w:tcPr>
            <w:tcW w:w="1113" w:type="pct"/>
            <w:tcBorders>
              <w:tl2br w:val="nil"/>
              <w:tr2bl w:val="nil"/>
            </w:tcBorders>
            <w:shd w:val="clear" w:color="auto" w:fill="auto"/>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COD、NH</w:t>
            </w:r>
            <w:r>
              <w:rPr>
                <w:rFonts w:hint="default" w:ascii="Times New Roman" w:hAnsi="Times New Roman" w:eastAsia="宋体" w:cs="Times New Roman"/>
                <w:color w:val="000000" w:themeColor="text1"/>
                <w:spacing w:val="-4"/>
                <w:position w:val="-2"/>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-N</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声环境</w:t>
            </w:r>
          </w:p>
        </w:tc>
        <w:tc>
          <w:tcPr>
            <w:tcW w:w="1151" w:type="pct"/>
            <w:tcBorders>
              <w:tl2br w:val="nil"/>
              <w:tr2bl w:val="nil"/>
            </w:tcBorders>
            <w:shd w:val="clear" w:color="auto" w:fill="auto"/>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施工机械、设备噪声</w:t>
            </w:r>
          </w:p>
        </w:tc>
        <w:tc>
          <w:tcPr>
            <w:tcW w:w="1538" w:type="pct"/>
            <w:tcBorders>
              <w:tl2br w:val="nil"/>
              <w:tr2bl w:val="nil"/>
            </w:tcBorders>
            <w:shd w:val="clear" w:color="auto" w:fill="auto"/>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厂界噪声</w:t>
            </w:r>
          </w:p>
        </w:tc>
        <w:tc>
          <w:tcPr>
            <w:tcW w:w="1113" w:type="pct"/>
            <w:tcBorders>
              <w:tl2br w:val="nil"/>
              <w:tr2bl w:val="nil"/>
            </w:tcBorders>
            <w:shd w:val="clear" w:color="auto" w:fill="auto"/>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Style w:val="31"/>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等效A声级</w:t>
            </w:r>
          </w:p>
        </w:tc>
        <w:tc>
          <w:tcPr>
            <w:tcW w:w="810" w:type="pc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top"/>
              <w:rPr>
                <w:rStyle w:val="31"/>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1"/>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固体废物</w:t>
            </w:r>
          </w:p>
        </w:tc>
        <w:tc>
          <w:tcPr>
            <w:tcW w:w="1151" w:type="pct"/>
            <w:tcBorders>
              <w:tl2br w:val="nil"/>
              <w:tr2bl w:val="nil"/>
            </w:tcBorders>
            <w:shd w:val="clear" w:color="auto" w:fill="auto"/>
            <w:noWrap/>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生活垃圾、建筑废弃物</w:t>
            </w:r>
          </w:p>
        </w:tc>
        <w:tc>
          <w:tcPr>
            <w:tcW w:w="1538" w:type="pct"/>
            <w:tcBorders>
              <w:tl2br w:val="nil"/>
              <w:tr2bl w:val="nil"/>
            </w:tcBorders>
            <w:shd w:val="clear" w:color="auto" w:fill="auto"/>
            <w:noWrap/>
            <w:vAlign w:val="center"/>
          </w:tcPr>
          <w:p>
            <w:pPr>
              <w:keepNext w:val="0"/>
              <w:keepLines w:val="0"/>
              <w:pageBreakBefore w:val="0"/>
              <w:widowControl/>
              <w:kinsoku/>
              <w:wordWrap/>
              <w:overflowPunct w:val="0"/>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一般固废、危险废物、生活垃</w:t>
            </w:r>
            <w:r>
              <w:rPr>
                <w:rFonts w:hint="default" w:ascii="Times New Roman" w:hAnsi="Times New Roman" w:eastAsia="宋体" w:cs="Times New Roman"/>
                <w:color w:val="000000" w:themeColor="text1"/>
                <w:sz w:val="21"/>
                <w:szCs w:val="21"/>
                <w:highlight w:val="none"/>
                <w14:textFill>
                  <w14:solidFill>
                    <w14:schemeClr w14:val="tx1"/>
                  </w14:solidFill>
                </w14:textFill>
              </w:rPr>
              <w:t>圾</w:t>
            </w:r>
          </w:p>
        </w:tc>
        <w:tc>
          <w:tcPr>
            <w:tcW w:w="1113" w:type="pct"/>
            <w:tcBorders>
              <w:tl2br w:val="nil"/>
              <w:tr2bl w:val="nil"/>
            </w:tcBorders>
            <w:shd w:val="clear" w:color="auto" w:fill="auto"/>
            <w:noWrap/>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Style w:val="35"/>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w:t>
            </w:r>
          </w:p>
        </w:tc>
        <w:tc>
          <w:tcPr>
            <w:tcW w:w="810" w:type="pct"/>
            <w:tcBorders>
              <w:tl2br w:val="nil"/>
              <w:tr2bl w:val="nil"/>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center"/>
              <w:rPr>
                <w:rStyle w:val="35"/>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5"/>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bottom"/>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土壤</w:t>
            </w:r>
          </w:p>
        </w:tc>
        <w:tc>
          <w:tcPr>
            <w:tcW w:w="1151" w:type="pct"/>
            <w:tcBorders>
              <w:tl2br w:val="nil"/>
              <w:tr2bl w:val="nil"/>
            </w:tcBorders>
            <w:shd w:val="clear" w:color="auto" w:fill="auto"/>
            <w:noWrap/>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w:t>
            </w:r>
          </w:p>
        </w:tc>
        <w:tc>
          <w:tcPr>
            <w:tcW w:w="1538" w:type="pct"/>
            <w:tcBorders>
              <w:tl2br w:val="nil"/>
              <w:tr2bl w:val="nil"/>
            </w:tcBorders>
            <w:shd w:val="clear" w:color="auto" w:fill="auto"/>
            <w:noWrap/>
            <w:vAlign w:val="center"/>
          </w:tcPr>
          <w:p>
            <w:pPr>
              <w:keepNext w:val="0"/>
              <w:keepLines w:val="0"/>
              <w:pageBreakBefore w:val="0"/>
              <w:widowControl/>
              <w:kinsoku/>
              <w:wordWrap/>
              <w:overflowPunct w:val="0"/>
              <w:topLinePunct w:val="0"/>
              <w:bidi w:val="0"/>
              <w:adjustRightInd/>
              <w:snapToGrid/>
              <w:spacing w:line="240" w:lineRule="auto"/>
              <w:ind w:left="0" w:leftChars="0" w:right="0" w:rightChars="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砷、镉、铬</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六价</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、铜、铅、汞、镍、四氯化碳、氯仿、氯甲烷、1,1</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二氯乙烷、1,2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二氯乙烷、1,1</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二氯乙烯、顺</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二氯乙烯、反</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二氯乙烯、二氯甲烷、1,2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二氯丙烷、1,1,1,2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四氯乙烷、1,1,2,2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四氯乙烷、四氯乙烯、1,1,1三氯乙烷、1,1,2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三氯乙烷、三氯乙烯、1,2,3</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三氯丙烷、氯乙烯、苯、氯苯、1,2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二氯苯、1,4</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二氯苯、乙苯、苯乙烯、甲苯、间二甲苯+对二甲苯、邻二甲苯）、硝基苯、苯胺、2</w:t>
            </w:r>
            <w:r>
              <w:rPr>
                <w:rFonts w:hint="default" w:ascii="Times New Roman" w:hAnsi="Times New Roman" w:eastAsia="宋体" w:cs="Times New Roman"/>
                <w:b w:val="0"/>
                <w:bCs w:val="0"/>
                <w:i w:val="0"/>
                <w:iCs w:val="0"/>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氯酚、苯并[a]蒽、苯并[a]芘、苯并[b]荧蒽、苯并[k]荧蒽、䓛、二苯并[a, h]蒽、茚并[1,2,3-cd]芘、萘</w:t>
            </w:r>
          </w:p>
        </w:tc>
        <w:tc>
          <w:tcPr>
            <w:tcW w:w="1113" w:type="pct"/>
            <w:tcBorders>
              <w:tl2br w:val="nil"/>
              <w:tr2bl w:val="nil"/>
            </w:tcBorders>
            <w:shd w:val="clear" w:color="auto" w:fill="auto"/>
            <w:noWrap/>
            <w:vAlign w:val="center"/>
          </w:tcPr>
          <w:p>
            <w:pPr>
              <w:keepNext w:val="0"/>
              <w:keepLines w:val="0"/>
              <w:pageBreakBefore w:val="0"/>
              <w:widowControl/>
              <w:kinsoku/>
              <w:wordWrap/>
              <w:overflowPunct w:val="0"/>
              <w:topLinePunct w:val="0"/>
              <w:bidi w:val="0"/>
              <w:adjustRightInd/>
              <w:snapToGrid/>
              <w:spacing w:line="240" w:lineRule="auto"/>
              <w:ind w:left="0" w:right="0" w:firstLine="0" w:firstLineChars="0"/>
              <w:jc w:val="cente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苯、甲苯、间二甲苯+对二甲苯、邻二甲苯）</w:t>
            </w:r>
          </w:p>
        </w:tc>
        <w:tc>
          <w:tcPr>
            <w:tcW w:w="810" w:type="pct"/>
            <w:tcBorders>
              <w:tl2br w:val="nil"/>
              <w:tr2bl w:val="nil"/>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left="0" w:right="0" w:firstLine="0" w:firstLineChars="0"/>
              <w:jc w:val="center"/>
              <w:textAlignment w:val="cente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pPr>
            <w:r>
              <w:rPr>
                <w:rStyle w:val="32"/>
                <w:rFonts w:hint="default" w:ascii="Times New Roman" w:hAnsi="Times New Roman" w:eastAsia="宋体" w:cs="Times New Roman"/>
                <w:b w:val="0"/>
                <w:bCs w:val="0"/>
                <w:color w:val="000000" w:themeColor="text1"/>
                <w:sz w:val="21"/>
                <w:szCs w:val="21"/>
                <w:highlight w:val="none"/>
                <w:lang w:val="en-US" w:eastAsia="zh-CN"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地下水环境</w:t>
            </w:r>
          </w:p>
        </w:tc>
        <w:tc>
          <w:tcPr>
            <w:tcW w:w="1151"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w:t>
            </w:r>
          </w:p>
        </w:tc>
        <w:tc>
          <w:tcPr>
            <w:tcW w:w="1538"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pH、氨氮、总硬度、溶解性总固体、氯化物、硫酸盐、石油类</w:t>
            </w:r>
          </w:p>
        </w:tc>
        <w:tc>
          <w:tcPr>
            <w:tcW w:w="1113"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COD</w:t>
            </w:r>
          </w:p>
        </w:tc>
        <w:tc>
          <w:tcPr>
            <w:tcW w:w="810"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3" w:hRule="atLeast"/>
          <w:jc w:val="center"/>
        </w:trPr>
        <w:tc>
          <w:tcPr>
            <w:tcW w:w="386"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bookmarkStart w:id="85" w:name="_Toc4703"/>
            <w:bookmarkStart w:id="86" w:name="_Toc4346"/>
            <w: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t>环境风险</w:t>
            </w:r>
          </w:p>
        </w:tc>
        <w:tc>
          <w:tcPr>
            <w:tcW w:w="1151"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w:t>
            </w:r>
          </w:p>
        </w:tc>
        <w:tc>
          <w:tcPr>
            <w:tcW w:w="1538"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113"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火灾、事故排放</w:t>
            </w:r>
          </w:p>
        </w:tc>
        <w:tc>
          <w:tcPr>
            <w:tcW w:w="810" w:type="pct"/>
            <w:tcBorders>
              <w:tl2br w:val="nil"/>
              <w:tr2bl w:val="nil"/>
            </w:tcBorders>
            <w:shd w:val="clear" w:color="auto" w:fill="auto"/>
            <w:noWrap/>
            <w:vAlign w:val="center"/>
          </w:tcPr>
          <w:p>
            <w:pPr>
              <w:keepNext w:val="0"/>
              <w:keepLines w:val="0"/>
              <w:pageBreakBefore w:val="0"/>
              <w:widowControl/>
              <w:kinsoku/>
              <w:wordWrap/>
              <w:overflowPunct w:val="0"/>
              <w:topLinePunct w:val="0"/>
              <w:autoSpaceDE/>
              <w:autoSpaceDN/>
              <w:bidi w:val="0"/>
              <w:adjustRightInd/>
              <w:snapToGrid/>
              <w:spacing w:line="240" w:lineRule="auto"/>
              <w:ind w:left="0" w:right="0" w:firstLine="0" w:firstLineChars="0"/>
              <w:jc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w:t>
            </w:r>
          </w:p>
        </w:tc>
      </w:tr>
    </w:tbl>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87" w:name="_Toc30768"/>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评价工作等级及评价范围</w:t>
      </w:r>
      <w:bookmarkEnd w:id="85"/>
      <w:bookmarkEnd w:id="86"/>
      <w:bookmarkEnd w:id="87"/>
    </w:p>
    <w:p>
      <w:pPr>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4"/>
          <w:highlight w:val="none"/>
          <w14:textFill>
            <w14:solidFill>
              <w14:schemeClr w14:val="tx1"/>
            </w14:solidFill>
          </w14:textFill>
        </w:rPr>
        <w:t>.1评价工作等级</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（1）环境空气</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 大气环境》（HJ2.2-2018）中最大地面空气质量浓度占标率的计算公式：</w:t>
      </w:r>
    </w:p>
    <w:p>
      <w:pPr>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drawing>
          <wp:inline distT="0" distB="0" distL="0" distR="0">
            <wp:extent cx="914400" cy="409575"/>
            <wp:effectExtent l="19050" t="0" r="0" b="0"/>
            <wp:docPr id="2" name="图片 1" descr="C:\Users\Administrator.USER-20170815BF\AppData\Roaming\Tencent\Users\1486276306\QQ\WinTemp\RichOle\LPO1C)61H_I6Q81~VHSNF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USER-20170815BF\AppData\Roaming\Tencent\Users\1486276306\QQ\WinTemp\RichOle\LPO1C)61H_I6Q81~VHSNFSY.png"/>
                    <pic:cNvPicPr>
                      <a:picLocks noChangeAspect="1" noChangeArrowheads="1"/>
                    </pic:cNvPicPr>
                  </pic:nvPicPr>
                  <pic:blipFill>
                    <a:blip r:embed="rId12" cstate="print"/>
                    <a:srcRect/>
                    <a:stretch>
                      <a:fillRect/>
                    </a:stretch>
                  </pic:blipFill>
                  <pic:spPr>
                    <a:xfrm>
                      <a:off x="0" y="0"/>
                      <a:ext cx="914400" cy="409575"/>
                    </a:xfrm>
                    <a:prstGeom prst="rect">
                      <a:avLst/>
                    </a:prstGeom>
                    <a:noFill/>
                    <a:ln w="9525">
                      <a:noFill/>
                      <a:miter lim="800000"/>
                      <a:headEnd/>
                      <a:tailEnd/>
                    </a:ln>
                  </pic:spPr>
                </pic:pic>
              </a:graphicData>
            </a:graphic>
          </wp:inline>
        </w:drawing>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—第i个污染物的最大地面空气质量浓度占标率，%；</w:t>
      </w:r>
    </w:p>
    <w:p>
      <w:pPr>
        <w:pageBreakBefore w:val="0"/>
        <w:widowControl/>
        <w:kinsoku/>
        <w:wordWrap/>
        <w:overflowPunct w:val="0"/>
        <w:topLinePunct w:val="0"/>
        <w:autoSpaceDE w:val="0"/>
        <w:autoSpaceDN w:val="0"/>
        <w:bidi w:val="0"/>
        <w:adjustRightInd/>
        <w:snapToGrid/>
        <w:spacing w:line="360" w:lineRule="auto"/>
        <w:ind w:firstLine="1200" w:firstLineChars="5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—采用估算模式计算出的第i个污染物的最大1h地面空气质量浓度，ug/m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widowControl/>
        <w:kinsoku/>
        <w:wordWrap/>
        <w:overflowPunct w:val="0"/>
        <w:topLinePunct w:val="0"/>
        <w:autoSpaceDE w:val="0"/>
        <w:autoSpaceDN w:val="0"/>
        <w:bidi w:val="0"/>
        <w:adjustRightInd/>
        <w:snapToGrid/>
        <w:spacing w:line="360" w:lineRule="auto"/>
        <w:ind w:firstLine="1200" w:firstLineChars="5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0i</w:t>
      </w:r>
      <w:r>
        <w:rPr>
          <w:rFonts w:hint="default" w:ascii="Times New Roman" w:hAnsi="Times New Roman" w:eastAsia="宋体" w:cs="Times New Roman"/>
          <w:color w:val="000000" w:themeColor="text1"/>
          <w:sz w:val="24"/>
          <w:szCs w:val="24"/>
          <w:highlight w:val="none"/>
          <w14:textFill>
            <w14:solidFill>
              <w14:schemeClr w14:val="tx1"/>
            </w14:solidFill>
          </w14:textFill>
        </w:rPr>
        <w:t>—第i个污染物的环境空气质量浓度标准，ug/m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根据项目污染源初步调查结果，本评价选择项目污染源正常排放的主要污染物及排放参数，采用导则推荐的估算模型AERSCREEN，计算污染物的最大地面空气质量浓度占标率P</w:t>
      </w:r>
      <w:r>
        <w:rPr>
          <w:rFonts w:hint="default" w:ascii="Times New Roman" w:hAnsi="Times New Roman" w:eastAsia="宋体" w:cs="Times New Roman"/>
          <w:color w:val="000000" w:themeColor="text1"/>
          <w:kern w:val="0"/>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及其地面空气质量浓度达到标准值的10%时所对应的最远距离D</w:t>
      </w:r>
      <w:r>
        <w:rPr>
          <w:rFonts w:hint="default" w:ascii="Times New Roman" w:hAnsi="Times New Roman" w:eastAsia="宋体" w:cs="Times New Roman"/>
          <w:color w:val="000000" w:themeColor="text1"/>
          <w:kern w:val="0"/>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，同时依据计算结果选择最大地面空气质量浓度占标率P</w:t>
      </w:r>
      <w:r>
        <w:rPr>
          <w:rFonts w:hint="default" w:ascii="Times New Roman" w:hAnsi="Times New Roman" w:eastAsia="宋体" w:cs="Times New Roman"/>
          <w:color w:val="000000" w:themeColor="text1"/>
          <w:kern w:val="0"/>
          <w:sz w:val="24"/>
          <w:szCs w:val="24"/>
          <w:highlight w:val="none"/>
          <w:vertAlign w:val="subscript"/>
          <w14:textFill>
            <w14:solidFill>
              <w14:schemeClr w14:val="tx1"/>
            </w14:solidFill>
          </w14:textFill>
        </w:rPr>
        <w:t>max</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 xml:space="preserve">2.7-1 </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评价等级结果</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35"/>
        <w:gridCol w:w="1208"/>
        <w:gridCol w:w="1660"/>
        <w:gridCol w:w="1103"/>
        <w:gridCol w:w="921"/>
        <w:gridCol w:w="917"/>
        <w:gridCol w:w="75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737"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污染因子</w:t>
            </w:r>
          </w:p>
        </w:tc>
        <w:tc>
          <w:tcPr>
            <w:tcW w:w="100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t>最大落地浓度μ</w:t>
            </w:r>
            <w:r>
              <w:rPr>
                <w:rFonts w:hint="default" w:ascii="Times New Roman" w:hAnsi="Times New Roman" w:eastAsia="宋体" w:cs="Times New Roman"/>
                <w:snapToGrid w:val="0"/>
                <w:color w:val="000000" w:themeColor="text1"/>
                <w:kern w:val="2"/>
                <w:sz w:val="21"/>
                <w:szCs w:val="21"/>
                <w:highlight w:val="none"/>
                <w14:textFill>
                  <w14:solidFill>
                    <w14:schemeClr w14:val="tx1"/>
                  </w14:solidFill>
                </w14:textFill>
              </w:rPr>
              <w:t>g/m</w:t>
            </w:r>
            <w:r>
              <w:rPr>
                <w:rFonts w:hint="default" w:ascii="Times New Roman" w:hAnsi="Times New Roman" w:eastAsia="宋体" w:cs="Times New Roman"/>
                <w:snapToGrid w:val="0"/>
                <w:color w:val="000000" w:themeColor="text1"/>
                <w:kern w:val="2"/>
                <w:sz w:val="21"/>
                <w:szCs w:val="21"/>
                <w:highlight w:val="none"/>
                <w:vertAlign w:val="superscript"/>
                <w14:textFill>
                  <w14:solidFill>
                    <w14:schemeClr w14:val="tx1"/>
                  </w14:solidFill>
                </w14:textFill>
              </w:rPr>
              <w:t>3</w:t>
            </w:r>
          </w:p>
        </w:tc>
        <w:tc>
          <w:tcPr>
            <w:tcW w:w="67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t>最大浓度落地距离/m</w:t>
            </w:r>
          </w:p>
        </w:tc>
        <w:tc>
          <w:tcPr>
            <w:tcW w:w="568"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t>评级标准μ</w:t>
            </w:r>
            <w:r>
              <w:rPr>
                <w:rFonts w:hint="default" w:ascii="Times New Roman" w:hAnsi="Times New Roman" w:eastAsia="宋体" w:cs="Times New Roman"/>
                <w:snapToGrid w:val="0"/>
                <w:color w:val="000000" w:themeColor="text1"/>
                <w:kern w:val="2"/>
                <w:sz w:val="21"/>
                <w:szCs w:val="21"/>
                <w:highlight w:val="none"/>
                <w14:textFill>
                  <w14:solidFill>
                    <w14:schemeClr w14:val="tx1"/>
                  </w14:solidFill>
                </w14:textFill>
              </w:rPr>
              <w:t>g/m</w:t>
            </w:r>
            <w:r>
              <w:rPr>
                <w:rFonts w:hint="default" w:ascii="Times New Roman" w:hAnsi="Times New Roman" w:eastAsia="宋体" w:cs="Times New Roman"/>
                <w:snapToGrid w:val="0"/>
                <w:color w:val="000000" w:themeColor="text1"/>
                <w:kern w:val="2"/>
                <w:sz w:val="21"/>
                <w:szCs w:val="21"/>
                <w:highlight w:val="none"/>
                <w:vertAlign w:val="superscript"/>
                <w14:textFill>
                  <w14:solidFill>
                    <w14:schemeClr w14:val="tx1"/>
                  </w14:solidFill>
                </w14:textFill>
              </w:rPr>
              <w:t>3</w:t>
            </w:r>
          </w:p>
        </w:tc>
        <w:tc>
          <w:tcPr>
            <w:tcW w:w="566"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t>占标率%</w:t>
            </w:r>
          </w:p>
        </w:tc>
        <w:tc>
          <w:tcPr>
            <w:tcW w:w="44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t>D10%</w:t>
            </w:r>
          </w:p>
        </w:tc>
        <w:tc>
          <w:tcPr>
            <w:tcW w:w="416"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14:textFill>
                  <w14:solidFill>
                    <w14:schemeClr w14:val="tx1"/>
                  </w14:solidFill>
                </w14:textFill>
              </w:rPr>
              <w:t>综合评价等级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restart"/>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有组织</w:t>
            </w:r>
          </w:p>
        </w:tc>
        <w:tc>
          <w:tcPr>
            <w:tcW w:w="296" w:type="pct"/>
            <w:vMerge w:val="restart"/>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DA001</w:t>
            </w:r>
          </w:p>
        </w:tc>
        <w:tc>
          <w:tcPr>
            <w:tcW w:w="737"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0.04</w:t>
            </w:r>
          </w:p>
        </w:tc>
        <w:tc>
          <w:tcPr>
            <w:tcW w:w="675"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568"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0.02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296"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737"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0.408</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68"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296"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737"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NMHC</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8.41</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68"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0.42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96"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DA002</w:t>
            </w:r>
          </w:p>
        </w:tc>
        <w:tc>
          <w:tcPr>
            <w:tcW w:w="737"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0.396</w:t>
            </w:r>
          </w:p>
        </w:tc>
        <w:tc>
          <w:tcPr>
            <w:tcW w:w="675"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21</w:t>
            </w:r>
          </w:p>
        </w:tc>
        <w:tc>
          <w:tcPr>
            <w:tcW w:w="568" w:type="pct"/>
            <w:tcBorders>
              <w:tl2br w:val="nil"/>
              <w:tr2bl w:val="nil"/>
            </w:tcBorders>
            <w:noWrap w:val="0"/>
            <w:vAlign w:val="center"/>
          </w:tcPr>
          <w:p>
            <w:pPr>
              <w:keepNext w:val="0"/>
              <w:keepLines w:val="0"/>
              <w:pageBreakBefore w:val="0"/>
              <w:kinsoku/>
              <w:wordWrap/>
              <w:overflowPunct w:val="0"/>
              <w:topLinePunct w:val="0"/>
              <w:autoSpaceDE/>
              <w:autoSpaceDN/>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0.09</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96"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DA003</w:t>
            </w:r>
          </w:p>
        </w:tc>
        <w:tc>
          <w:tcPr>
            <w:tcW w:w="737"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0.951</w:t>
            </w:r>
          </w:p>
        </w:tc>
        <w:tc>
          <w:tcPr>
            <w:tcW w:w="675"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21</w:t>
            </w:r>
          </w:p>
        </w:tc>
        <w:tc>
          <w:tcPr>
            <w:tcW w:w="568" w:type="pct"/>
            <w:tcBorders>
              <w:tl2br w:val="nil"/>
              <w:tr2bl w:val="nil"/>
            </w:tcBorders>
            <w:noWrap w:val="0"/>
            <w:vAlign w:val="center"/>
          </w:tcPr>
          <w:p>
            <w:pPr>
              <w:keepNext w:val="0"/>
              <w:keepLines w:val="0"/>
              <w:pageBreakBefore w:val="0"/>
              <w:kinsoku/>
              <w:wordWrap/>
              <w:overflowPunct w:val="0"/>
              <w:topLinePunct w:val="0"/>
              <w:autoSpaceDE/>
              <w:autoSpaceDN/>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0.21</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restar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0.135</w:t>
            </w:r>
          </w:p>
        </w:tc>
        <w:tc>
          <w:tcPr>
            <w:tcW w:w="675"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621</w:t>
            </w: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200.0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0.07</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二甲苯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1.26</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200.0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0.63</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NMHC</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28.5</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2000.0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shd w:val="clear" w:color="FFFFFF" w:fill="D9D9D9"/>
                <w:lang w:val="en-US" w:eastAsia="zh-CN"/>
                <w14:textFill>
                  <w14:solidFill>
                    <w14:schemeClr w14:val="tx1"/>
                  </w14:solidFill>
                </w14:textFill>
              </w:rPr>
              <w:t>1.42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TSP</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12.5</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900.0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1.39</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yellow"/>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 大气环境》（HJ2.2-2018）对评价工作级别的确定原则，</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本项目Pmax最大值出现为无组织排放的非甲烷总烃Pmax值为1.42%，Cmax为28.5μg/m³，1%＜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P</w:t>
      </w:r>
      <w:r>
        <w:rPr>
          <w:rFonts w:hint="default" w:ascii="Times New Roman" w:hAnsi="Times New Roman" w:eastAsia="宋体" w:cs="Times New Roman"/>
          <w:color w:val="000000" w:themeColor="text1"/>
          <w:kern w:val="0"/>
          <w:sz w:val="24"/>
          <w:szCs w:val="24"/>
          <w:highlight w:val="none"/>
          <w:vertAlign w:val="subscript"/>
          <w14:textFill>
            <w14:solidFill>
              <w14:schemeClr w14:val="tx1"/>
            </w14:solidFill>
          </w14:textFill>
        </w:rPr>
        <w:t>max</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%，本项目大气环境影响评价工作级别为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级。</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（2）地表水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生产废水</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和生活污水排入园区下水管网。</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 地表水环境》（HJ2.3-2018）表1中的规定：“注10：建设项目生产工艺中有废水产生，但作为回水利用，不排放到外环境的，按三级B评价”，确定项目地表水评价工作等级为三级B</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进行简单分析即可。</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（3）地下水环境</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根据《环境影响评价技术导则  地下水环境》（HJ610-2016）要求：“根据建设项目对地下水影响的程度，结合《建设项目环境影响评价分类管理名录》，将建设项目分为四类，I类、II类、III类建设项目的地下水环境影响评价应执行该标准，IV类建设项目不开展地下水环境影响评价。”</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通过查询《建设项目环境影响评价分类管理名录》，本项目评价区内无集中式饮用水源保护区，根据《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环境影响评价技术导则 地下水环境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》（HJ610-2016）“表1地下水环境敏感程度分级表”，区域地下水环境为“不敏感”，根据《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环境影响评价技术导则 地下水环境</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》（HJ610-2016）附录A</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，本项目属于“</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78.电气机械及器材制造</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中“有电镀或喷漆工艺的；电池制造（无汞干电池除外）”，地下水环境影响评价项目类别为报告书，为Ⅲ类项目。故本项目地下水环境影响评价行业分类</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为Ⅲ类</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区域地下水环境为“不敏感”，因此，本项目地下水环境影响评价等级为三级。</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（4）声环境</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本项目所在区域声环境功能为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类区，适用《声环境质量标准》（GB 3096-2008）</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类标准，根据《环境影响评价技术导则 声环境》（</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HJ 2.4-2021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）中评价工作等级划分，确定本项目声环境评价等级为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级。</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（5）土壤环境</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本项目属于污染型项目，根据《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环境影响评价技术导则 土壤环境（试行）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》（HJ964-2018）附录A（土壤环境影响评价项目类别）判定，本项目属于C3811发电机及发电机组制造中风力发电风轮叶片，属于设备制造中使用有机涂层的，项目类别为I类。本项目占地面积为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14.7</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环境影响评价技术导则 土壤环境（试行）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》（HJ964-2018）中第6.2.2.1条，建设项目占地规模中型为（5hm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14.7</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hm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≤50hm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），因此本项目占地规模为中型。</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环境影响评价技术导则 土壤环境（试行）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 HJ964-2018）中第6.2.2.2条表3中污染影响型敏感程度分级表。</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本项目占地规模属于</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中型</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，项目周边</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存在土壤环境敏感目标，敏感程度为“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敏感”，因此按照《环境影响评价技术导则  土壤环境（试行）》（HJ964-2018）中表4污染影响型评价工作等级划分表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本项目土壤环境影响评价等级为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级。</w:t>
      </w:r>
    </w:p>
    <w:p>
      <w:pPr>
        <w:pageBreakBefore w:val="0"/>
        <w:kinsoku/>
        <w:overflowPunct w:val="0"/>
        <w:bidi w:val="0"/>
        <w:snapToGrid w:val="0"/>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表2.</w:t>
      </w: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 xml:space="preserve">7-6 </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 xml:space="preserve">  污染影响型评价工作等级划分表</w:t>
      </w:r>
    </w:p>
    <w:tbl>
      <w:tblPr>
        <w:tblStyle w:val="24"/>
        <w:tblW w:w="8522" w:type="dxa"/>
        <w:jc w:val="center"/>
        <w:tblLayout w:type="fixed"/>
        <w:tblCellMar>
          <w:top w:w="0" w:type="dxa"/>
          <w:left w:w="108" w:type="dxa"/>
          <w:bottom w:w="0" w:type="dxa"/>
          <w:right w:w="108" w:type="dxa"/>
        </w:tblCellMar>
      </w:tblPr>
      <w:tblGrid>
        <w:gridCol w:w="2093"/>
        <w:gridCol w:w="709"/>
        <w:gridCol w:w="708"/>
        <w:gridCol w:w="709"/>
        <w:gridCol w:w="709"/>
        <w:gridCol w:w="709"/>
        <w:gridCol w:w="708"/>
        <w:gridCol w:w="709"/>
        <w:gridCol w:w="709"/>
        <w:gridCol w:w="759"/>
      </w:tblGrid>
      <w:tr>
        <w:tblPrEx>
          <w:tblCellMar>
            <w:top w:w="0" w:type="dxa"/>
            <w:left w:w="108" w:type="dxa"/>
            <w:bottom w:w="0" w:type="dxa"/>
            <w:right w:w="108" w:type="dxa"/>
          </w:tblCellMar>
        </w:tblPrEx>
        <w:trPr>
          <w:jc w:val="center"/>
        </w:trPr>
        <w:tc>
          <w:tcPr>
            <w:tcW w:w="2093"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righ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382270</wp:posOffset>
                      </wp:positionH>
                      <wp:positionV relativeFrom="paragraph">
                        <wp:posOffset>14605</wp:posOffset>
                      </wp:positionV>
                      <wp:extent cx="857250" cy="495300"/>
                      <wp:effectExtent l="2540" t="3810" r="16510" b="15240"/>
                      <wp:wrapNone/>
                      <wp:docPr id="269" name="直接箭头连接符 269"/>
                      <wp:cNvGraphicFramePr/>
                      <a:graphic xmlns:a="http://schemas.openxmlformats.org/drawingml/2006/main">
                        <a:graphicData uri="http://schemas.microsoft.com/office/word/2010/wordprocessingShape">
                          <wps:wsp>
                            <wps:cNvCnPr/>
                            <wps:spPr>
                              <a:xfrm>
                                <a:off x="0" y="0"/>
                                <a:ext cx="857250" cy="4953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0.1pt;margin-top:1.15pt;height:39pt;width:67.5pt;z-index:251661312;mso-width-relative:page;mso-height-relative:page;" filled="f" stroked="t" coordsize="21600,21600" o:gfxdata="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&#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G0ua1AAAAAcBAAAPAAAAAAAAAAEAIAAAACIAAABk&#10;cnMvZG93bnJldi54bWxQSwECFAAUAAAACACHTuJAmHYdAgoCAAACBAAADgAAAAAAAAABACAAAAAj&#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eastAsia="宋体" w:cs="Times New Roman"/>
                <w:color w:val="000000" w:themeColor="text1"/>
                <w:kern w:val="0"/>
                <w:szCs w:val="21"/>
                <w:highlight w:val="none"/>
                <w14:textFill>
                  <w14:solidFill>
                    <w14:schemeClr w14:val="tx1"/>
                  </w14:solidFill>
                </w14:textFill>
              </w:rPr>
              <w:t>占地规模</w:t>
            </w:r>
          </w:p>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-55880</wp:posOffset>
                      </wp:positionH>
                      <wp:positionV relativeFrom="paragraph">
                        <wp:posOffset>89535</wp:posOffset>
                      </wp:positionV>
                      <wp:extent cx="1295400" cy="247650"/>
                      <wp:effectExtent l="635" t="4445" r="18415" b="14605"/>
                      <wp:wrapNone/>
                      <wp:docPr id="270" name="直接箭头连接符 270"/>
                      <wp:cNvGraphicFramePr/>
                      <a:graphic xmlns:a="http://schemas.openxmlformats.org/drawingml/2006/main">
                        <a:graphicData uri="http://schemas.microsoft.com/office/word/2010/wordprocessingShape">
                          <wps:wsp>
                            <wps:cNvCnPr/>
                            <wps:spPr>
                              <a:xfrm>
                                <a:off x="0" y="0"/>
                                <a:ext cx="1295400" cy="247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4pt;margin-top:7.05pt;height:19.5pt;width:102pt;z-index:251662336;mso-width-relative:page;mso-height-relative:page;" filled="f" stroked="t" coordsize="21600,21600" o:gfxdata="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YO161wAAAAgBAAAPAAAAAAAAAAEAIAAAACIA&#10;AABkcnMvZG93bnJldi54bWxQSwECFAAUAAAACACHTuJADyRyVQoCAAADBAAADgAAAAAAAAABACAA&#10;AAAmAQAAZHJzL2Uyb0RvYy54bWxQSwUGAAAAAAYABgBZAQAAogUAAAAA&#10;">
                      <v:fill on="f" focussize="0,0"/>
                      <v:stroke color="#000000" joinstyle="round"/>
                      <v:imagedata o:title=""/>
                      <o:lock v:ext="edit" aspectratio="f"/>
                    </v:shape>
                  </w:pict>
                </mc:Fallback>
              </mc:AlternateContent>
            </w:r>
            <w:r>
              <w:rPr>
                <w:rFonts w:hint="default" w:ascii="Times New Roman" w:hAnsi="Times New Roman" w:eastAsia="宋体" w:cs="Times New Roman"/>
                <w:color w:val="000000" w:themeColor="text1"/>
                <w:kern w:val="0"/>
                <w:szCs w:val="21"/>
                <w:highlight w:val="none"/>
                <w14:textFill>
                  <w14:solidFill>
                    <w14:schemeClr w14:val="tx1"/>
                  </w14:solidFill>
                </w14:textFill>
              </w:rPr>
              <w:t>评价工作等级</w:t>
            </w:r>
          </w:p>
          <w:p>
            <w:pPr>
              <w:pageBreakBefore w:val="0"/>
              <w:kinsoku/>
              <w:overflowPunct w:val="0"/>
              <w:bidi w:val="0"/>
              <w:snapToGrid w:val="0"/>
              <w:jc w:val="left"/>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敏感程度</w:t>
            </w:r>
          </w:p>
        </w:tc>
        <w:tc>
          <w:tcPr>
            <w:tcW w:w="2126"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Ⅰ类</w:t>
            </w:r>
          </w:p>
        </w:tc>
        <w:tc>
          <w:tcPr>
            <w:tcW w:w="2126"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Ⅱ类</w:t>
            </w:r>
          </w:p>
        </w:tc>
        <w:tc>
          <w:tcPr>
            <w:tcW w:w="2177"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Ⅲ类</w:t>
            </w:r>
          </w:p>
        </w:tc>
      </w:tr>
      <w:tr>
        <w:tblPrEx>
          <w:tblCellMar>
            <w:top w:w="0" w:type="dxa"/>
            <w:left w:w="108" w:type="dxa"/>
            <w:bottom w:w="0" w:type="dxa"/>
            <w:right w:w="108" w:type="dxa"/>
          </w:tblCellMar>
        </w:tblPrEx>
        <w:trPr>
          <w:jc w:val="center"/>
        </w:trPr>
        <w:tc>
          <w:tcPr>
            <w:tcW w:w="2093" w:type="dxa"/>
            <w:vMerge w:val="continue"/>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中</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小</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中</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小</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中</w:t>
            </w: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小</w:t>
            </w:r>
          </w:p>
        </w:tc>
      </w:tr>
      <w:tr>
        <w:tblPrEx>
          <w:tblCellMar>
            <w:top w:w="0" w:type="dxa"/>
            <w:left w:w="108" w:type="dxa"/>
            <w:bottom w:w="0" w:type="dxa"/>
            <w:right w:w="108" w:type="dxa"/>
          </w:tblCellMar>
        </w:tblPrEx>
        <w:trPr>
          <w:jc w:val="center"/>
        </w:trPr>
        <w:tc>
          <w:tcPr>
            <w:tcW w:w="20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敏感</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一级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一级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一级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shd w:val="clear" w:color="auto" w:fill="auto"/>
                <w14:textFill>
                  <w14:solidFill>
                    <w14:schemeClr w14:val="tx1"/>
                  </w14:solidFill>
                </w14:textFill>
              </w:rPr>
              <w:t>三级</w:t>
            </w:r>
          </w:p>
        </w:tc>
      </w:tr>
      <w:tr>
        <w:tblPrEx>
          <w:tblCellMar>
            <w:top w:w="0" w:type="dxa"/>
            <w:left w:w="108" w:type="dxa"/>
            <w:bottom w:w="0" w:type="dxa"/>
            <w:right w:w="108" w:type="dxa"/>
          </w:tblCellMar>
        </w:tblPrEx>
        <w:trPr>
          <w:jc w:val="center"/>
        </w:trPr>
        <w:tc>
          <w:tcPr>
            <w:tcW w:w="20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较敏感</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一级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一级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r>
      <w:tr>
        <w:tblPrEx>
          <w:tblCellMar>
            <w:top w:w="0" w:type="dxa"/>
            <w:left w:w="108" w:type="dxa"/>
            <w:bottom w:w="0" w:type="dxa"/>
            <w:right w:w="108" w:type="dxa"/>
          </w:tblCellMar>
        </w:tblPrEx>
        <w:trPr>
          <w:jc w:val="center"/>
        </w:trPr>
        <w:tc>
          <w:tcPr>
            <w:tcW w:w="2093"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不敏感</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一级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shd w:val="clear" w:color="FFFFFF" w:fill="D9D9D9"/>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二级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w:t>
            </w:r>
          </w:p>
        </w:tc>
        <w:tc>
          <w:tcPr>
            <w:tcW w:w="70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c>
          <w:tcPr>
            <w:tcW w:w="7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r>
      <w:tr>
        <w:tblPrEx>
          <w:tblCellMar>
            <w:top w:w="0" w:type="dxa"/>
            <w:left w:w="108" w:type="dxa"/>
            <w:bottom w:w="0" w:type="dxa"/>
            <w:right w:w="108" w:type="dxa"/>
          </w:tblCellMar>
        </w:tblPrEx>
        <w:trPr>
          <w:jc w:val="center"/>
        </w:trPr>
        <w:tc>
          <w:tcPr>
            <w:tcW w:w="8522" w:type="dxa"/>
            <w:gridSpan w:val="10"/>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注：“-”表示可不展开土壤环境影响评价工作</w:t>
            </w:r>
          </w:p>
        </w:tc>
      </w:tr>
    </w:tbl>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（6）生态环境</w:t>
      </w:r>
    </w:p>
    <w:p>
      <w:pPr>
        <w:pStyle w:val="36"/>
        <w:keepNext w:val="0"/>
        <w:keepLines w:val="0"/>
        <w:pageBreakBefore w:val="0"/>
        <w:widowControl/>
        <w:kinsoku/>
        <w:wordWrap/>
        <w:overflowPunct w:val="0"/>
        <w:topLinePunct w:val="0"/>
        <w:autoSpaceDE w:val="0"/>
        <w:autoSpaceDN w:val="0"/>
        <w:bidi w:val="0"/>
        <w:adjustRightInd/>
        <w:snapToGrid/>
        <w:ind w:firstLine="480"/>
        <w:jc w:val="both"/>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w:t>
      </w:r>
      <w:r>
        <w:rPr>
          <w:rFonts w:hint="default" w:ascii="Times New Roman" w:hAnsi="Times New Roman" w:eastAsia="宋体" w:cs="Times New Roman"/>
          <w:color w:val="000000" w:themeColor="text1"/>
          <w:highlight w:val="none"/>
          <w:lang w:eastAsia="zh-CN"/>
          <w14:textFill>
            <w14:solidFill>
              <w14:schemeClr w14:val="tx1"/>
            </w14:solidFill>
          </w14:textFill>
        </w:rPr>
        <w:t>环境影响评价技术导则 生态影响</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HJ 19-2022</w:t>
      </w:r>
      <w:r>
        <w:rPr>
          <w:rFonts w:hint="default" w:ascii="Times New Roman" w:hAnsi="Times New Roman" w:eastAsia="宋体" w:cs="Times New Roman"/>
          <w:color w:val="000000" w:themeColor="text1"/>
          <w:highlight w:val="none"/>
          <w14:textFill>
            <w14:solidFill>
              <w14:schemeClr w14:val="tx1"/>
            </w14:solidFill>
          </w14:textFill>
        </w:rPr>
        <w:t>）将生态影响评价工作等级划分为一级、二级和三级，具体见表2</w:t>
      </w:r>
      <w:r>
        <w:rPr>
          <w:rFonts w:hint="default" w:ascii="Times New Roman" w:hAnsi="Times New Roman" w:eastAsia="宋体" w:cs="Times New Roman"/>
          <w:color w:val="000000" w:themeColor="text1"/>
          <w:highlight w:val="none"/>
          <w:lang w:val="en-US" w:eastAsia="zh-CN"/>
          <w14:textFill>
            <w14:solidFill>
              <w14:schemeClr w14:val="tx1"/>
            </w14:solidFill>
          </w14:textFill>
        </w:rPr>
        <w:t>.7-7。</w:t>
      </w:r>
    </w:p>
    <w:p>
      <w:pPr>
        <w:pStyle w:val="37"/>
        <w:keepNext w:val="0"/>
        <w:keepLines w:val="0"/>
        <w:pageBreakBefore w:val="0"/>
        <w:widowControl/>
        <w:kinsoku/>
        <w:wordWrap/>
        <w:overflowPunct w:val="0"/>
        <w:topLinePunct w:val="0"/>
        <w:autoSpaceDE/>
        <w:autoSpaceDN/>
        <w:bidi w:val="0"/>
        <w:adjustRightInd w:val="0"/>
        <w:snapToGrid/>
        <w:spacing w:before="0" w:beforeLines="0" w:after="0" w:afterLines="0" w:line="240" w:lineRule="auto"/>
        <w:ind w:firstLine="0"/>
        <w:textAlignment w:val="auto"/>
        <w:rPr>
          <w:rFonts w:hint="default" w:ascii="Times New Roman" w:hAnsi="Times New Roman" w:eastAsia="宋体" w:cs="Times New Roman"/>
          <w:b/>
          <w:color w:val="000000" w:themeColor="text1"/>
          <w:sz w:val="21"/>
          <w:szCs w:val="18"/>
          <w:highlight w:val="none"/>
          <w14:textFill>
            <w14:solidFill>
              <w14:schemeClr w14:val="tx1"/>
            </w14:solidFill>
          </w14:textFill>
        </w:rPr>
      </w:pPr>
      <w:r>
        <w:rPr>
          <w:rFonts w:hint="default" w:ascii="Times New Roman" w:hAnsi="Times New Roman" w:eastAsia="宋体" w:cs="Times New Roman"/>
          <w:b/>
          <w:color w:val="000000" w:themeColor="text1"/>
          <w:sz w:val="21"/>
          <w:szCs w:val="18"/>
          <w:highlight w:val="none"/>
          <w14:textFill>
            <w14:solidFill>
              <w14:schemeClr w14:val="tx1"/>
            </w14:solidFill>
          </w14:textFill>
        </w:rPr>
        <w:t>表2.</w:t>
      </w:r>
      <w:r>
        <w:rPr>
          <w:rFonts w:hint="default" w:ascii="Times New Roman" w:hAnsi="Times New Roman" w:eastAsia="宋体" w:cs="Times New Roman"/>
          <w:b/>
          <w:color w:val="000000" w:themeColor="text1"/>
          <w:sz w:val="21"/>
          <w:szCs w:val="18"/>
          <w:highlight w:val="none"/>
          <w:lang w:val="en-US" w:eastAsia="zh-CN"/>
          <w14:textFill>
            <w14:solidFill>
              <w14:schemeClr w14:val="tx1"/>
            </w14:solidFill>
          </w14:textFill>
        </w:rPr>
        <w:t>7-7</w:t>
      </w:r>
      <w:r>
        <w:rPr>
          <w:rFonts w:hint="default" w:ascii="Times New Roman" w:hAnsi="Times New Roman" w:eastAsia="宋体" w:cs="Times New Roman"/>
          <w:b/>
          <w:color w:val="000000" w:themeColor="text1"/>
          <w:sz w:val="21"/>
          <w:szCs w:val="18"/>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1"/>
          <w:szCs w:val="18"/>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18"/>
          <w:highlight w:val="none"/>
          <w14:textFill>
            <w14:solidFill>
              <w14:schemeClr w14:val="tx1"/>
            </w14:solidFill>
          </w14:textFill>
        </w:rPr>
        <w:t>生态影响评价工作等级划分表</w:t>
      </w:r>
    </w:p>
    <w:tbl>
      <w:tblPr>
        <w:tblStyle w:val="24"/>
        <w:tblW w:w="8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127"/>
        <w:gridCol w:w="2129"/>
        <w:gridCol w:w="19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8" w:type="dxa"/>
            <w:vMerge w:val="restart"/>
            <w:tcBorders>
              <w:top w:val="single" w:color="auto" w:sz="4" w:space="0"/>
              <w:lef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影响区域生态敏感性</w:t>
            </w:r>
          </w:p>
        </w:tc>
        <w:tc>
          <w:tcPr>
            <w:tcW w:w="6226" w:type="dxa"/>
            <w:gridSpan w:val="3"/>
            <w:tcBorders>
              <w:top w:val="single" w:color="auto" w:sz="4" w:space="0"/>
              <w:righ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项目占地范围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8" w:type="dxa"/>
            <w:vMerge w:val="continue"/>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p>
        </w:tc>
        <w:tc>
          <w:tcPr>
            <w:tcW w:w="2127" w:type="dxa"/>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面积≥20km</w:t>
            </w:r>
            <w:r>
              <w:rPr>
                <w:rFonts w:hint="default" w:ascii="Times New Roman" w:hAnsi="Times New Roman" w:eastAsia="宋体" w:cs="Times New Roman"/>
                <w:b w:val="0"/>
                <w:bCs/>
                <w:color w:val="000000" w:themeColor="text1"/>
                <w:sz w:val="21"/>
                <w:szCs w:val="18"/>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或</w:t>
            </w:r>
          </w:p>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长度≥100km</w:t>
            </w:r>
          </w:p>
        </w:tc>
        <w:tc>
          <w:tcPr>
            <w:tcW w:w="2129" w:type="dxa"/>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面积2km</w:t>
            </w:r>
            <w:r>
              <w:rPr>
                <w:rFonts w:hint="default" w:ascii="Times New Roman" w:hAnsi="Times New Roman" w:eastAsia="宋体" w:cs="Times New Roman"/>
                <w:b w:val="0"/>
                <w:bCs/>
                <w:color w:val="000000" w:themeColor="text1"/>
                <w:sz w:val="21"/>
                <w:szCs w:val="18"/>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-20km</w:t>
            </w:r>
            <w:r>
              <w:rPr>
                <w:rFonts w:hint="default" w:ascii="Times New Roman" w:hAnsi="Times New Roman" w:eastAsia="宋体" w:cs="Times New Roman"/>
                <w:b w:val="0"/>
                <w:bCs/>
                <w:color w:val="000000" w:themeColor="text1"/>
                <w:sz w:val="21"/>
                <w:szCs w:val="18"/>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或</w:t>
            </w:r>
          </w:p>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长度50km-100km</w:t>
            </w:r>
          </w:p>
        </w:tc>
        <w:tc>
          <w:tcPr>
            <w:tcW w:w="1970" w:type="dxa"/>
            <w:tcBorders>
              <w:righ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面积≤2km</w:t>
            </w:r>
            <w:r>
              <w:rPr>
                <w:rFonts w:hint="default" w:ascii="Times New Roman" w:hAnsi="Times New Roman" w:eastAsia="宋体" w:cs="Times New Roman"/>
                <w:b w:val="0"/>
                <w:bCs/>
                <w:color w:val="000000" w:themeColor="text1"/>
                <w:sz w:val="21"/>
                <w:szCs w:val="18"/>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或</w:t>
            </w:r>
          </w:p>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特殊生态敏感区</w:t>
            </w:r>
          </w:p>
        </w:tc>
        <w:tc>
          <w:tcPr>
            <w:tcW w:w="2127" w:type="dxa"/>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一级</w:t>
            </w:r>
          </w:p>
        </w:tc>
        <w:tc>
          <w:tcPr>
            <w:tcW w:w="2129" w:type="dxa"/>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一级</w:t>
            </w:r>
          </w:p>
        </w:tc>
        <w:tc>
          <w:tcPr>
            <w:tcW w:w="1970" w:type="dxa"/>
            <w:tcBorders>
              <w:righ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重要生态敏感区</w:t>
            </w:r>
          </w:p>
        </w:tc>
        <w:tc>
          <w:tcPr>
            <w:tcW w:w="2127" w:type="dxa"/>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一级</w:t>
            </w:r>
          </w:p>
        </w:tc>
        <w:tc>
          <w:tcPr>
            <w:tcW w:w="2129" w:type="dxa"/>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二级</w:t>
            </w:r>
          </w:p>
        </w:tc>
        <w:tc>
          <w:tcPr>
            <w:tcW w:w="1970" w:type="dxa"/>
            <w:tcBorders>
              <w:righ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left w:val="single" w:color="auto" w:sz="4" w:space="0"/>
              <w:bottom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一般区域</w:t>
            </w:r>
          </w:p>
        </w:tc>
        <w:tc>
          <w:tcPr>
            <w:tcW w:w="2127" w:type="dxa"/>
            <w:tcBorders>
              <w:bottom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二级</w:t>
            </w:r>
          </w:p>
        </w:tc>
        <w:tc>
          <w:tcPr>
            <w:tcW w:w="2129" w:type="dxa"/>
            <w:tcBorders>
              <w:bottom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三级</w:t>
            </w:r>
          </w:p>
        </w:tc>
        <w:tc>
          <w:tcPr>
            <w:tcW w:w="1970" w:type="dxa"/>
            <w:tcBorders>
              <w:bottom w:val="single" w:color="auto" w:sz="4" w:space="0"/>
              <w:right w:val="single" w:color="auto" w:sz="4" w:space="0"/>
            </w:tcBorders>
            <w:vAlign w:val="center"/>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三级</w:t>
            </w:r>
          </w:p>
        </w:tc>
      </w:tr>
    </w:tbl>
    <w:p>
      <w:pPr>
        <w:pStyle w:val="36"/>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依据生态影响评价工作等级划分的原则，本项目区</w:t>
      </w:r>
      <w:r>
        <w:rPr>
          <w:rFonts w:hint="default" w:ascii="Times New Roman" w:hAnsi="Times New Roman" w:eastAsia="宋体" w:cs="Times New Roman"/>
          <w:bCs/>
          <w:color w:val="000000" w:themeColor="text1"/>
          <w:highlight w:val="none"/>
          <w14:textFill>
            <w14:solidFill>
              <w14:schemeClr w14:val="tx1"/>
            </w14:solidFill>
          </w14:textFill>
        </w:rPr>
        <w:t>占地面积</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0.0147k</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＜2km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bCs/>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14:textFill>
            <w14:solidFill>
              <w14:schemeClr w14:val="tx1"/>
            </w14:solidFill>
          </w14:textFill>
        </w:rPr>
        <w:t>区域生态敏感性属于</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一般区域</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，因此根据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上</w:t>
      </w:r>
      <w:r>
        <w:rPr>
          <w:rFonts w:hint="default" w:ascii="Times New Roman" w:hAnsi="Times New Roman" w:eastAsia="宋体" w:cs="Times New Roman"/>
          <w:color w:val="000000" w:themeColor="text1"/>
          <w:highlight w:val="none"/>
          <w14:textFill>
            <w14:solidFill>
              <w14:schemeClr w14:val="tx1"/>
            </w14:solidFill>
          </w14:textFill>
        </w:rPr>
        <w:t>表，本项目生态影响评价等级为三级。</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（7）环境风险</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依据《建设项目环境风险评价技术导则》（HJ169-2018）中关于风险评价</w:t>
      </w:r>
      <w:r>
        <w:rPr>
          <w:rFonts w:hint="default" w:ascii="Times New Roman" w:hAnsi="Times New Roman" w:eastAsia="宋体" w:cs="Times New Roman"/>
          <w:color w:val="000000" w:themeColor="text1"/>
          <w:spacing w:val="24"/>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工作等级的判定依据，评价工作级别按表2.</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7-8</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划分。</w: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7-8</w:t>
      </w:r>
      <w:r>
        <w:rPr>
          <w:rFonts w:hint="default" w:ascii="Times New Roman" w:hAnsi="Times New Roman" w:eastAsia="宋体" w:cs="Times New Roman"/>
          <w:color w:val="000000" w:themeColor="text1"/>
          <w:spacing w:val="34"/>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环境风险评价工作等级划分</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环境风险潜势</w:t>
            </w:r>
          </w:p>
        </w:tc>
        <w:tc>
          <w:tcPr>
            <w:tcW w:w="1704" w:type="dxa"/>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Ⅳ</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、Ⅳ</w:t>
            </w:r>
          </w:p>
        </w:tc>
        <w:tc>
          <w:tcPr>
            <w:tcW w:w="1704" w:type="dxa"/>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Ⅲ</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Ⅱ</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评价工作等级</w:t>
            </w:r>
          </w:p>
        </w:tc>
        <w:tc>
          <w:tcPr>
            <w:tcW w:w="1704" w:type="dxa"/>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w:t>
            </w:r>
          </w:p>
        </w:tc>
        <w:tc>
          <w:tcPr>
            <w:tcW w:w="1704" w:type="dxa"/>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t>二</w:t>
            </w:r>
          </w:p>
        </w:tc>
        <w:tc>
          <w:tcPr>
            <w:tcW w:w="1705" w:type="dxa"/>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c>
          <w:tcPr>
            <w:tcW w:w="1705" w:type="dxa"/>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简单分析</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a：是相对于详细评价工作内容而言，在描述危险物质、环境影响途径、环境危害后果、风险防范措施等方面给出定性的说明，见附录A</w:t>
            </w:r>
          </w:p>
        </w:tc>
      </w:tr>
    </w:tbl>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①环境风险潜势划分</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建设项目环境风险潜势划分为Ⅰ、Ⅱ、Ⅲ、IV/IV+级。</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根据建设项目涉及的物质和工艺系统的危险性及其所在地的环境敏感程度，结合事故情形下影响途径，对建设项目潜在环境危害程度进行概化分析，按照表2.</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7-9</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确定环境风险潜势。</w:t>
      </w:r>
    </w:p>
    <w:p>
      <w:pPr>
        <w:pageBreakBefore w:val="0"/>
        <w:kinsoku/>
        <w:overflowPunct w:val="0"/>
        <w:bidi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表</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2.7-9 </w:t>
      </w:r>
      <w:r>
        <w:rPr>
          <w:rFonts w:hint="default" w:ascii="Times New Roman" w:hAnsi="Times New Roman" w:eastAsia="宋体" w:cs="Times New Roman"/>
          <w:b/>
          <w:bCs/>
          <w:color w:val="000000" w:themeColor="text1"/>
          <w:szCs w:val="21"/>
          <w:highlight w:val="none"/>
          <w14:textFill>
            <w14:solidFill>
              <w14:schemeClr w14:val="tx1"/>
            </w14:solidFill>
          </w14:textFill>
        </w:rPr>
        <w:t xml:space="preserve">  建设项目环境风险潜势划分一览表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1621"/>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环境敏感度（E）</w:t>
            </w:r>
          </w:p>
        </w:tc>
        <w:tc>
          <w:tcPr>
            <w:tcW w:w="6735" w:type="dxa"/>
            <w:gridSpan w:val="4"/>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极高危害（P1）</w:t>
            </w:r>
          </w:p>
        </w:tc>
        <w:tc>
          <w:tcPr>
            <w:tcW w:w="1704"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高度危害（P2）</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中度危害（P3）</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环境高度敏感区（E1）</w:t>
            </w:r>
          </w:p>
        </w:tc>
        <w:tc>
          <w:tcPr>
            <w:tcW w:w="162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Ⅳ</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w:t>
            </w:r>
          </w:p>
        </w:tc>
        <w:tc>
          <w:tcPr>
            <w:tcW w:w="1704"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Ⅳ</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环境中度敏感区（E2）</w:t>
            </w:r>
          </w:p>
        </w:tc>
        <w:tc>
          <w:tcPr>
            <w:tcW w:w="162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Ⅳ</w:t>
            </w:r>
          </w:p>
        </w:tc>
        <w:tc>
          <w:tcPr>
            <w:tcW w:w="1704"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shd w:val="pct10" w:color="auto" w:fill="FFFFFF"/>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环境低度敏感区（E3）</w:t>
            </w:r>
          </w:p>
        </w:tc>
        <w:tc>
          <w:tcPr>
            <w:tcW w:w="162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1704"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w:t>
            </w:r>
          </w:p>
        </w:tc>
        <w:tc>
          <w:tcPr>
            <w:tcW w:w="170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shd w:val="pct10" w:color="auto" w:fill="FFFFFF"/>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keepNext w:val="0"/>
              <w:keepLines w:val="0"/>
              <w:pageBreakBefore w:val="0"/>
              <w:widowControl/>
              <w:kinsoku/>
              <w:wordWrap/>
              <w:overflowPunct w:val="0"/>
              <w:topLinePunct w:val="0"/>
              <w:autoSpaceDE w:val="0"/>
              <w:autoSpaceDN w:val="0"/>
              <w:bidi w:val="0"/>
              <w:adjustRightInd/>
              <w:snapToGrid/>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注：Ⅳ</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为极高环境风险。</w:t>
            </w:r>
          </w:p>
        </w:tc>
      </w:tr>
    </w:tbl>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②危险物质及工艺系统危险性（P）的分级确定危险物质数量与临界量比值</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13"/>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按照《建设项目环境风险评价技术导则》（HJ169-2018）附录B，结合各种</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物质的理化性质及毒理毒性，可识别出危险物</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质及临界量，见表2.3-9。</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根据下式计算危险物质及临界量的比值Q：</w:t>
      </w:r>
    </w:p>
    <w:p>
      <w:pPr>
        <w:pageBreakBefore w:val="0"/>
        <w:kinsoku/>
        <w:overflowPunct w:val="0"/>
        <w:bidi w:val="0"/>
        <w:spacing w:line="840" w:lineRule="exact"/>
        <w:ind w:firstLine="2990"/>
        <w:textAlignment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1981835" cy="533400"/>
            <wp:effectExtent l="0" t="0" r="18415"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3"/>
                    <a:stretch>
                      <a:fillRect/>
                    </a:stretch>
                  </pic:blipFill>
                  <pic:spPr>
                    <a:xfrm>
                      <a:off x="0" y="0"/>
                      <a:ext cx="1981835" cy="533400"/>
                    </a:xfrm>
                    <a:prstGeom prst="rect">
                      <a:avLst/>
                    </a:prstGeom>
                    <a:noFill/>
                    <a:ln>
                      <a:noFill/>
                    </a:ln>
                  </pic:spPr>
                </pic:pic>
              </a:graphicData>
            </a:graphic>
          </wp:inline>
        </w:drawing>
      </w:r>
    </w:p>
    <w:p>
      <w:pPr>
        <w:pageBreakBefore w:val="0"/>
        <w:kinsoku/>
        <w:overflowPunct w:val="0"/>
        <w:bidi w:val="0"/>
        <w:spacing w:before="350" w:line="202" w:lineRule="auto"/>
        <w:ind w:firstLine="62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w w:val="95"/>
          <w:sz w:val="24"/>
          <w:szCs w:val="24"/>
          <w:highlight w:val="none"/>
          <w14:textFill>
            <w14:solidFill>
              <w14:schemeClr w14:val="tx1"/>
            </w14:solidFill>
          </w14:textFill>
        </w:rPr>
        <w:t>式中：q</w:t>
      </w:r>
      <w:r>
        <w:rPr>
          <w:rFonts w:hint="default" w:ascii="Times New Roman" w:hAnsi="Times New Roman" w:eastAsia="宋体" w:cs="Times New Roman"/>
          <w:color w:val="000000" w:themeColor="text1"/>
          <w:spacing w:val="-6"/>
          <w:w w:val="95"/>
          <w:position w:val="-2"/>
          <w:sz w:val="15"/>
          <w:szCs w:val="15"/>
          <w:highlight w:val="none"/>
          <w14:textFill>
            <w14:solidFill>
              <w14:schemeClr w14:val="tx1"/>
            </w14:solidFill>
          </w14:textFill>
        </w:rPr>
        <w:t>1</w:t>
      </w:r>
      <w:r>
        <w:rPr>
          <w:rFonts w:hint="default" w:ascii="Times New Roman" w:hAnsi="Times New Roman" w:eastAsia="宋体" w:cs="Times New Roman"/>
          <w:color w:val="000000" w:themeColor="text1"/>
          <w:spacing w:val="-13"/>
          <w:position w:val="-2"/>
          <w:sz w:val="15"/>
          <w:szCs w:val="15"/>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6"/>
          <w:w w:val="95"/>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6"/>
          <w:w w:val="95"/>
          <w:position w:val="-2"/>
          <w:sz w:val="15"/>
          <w:szCs w:val="15"/>
          <w:highlight w:val="none"/>
          <w14:textFill>
            <w14:solidFill>
              <w14:schemeClr w14:val="tx1"/>
            </w14:solidFill>
          </w14:textFill>
        </w:rPr>
        <w:t>2</w:t>
      </w:r>
      <w:r>
        <w:rPr>
          <w:rFonts w:hint="default" w:ascii="Times New Roman" w:hAnsi="Times New Roman" w:eastAsia="宋体" w:cs="Times New Roman"/>
          <w:color w:val="000000" w:themeColor="text1"/>
          <w:spacing w:val="-12"/>
          <w:position w:val="-2"/>
          <w:sz w:val="15"/>
          <w:szCs w:val="15"/>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6"/>
          <w:w w:val="95"/>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6"/>
          <w:w w:val="95"/>
          <w:position w:val="-2"/>
          <w:sz w:val="15"/>
          <w:szCs w:val="15"/>
          <w:highlight w:val="none"/>
          <w14:textFill>
            <w14:solidFill>
              <w14:schemeClr w14:val="tx1"/>
            </w14:solidFill>
          </w14:textFill>
        </w:rPr>
        <w:t>n</w:t>
      </w:r>
      <w:r>
        <w:rPr>
          <w:rFonts w:hint="default" w:ascii="Times New Roman" w:hAnsi="Times New Roman" w:eastAsia="宋体" w:cs="Times New Roman"/>
          <w:color w:val="000000" w:themeColor="text1"/>
          <w:spacing w:val="-6"/>
          <w:w w:val="95"/>
          <w:sz w:val="24"/>
          <w:szCs w:val="24"/>
          <w:highlight w:val="none"/>
          <w14:textFill>
            <w14:solidFill>
              <w14:schemeClr w14:val="tx1"/>
            </w14:solidFill>
          </w14:textFill>
        </w:rPr>
        <w:t>—每种危险物质的最大存在总量，t；</w:t>
      </w:r>
    </w:p>
    <w:p>
      <w:pPr>
        <w:pageBreakBefore w:val="0"/>
        <w:kinsoku/>
        <w:overflowPunct w:val="0"/>
        <w:bidi w:val="0"/>
        <w:spacing w:before="194" w:line="209" w:lineRule="auto"/>
        <w:ind w:firstLine="616"/>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w w:val="98"/>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6"/>
          <w:w w:val="98"/>
          <w:position w:val="-1"/>
          <w:sz w:val="15"/>
          <w:szCs w:val="15"/>
          <w:highlight w:val="none"/>
          <w14:textFill>
            <w14:solidFill>
              <w14:schemeClr w14:val="tx1"/>
            </w14:solidFill>
          </w14:textFill>
        </w:rPr>
        <w:t>1</w:t>
      </w:r>
      <w:r>
        <w:rPr>
          <w:rFonts w:hint="default" w:ascii="Times New Roman" w:hAnsi="Times New Roman" w:eastAsia="宋体" w:cs="Times New Roman"/>
          <w:color w:val="000000" w:themeColor="text1"/>
          <w:spacing w:val="59"/>
          <w:position w:val="-1"/>
          <w:sz w:val="15"/>
          <w:szCs w:val="15"/>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6"/>
          <w:w w:val="98"/>
          <w:sz w:val="24"/>
          <w:szCs w:val="24"/>
          <w:highlight w:val="none"/>
          <w14:textFill>
            <w14:solidFill>
              <w14:schemeClr w14:val="tx1"/>
            </w14:solidFill>
          </w14:textFill>
        </w:rPr>
        <w:t>，Q</w:t>
      </w:r>
      <w:r>
        <w:rPr>
          <w:rFonts w:hint="default" w:ascii="Times New Roman" w:hAnsi="Times New Roman" w:eastAsia="宋体" w:cs="Times New Roman"/>
          <w:color w:val="000000" w:themeColor="text1"/>
          <w:spacing w:val="-6"/>
          <w:w w:val="98"/>
          <w:position w:val="-1"/>
          <w:sz w:val="15"/>
          <w:szCs w:val="15"/>
          <w:highlight w:val="none"/>
          <w14:textFill>
            <w14:solidFill>
              <w14:schemeClr w14:val="tx1"/>
            </w14:solidFill>
          </w14:textFill>
        </w:rPr>
        <w:t>2</w:t>
      </w:r>
      <w:r>
        <w:rPr>
          <w:rFonts w:hint="default" w:ascii="Times New Roman" w:hAnsi="Times New Roman" w:eastAsia="宋体" w:cs="Times New Roman"/>
          <w:color w:val="000000" w:themeColor="text1"/>
          <w:spacing w:val="-13"/>
          <w:position w:val="-1"/>
          <w:sz w:val="15"/>
          <w:szCs w:val="15"/>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6"/>
          <w:w w:val="98"/>
          <w:sz w:val="24"/>
          <w:szCs w:val="24"/>
          <w:highlight w:val="none"/>
          <w14:textFill>
            <w14:solidFill>
              <w14:schemeClr w14:val="tx1"/>
            </w14:solidFill>
          </w14:textFill>
        </w:rPr>
        <w:t>，...，Qn—每种危险物质的临界量，t</w:t>
      </w:r>
      <w:r>
        <w:rPr>
          <w:rFonts w:hint="default" w:ascii="Times New Roman" w:hAnsi="Times New Roman" w:eastAsia="宋体" w:cs="Times New Roman"/>
          <w:color w:val="000000" w:themeColor="text1"/>
          <w:spacing w:val="-30"/>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6"/>
          <w:w w:val="98"/>
          <w:position w:val="-1"/>
          <w:sz w:val="24"/>
          <w:szCs w:val="24"/>
          <w:highlight w:val="none"/>
          <w14:textFill>
            <w14:solidFill>
              <w14:schemeClr w14:val="tx1"/>
            </w14:solidFill>
          </w14:textFill>
        </w:rPr>
        <w:t>当</w:t>
      </w:r>
      <w:r>
        <w:rPr>
          <w:rFonts w:hint="default" w:ascii="Times New Roman" w:hAnsi="Times New Roman" w:eastAsia="宋体" w:cs="Times New Roman"/>
          <w:color w:val="000000" w:themeColor="text1"/>
          <w:spacing w:val="-48"/>
          <w:position w:val="-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6"/>
          <w:w w:val="98"/>
          <w:position w:val="-1"/>
          <w:sz w:val="24"/>
          <w:szCs w:val="24"/>
          <w:highlight w:val="none"/>
          <w14:textFill>
            <w14:solidFill>
              <w14:schemeClr w14:val="tx1"/>
            </w14:solidFill>
          </w14:textFill>
        </w:rPr>
        <w:t>Q&lt;1时，该项目环境风险</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潜势为Ⅰ。</w:t>
      </w:r>
    </w:p>
    <w:p>
      <w:pPr>
        <w:pageBreakBefore w:val="0"/>
        <w:kinsoku/>
        <w:overflowPunct w:val="0"/>
        <w:bidi w:val="0"/>
        <w:spacing w:before="226" w:line="198" w:lineRule="auto"/>
        <w:ind w:firstLine="63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当Q≥1时，将Q值划分为</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1）1≤Q&lt;10</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2）10≤Q&lt;100</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3）Q≥100。</w: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2.</w:t>
      </w:r>
      <w:r>
        <w:rPr>
          <w:rFonts w:hint="default" w:ascii="Times New Roman" w:hAnsi="Times New Roman" w:eastAsia="宋体" w:cs="Times New Roman"/>
          <w:b/>
          <w:bCs/>
          <w:color w:val="000000" w:themeColor="text1"/>
          <w:spacing w:val="-1"/>
          <w:sz w:val="21"/>
          <w:szCs w:val="21"/>
          <w:highlight w:val="none"/>
          <w:lang w:val="en-US" w:eastAsia="zh-CN"/>
          <w14:textFill>
            <w14:solidFill>
              <w14:schemeClr w14:val="tx1"/>
            </w14:solidFill>
          </w14:textFill>
        </w:rPr>
        <w:t>7-10</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危险物质及临界量比值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0"/>
        <w:gridCol w:w="1668"/>
        <w:gridCol w:w="1115"/>
        <w:gridCol w:w="1638"/>
        <w:gridCol w:w="1638"/>
        <w:gridCol w:w="17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序号</w:t>
            </w:r>
          </w:p>
        </w:tc>
        <w:tc>
          <w:tcPr>
            <w:tcW w:w="978"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危险物质</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名称</w:t>
            </w:r>
          </w:p>
        </w:tc>
        <w:tc>
          <w:tcPr>
            <w:tcW w:w="654"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最大</w:t>
            </w: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存在总</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量q</w:t>
            </w:r>
            <w:r>
              <w:rPr>
                <w:rFonts w:hint="default" w:ascii="Times New Roman" w:hAnsi="Times New Roman" w:eastAsia="宋体" w:cs="Times New Roman"/>
                <w:b w:val="0"/>
                <w:bCs/>
                <w:snapToGrid w:val="0"/>
                <w:color w:val="000000" w:themeColor="text1"/>
                <w:kern w:val="0"/>
                <w:sz w:val="21"/>
                <w:szCs w:val="21"/>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/t</w:t>
            </w:r>
          </w:p>
        </w:tc>
        <w:tc>
          <w:tcPr>
            <w:tcW w:w="961"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醇、胺、酯类</w:t>
            </w:r>
          </w:p>
        </w:tc>
        <w:tc>
          <w:tcPr>
            <w:tcW w:w="961"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芳烃类溶剂（含二甲苯）</w:t>
            </w:r>
          </w:p>
        </w:tc>
        <w:tc>
          <w:tcPr>
            <w:tcW w:w="1032"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矿物油类，如汽油、柴油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p>
        </w:tc>
        <w:tc>
          <w:tcPr>
            <w:tcW w:w="978"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油性漆</w:t>
            </w:r>
          </w:p>
        </w:tc>
        <w:tc>
          <w:tcPr>
            <w:tcW w:w="654"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8</w:t>
            </w:r>
          </w:p>
        </w:tc>
        <w:tc>
          <w:tcPr>
            <w:tcW w:w="961"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0.928</w:t>
            </w:r>
          </w:p>
        </w:tc>
        <w:tc>
          <w:tcPr>
            <w:tcW w:w="961"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4.133</w:t>
            </w:r>
          </w:p>
        </w:tc>
        <w:tc>
          <w:tcPr>
            <w:tcW w:w="1032"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0.443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固化剂</w:t>
            </w: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腻子</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0.1706</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0.00</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56</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3</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固化剂</w:t>
            </w: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油性漆</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0.925</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1.045</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4</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稀释剂</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1.5</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0.84</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0.488</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5</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腻子</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4</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0.242</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合计</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suppressLineNumbers w:val="0"/>
              <w:wordWrap/>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2.8636</w:t>
            </w:r>
          </w:p>
        </w:tc>
        <w:tc>
          <w:tcPr>
            <w:tcW w:w="961" w:type="pct"/>
            <w:noWrap w:val="0"/>
            <w:vAlign w:val="center"/>
          </w:tcPr>
          <w:p>
            <w:pPr>
              <w:keepNext w:val="0"/>
              <w:keepLines w:val="0"/>
              <w:pageBreakBefore w:val="0"/>
              <w:widowControl/>
              <w:suppressLineNumbers w:val="0"/>
              <w:wordWrap/>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5.9136</w:t>
            </w:r>
          </w:p>
        </w:tc>
        <w:tc>
          <w:tcPr>
            <w:tcW w:w="1032" w:type="pct"/>
            <w:noWrap w:val="0"/>
            <w:vAlign w:val="center"/>
          </w:tcPr>
          <w:p>
            <w:pPr>
              <w:keepNext w:val="0"/>
              <w:keepLines w:val="0"/>
              <w:pageBreakBefore w:val="0"/>
              <w:widowControl/>
              <w:suppressLineNumbers w:val="0"/>
              <w:wordWrap/>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0.458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临界量Q</w:t>
            </w:r>
            <w:r>
              <w:rPr>
                <w:rFonts w:hint="default" w:ascii="Times New Roman" w:hAnsi="Times New Roman" w:eastAsia="宋体" w:cs="Times New Roman"/>
                <w:b w:val="0"/>
                <w:bCs/>
                <w:snapToGrid w:val="0"/>
                <w:color w:val="000000" w:themeColor="text1"/>
                <w:kern w:val="0"/>
                <w:sz w:val="21"/>
                <w:szCs w:val="21"/>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/t</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10</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10</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q/Q</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0.28636</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0.59136</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0.0001832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Q</w:t>
            </w:r>
          </w:p>
        </w:tc>
        <w:tc>
          <w:tcPr>
            <w:tcW w:w="3609" w:type="pct"/>
            <w:gridSpan w:val="4"/>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0.8779032</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上</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表中对项目风险物质的Q值的统计，危险物质及临界量的比值Q值＜1，所以直接判定该项目环境风险潜势为Ⅰ。根据风险评价工作级别划分依据，环境风险评价工作等级为“简单分析”。</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2.</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.2评价范围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根据本项目各环境要素确定的评价等级，结合区域环境特征及地形特点，按“导则”中评价范围确定的相关规定，并综合项目污染源排放特征，各环境要素评价范围见表2.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7-11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表2.</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7-11</w:t>
      </w: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  各环境要素评价范围一览表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1134"/>
        <w:gridCol w:w="5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序号</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环境要素</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评价等级</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1</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大气环境</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0"/>
                <w:szCs w:val="21"/>
                <w:highlight w:val="none"/>
                <w14:textFill>
                  <w14:solidFill>
                    <w14:schemeClr w14:val="tx1"/>
                  </w14:solidFill>
                </w14:textFill>
              </w:rPr>
              <w:t>级</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边长为5km的矩形范围，面积25km</w:t>
            </w:r>
            <w:r>
              <w:rPr>
                <w:rFonts w:hint="default" w:ascii="Times New Roman" w:hAnsi="Times New Roman" w:eastAsia="宋体" w:cs="Times New Roman"/>
                <w:color w:val="000000" w:themeColor="text1"/>
                <w:kern w:val="0"/>
                <w:szCs w:val="21"/>
                <w:highlight w:val="none"/>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2</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地表水环境</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三级B</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3</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地下水环境</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周边6km</w:t>
            </w:r>
            <w:r>
              <w:rPr>
                <w:rFonts w:hint="default" w:ascii="Times New Roman" w:hAnsi="Times New Roman" w:eastAsia="宋体" w:cs="Times New Roman"/>
                <w:color w:val="000000" w:themeColor="text1"/>
                <w:kern w:val="0"/>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1"/>
                <w:highlight w:val="none"/>
                <w14:textFill>
                  <w14:solidFill>
                    <w14:schemeClr w14:val="tx1"/>
                  </w14:solidFill>
                </w14:textFill>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4</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声环境</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三</w:t>
            </w:r>
            <w:r>
              <w:rPr>
                <w:rFonts w:hint="default" w:ascii="Times New Roman" w:hAnsi="Times New Roman" w:eastAsia="宋体" w:cs="Times New Roman"/>
                <w:color w:val="000000" w:themeColor="text1"/>
                <w:kern w:val="0"/>
                <w:szCs w:val="21"/>
                <w:highlight w:val="none"/>
                <w14:textFill>
                  <w14:solidFill>
                    <w14:schemeClr w14:val="tx1"/>
                  </w14:solidFill>
                </w14:textFill>
              </w:rPr>
              <w:t>级</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四周厂界外200m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5</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土壤环境</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kern w:val="0"/>
                <w:szCs w:val="21"/>
                <w:highlight w:val="none"/>
                <w14:textFill>
                  <w14:solidFill>
                    <w14:schemeClr w14:val="tx1"/>
                  </w14:solidFill>
                </w14:textFill>
              </w:rPr>
              <w:t>级</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整个厂区向外延伸0.2km的范围内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6</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生态环境</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影响分析</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拟建项目厂界外围200m的区域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7</w:t>
            </w:r>
          </w:p>
        </w:tc>
        <w:tc>
          <w:tcPr>
            <w:tcW w:w="12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环境风险</w:t>
            </w:r>
          </w:p>
        </w:tc>
        <w:tc>
          <w:tcPr>
            <w:tcW w:w="11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简单分析</w:t>
            </w:r>
          </w:p>
        </w:tc>
        <w:tc>
          <w:tcPr>
            <w:tcW w:w="54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不设风险评价范围</w:t>
            </w:r>
          </w:p>
        </w:tc>
      </w:tr>
    </w:tbl>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p>
      <w:pPr>
        <w:pStyle w:val="5"/>
        <w:pageBreakBefore w:val="0"/>
        <w:widowControl/>
        <w:kinsoku/>
        <w:wordWrap/>
        <w:overflowPunct w:val="0"/>
        <w:topLinePunct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88" w:name="_Toc32198"/>
      <w:bookmarkStart w:id="89" w:name="_Toc21986"/>
      <w:bookmarkStart w:id="90" w:name="_Toc2213"/>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评价标准</w:t>
      </w:r>
      <w:bookmarkEnd w:id="88"/>
      <w:bookmarkEnd w:id="89"/>
      <w:bookmarkEnd w:id="90"/>
    </w:p>
    <w:p>
      <w:pPr>
        <w:pageBreakBefore w:val="0"/>
        <w:widowControl/>
        <w:kinsoku/>
        <w:wordWrap/>
        <w:overflowPunct w:val="0"/>
        <w:topLinePunct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14:textFill>
            <w14:solidFill>
              <w14:schemeClr w14:val="tx1"/>
            </w14:solidFill>
          </w14:textFill>
        </w:rPr>
        <w:t>.1环境质量标准</w:t>
      </w:r>
    </w:p>
    <w:p>
      <w:pPr>
        <w:keepNext w:val="0"/>
        <w:keepLines w:val="0"/>
        <w:pageBreakBefore w:val="0"/>
        <w:widowControl/>
        <w:suppressLineNumbers w:val="0"/>
        <w:kinsoku/>
        <w:wordWrap/>
        <w:overflowPunct w:val="0"/>
        <w:topLinePunct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地表水</w:t>
      </w:r>
    </w:p>
    <w:p>
      <w:pPr>
        <w:keepNext w:val="0"/>
        <w:keepLines w:val="0"/>
        <w:pageBreakBefore w:val="0"/>
        <w:widowControl/>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表</w:t>
      </w:r>
      <w:r>
        <w:rPr>
          <w:rFonts w:hint="default" w:ascii="Times New Roman" w:hAnsi="Times New Roman" w:eastAsia="宋体" w:cs="Times New Roman"/>
          <w:color w:val="000000" w:themeColor="text1"/>
          <w:sz w:val="24"/>
          <w:highlight w:val="none"/>
          <w14:textFill>
            <w14:solidFill>
              <w14:schemeClr w14:val="tx1"/>
            </w14:solidFill>
          </w14:textFill>
        </w:rPr>
        <w:t>水环境质量执行《地表水环境质量标准》（GB3838-2002）中Ⅲ类标准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pStyle w:val="37"/>
        <w:keepNext w:val="0"/>
        <w:keepLines w:val="0"/>
        <w:pageBreakBefore w:val="0"/>
        <w:widowControl/>
        <w:kinsoku/>
        <w:wordWrap/>
        <w:overflowPunct w:val="0"/>
        <w:topLinePunct w:val="0"/>
        <w:autoSpaceDE/>
        <w:autoSpaceDN/>
        <w:bidi w:val="0"/>
        <w:adjustRightInd w:val="0"/>
        <w:snapToGrid/>
        <w:spacing w:before="0" w:beforeLines="0" w:after="0" w:afterLines="0" w:line="240" w:lineRule="auto"/>
        <w:ind w:firstLine="0"/>
        <w:textAlignment w:val="auto"/>
        <w:rPr>
          <w:rFonts w:hint="default" w:ascii="Times New Roman" w:hAnsi="Times New Roman" w:eastAsia="宋体" w:cs="Times New Roman"/>
          <w:b/>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表2.</w:t>
      </w:r>
      <w:r>
        <w:rPr>
          <w:rFonts w:hint="default" w:ascii="Times New Roman" w:hAnsi="Times New Roman" w:eastAsia="宋体" w:cs="Times New Roman"/>
          <w:b w:val="0"/>
          <w:bCs/>
          <w:color w:val="000000" w:themeColor="text1"/>
          <w:sz w:val="21"/>
          <w:szCs w:val="18"/>
          <w:highlight w:val="none"/>
          <w:lang w:val="en-US" w:eastAsia="zh-CN"/>
          <w14:textFill>
            <w14:solidFill>
              <w14:schemeClr w14:val="tx1"/>
            </w14:solidFill>
          </w14:textFill>
        </w:rPr>
        <w:t>8-1</w:t>
      </w: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 xml:space="preserve">   《地表水环境质量标准》（GB3838-2002）（摘录）单位：mg/L</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2461"/>
        <w:gridCol w:w="2670"/>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序号</w:t>
            </w:r>
          </w:p>
        </w:tc>
        <w:tc>
          <w:tcPr>
            <w:tcW w:w="1444"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项目</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标准</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highlight w:val="none"/>
                <w:lang w:val="en-US" w:eastAsia="zh-CN" w:bidi="ar-SA"/>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pH</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6-9</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六价铬</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0.05</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五日生化需氧量</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4</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石油类</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0.05</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高锰酸盐指数</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6</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挥发酚</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≤0.005</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氨氮</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1.0</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总磷</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0.05</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总氮</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1.0</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氰化物</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≤0.2</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氯化物</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≤250</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硫酸盐</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≤250</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汞</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≤0.0001</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砷</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≤0.05</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镉</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≤0.005</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w:t>
            </w:r>
          </w:p>
        </w:tc>
        <w:tc>
          <w:tcPr>
            <w:tcW w:w="1444" w:type="pct"/>
            <w:tcBorders>
              <w:tl2br w:val="nil"/>
              <w:tr2bl w:val="nil"/>
            </w:tcBorders>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氟化物</w:t>
            </w:r>
          </w:p>
        </w:tc>
        <w:tc>
          <w:tcPr>
            <w:tcW w:w="15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≤1.0</w:t>
            </w:r>
          </w:p>
        </w:tc>
        <w:tc>
          <w:tcPr>
            <w:tcW w:w="1288"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w:t>
            </w:r>
          </w:p>
        </w:tc>
        <w:tc>
          <w:tcPr>
            <w:tcW w:w="1444" w:type="pct"/>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铜</w:t>
            </w:r>
          </w:p>
        </w:tc>
        <w:tc>
          <w:tcPr>
            <w:tcW w:w="1567"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≤1.0</w:t>
            </w:r>
          </w:p>
        </w:tc>
        <w:tc>
          <w:tcPr>
            <w:tcW w:w="1288"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18</w:t>
            </w:r>
          </w:p>
        </w:tc>
        <w:tc>
          <w:tcPr>
            <w:tcW w:w="1444" w:type="pct"/>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锌</w:t>
            </w:r>
          </w:p>
        </w:tc>
        <w:tc>
          <w:tcPr>
            <w:tcW w:w="1567"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≤1.0</w:t>
            </w:r>
          </w:p>
        </w:tc>
        <w:tc>
          <w:tcPr>
            <w:tcW w:w="1288"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19</w:t>
            </w:r>
          </w:p>
        </w:tc>
        <w:tc>
          <w:tcPr>
            <w:tcW w:w="1444" w:type="pct"/>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硒</w:t>
            </w:r>
          </w:p>
        </w:tc>
        <w:tc>
          <w:tcPr>
            <w:tcW w:w="1567"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≤0.01</w:t>
            </w:r>
          </w:p>
        </w:tc>
        <w:tc>
          <w:tcPr>
            <w:tcW w:w="1288"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w:t>
            </w:r>
          </w:p>
        </w:tc>
        <w:tc>
          <w:tcPr>
            <w:tcW w:w="1444" w:type="pct"/>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铅</w:t>
            </w:r>
          </w:p>
        </w:tc>
        <w:tc>
          <w:tcPr>
            <w:tcW w:w="1567"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≤0.05</w:t>
            </w:r>
          </w:p>
        </w:tc>
        <w:tc>
          <w:tcPr>
            <w:tcW w:w="1288"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w:t>
            </w:r>
          </w:p>
        </w:tc>
        <w:tc>
          <w:tcPr>
            <w:tcW w:w="1444" w:type="pct"/>
            <w:noWrap w:val="0"/>
            <w:vAlign w:val="center"/>
          </w:tcPr>
          <w:p>
            <w:pPr>
              <w:keepNext w:val="0"/>
              <w:keepLines w:val="0"/>
              <w:pageBreakBefore w:val="0"/>
              <w:widowControl w:val="0"/>
              <w:kinsoku/>
              <w:wordWrap/>
              <w:overflow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lang w:val="en-US" w:eastAsia="zh-CN" w:bidi="ar-SA"/>
                <w14:textFill>
                  <w14:solidFill>
                    <w14:schemeClr w14:val="tx1"/>
                  </w14:solidFill>
                </w14:textFill>
              </w:rPr>
              <w:t>硫化物</w:t>
            </w:r>
          </w:p>
        </w:tc>
        <w:tc>
          <w:tcPr>
            <w:tcW w:w="1567"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≤0.2</w:t>
            </w:r>
          </w:p>
        </w:tc>
        <w:tc>
          <w:tcPr>
            <w:tcW w:w="1288" w:type="pct"/>
            <w:noWrap w:val="0"/>
            <w:vAlign w:val="center"/>
          </w:tcPr>
          <w:p>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mg/L</w:t>
            </w:r>
          </w:p>
        </w:tc>
      </w:tr>
    </w:tbl>
    <w:p>
      <w:pPr>
        <w:keepNext w:val="0"/>
        <w:keepLines w:val="0"/>
        <w:pageBreakBefore w:val="0"/>
        <w:widowControl/>
        <w:suppressLineNumbers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w:t>
      </w:r>
    </w:p>
    <w:p>
      <w:pPr>
        <w:keepNext w:val="0"/>
        <w:keepLines w:val="0"/>
        <w:pageBreakBefore w:val="0"/>
        <w:widowControl/>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地下水环境质量执行《地下水质量标准》（GB/T14848-2017）中Ⅲ类标准；</w:t>
      </w:r>
    </w:p>
    <w:p>
      <w:pPr>
        <w:pStyle w:val="37"/>
        <w:keepNext w:val="0"/>
        <w:keepLines w:val="0"/>
        <w:pageBreakBefore w:val="0"/>
        <w:widowControl/>
        <w:kinsoku/>
        <w:wordWrap/>
        <w:overflowPunct w:val="0"/>
        <w:topLinePunct w:val="0"/>
        <w:autoSpaceDE/>
        <w:autoSpaceDN/>
        <w:bidi w:val="0"/>
        <w:adjustRightInd w:val="0"/>
        <w:snapToGrid/>
        <w:spacing w:before="0" w:beforeLines="0" w:after="0" w:afterLines="0" w:line="240" w:lineRule="auto"/>
        <w:ind w:firstLine="0"/>
        <w:textAlignment w:val="auto"/>
        <w:rPr>
          <w:rFonts w:hint="default" w:ascii="Times New Roman" w:hAnsi="Times New Roman" w:eastAsia="宋体" w:cs="Times New Roman"/>
          <w:b w:val="0"/>
          <w:bCs/>
          <w:color w:val="000000" w:themeColor="text1"/>
          <w:sz w:val="21"/>
          <w:szCs w:val="18"/>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表2.</w:t>
      </w:r>
      <w:r>
        <w:rPr>
          <w:rFonts w:hint="default" w:ascii="Times New Roman" w:hAnsi="Times New Roman" w:eastAsia="宋体" w:cs="Times New Roman"/>
          <w:b w:val="0"/>
          <w:bCs/>
          <w:color w:val="000000" w:themeColor="text1"/>
          <w:sz w:val="21"/>
          <w:szCs w:val="18"/>
          <w:highlight w:val="none"/>
          <w:lang w:val="en-US" w:eastAsia="zh-CN"/>
          <w14:textFill>
            <w14:solidFill>
              <w14:schemeClr w14:val="tx1"/>
            </w14:solidFill>
          </w14:textFill>
        </w:rPr>
        <w:t>8-2</w:t>
      </w:r>
      <w:r>
        <w:rPr>
          <w:rFonts w:hint="default" w:ascii="Times New Roman" w:hAnsi="Times New Roman" w:eastAsia="宋体" w:cs="Times New Roman"/>
          <w:b w:val="0"/>
          <w:bCs/>
          <w:color w:val="000000" w:themeColor="text1"/>
          <w:sz w:val="21"/>
          <w:szCs w:val="18"/>
          <w:highlight w:val="none"/>
          <w14:textFill>
            <w14:solidFill>
              <w14:schemeClr w14:val="tx1"/>
            </w14:solidFill>
          </w14:textFill>
        </w:rPr>
        <w:t xml:space="preserve">   地下水质量标准（GB/T14848-2017）（摘录）单位：mg/L</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34"/>
        <w:gridCol w:w="1597"/>
        <w:gridCol w:w="1800"/>
        <w:gridCol w:w="808"/>
        <w:gridCol w:w="1887"/>
        <w:gridCol w:w="159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89" w:type="pct"/>
            <w:tcBorders>
              <w:bottom w:val="single" w:color="000000" w:sz="2" w:space="0"/>
              <w:right w:val="single" w:color="000000" w:sz="2" w:space="0"/>
            </w:tcBorders>
            <w:vAlign w:val="center"/>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序号</w:t>
            </w:r>
          </w:p>
        </w:tc>
        <w:tc>
          <w:tcPr>
            <w:tcW w:w="937" w:type="pct"/>
            <w:tcBorders>
              <w:left w:val="single" w:color="000000" w:sz="2" w:space="0"/>
              <w:bottom w:val="single" w:color="000000" w:sz="2" w:space="0"/>
              <w:right w:val="single" w:color="000000" w:sz="2" w:space="0"/>
            </w:tcBorders>
            <w:vAlign w:val="center"/>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污染物名称</w:t>
            </w:r>
          </w:p>
        </w:tc>
        <w:tc>
          <w:tcPr>
            <w:tcW w:w="1056" w:type="pct"/>
            <w:tcBorders>
              <w:left w:val="single" w:color="000000" w:sz="2" w:space="0"/>
              <w:bottom w:val="single" w:color="000000" w:sz="2" w:space="0"/>
              <w:right w:val="single" w:color="000000" w:sz="2" w:space="0"/>
            </w:tcBorders>
            <w:vAlign w:val="center"/>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标准值（mg/L）</w:t>
            </w:r>
          </w:p>
        </w:tc>
        <w:tc>
          <w:tcPr>
            <w:tcW w:w="474" w:type="pct"/>
            <w:tcBorders>
              <w:left w:val="single" w:color="000000" w:sz="2" w:space="0"/>
              <w:bottom w:val="single" w:color="000000" w:sz="2" w:space="0"/>
              <w:right w:val="single" w:color="000000" w:sz="2" w:space="0"/>
            </w:tcBorders>
            <w:vAlign w:val="center"/>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序号</w:t>
            </w:r>
          </w:p>
        </w:tc>
        <w:tc>
          <w:tcPr>
            <w:tcW w:w="1107" w:type="pct"/>
            <w:tcBorders>
              <w:left w:val="single" w:color="000000" w:sz="2" w:space="0"/>
              <w:bottom w:val="single" w:color="000000" w:sz="2" w:space="0"/>
              <w:right w:val="single" w:color="000000" w:sz="2" w:space="0"/>
            </w:tcBorders>
            <w:vAlign w:val="center"/>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污染物名称</w:t>
            </w:r>
          </w:p>
        </w:tc>
        <w:tc>
          <w:tcPr>
            <w:tcW w:w="934" w:type="pct"/>
            <w:tcBorders>
              <w:left w:val="single" w:color="000000" w:sz="2" w:space="0"/>
              <w:bottom w:val="single" w:color="000000" w:sz="2" w:space="0"/>
            </w:tcBorders>
            <w:vAlign w:val="center"/>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标准值（mg/L）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tcBorders>
              <w:top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w:t>
            </w:r>
          </w:p>
        </w:tc>
        <w:tc>
          <w:tcPr>
            <w:tcW w:w="93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t>pH值</w:t>
            </w:r>
          </w:p>
        </w:tc>
        <w:tc>
          <w:tcPr>
            <w:tcW w:w="1056" w:type="pct"/>
            <w:tcBorders>
              <w:top w:val="single" w:color="000000" w:sz="2" w:space="0"/>
              <w:left w:val="single" w:color="000000" w:sz="2" w:space="0"/>
              <w:bottom w:val="single" w:color="000000" w:sz="2" w:space="0"/>
              <w:right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6.5≤pH≤8.5</w:t>
            </w:r>
          </w:p>
        </w:tc>
        <w:tc>
          <w:tcPr>
            <w:tcW w:w="47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12</w:t>
            </w:r>
          </w:p>
        </w:tc>
        <w:tc>
          <w:tcPr>
            <w:tcW w:w="110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铬（六价）</w:t>
            </w:r>
          </w:p>
        </w:tc>
        <w:tc>
          <w:tcPr>
            <w:tcW w:w="934" w:type="pct"/>
            <w:tcBorders>
              <w:top w:val="single" w:color="000000" w:sz="2" w:space="0"/>
              <w:left w:val="single" w:color="000000" w:sz="2" w:space="0"/>
              <w:bottom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tcBorders>
              <w:top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2</w:t>
            </w:r>
          </w:p>
        </w:tc>
        <w:tc>
          <w:tcPr>
            <w:tcW w:w="93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总硬度</w:t>
            </w:r>
          </w:p>
        </w:tc>
        <w:tc>
          <w:tcPr>
            <w:tcW w:w="1056" w:type="pct"/>
            <w:tcBorders>
              <w:top w:val="single" w:color="000000" w:sz="2" w:space="0"/>
              <w:left w:val="single" w:color="000000" w:sz="2" w:space="0"/>
              <w:bottom w:val="single" w:color="000000" w:sz="2" w:space="0"/>
              <w:right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≤450</w:t>
            </w:r>
          </w:p>
        </w:tc>
        <w:tc>
          <w:tcPr>
            <w:tcW w:w="47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13</w:t>
            </w:r>
          </w:p>
        </w:tc>
        <w:tc>
          <w:tcPr>
            <w:tcW w:w="110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亚硝酸盐</w:t>
            </w:r>
          </w:p>
        </w:tc>
        <w:tc>
          <w:tcPr>
            <w:tcW w:w="934" w:type="pct"/>
            <w:tcBorders>
              <w:top w:val="single" w:color="000000" w:sz="2" w:space="0"/>
              <w:left w:val="single" w:color="000000" w:sz="2" w:space="0"/>
              <w:bottom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tcBorders>
              <w:top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3</w:t>
            </w:r>
          </w:p>
        </w:tc>
        <w:tc>
          <w:tcPr>
            <w:tcW w:w="93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溶解性总固体</w:t>
            </w:r>
          </w:p>
        </w:tc>
        <w:tc>
          <w:tcPr>
            <w:tcW w:w="1056" w:type="pct"/>
            <w:tcBorders>
              <w:top w:val="single" w:color="000000" w:sz="2" w:space="0"/>
              <w:left w:val="single" w:color="000000" w:sz="2" w:space="0"/>
              <w:bottom w:val="single" w:color="000000" w:sz="2" w:space="0"/>
              <w:right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≤1000</w:t>
            </w:r>
          </w:p>
        </w:tc>
        <w:tc>
          <w:tcPr>
            <w:tcW w:w="47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14</w:t>
            </w:r>
          </w:p>
        </w:tc>
        <w:tc>
          <w:tcPr>
            <w:tcW w:w="110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挥发性酚类</w:t>
            </w:r>
          </w:p>
        </w:tc>
        <w:tc>
          <w:tcPr>
            <w:tcW w:w="934" w:type="pct"/>
            <w:tcBorders>
              <w:top w:val="single" w:color="000000" w:sz="2" w:space="0"/>
              <w:left w:val="single" w:color="000000" w:sz="2" w:space="0"/>
              <w:bottom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tcBorders>
              <w:top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4</w:t>
            </w:r>
          </w:p>
        </w:tc>
        <w:tc>
          <w:tcPr>
            <w:tcW w:w="93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硫酸盐</w:t>
            </w:r>
          </w:p>
        </w:tc>
        <w:tc>
          <w:tcPr>
            <w:tcW w:w="1056" w:type="pct"/>
            <w:tcBorders>
              <w:top w:val="single" w:color="000000" w:sz="2" w:space="0"/>
              <w:left w:val="single" w:color="000000" w:sz="2" w:space="0"/>
              <w:bottom w:val="single" w:color="000000" w:sz="2" w:space="0"/>
              <w:right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≤250</w:t>
            </w:r>
          </w:p>
        </w:tc>
        <w:tc>
          <w:tcPr>
            <w:tcW w:w="47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15</w:t>
            </w:r>
          </w:p>
        </w:tc>
        <w:tc>
          <w:tcPr>
            <w:tcW w:w="110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氰化物</w:t>
            </w:r>
          </w:p>
        </w:tc>
        <w:tc>
          <w:tcPr>
            <w:tcW w:w="934" w:type="pct"/>
            <w:tcBorders>
              <w:top w:val="single" w:color="000000" w:sz="2" w:space="0"/>
              <w:left w:val="single" w:color="000000" w:sz="2" w:space="0"/>
              <w:bottom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tcBorders>
              <w:top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5</w:t>
            </w:r>
          </w:p>
        </w:tc>
        <w:tc>
          <w:tcPr>
            <w:tcW w:w="93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氯化物</w:t>
            </w:r>
          </w:p>
        </w:tc>
        <w:tc>
          <w:tcPr>
            <w:tcW w:w="1056" w:type="pct"/>
            <w:tcBorders>
              <w:top w:val="single" w:color="000000" w:sz="2" w:space="0"/>
              <w:left w:val="single" w:color="000000" w:sz="2" w:space="0"/>
              <w:bottom w:val="single" w:color="000000" w:sz="2" w:space="0"/>
              <w:right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≤250</w:t>
            </w:r>
          </w:p>
        </w:tc>
        <w:tc>
          <w:tcPr>
            <w:tcW w:w="474"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16</w:t>
            </w:r>
          </w:p>
        </w:tc>
        <w:tc>
          <w:tcPr>
            <w:tcW w:w="1107" w:type="pct"/>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砷</w:t>
            </w:r>
          </w:p>
        </w:tc>
        <w:tc>
          <w:tcPr>
            <w:tcW w:w="934" w:type="pct"/>
            <w:tcBorders>
              <w:top w:val="single" w:color="000000" w:sz="2" w:space="0"/>
              <w:left w:val="single" w:color="000000" w:sz="2" w:space="0"/>
              <w:bottom w:val="single" w:color="000000" w:sz="2" w:space="0"/>
            </w:tcBorders>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6</w:t>
            </w:r>
          </w:p>
        </w:tc>
        <w:tc>
          <w:tcPr>
            <w:tcW w:w="0" w:type="auto"/>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t>铁</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≤0.3</w:t>
            </w:r>
          </w:p>
        </w:tc>
        <w:tc>
          <w:tcPr>
            <w:tcW w:w="0" w:type="auto"/>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17</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汞</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7</w:t>
            </w:r>
          </w:p>
        </w:tc>
        <w:tc>
          <w:tcPr>
            <w:tcW w:w="0" w:type="auto"/>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锰</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≤0.10</w:t>
            </w:r>
          </w:p>
        </w:tc>
        <w:tc>
          <w:tcPr>
            <w:tcW w:w="0" w:type="auto"/>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18</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铅</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8</w:t>
            </w:r>
          </w:p>
        </w:tc>
        <w:tc>
          <w:tcPr>
            <w:tcW w:w="0" w:type="auto"/>
            <w:vAlign w:val="center"/>
          </w:tcPr>
          <w:p>
            <w:pPr>
              <w:keepNext w:val="0"/>
              <w:keepLines w:val="0"/>
              <w:pageBreakBefore w:val="0"/>
              <w:widowControl/>
              <w:kinsoku/>
              <w:wordWrap/>
              <w:overflowPunct w:val="0"/>
              <w:topLinePunct w:val="0"/>
              <w:autoSpaceDE/>
              <w:autoSpaceDN/>
              <w:bidi w:val="0"/>
              <w:adjustRightInd w:val="0"/>
              <w:snapToGrid/>
              <w:ind w:left="0" w:leftChars="0"/>
              <w:jc w:val="center"/>
              <w:textAlignment w:val="auto"/>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氨氮</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≤0.50</w:t>
            </w:r>
          </w:p>
        </w:tc>
        <w:tc>
          <w:tcPr>
            <w:tcW w:w="0" w:type="auto"/>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19</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耗氧量</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9</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t>硝酸盐</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≤20.0</w:t>
            </w:r>
          </w:p>
        </w:tc>
        <w:tc>
          <w:tcPr>
            <w:tcW w:w="0" w:type="auto"/>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20</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总大肠菌群</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10</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0"/>
                <w:sz w:val="21"/>
                <w:szCs w:val="21"/>
                <w:highlight w:val="none"/>
                <w:lang w:val="en-US" w:eastAsia="zh-CN" w:bidi="zh-CN"/>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氟化物</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≤1.0</w:t>
            </w:r>
          </w:p>
        </w:tc>
        <w:tc>
          <w:tcPr>
            <w:tcW w:w="0" w:type="auto"/>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21</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细菌总数</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9" w:type="pct"/>
            <w:vAlign w:val="center"/>
          </w:tcPr>
          <w:p>
            <w:pPr>
              <w:keepNext w:val="0"/>
              <w:keepLines w:val="0"/>
              <w:pageBreakBefore w:val="0"/>
              <w:widowControl/>
              <w:suppressLineNumbers w:val="0"/>
              <w:kinsoku/>
              <w:wordWrap/>
              <w:overflowPunct w:val="0"/>
              <w:topLinePunct w:val="0"/>
              <w:bidi w:val="0"/>
              <w:adjustRightInd w:val="0"/>
              <w:snapToGrid/>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u w:val="none"/>
                <w:lang w:val="en-US" w:eastAsia="zh-CN" w:bidi="ar"/>
                <w14:textFill>
                  <w14:solidFill>
                    <w14:schemeClr w14:val="tx1"/>
                  </w14:solidFill>
                </w14:textFill>
              </w:rPr>
              <w:t>11</w:t>
            </w:r>
          </w:p>
        </w:tc>
        <w:tc>
          <w:tcPr>
            <w:tcW w:w="0" w:type="auto"/>
            <w:vAlign w:val="center"/>
          </w:tcPr>
          <w:p>
            <w:pPr>
              <w:keepNext w:val="0"/>
              <w:keepLines w:val="0"/>
              <w:pageBreakBefore w:val="0"/>
              <w:widowControl w:val="0"/>
              <w:kinsoku/>
              <w:wordWrap/>
              <w:overflowPunct w:val="0"/>
              <w:topLinePunct w:val="0"/>
              <w:autoSpaceDE w:val="0"/>
              <w:autoSpaceDN w:val="0"/>
              <w:bidi w:val="0"/>
              <w:adjustRightInd w:val="0"/>
              <w:snapToGrid/>
              <w:spacing w:before="0" w:after="0" w:line="240" w:lineRule="auto"/>
              <w:ind w:left="0" w:leftChars="0" w:right="0" w:rightChars="0"/>
              <w:jc w:val="center"/>
              <w:rPr>
                <w:rFonts w:hint="default" w:ascii="Times New Roman" w:hAnsi="Times New Roman" w:eastAsia="宋体" w:cs="Times New Roman"/>
                <w:b w:val="0"/>
                <w:bCs/>
                <w:color w:val="000000" w:themeColor="text1"/>
                <w:spacing w:val="-5"/>
                <w:sz w:val="21"/>
                <w:szCs w:val="21"/>
                <w:highlight w:val="none"/>
                <w:u w:val="none"/>
                <w:lang w:val="en-US" w:eastAsia="zh-CN" w:bidi="he-IL"/>
                <w14:textFill>
                  <w14:solidFill>
                    <w14:schemeClr w14:val="tx1"/>
                  </w14:solidFill>
                </w14:textFill>
              </w:rPr>
            </w:pPr>
            <w:r>
              <w:rPr>
                <w:rStyle w:val="39"/>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镉</w:t>
            </w:r>
          </w:p>
        </w:tc>
        <w:tc>
          <w:tcPr>
            <w:tcW w:w="0" w:type="auto"/>
            <w:vAlign w:val="center"/>
          </w:tcPr>
          <w:p>
            <w:pPr>
              <w:pageBreakBefore w:val="0"/>
              <w:widowControl w:val="0"/>
              <w:kinsoku/>
              <w:overflowPunct w:val="0"/>
              <w:autoSpaceDE w:val="0"/>
              <w:autoSpaceDN w:val="0"/>
              <w:bidi w:val="0"/>
              <w:spacing w:before="0" w:after="0" w:line="240" w:lineRule="auto"/>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bidi="zh-CN"/>
                <w14:textFill>
                  <w14:solidFill>
                    <w14:schemeClr w14:val="tx1"/>
                  </w14:solidFill>
                </w14:textFill>
              </w:rPr>
              <w:t>≤0.005</w:t>
            </w:r>
          </w:p>
        </w:tc>
        <w:tc>
          <w:tcPr>
            <w:tcW w:w="0" w:type="auto"/>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0" w:type="auto"/>
          </w:tcPr>
          <w:p>
            <w:pPr>
              <w:pStyle w:val="2"/>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0" w:type="auto"/>
          </w:tcPr>
          <w:p>
            <w:pPr>
              <w:keepNext w:val="0"/>
              <w:keepLines w:val="0"/>
              <w:pageBreakBefore w:val="0"/>
              <w:widowControl/>
              <w:kinsoku/>
              <w:wordWrap/>
              <w:overflowPunct w:val="0"/>
              <w:topLinePunct w:val="0"/>
              <w:autoSpaceDE/>
              <w:autoSpaceDN/>
              <w:bidi w:val="0"/>
              <w:adjustRightInd w:val="0"/>
              <w:snapToGrid/>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环境空气</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本项目位于环境空气二类区，环境空气质量评价采用《环境空气质量标准》（GB3095-2012）中二级标准，详见表2.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表2.</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 xml:space="preserve">8-3 </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 xml:space="preserve">  环境空气质量标准</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69"/>
        <w:gridCol w:w="1974"/>
        <w:gridCol w:w="1076"/>
        <w:gridCol w:w="862"/>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序号</w:t>
            </w:r>
          </w:p>
        </w:tc>
        <w:tc>
          <w:tcPr>
            <w:tcW w:w="13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污染物项目</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平均时间</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浓度限值</w:t>
            </w:r>
          </w:p>
        </w:tc>
        <w:tc>
          <w:tcPr>
            <w:tcW w:w="862"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单位</w:t>
            </w:r>
          </w:p>
        </w:tc>
        <w:tc>
          <w:tcPr>
            <w:tcW w:w="256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SO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年平均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c>
          <w:tcPr>
            <w:tcW w:w="862"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ug/m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2566"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500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年平均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CO</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862"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3</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日最大8小时平均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160</w:t>
            </w:r>
          </w:p>
        </w:tc>
        <w:tc>
          <w:tcPr>
            <w:tcW w:w="862"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μg/m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PM</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10</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年平均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PM</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2.5</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年平均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75</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w:t>
            </w:r>
          </w:p>
        </w:tc>
        <w:tc>
          <w:tcPr>
            <w:tcW w:w="136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TSP</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年平均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36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300</w:t>
            </w:r>
          </w:p>
        </w:tc>
        <w:tc>
          <w:tcPr>
            <w:tcW w:w="862"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w:t>
            </w:r>
          </w:p>
        </w:tc>
        <w:tc>
          <w:tcPr>
            <w:tcW w:w="13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非甲烷总烃</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2</w:t>
            </w:r>
          </w:p>
        </w:tc>
        <w:tc>
          <w:tcPr>
            <w:tcW w:w="862"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mg/m</w:t>
            </w:r>
            <w:r>
              <w:rPr>
                <w:rFonts w:hint="default" w:ascii="Times New Roman" w:hAnsi="Times New Roman" w:eastAsia="宋体" w:cs="Times New Roman"/>
                <w:snapToGrid/>
                <w:color w:val="000000" w:themeColor="text1"/>
                <w:kern w:val="2"/>
                <w:szCs w:val="21"/>
                <w:vertAlign w:val="superscript"/>
                <w:lang w:val="en-US" w:eastAsia="zh-CN" w:bidi="ar-SA"/>
                <w14:textFill>
                  <w14:solidFill>
                    <w14:schemeClr w14:val="tx1"/>
                  </w14:solidFill>
                </w14:textFill>
              </w:rPr>
              <w:t>3</w:t>
            </w:r>
          </w:p>
        </w:tc>
        <w:tc>
          <w:tcPr>
            <w:tcW w:w="256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《大气污染物综合排放标准详解》推荐值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w:t>
            </w:r>
          </w:p>
        </w:tc>
        <w:tc>
          <w:tcPr>
            <w:tcW w:w="1369"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甲苯</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200</w:t>
            </w:r>
          </w:p>
        </w:tc>
        <w:tc>
          <w:tcPr>
            <w:tcW w:w="862"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μ</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2566" w:type="dxa"/>
            <w:vMerge w:val="restart"/>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环境影响评价技术导则 大气环境</w:t>
            </w:r>
            <w:r>
              <w:rPr>
                <w:rFonts w:hint="default" w:ascii="Times New Roman" w:hAnsi="Times New Roman" w:eastAsia="宋体" w:cs="Times New Roman"/>
                <w:color w:val="000000" w:themeColor="text1"/>
                <w:sz w:val="21"/>
                <w:szCs w:val="21"/>
                <w:highlight w:val="none"/>
                <w14:textFill>
                  <w14:solidFill>
                    <w14:schemeClr w14:val="tx1"/>
                  </w14:solidFill>
                </w14:textFill>
              </w:rPr>
              <w:t>》（HJ2.2-2018）附录D中其他污染物空气质量浓度参考限值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1369"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二甲苯</w:t>
            </w:r>
          </w:p>
        </w:tc>
        <w:tc>
          <w:tcPr>
            <w:tcW w:w="1974"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1小时平均</w:t>
            </w:r>
          </w:p>
        </w:tc>
        <w:tc>
          <w:tcPr>
            <w:tcW w:w="1076"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200</w:t>
            </w:r>
          </w:p>
        </w:tc>
        <w:tc>
          <w:tcPr>
            <w:tcW w:w="862" w:type="dxa"/>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μ</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2566" w:type="dxa"/>
            <w:vMerge w:val="continue"/>
            <w:vAlign w:val="center"/>
          </w:tcPr>
          <w:p>
            <w:pPr>
              <w:pageBreakBefore w:val="0"/>
              <w:kinsoku/>
              <w:overflowPunct w:val="0"/>
              <w:bidi w:val="0"/>
              <w:snapToGrid w:val="0"/>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本项目位于声环境功能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类区，声环境质量评价标准执行《声环境质量标准》（GB3096-2008）中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类区标准，详见表2.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wordWrap w:val="0"/>
        <w:overflowPunct w:val="0"/>
        <w:bidi w:val="0"/>
        <w:snapToGrid w:val="0"/>
        <w:jc w:val="right"/>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表2.</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 xml:space="preserve">8-4 </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 xml:space="preserve">  声环境质量标准                单位：dB（A）</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840"/>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类别</w:t>
            </w:r>
          </w:p>
        </w:tc>
        <w:tc>
          <w:tcPr>
            <w:tcW w:w="5683" w:type="dxa"/>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84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昼间</w:t>
            </w:r>
          </w:p>
        </w:tc>
        <w:tc>
          <w:tcPr>
            <w:tcW w:w="2843"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类区</w:t>
            </w:r>
          </w:p>
        </w:tc>
        <w:tc>
          <w:tcPr>
            <w:tcW w:w="284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2843"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p>
        </w:tc>
      </w:tr>
    </w:tbl>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）土壤环境</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评价区内建设用地土壤环境执行《土壤环境质量建设用地土壤污染风险管控标准（试行）》（GB36600-2018）表1中第二类用地标准值（基本项目），标准限值见表2.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表2.</w:t>
      </w:r>
      <w: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t xml:space="preserve">8-5 </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 xml:space="preserve">  建设用地土壤污染风险筛选值和管制值（基本项目）（单位：mg/kg）</w:t>
      </w:r>
    </w:p>
    <w:tbl>
      <w:tblPr>
        <w:tblStyle w:val="24"/>
        <w:tblW w:w="8522" w:type="dxa"/>
        <w:jc w:val="center"/>
        <w:tblLayout w:type="fixed"/>
        <w:tblCellMar>
          <w:top w:w="0" w:type="dxa"/>
          <w:left w:w="108" w:type="dxa"/>
          <w:bottom w:w="0" w:type="dxa"/>
          <w:right w:w="108" w:type="dxa"/>
        </w:tblCellMar>
      </w:tblPr>
      <w:tblGrid>
        <w:gridCol w:w="1101"/>
        <w:gridCol w:w="3159"/>
        <w:gridCol w:w="2131"/>
        <w:gridCol w:w="2131"/>
      </w:tblGrid>
      <w:tr>
        <w:tblPrEx>
          <w:tblCellMar>
            <w:top w:w="0" w:type="dxa"/>
            <w:left w:w="108" w:type="dxa"/>
            <w:bottom w:w="0" w:type="dxa"/>
            <w:right w:w="108" w:type="dxa"/>
          </w:tblCellMar>
        </w:tblPrEx>
        <w:trPr>
          <w:jc w:val="center"/>
        </w:trPr>
        <w:tc>
          <w:tcPr>
            <w:tcW w:w="1101"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序号</w:t>
            </w:r>
          </w:p>
        </w:tc>
        <w:tc>
          <w:tcPr>
            <w:tcW w:w="3159"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污染物项目</w:t>
            </w:r>
          </w:p>
        </w:tc>
        <w:tc>
          <w:tcPr>
            <w:tcW w:w="4262"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第二类用地</w:t>
            </w:r>
          </w:p>
        </w:tc>
      </w:tr>
      <w:tr>
        <w:tblPrEx>
          <w:tblCellMar>
            <w:top w:w="0" w:type="dxa"/>
            <w:left w:w="108" w:type="dxa"/>
            <w:bottom w:w="0" w:type="dxa"/>
            <w:right w:w="108" w:type="dxa"/>
          </w:tblCellMar>
        </w:tblPrEx>
        <w:trPr>
          <w:jc w:val="center"/>
        </w:trPr>
        <w:tc>
          <w:tcPr>
            <w:tcW w:w="1101" w:type="dxa"/>
            <w:vMerge w:val="continue"/>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159" w:type="dxa"/>
            <w:vMerge w:val="continue"/>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筛选值</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管制值</w:t>
            </w:r>
          </w:p>
        </w:tc>
      </w:tr>
      <w:tr>
        <w:tblPrEx>
          <w:tblCellMar>
            <w:top w:w="0" w:type="dxa"/>
            <w:left w:w="108" w:type="dxa"/>
            <w:bottom w:w="0" w:type="dxa"/>
            <w:right w:w="108" w:type="dxa"/>
          </w:tblCellMar>
        </w:tblPrEx>
        <w:trPr>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重金属和无机物</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140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镉</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172</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铬（六价）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5.7</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78</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铜</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18000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36000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铅</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800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2500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汞</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38</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82</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镍</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900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2000</w:t>
            </w:r>
          </w:p>
        </w:tc>
      </w:tr>
      <w:tr>
        <w:tblPrEx>
          <w:tblCellMar>
            <w:top w:w="0" w:type="dxa"/>
            <w:left w:w="108" w:type="dxa"/>
            <w:bottom w:w="0" w:type="dxa"/>
            <w:right w:w="108" w:type="dxa"/>
          </w:tblCellMar>
        </w:tblPrEx>
        <w:trPr>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挥发性有机物</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四氯化碳</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36</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氯仿</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0.9</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氯甲烷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37</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21</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13</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66</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14</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顺</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1，2二氯乙烯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596</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反</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1，2二氯乙烯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54</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163</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16</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二氯甲烷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616</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17</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1，2二氯丙烷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47</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18</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四氯乙烷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19</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1，1，2，2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四氯乙烷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6.8</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四氯乙烯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53</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183</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21</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三氯乙烷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840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840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22</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三氯乙烷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23</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三氯乙烯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1，2，3</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三氯丙烷</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25</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0.43</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4.3</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26</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27</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氯苯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270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560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560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29</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1，4</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30</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乙苯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28</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280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31</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苯乙烯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1290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1290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32</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甲苯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1200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33</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间二甲苯+对二甲苯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570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570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34</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邻二甲苯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640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640</w:t>
            </w:r>
          </w:p>
        </w:tc>
      </w:tr>
      <w:tr>
        <w:tblPrEx>
          <w:tblCellMar>
            <w:top w:w="0" w:type="dxa"/>
            <w:left w:w="108" w:type="dxa"/>
            <w:bottom w:w="0" w:type="dxa"/>
            <w:right w:w="108" w:type="dxa"/>
          </w:tblCellMar>
        </w:tblPrEx>
        <w:trPr>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半挥发性有机物</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硝基苯</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76</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760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36</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苯胺</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260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663</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37</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氯酚</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2256</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4500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38</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苯并[a]蒽</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151</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39</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苯并[a]芘</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苯并[b]荧蒽</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151</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41</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苯并[k]荧蒽</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151</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42</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䓛</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1293</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12900</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43</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二苯并[a，h]蒽</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44</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茚并[1，2，3-cd]芘</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151</w:t>
            </w:r>
          </w:p>
        </w:tc>
      </w:tr>
      <w:tr>
        <w:tblPrEx>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45</w:t>
            </w:r>
          </w:p>
        </w:tc>
        <w:tc>
          <w:tcPr>
            <w:tcW w:w="315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萘</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w:t>
            </w:r>
          </w:p>
        </w:tc>
        <w:tc>
          <w:tcPr>
            <w:tcW w:w="213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700</w:t>
            </w:r>
          </w:p>
        </w:tc>
      </w:tr>
    </w:tbl>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14:textFill>
            <w14:solidFill>
              <w14:schemeClr w14:val="tx1"/>
            </w14:solidFill>
          </w14:textFill>
        </w:rPr>
        <w:t>.2 污染物排放标准</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（1）废水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项目食堂废水经隔油池处理后和生活污水一并进入园区下水管网，</w:t>
      </w:r>
      <w:r>
        <w:rPr>
          <w:rFonts w:hint="default" w:ascii="Times New Roman" w:hAnsi="Times New Roman" w:eastAsia="宋体" w:cs="Times New Roman"/>
          <w:color w:val="000000" w:themeColor="text1"/>
          <w:sz w:val="24"/>
          <w:szCs w:val="24"/>
          <w:highlight w:val="none"/>
          <w14:textFill>
            <w14:solidFill>
              <w14:schemeClr w14:val="tx1"/>
            </w14:solidFill>
          </w14:textFill>
        </w:rPr>
        <w:t>废水执行《污水综合排放标准》（GB8978-1996）表4中三级标准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项目排放标准限值及见表2.</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8-6</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val="0"/>
          <w:bCs w:val="0"/>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14:textFill>
            <w14:solidFill>
              <w14:schemeClr w14:val="tx1"/>
            </w14:solidFill>
          </w14:textFill>
        </w:rPr>
        <w:t>表2.</w:t>
      </w:r>
      <w:r>
        <w:rPr>
          <w:rFonts w:hint="default" w:ascii="Times New Roman" w:hAnsi="Times New Roman" w:eastAsia="宋体" w:cs="Times New Roman"/>
          <w:b w:val="0"/>
          <w:bCs w:val="0"/>
          <w:i w:val="0"/>
          <w:iCs w:val="0"/>
          <w:color w:val="000000" w:themeColor="text1"/>
          <w:sz w:val="21"/>
          <w:szCs w:val="21"/>
          <w:highlight w:val="none"/>
          <w:lang w:val="en-US" w:eastAsia="zh-CN"/>
          <w14:textFill>
            <w14:solidFill>
              <w14:schemeClr w14:val="tx1"/>
            </w14:solidFill>
          </w14:textFill>
        </w:rPr>
        <w:t xml:space="preserve">8-6 </w:t>
      </w:r>
      <w:r>
        <w:rPr>
          <w:rFonts w:hint="default" w:ascii="Times New Roman" w:hAnsi="Times New Roman" w:eastAsia="宋体" w:cs="Times New Roman"/>
          <w:b w:val="0"/>
          <w:bCs w:val="0"/>
          <w:i w:val="0"/>
          <w:iCs w:val="0"/>
          <w:color w:val="000000" w:themeColor="text1"/>
          <w:spacing w:val="30"/>
          <w:sz w:val="21"/>
          <w:szCs w:val="21"/>
          <w:highlight w:val="none"/>
          <w14:textFill>
            <w14:solidFill>
              <w14:schemeClr w14:val="tx1"/>
            </w14:solidFill>
          </w14:textFill>
        </w:rPr>
        <w:t xml:space="preserve">  </w:t>
      </w:r>
      <w:r>
        <w:rPr>
          <w:rFonts w:hint="default" w:ascii="Times New Roman" w:hAnsi="Times New Roman" w:eastAsia="宋体" w:cs="Times New Roman"/>
          <w:b w:val="0"/>
          <w:bCs w:val="0"/>
          <w:i w:val="0"/>
          <w:iCs w:val="0"/>
          <w:color w:val="000000" w:themeColor="text1"/>
          <w:sz w:val="21"/>
          <w:szCs w:val="21"/>
          <w:highlight w:val="none"/>
          <w14:textFill>
            <w14:solidFill>
              <w14:schemeClr w14:val="tx1"/>
            </w14:solidFill>
          </w14:textFill>
        </w:rPr>
        <w:t>废水排放标准</w:t>
      </w:r>
    </w:p>
    <w:tbl>
      <w:tblPr>
        <w:tblStyle w:val="30"/>
        <w:tblW w:w="837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2"/>
        <w:gridCol w:w="1126"/>
        <w:gridCol w:w="1134"/>
        <w:gridCol w:w="1206"/>
        <w:gridCol w:w="654"/>
        <w:gridCol w:w="1246"/>
        <w:gridCol w:w="622"/>
        <w:gridCol w:w="6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732" w:type="dxa"/>
            <w:tcBorders>
              <w:top w:val="single" w:color="000000" w:sz="8" w:space="0"/>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指标</w:t>
            </w:r>
          </w:p>
        </w:tc>
        <w:tc>
          <w:tcPr>
            <w:tcW w:w="1126" w:type="dxa"/>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pH</w:t>
            </w:r>
          </w:p>
        </w:tc>
        <w:tc>
          <w:tcPr>
            <w:tcW w:w="1134" w:type="dxa"/>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COD</w:t>
            </w:r>
          </w:p>
        </w:tc>
        <w:tc>
          <w:tcPr>
            <w:tcW w:w="1206" w:type="dxa"/>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BOD</w:t>
            </w:r>
            <w:r>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t>5</w:t>
            </w:r>
          </w:p>
        </w:tc>
        <w:tc>
          <w:tcPr>
            <w:tcW w:w="654" w:type="dxa"/>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SS</w:t>
            </w:r>
          </w:p>
        </w:tc>
        <w:tc>
          <w:tcPr>
            <w:tcW w:w="1246" w:type="dxa"/>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NH</w:t>
            </w:r>
            <w:r>
              <w:rPr>
                <w:rFonts w:hint="default" w:ascii="Times New Roman" w:hAnsi="Times New Roman" w:eastAsia="宋体" w:cs="Times New Roman"/>
                <w:color w:val="000000" w:themeColor="text1"/>
                <w:spacing w:val="1"/>
                <w:position w:val="-2"/>
                <w:sz w:val="21"/>
                <w:szCs w:val="21"/>
                <w:highlight w:val="none"/>
                <w14:textFill>
                  <w14:solidFill>
                    <w14:schemeClr w14:val="tx1"/>
                  </w14:solidFill>
                </w14:textFill>
              </w:rPr>
              <w:t>3</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-N</w:t>
            </w:r>
          </w:p>
        </w:tc>
        <w:tc>
          <w:tcPr>
            <w:tcW w:w="622" w:type="dxa"/>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总氮</w:t>
            </w:r>
          </w:p>
        </w:tc>
        <w:tc>
          <w:tcPr>
            <w:tcW w:w="658" w:type="dxa"/>
            <w:tcBorders>
              <w:top w:val="single" w:color="000000" w:sz="8" w:space="0"/>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总磷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732" w:type="dxa"/>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三级标准</w:t>
            </w:r>
          </w:p>
        </w:tc>
        <w:tc>
          <w:tcPr>
            <w:tcW w:w="112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6~9</w:t>
            </w:r>
          </w:p>
        </w:tc>
        <w:tc>
          <w:tcPr>
            <w:tcW w:w="1134"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≤500</w:t>
            </w:r>
          </w:p>
        </w:tc>
        <w:tc>
          <w:tcPr>
            <w:tcW w:w="12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≤300</w:t>
            </w:r>
          </w:p>
        </w:tc>
        <w:tc>
          <w:tcPr>
            <w:tcW w:w="654"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≤400</w:t>
            </w:r>
          </w:p>
        </w:tc>
        <w:tc>
          <w:tcPr>
            <w:tcW w:w="124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22"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58" w:type="dxa"/>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（2）废气</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项目切边打磨排放的粉尘颗粒物等执行《大气污染物综合排放标准》（GB16297- 1996）二级标准浓度限值。</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有机废气有组织排放标准参照执行《大气污染物综合排放标准》（GB16297- 1996）二级标准浓度限值。有机废气VOCs厂区内无组织排放执行《挥发性有机物无组织排放控制标准》（GB37822-2019）附录A中的厂区内VOCs浓度特别排放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食堂油烟执行《饮食业油烟排放标准》（试行）（GB18483-2001）表2限值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8-7</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废气有组织排放标准（单位：mg/m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2027"/>
        <w:gridCol w:w="2349"/>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控制项目</w:t>
            </w:r>
          </w:p>
        </w:tc>
        <w:tc>
          <w:tcPr>
            <w:tcW w:w="118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允许排放浓度值</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1378" w:type="pct"/>
            <w:vAlign w:val="top"/>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最高允许排放</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速率</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kg/h</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p>
        </w:tc>
        <w:tc>
          <w:tcPr>
            <w:tcW w:w="148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甲苯</w:t>
            </w:r>
          </w:p>
        </w:tc>
        <w:tc>
          <w:tcPr>
            <w:tcW w:w="11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40</w:t>
            </w:r>
          </w:p>
        </w:tc>
        <w:tc>
          <w:tcPr>
            <w:tcW w:w="1378" w:type="pct"/>
            <w:vAlign w:val="top"/>
          </w:tcPr>
          <w:p>
            <w:pPr>
              <w:keepNext w:val="0"/>
              <w:keepLines w:val="0"/>
              <w:pageBreakBefore w:val="0"/>
              <w:widowControl/>
              <w:kinsoku/>
              <w:wordWrap/>
              <w:overflowPunct w:val="0"/>
              <w:topLinePunct w:val="0"/>
              <w:autoSpaceDE w:val="0"/>
              <w:autoSpaceDN w:val="0"/>
              <w:bidi w:val="0"/>
              <w:adjustRightInd/>
              <w:snapToGrid w:val="0"/>
              <w:spacing w:line="240" w:lineRule="auto"/>
              <w:ind w:firstLine="0" w:firstLineChars="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排气筒高度20m：5.2kg/h</w:t>
            </w:r>
          </w:p>
        </w:tc>
        <w:tc>
          <w:tcPr>
            <w:tcW w:w="1487"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《大气污染物综合排放标准》（GB16297- 1996）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表2新污染源大气污染物排放限值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二甲苯</w:t>
            </w:r>
          </w:p>
        </w:tc>
        <w:tc>
          <w:tcPr>
            <w:tcW w:w="11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70</w:t>
            </w:r>
          </w:p>
        </w:tc>
        <w:tc>
          <w:tcPr>
            <w:tcW w:w="137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排气筒高度20m：1.7kg/h</w:t>
            </w:r>
          </w:p>
        </w:tc>
        <w:tc>
          <w:tcPr>
            <w:tcW w:w="1487"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非甲烷总烃</w:t>
            </w:r>
          </w:p>
        </w:tc>
        <w:tc>
          <w:tcPr>
            <w:tcW w:w="11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120</w:t>
            </w:r>
          </w:p>
        </w:tc>
        <w:tc>
          <w:tcPr>
            <w:tcW w:w="137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排气筒高度20m：17kg/h</w:t>
            </w:r>
          </w:p>
        </w:tc>
        <w:tc>
          <w:tcPr>
            <w:tcW w:w="1487"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18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120</w:t>
            </w:r>
          </w:p>
        </w:tc>
        <w:tc>
          <w:tcPr>
            <w:tcW w:w="137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3.5</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（15米排气筒）</w:t>
            </w:r>
          </w:p>
        </w:tc>
        <w:tc>
          <w:tcPr>
            <w:tcW w:w="1487"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油烟</w:t>
            </w:r>
          </w:p>
        </w:tc>
        <w:tc>
          <w:tcPr>
            <w:tcW w:w="1189"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w:t>
            </w:r>
          </w:p>
        </w:tc>
        <w:tc>
          <w:tcPr>
            <w:tcW w:w="1378"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48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《饮食业油烟</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排放标准》（试行）</w:t>
            </w:r>
          </w:p>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（GB18483-2001）</w:t>
            </w:r>
          </w:p>
        </w:tc>
      </w:tr>
    </w:tbl>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8-7  </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废气</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szCs w:val="21"/>
          <w:highlight w:val="none"/>
          <w14:textFill>
            <w14:solidFill>
              <w14:schemeClr w14:val="tx1"/>
            </w14:solidFill>
          </w14:textFill>
        </w:rPr>
        <w:t>组织排放标准（单位：mg/m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1289"/>
        <w:gridCol w:w="1754"/>
        <w:gridCol w:w="1446"/>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控制项目</w:t>
            </w:r>
          </w:p>
        </w:tc>
        <w:tc>
          <w:tcPr>
            <w:tcW w:w="75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限值</w:t>
            </w:r>
          </w:p>
        </w:tc>
        <w:tc>
          <w:tcPr>
            <w:tcW w:w="102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限值意义</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无组织排放监控位置</w:t>
            </w:r>
          </w:p>
        </w:tc>
        <w:tc>
          <w:tcPr>
            <w:tcW w:w="163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甲苯</w:t>
            </w:r>
          </w:p>
        </w:tc>
        <w:tc>
          <w:tcPr>
            <w:tcW w:w="75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w:t>
            </w:r>
          </w:p>
        </w:tc>
        <w:tc>
          <w:tcPr>
            <w:tcW w:w="102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周界外浓度最高点</w:t>
            </w:r>
          </w:p>
        </w:tc>
        <w:tc>
          <w:tcPr>
            <w:tcW w:w="1632" w:type="pct"/>
            <w:vMerge w:val="restar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《大气污染物综合排放标准》（GB16297- 1996）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表2新污染源大气污染物排放限值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二甲苯</w:t>
            </w:r>
          </w:p>
        </w:tc>
        <w:tc>
          <w:tcPr>
            <w:tcW w:w="75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102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周界外浓度最高点</w:t>
            </w:r>
          </w:p>
        </w:tc>
        <w:tc>
          <w:tcPr>
            <w:tcW w:w="163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NMHC</w:t>
            </w:r>
          </w:p>
        </w:tc>
        <w:tc>
          <w:tcPr>
            <w:tcW w:w="75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02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监控点处1h平均浓度值</w:t>
            </w:r>
          </w:p>
        </w:tc>
        <w:tc>
          <w:tcPr>
            <w:tcW w:w="84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在厂房外设置监控点</w:t>
            </w:r>
          </w:p>
        </w:tc>
        <w:tc>
          <w:tcPr>
            <w:tcW w:w="1632"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5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102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监控点处任意一次浓度值</w:t>
            </w:r>
          </w:p>
        </w:tc>
        <w:tc>
          <w:tcPr>
            <w:tcW w:w="84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3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75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02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周界外浓度最高点</w:t>
            </w:r>
          </w:p>
        </w:tc>
        <w:tc>
          <w:tcPr>
            <w:tcW w:w="163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《大气污染物综合排放标准》（GB16297- 1996）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表2新污染源大气污染物排放限值</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（3）噪声</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运营期厂界噪声执行《工业企业厂界环境噪声排放标准》（GB12348-2008）中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类区标准，详见表2.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8。</w:t>
      </w:r>
    </w:p>
    <w:p>
      <w:pPr>
        <w:pageBreakBefore w:val="0"/>
        <w:kinsoku/>
        <w:wordWrap w:val="0"/>
        <w:overflowPunct w:val="0"/>
        <w:bidi w:val="0"/>
        <w:snapToGrid w:val="0"/>
        <w:jc w:val="righ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highlight w:val="none"/>
          <w14:textFill>
            <w14:solidFill>
              <w14:schemeClr w14:val="tx1"/>
            </w14:solidFill>
          </w14:textFill>
        </w:rPr>
        <w:t>8  工业企业厂界环境噪声排放限值         单位：dB（A）</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701"/>
        <w:gridCol w:w="1701"/>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类别</w:t>
            </w:r>
          </w:p>
        </w:tc>
        <w:tc>
          <w:tcPr>
            <w:tcW w:w="3402" w:type="dxa"/>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标准值</w:t>
            </w:r>
          </w:p>
        </w:tc>
        <w:tc>
          <w:tcPr>
            <w:tcW w:w="3736"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01"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昼间</w:t>
            </w:r>
          </w:p>
        </w:tc>
        <w:tc>
          <w:tcPr>
            <w:tcW w:w="1701"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夜间</w:t>
            </w:r>
          </w:p>
        </w:tc>
        <w:tc>
          <w:tcPr>
            <w:tcW w:w="373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类区</w:t>
            </w:r>
          </w:p>
        </w:tc>
        <w:tc>
          <w:tcPr>
            <w:tcW w:w="1701"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1701"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373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《工业企业厂界环境噪声排放标准》（GB12348-2008）</w:t>
            </w:r>
          </w:p>
        </w:tc>
      </w:tr>
    </w:tbl>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（4）固体废物</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一般工业固体废物执行《一般工业固体废物贮存和填埋污染控制标准》（GB18599-2020）；危险废物在厂区内的贮存执行《危险废物贮存污染控制标准》（GB18597-2001）及2013年修改单中相关规定。</w:t>
      </w:r>
    </w:p>
    <w:p>
      <w:pPr>
        <w:pStyle w:val="5"/>
        <w:pageBreakBefore w:val="0"/>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91" w:name="_Toc2293"/>
      <w:bookmarkStart w:id="92" w:name="_Toc17797"/>
      <w:bookmarkStart w:id="93" w:name="_Toc29732"/>
      <w:r>
        <w:rPr>
          <w:rFonts w:hint="default" w:ascii="Times New Roman" w:hAnsi="Times New Roman" w:eastAsia="宋体" w:cs="Times New Roman"/>
          <w:color w:val="000000" w:themeColor="text1"/>
          <w:sz w:val="24"/>
          <w:szCs w:val="24"/>
          <w:highlight w:val="none"/>
          <w14:textFill>
            <w14:solidFill>
              <w14:schemeClr w14:val="tx1"/>
            </w14:solidFill>
          </w14:textFill>
        </w:rPr>
        <w:t>2.9环境功能区划</w:t>
      </w:r>
      <w:bookmarkEnd w:id="91"/>
      <w:bookmarkEnd w:id="92"/>
      <w:bookmarkEnd w:id="93"/>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（1）环境空气功能区划</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本项目评价区域属于《环境空气质量标准》（GB3095-2012）二类功能区。</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（2）水环境功能区划</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本项目评级区域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地下水环境属于</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《地下水质量标准》（GB/T14848-2017）中Ⅲ类标准。</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（3）声环境功能区划</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本项目所在区域属于《声环境质量标准》（GB3096-2008）</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类功能区。</w:t>
      </w:r>
    </w:p>
    <w:p>
      <w:pPr>
        <w:pageBreakBefore w:val="0"/>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（4）生态环境功能区划</w:t>
      </w:r>
    </w:p>
    <w:p>
      <w:pPr>
        <w:pStyle w:val="21"/>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根据《新疆生态功能区划》（新政函</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2005</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96号），</w:t>
      </w: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本项目所在区域生态功能属Ⅱ准噶尔盆地温性荒漠与绿洲农业生态区—Ⅱ5准噶尔盆地南部荒漠绿洲农业生态亚区—28．阜康—木垒绿洲农业、荒漠草地保护生态功能区。详见下表。</w:t>
      </w:r>
    </w:p>
    <w:p>
      <w:pPr>
        <w:pStyle w:val="43"/>
        <w:pageBreakBefore w:val="0"/>
        <w:kinsoku/>
        <w:overflowPunct w:val="0"/>
        <w:bidi w:val="0"/>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2"/>
          <w:sz w:val="21"/>
          <w:szCs w:val="21"/>
          <w:highlight w:val="none"/>
          <w:lang w:val="en-US" w:eastAsia="zh-CN" w:bidi="ar"/>
          <w14:textFill>
            <w14:solidFill>
              <w14:schemeClr w14:val="tx1"/>
            </w14:solidFill>
          </w14:textFill>
        </w:rPr>
        <w:t>表2.9-1   项目生态环境现状调查</w:t>
      </w:r>
    </w:p>
    <w:tbl>
      <w:tblPr>
        <w:tblStyle w:val="24"/>
        <w:tblW w:w="8304"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399"/>
        <w:gridCol w:w="5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Merge w:val="restart"/>
            <w:tcBorders>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生态功能分区</w:t>
            </w:r>
          </w:p>
        </w:tc>
        <w:tc>
          <w:tcPr>
            <w:tcW w:w="1399" w:type="dxa"/>
            <w:tcBorders>
              <w:left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生态区</w:t>
            </w:r>
          </w:p>
        </w:tc>
        <w:tc>
          <w:tcPr>
            <w:tcW w:w="5389" w:type="dxa"/>
            <w:tcBorders>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Ⅱ准噶尔盆地温性荒漠与绿洲农业生态区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Merge w:val="continue"/>
            <w:tcBorders>
              <w:top w:val="single" w:color="auto" w:sz="4" w:space="0"/>
              <w:bottom w:val="single" w:color="auto" w:sz="4" w:space="0"/>
              <w:right w:val="single" w:color="auto" w:sz="4" w:space="0"/>
            </w:tcBorders>
            <w:noWrap w:val="0"/>
            <w:vAlign w:val="center"/>
          </w:tcPr>
          <w:p>
            <w:pPr>
              <w:pageBreakBefore w:val="0"/>
              <w:kinsoku/>
              <w:overflowPunct w:val="0"/>
              <w:bidi w:val="0"/>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生态亚区</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Ⅱ5准噶尔盆地南部荒漠绿洲农业生态亚区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6" w:type="dxa"/>
            <w:vMerge w:val="continue"/>
            <w:tcBorders>
              <w:top w:val="single" w:color="auto" w:sz="4" w:space="0"/>
              <w:bottom w:val="single" w:color="auto" w:sz="4" w:space="0"/>
              <w:right w:val="single" w:color="auto" w:sz="4" w:space="0"/>
            </w:tcBorders>
            <w:noWrap w:val="0"/>
            <w:vAlign w:val="center"/>
          </w:tcPr>
          <w:p>
            <w:pPr>
              <w:pageBreakBefore w:val="0"/>
              <w:kinsoku/>
              <w:overflowPunct w:val="0"/>
              <w:bidi w:val="0"/>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生态功能区</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28．阜康—木垒绿洲农业、荒漠草地保护生态功能区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隶属行政区</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阜康市、吉木萨尔县、奇台县、木垒县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主要生态服务功能</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农牧业产品生产、人居环境、荒漠化控制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主要生态环境问题</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地下水超采、荒漠植被退化、沙漠化威胁、局部土壤盐渍化、河流萎缩、滥开荒地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主要生态敏感因子、敏感程度</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生物多样性及其生境中度敏感，土壤侵蚀轻度敏感，土地沙漠化中度敏感，土壤盐渍化轻度敏感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主要保护目标</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保护基本农田、保护荒漠植被、保护土壤环境质量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bottom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主要保护措施</w:t>
            </w:r>
          </w:p>
        </w:tc>
        <w:tc>
          <w:tcPr>
            <w:tcW w:w="5389" w:type="dxa"/>
            <w:tcBorders>
              <w:top w:val="single" w:color="auto" w:sz="4" w:space="0"/>
              <w:left w:val="single" w:color="auto" w:sz="4" w:space="0"/>
              <w:bottom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节水灌溉、草场休牧、对坡耕地和沙化土地实施退耕还林（草），在水源无保障、植被稀少、生态脆弱地带禁止开荒、加强农田投入品的使用管理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15" w:type="dxa"/>
            <w:gridSpan w:val="2"/>
            <w:tcBorders>
              <w:top w:val="single" w:color="auto" w:sz="4" w:space="0"/>
              <w:righ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t>适宜发展方向</w:t>
            </w:r>
          </w:p>
        </w:tc>
        <w:tc>
          <w:tcPr>
            <w:tcW w:w="5389" w:type="dxa"/>
            <w:tcBorders>
              <w:top w:val="single" w:color="auto" w:sz="4" w:space="0"/>
              <w:left w:val="single" w:color="auto" w:sz="4" w:space="0"/>
            </w:tcBorders>
            <w:noWrap w:val="0"/>
            <w:vAlign w:val="center"/>
          </w:tcPr>
          <w:p>
            <w:pPr>
              <w:pStyle w:val="21"/>
              <w:keepNext w:val="0"/>
              <w:keepLines w:val="0"/>
              <w:pageBreakBefore w:val="0"/>
              <w:widowControl w:val="0"/>
              <w:suppressLineNumbers w:val="0"/>
              <w:kinsoku/>
              <w:overflowPunct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农牧结合，发展优质、高效特色农业和畜牧业</w:t>
            </w:r>
          </w:p>
        </w:tc>
      </w:tr>
    </w:tbl>
    <w:p>
      <w:pPr>
        <w:pStyle w:val="21"/>
        <w:keepNext w:val="0"/>
        <w:keepLines w:val="0"/>
        <w:pageBreakBefore w:val="0"/>
        <w:widowControl w:val="0"/>
        <w:suppressLineNumbers w:val="0"/>
        <w:kinsoku/>
        <w:overflowPunct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项目位于新疆昌吉州木垒哈萨克自治县民生工业园区新型产业及轻工业区，项目区域范围内无国家和自治区重点保护植物，无珍稀、濒危、特有植物保护。原生植物大部分被人工植被替代，故本项目的建设不会对其生态环境造成较大影响。</w:t>
      </w:r>
    </w:p>
    <w:p>
      <w:pPr>
        <w:pStyle w:val="5"/>
        <w:pageBreakBefore w:val="0"/>
        <w:kinsoku/>
        <w:overflowPunct w:val="0"/>
        <w:bidi w:val="0"/>
        <w:snapToGrid w:val="0"/>
        <w:spacing w:before="0" w:after="0" w:line="360" w:lineRule="auto"/>
        <w:jc w:val="both"/>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94" w:name="_Toc9408"/>
      <w:bookmarkStart w:id="95" w:name="_Toc14303"/>
      <w:bookmarkStart w:id="96" w:name="_Toc23353"/>
      <w:r>
        <w:rPr>
          <w:rFonts w:hint="default" w:ascii="Times New Roman" w:hAnsi="Times New Roman" w:eastAsia="宋体" w:cs="Times New Roman"/>
          <w:color w:val="000000" w:themeColor="text1"/>
          <w:sz w:val="24"/>
          <w:szCs w:val="24"/>
          <w:highlight w:val="none"/>
          <w14:textFill>
            <w14:solidFill>
              <w14:schemeClr w14:val="tx1"/>
            </w14:solidFill>
          </w14:textFill>
        </w:rPr>
        <w:t>2.10环境保护目标</w:t>
      </w:r>
      <w:bookmarkEnd w:id="94"/>
      <w:bookmarkEnd w:id="95"/>
      <w:bookmarkEnd w:id="96"/>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本项目位于新疆昌吉州木垒哈萨克自治县民生工业园区新型产业及轻工业区，用地为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工业用地</w:t>
      </w:r>
      <w:r>
        <w:rPr>
          <w:rFonts w:hint="default" w:ascii="Times New Roman" w:hAnsi="Times New Roman" w:eastAsia="宋体" w:cs="Times New Roman"/>
          <w:color w:val="000000" w:themeColor="text1"/>
          <w:sz w:val="24"/>
          <w:szCs w:val="24"/>
          <w:highlight w:val="none"/>
          <w14:textFill>
            <w14:solidFill>
              <w14:schemeClr w14:val="tx1"/>
            </w14:solidFill>
          </w14:textFill>
        </w:rPr>
        <w:t>，评价区内无国家保护珍稀动植物，无生态环境敏感目标，生态环境不敏感。项目区及周边附近区域内环境敏感保护目标见表2.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保护目标分布图详见附图8</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表2.</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 xml:space="preserve">  环境保护目标汇总表</w:t>
      </w:r>
    </w:p>
    <w:tbl>
      <w:tblPr>
        <w:tblStyle w:val="24"/>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175"/>
        <w:gridCol w:w="950"/>
        <w:gridCol w:w="1025"/>
        <w:gridCol w:w="775"/>
        <w:gridCol w:w="837"/>
        <w:gridCol w:w="1602"/>
        <w:gridCol w:w="85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1175"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名称</w:t>
            </w:r>
          </w:p>
        </w:tc>
        <w:tc>
          <w:tcPr>
            <w:tcW w:w="1975" w:type="dxa"/>
            <w:gridSpan w:val="2"/>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坐标</w:t>
            </w:r>
          </w:p>
        </w:tc>
        <w:tc>
          <w:tcPr>
            <w:tcW w:w="775"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保护对象</w:t>
            </w:r>
          </w:p>
        </w:tc>
        <w:tc>
          <w:tcPr>
            <w:tcW w:w="837"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保护内容</w:t>
            </w:r>
          </w:p>
        </w:tc>
        <w:tc>
          <w:tcPr>
            <w:tcW w:w="1602"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环境功能区</w:t>
            </w:r>
          </w:p>
        </w:tc>
        <w:tc>
          <w:tcPr>
            <w:tcW w:w="856"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相对厂址方位</w:t>
            </w:r>
          </w:p>
        </w:tc>
        <w:tc>
          <w:tcPr>
            <w:tcW w:w="895"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相对厂址距离（m）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75"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50"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经度</w:t>
            </w:r>
          </w:p>
        </w:tc>
        <w:tc>
          <w:tcPr>
            <w:tcW w:w="102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纬度</w:t>
            </w:r>
          </w:p>
        </w:tc>
        <w:tc>
          <w:tcPr>
            <w:tcW w:w="775"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37"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602"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56"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95"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p>
        </w:tc>
        <w:tc>
          <w:tcPr>
            <w:tcW w:w="11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大南沟乌兹别克乡</w:t>
            </w:r>
          </w:p>
        </w:tc>
        <w:tc>
          <w:tcPr>
            <w:tcW w:w="950"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90.347624407</w:t>
            </w:r>
          </w:p>
        </w:tc>
        <w:tc>
          <w:tcPr>
            <w:tcW w:w="102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43.949834360</w:t>
            </w:r>
          </w:p>
        </w:tc>
        <w:tc>
          <w:tcPr>
            <w:tcW w:w="775"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环境空气</w:t>
            </w:r>
          </w:p>
        </w:tc>
        <w:tc>
          <w:tcPr>
            <w:tcW w:w="83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居民</w:t>
            </w:r>
          </w:p>
        </w:tc>
        <w:tc>
          <w:tcPr>
            <w:tcW w:w="1602" w:type="dxa"/>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《环境空气质量标准》（GB3095-2012）二类功能区</w:t>
            </w:r>
          </w:p>
        </w:tc>
        <w:tc>
          <w:tcPr>
            <w:tcW w:w="856"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西南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p>
        </w:tc>
        <w:tc>
          <w:tcPr>
            <w:tcW w:w="89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p>
        </w:tc>
        <w:tc>
          <w:tcPr>
            <w:tcW w:w="11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大南沟乌兹别克乡中心学校</w:t>
            </w:r>
          </w:p>
        </w:tc>
        <w:tc>
          <w:tcPr>
            <w:tcW w:w="950"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90.343150483</w:t>
            </w:r>
          </w:p>
        </w:tc>
        <w:tc>
          <w:tcPr>
            <w:tcW w:w="102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43.938418879</w:t>
            </w:r>
          </w:p>
        </w:tc>
        <w:tc>
          <w:tcPr>
            <w:tcW w:w="775"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3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学生</w:t>
            </w:r>
          </w:p>
        </w:tc>
        <w:tc>
          <w:tcPr>
            <w:tcW w:w="1602"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56"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p>
        </w:tc>
        <w:tc>
          <w:tcPr>
            <w:tcW w:w="89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w:t>
            </w:r>
          </w:p>
        </w:tc>
        <w:tc>
          <w:tcPr>
            <w:tcW w:w="11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霍斯章村</w:t>
            </w:r>
          </w:p>
        </w:tc>
        <w:tc>
          <w:tcPr>
            <w:tcW w:w="950"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90.351915942</w:t>
            </w:r>
          </w:p>
        </w:tc>
        <w:tc>
          <w:tcPr>
            <w:tcW w:w="102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43.934293641</w:t>
            </w:r>
          </w:p>
        </w:tc>
        <w:tc>
          <w:tcPr>
            <w:tcW w:w="775"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3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居民</w:t>
            </w:r>
          </w:p>
        </w:tc>
        <w:tc>
          <w:tcPr>
            <w:tcW w:w="1602" w:type="dxa"/>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56"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南侧</w:t>
            </w:r>
          </w:p>
        </w:tc>
        <w:tc>
          <w:tcPr>
            <w:tcW w:w="89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1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大南沟乌兹别克乡</w:t>
            </w:r>
          </w:p>
        </w:tc>
        <w:tc>
          <w:tcPr>
            <w:tcW w:w="950"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90.349630700</w:t>
            </w:r>
          </w:p>
        </w:tc>
        <w:tc>
          <w:tcPr>
            <w:tcW w:w="102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43.952999367</w:t>
            </w:r>
          </w:p>
        </w:tc>
        <w:tc>
          <w:tcPr>
            <w:tcW w:w="7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声环境</w:t>
            </w:r>
          </w:p>
        </w:tc>
        <w:tc>
          <w:tcPr>
            <w:tcW w:w="83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居民</w:t>
            </w:r>
          </w:p>
        </w:tc>
        <w:tc>
          <w:tcPr>
            <w:tcW w:w="1602"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《声环境质量标准》（GB3096-2008）</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类功能区</w:t>
            </w:r>
          </w:p>
        </w:tc>
        <w:tc>
          <w:tcPr>
            <w:tcW w:w="856"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西侧</w:t>
            </w:r>
          </w:p>
        </w:tc>
        <w:tc>
          <w:tcPr>
            <w:tcW w:w="89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1"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1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白杨河</w:t>
            </w:r>
          </w:p>
        </w:tc>
        <w:tc>
          <w:tcPr>
            <w:tcW w:w="950"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90.382407294</w:t>
            </w:r>
          </w:p>
        </w:tc>
        <w:tc>
          <w:tcPr>
            <w:tcW w:w="102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43.953213944</w:t>
            </w:r>
          </w:p>
        </w:tc>
        <w:tc>
          <w:tcPr>
            <w:tcW w:w="77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w:t>
            </w:r>
          </w:p>
        </w:tc>
        <w:tc>
          <w:tcPr>
            <w:tcW w:w="837"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w:t>
            </w:r>
          </w:p>
        </w:tc>
        <w:tc>
          <w:tcPr>
            <w:tcW w:w="1602"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《地表水环境质量标准》（GB3838-2002）III类功能区</w:t>
            </w:r>
          </w:p>
        </w:tc>
        <w:tc>
          <w:tcPr>
            <w:tcW w:w="856"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东</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p>
        </w:tc>
        <w:tc>
          <w:tcPr>
            <w:tcW w:w="895" w:type="dxa"/>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620</w:t>
            </w:r>
          </w:p>
        </w:tc>
      </w:tr>
    </w:tbl>
    <w:p>
      <w:pPr>
        <w:pageBreakBefore w:val="0"/>
        <w:kinsoku/>
        <w:overflowPunct w:val="0"/>
        <w:bidi w:val="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br w:type="page"/>
      </w: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97" w:name="_Toc8411"/>
      <w:bookmarkStart w:id="98" w:name="_Toc9672"/>
      <w:bookmarkStart w:id="99" w:name="_Toc29393"/>
      <w:bookmarkStart w:id="100" w:name="_Toc4374"/>
      <w:r>
        <w:rPr>
          <w:rFonts w:hint="default" w:ascii="Times New Roman" w:hAnsi="Times New Roman" w:eastAsia="宋体" w:cs="Times New Roman"/>
          <w:color w:val="000000" w:themeColor="text1"/>
          <w:sz w:val="30"/>
          <w:szCs w:val="30"/>
          <w:highlight w:val="none"/>
          <w14:textFill>
            <w14:solidFill>
              <w14:schemeClr w14:val="tx1"/>
            </w14:solidFill>
          </w14:textFill>
        </w:rPr>
        <w:t>3  建设项目工程分析</w:t>
      </w:r>
      <w:bookmarkEnd w:id="97"/>
      <w:bookmarkEnd w:id="98"/>
      <w:bookmarkEnd w:id="99"/>
      <w:bookmarkEnd w:id="100"/>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01" w:name="_Toc16426"/>
      <w:bookmarkStart w:id="102" w:name="_Toc32240"/>
      <w:bookmarkStart w:id="103" w:name="_Toc10458"/>
      <w:bookmarkStart w:id="104" w:name="_Toc23114"/>
      <w:r>
        <w:rPr>
          <w:rFonts w:hint="default" w:ascii="Times New Roman" w:hAnsi="Times New Roman" w:eastAsia="宋体"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项目概况</w:t>
      </w:r>
      <w:bookmarkEnd w:id="101"/>
      <w:bookmarkEnd w:id="102"/>
      <w:bookmarkEnd w:id="103"/>
      <w:bookmarkEnd w:id="104"/>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bookmarkStart w:id="105" w:name="_Toc17165"/>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.1基本概况</w:t>
      </w:r>
      <w:bookmarkEnd w:id="105"/>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（1）项目名称：东方电气（新疆）新能源高端装备制造基地项目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（2）建设单位：新疆东方美泽风电设备制造有限公司</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（3）建设性质：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新建</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（4）地理位置：本项目位于新疆昌吉州木垒哈萨克自治县民生工业园区新型产业及轻工业区，项目区中心地理坐标为：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东经</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90°21′23.23853″</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北纬</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43°56′59.40425″</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地理位置见附图</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（5）项目投资：本次项目总投资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49000</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万元，资金来源为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自筹</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资金。</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（6）建设内容及规模：</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占地面积为</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147000</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项目新建风电主机厂房、叶片厂房、综合楼（办公楼、食堂、倒班宿舍）、辅助厂房，以及配套的厂区管网、公用动力设施、环保和消防设施，本次新建总建筑面积约74470平方米，新增购置主模具、工艺装备系统，行车及重型龙门吊、真空灌注系统、处理及环保系统、运输周转设备、公用辅助生产设备等。</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项目组成详见表3.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pageBreakBefore w:val="0"/>
        <w:kinsoku/>
        <w:overflowPunct w:val="0"/>
        <w:bidi w:val="0"/>
        <w:snapToGrid w:val="0"/>
        <w:ind w:firstLine="48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w:t>
      </w:r>
      <w:r>
        <w:rPr>
          <w:rFonts w:hint="default" w:ascii="Times New Roman" w:hAnsi="Times New Roman" w:eastAsia="宋体" w:cs="Times New Roman"/>
          <w:bCs/>
          <w:color w:val="000000" w:themeColor="text1"/>
          <w:kern w:val="0"/>
          <w:szCs w:val="21"/>
          <w:highlight w:val="none"/>
          <w14:textFill>
            <w14:solidFill>
              <w14:schemeClr w14:val="tx1"/>
            </w14:solidFill>
          </w14:textFill>
        </w:rPr>
        <w:t>3.</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1-1</w:t>
      </w:r>
      <w:r>
        <w:rPr>
          <w:rFonts w:hint="default" w:ascii="Times New Roman" w:hAnsi="Times New Roman" w:eastAsia="宋体" w:cs="Times New Roman"/>
          <w:bCs/>
          <w:color w:val="000000" w:themeColor="text1"/>
          <w:kern w:val="0"/>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14:textFill>
            <w14:solidFill>
              <w14:schemeClr w14:val="tx1"/>
            </w14:solidFill>
          </w14:textFill>
        </w:rPr>
        <w:t>主要建设内容一览表</w:t>
      </w:r>
    </w:p>
    <w:tbl>
      <w:tblPr>
        <w:tblStyle w:val="24"/>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1237"/>
        <w:gridCol w:w="6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716"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w:t>
            </w:r>
          </w:p>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组成</w:t>
            </w: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项目名称</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716"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主体</w:t>
            </w:r>
          </w:p>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工程</w:t>
            </w: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叶片生产车间</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1层，钢结构，建筑面积51820平方米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主机生产车间</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1层，钢结构，建筑面积9165平方米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716"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辅助工程</w:t>
            </w: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生产辅助用房</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1层，框架结构，建筑面积1235平方米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综合楼</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4层，框架结构，占地面积3600平方米，建筑面积12050平方米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消防水池</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地下消防水池200m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堆场</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82176</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公用工程</w:t>
            </w: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供电</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供电管网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供水</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供水管网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排水</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下水管网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供热</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冬季采暖采用园区集中供热，生产用热采用电加热。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716"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环保</w:t>
            </w:r>
          </w:p>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工程</w:t>
            </w: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废气治理</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有机废气治理措施：本项目设置灌注、涂装车间为密闭车间，通过上进风+侧面吸风+粗效吸附箱+活性炭吸附/脱附+催化燃烧（热源采用电加热）+风机+一根27米排气筒排放。</w:t>
            </w:r>
            <w:r>
              <w:rPr>
                <w:rFonts w:hint="default" w:ascii="Times New Roman" w:hAnsi="Times New Roman" w:eastAsia="宋体" w:cs="Times New Roman"/>
                <w:color w:val="000000" w:themeColor="text1"/>
                <w:kern w:val="0"/>
                <w:szCs w:val="21"/>
                <w:highlight w:val="none"/>
                <w14:textFill>
                  <w14:solidFill>
                    <w14:schemeClr w14:val="tx1"/>
                  </w14:solidFill>
                </w14:textFill>
              </w:rPr>
              <w:t>粉尘经除尘器处理后排放</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颗粒物治理措施：</w:t>
            </w:r>
            <w:r>
              <w:rPr>
                <w:rFonts w:hint="default" w:ascii="Times New Roman" w:hAnsi="Times New Roman" w:eastAsia="宋体" w:cs="Times New Roman"/>
                <w:color w:val="000000" w:themeColor="text1"/>
                <w:kern w:val="0"/>
                <w:szCs w:val="21"/>
                <w:highlight w:val="none"/>
                <w14:textFill>
                  <w14:solidFill>
                    <w14:schemeClr w14:val="tx1"/>
                  </w14:solidFill>
                </w14:textFill>
              </w:rPr>
              <w:t>“Nederman高负压除尘系统+打磨/清扫套件”+15m排气筒</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高空排放。食堂安装油烟净化器。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废水治理</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食堂废水经隔油池处理后和生活污水一并进入厂区自建化粪池处理后排入园区污水处理厂处理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噪声治理</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设备消声、减振，主体建筑门窗封闭；高噪声设备置于单独的设备间内。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716"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23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固废治理</w:t>
            </w:r>
          </w:p>
        </w:tc>
        <w:tc>
          <w:tcPr>
            <w:tcW w:w="656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生活垃圾设置带盖塑料垃圾收集桶</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一般工业固废设置一般固废收集箱</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危险废物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暂存于</w:t>
            </w:r>
            <w:r>
              <w:rPr>
                <w:rFonts w:hint="default" w:ascii="Times New Roman" w:hAnsi="Times New Roman" w:eastAsia="宋体" w:cs="Times New Roman"/>
                <w:color w:val="000000" w:themeColor="text1"/>
                <w:highlight w:val="none"/>
                <w14:textFill>
                  <w14:solidFill>
                    <w14:schemeClr w14:val="tx1"/>
                  </w14:solidFill>
                </w14:textFill>
              </w:rPr>
              <w:t>危险废物暂存间</w:t>
            </w:r>
            <w:r>
              <w:rPr>
                <w:rFonts w:hint="default" w:ascii="Times New Roman" w:hAnsi="Times New Roman" w:eastAsia="宋体" w:cs="Times New Roman"/>
                <w:color w:val="000000" w:themeColor="text1"/>
                <w:highlight w:val="none"/>
                <w:lang w:val="en-US" w:eastAsia="zh-CN"/>
                <w14:textFill>
                  <w14:solidFill>
                    <w14:schemeClr w14:val="tx1"/>
                  </w14:solidFill>
                </w14:textFill>
              </w:rPr>
              <w:t>100m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交由有资质的单位拉运处置。</w:t>
            </w:r>
          </w:p>
        </w:tc>
      </w:tr>
    </w:tbl>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bookmarkStart w:id="106" w:name="_Toc4458"/>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.2主要设备情况</w:t>
      </w:r>
      <w:bookmarkEnd w:id="106"/>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项目主要生产设备情况见表3.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表3.</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1-2 </w:t>
      </w: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  主要设备</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3685"/>
        <w:gridCol w:w="1663"/>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6"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设备名称</w:t>
            </w:r>
          </w:p>
        </w:tc>
        <w:tc>
          <w:tcPr>
            <w:tcW w:w="976" w:type="pc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数量</w:t>
            </w:r>
          </w:p>
        </w:tc>
        <w:tc>
          <w:tcPr>
            <w:tcW w:w="976" w:type="pc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主模具</w:t>
            </w: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主模具</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8</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主梁帽</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辅粱帽</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叶根预制</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UD模具</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工艺装备系统，行车及重型龙门吊</w:t>
            </w: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模温机1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模温机2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模温机3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模温机4</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模温机5</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14</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液压翻转</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8</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端面打磨机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降温设备</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喷砂机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真空灌注系统</w:t>
            </w: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一体混胶机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粘接机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手糊混胶机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真空泵</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280</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运输周转设备</w:t>
            </w: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铺布小车</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悬臂吊</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桥式起重机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双梁起重机1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10</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双梁起重机2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电动叉车</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4</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restar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公用辅助生产设备</w:t>
            </w: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电采暖机组</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循环水泵1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循环水泵2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采暖塔</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5</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暖风机</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螺杆空压机1</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螺杆空压机2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976" w:type="pct"/>
            <w:vAlign w:val="center"/>
          </w:tcPr>
          <w:p>
            <w:pPr>
              <w:keepNext w:val="0"/>
              <w:keepLines w:val="0"/>
              <w:pageBreakBefore w:val="0"/>
              <w:widowControl/>
              <w:suppressLineNumbers w:val="0"/>
              <w:kinsoku/>
              <w:wordWrap/>
              <w:overflowPunct w:val="0"/>
              <w:topLinePunct w:val="0"/>
              <w:autoSpaceDE w:val="0"/>
              <w:autoSpaceDN w:val="0"/>
              <w:bidi w:val="0"/>
              <w:adjustRightInd/>
              <w:snapToGrid/>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台</w:t>
            </w:r>
          </w:p>
        </w:tc>
      </w:tr>
    </w:tbl>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bookmarkStart w:id="107" w:name="_Toc12884"/>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原</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辅料供应情况</w:t>
      </w:r>
      <w:bookmarkEnd w:id="107"/>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本项目所需辅料消耗情况见表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3.1-3</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pPr>
        <w:keepNext w:val="0"/>
        <w:keepLines w:val="0"/>
        <w:pageBreakBefore w:val="0"/>
        <w:kinsoku/>
        <w:wordWrap/>
        <w:overflowPunct w:val="0"/>
        <w:topLinePunct w:val="0"/>
        <w:bidi w:val="0"/>
        <w:adjustRightInd/>
        <w:snapToGrid/>
        <w:jc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表</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3.1-3   </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项目辅材料用量情况一览表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324"/>
        <w:gridCol w:w="2052"/>
        <w:gridCol w:w="1435"/>
        <w:gridCol w:w="1362"/>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序号</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名称</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单位</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消耗量</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w:t>
            </w:r>
          </w:p>
        </w:tc>
        <w:tc>
          <w:tcPr>
            <w:tcW w:w="777"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叶片模型灌注固化阶段</w:t>
            </w:r>
          </w:p>
        </w:tc>
        <w:tc>
          <w:tcPr>
            <w:tcW w:w="1204"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玻璃纤维</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2000</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灌注环氧树脂</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1500</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bookmarkStart w:id="108" w:name="_Toc14529"/>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3</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环氧树脂固化剂</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500</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夹芯材料</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万平方米</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1.4</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真空辅助材料</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万平方米</w:t>
            </w: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3.6</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6</w:t>
            </w:r>
          </w:p>
        </w:tc>
        <w:tc>
          <w:tcPr>
            <w:tcW w:w="777" w:type="pct"/>
            <w:vMerge w:val="restar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合模</w:t>
            </w:r>
          </w:p>
        </w:tc>
        <w:tc>
          <w:tcPr>
            <w:tcW w:w="1204"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snapToGrid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结构胶</w:t>
            </w:r>
          </w:p>
        </w:tc>
        <w:tc>
          <w:tcPr>
            <w:tcW w:w="842"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snapToGrid w:val="0"/>
                <w:color w:val="000000" w:themeColor="text1"/>
                <w:kern w:val="0"/>
                <w:sz w:val="21"/>
                <w:szCs w:val="21"/>
                <w:highlight w:val="green"/>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600</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7</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snapToGrid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结构胶固化剂</w:t>
            </w:r>
          </w:p>
        </w:tc>
        <w:tc>
          <w:tcPr>
            <w:tcW w:w="842"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snapToGrid w:val="0"/>
                <w:color w:val="000000" w:themeColor="text1"/>
                <w:kern w:val="0"/>
                <w:sz w:val="21"/>
                <w:szCs w:val="21"/>
                <w:highlight w:val="green"/>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272</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8</w:t>
            </w:r>
          </w:p>
        </w:tc>
        <w:tc>
          <w:tcPr>
            <w:tcW w:w="777"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腻子</w:t>
            </w:r>
          </w:p>
        </w:tc>
        <w:tc>
          <w:tcPr>
            <w:tcW w:w="1204"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腻子主剂</w:t>
            </w:r>
          </w:p>
        </w:tc>
        <w:tc>
          <w:tcPr>
            <w:tcW w:w="842"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21</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9</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snapToGrid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腻子固化剂</w:t>
            </w:r>
          </w:p>
        </w:tc>
        <w:tc>
          <w:tcPr>
            <w:tcW w:w="842"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3.5</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10</w:t>
            </w:r>
          </w:p>
        </w:tc>
        <w:tc>
          <w:tcPr>
            <w:tcW w:w="777"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涂装阶段</w:t>
            </w:r>
          </w:p>
        </w:tc>
        <w:tc>
          <w:tcPr>
            <w:tcW w:w="1204"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Jotatop BC100</w:t>
            </w:r>
          </w:p>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通用聚氨酯叶片涂料BC100（双组份聚氨酯涂料）</w:t>
            </w:r>
          </w:p>
        </w:tc>
        <w:tc>
          <w:tcPr>
            <w:tcW w:w="842"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150（其中A组分129t/a，B组分21t/a）</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11</w:t>
            </w:r>
          </w:p>
        </w:tc>
        <w:tc>
          <w:tcPr>
            <w:tcW w:w="77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1204"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稀释剂</w:t>
            </w:r>
          </w:p>
        </w:tc>
        <w:tc>
          <w:tcPr>
            <w:tcW w:w="842" w:type="pct"/>
            <w:vAlign w:val="center"/>
          </w:tcPr>
          <w:p>
            <w:pPr>
              <w:keepNext w:val="0"/>
              <w:keepLines w:val="0"/>
              <w:pageBreakBefore w:val="0"/>
              <w:widowControl w:val="0"/>
              <w:wordWrap/>
              <w:topLinePunct w:val="0"/>
              <w:bidi w:val="0"/>
              <w:adjustRightInd/>
              <w:snapToGrid/>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吨/年</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7.2</w:t>
            </w:r>
          </w:p>
        </w:tc>
        <w:tc>
          <w:tcPr>
            <w:tcW w:w="91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12</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发电机</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市场购买成品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13</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控制系统</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14</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齿轮箱</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15</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主轴系统</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16</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轮毂</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17</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机舱</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18</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偏航系统</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19</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轮毂罩</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20</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主轴承</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8"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21</w:t>
            </w:r>
          </w:p>
        </w:tc>
        <w:tc>
          <w:tcPr>
            <w:tcW w:w="1981" w:type="pct"/>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塔顶柜、风速仪、风向仪等</w:t>
            </w:r>
          </w:p>
        </w:tc>
        <w:tc>
          <w:tcPr>
            <w:tcW w:w="842"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套</w:t>
            </w:r>
          </w:p>
        </w:tc>
        <w:tc>
          <w:tcPr>
            <w:tcW w:w="799"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400</w:t>
            </w:r>
          </w:p>
        </w:tc>
        <w:tc>
          <w:tcPr>
            <w:tcW w:w="918"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表3.1-4   油漆成分</w:t>
      </w:r>
      <w:r>
        <w:rPr>
          <w:rFonts w:hint="default" w:ascii="Times New Roman" w:hAnsi="Times New Roman" w:eastAsia="宋体" w:cs="Times New Roman"/>
          <w:color w:val="000000" w:themeColor="text1"/>
          <w:sz w:val="21"/>
          <w:szCs w:val="21"/>
          <w14:textFill>
            <w14:solidFill>
              <w14:schemeClr w14:val="tx1"/>
            </w14:solidFill>
          </w14:textFill>
        </w:rPr>
        <w:t>含量一览表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5"/>
        <w:gridCol w:w="5515"/>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9"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原料名称</w:t>
            </w: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成分名称</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02"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Jotatop BC100</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通用聚氨酯叶片涂料BC100</w:t>
            </w:r>
          </w:p>
        </w:tc>
        <w:tc>
          <w:tcPr>
            <w:tcW w:w="727"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组份A</w:t>
            </w: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Solvent naphtha (petroleum),light arom，中文：轻芳烃溶剂油</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N-BUTYL ACETATE，中文：乙酸正丁酯</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2-Propenoic acid, 2-methyl-, 2-(dimethylamino)ethyl ester, polymer with butyl 2-propenoate,comps. with polyethylene glycol hydrogen maleate C9-11-alkyl ethers</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中文：2-丙烯酸，2-甲基，2-（二甲基氨基）乙酯，与2-丙烯酸丁酯的聚合物与聚乙二醇马来酸氢c9-11烷基醚</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Bis(1,2,2,6,6-pentamethyl-4-piperidyl) sebacate，</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中文：光稳定剂 HS-508 (292)</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Hexanoic acid, 2-ethyl-, zinc salt, basic，</w:t>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中文：碱性2-乙基己酸锌盐</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Decanedioic acid, methyl 1,2,2,6,6-pentamethyl-4-piperidinyl ester，中文：受阻胺光稳定剂HS-508(292)）</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专用填料</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专用颜料</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组份B</w:t>
            </w: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Hexamethylene diisocyanate, oligomers，中文：六聚亚甲基二异氰酸酯，低聚物</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n-butyl acetate，中文：乙酸正丁酯</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7"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530"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Solvent naphtha (petroleum), light arom，中文：轻芳烃溶剂油</w:t>
            </w:r>
          </w:p>
        </w:tc>
        <w:tc>
          <w:tcPr>
            <w:tcW w:w="1463"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r>
    </w:tbl>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2"/>
          <w:highlight w:val="none"/>
          <w14:textFill>
            <w14:solidFill>
              <w14:schemeClr w14:val="tx1"/>
            </w14:solidFill>
          </w14:textFill>
        </w:rPr>
      </w:pPr>
      <w:r>
        <w:rPr>
          <w:rFonts w:hint="default" w:ascii="Times New Roman" w:hAnsi="Times New Roman" w:eastAsia="宋体" w:cs="Times New Roman"/>
          <w:b/>
          <w:bCs/>
          <w:color w:val="000000" w:themeColor="text1"/>
          <w:sz w:val="21"/>
          <w:szCs w:val="22"/>
          <w:highlight w:val="none"/>
          <w:lang w:val="en-US" w:eastAsia="zh-CN"/>
          <w14:textFill>
            <w14:solidFill>
              <w14:schemeClr w14:val="tx1"/>
            </w14:solidFill>
          </w14:textFill>
        </w:rPr>
        <w:t>表3.1-5   油漆稀释剂成分</w:t>
      </w:r>
      <w:r>
        <w:rPr>
          <w:rFonts w:hint="default" w:ascii="Times New Roman" w:hAnsi="Times New Roman" w:eastAsia="宋体" w:cs="Times New Roman"/>
          <w:b/>
          <w:bCs/>
          <w:color w:val="000000" w:themeColor="text1"/>
          <w:sz w:val="21"/>
          <w:szCs w:val="22"/>
          <w:highlight w:val="none"/>
          <w14:textFill>
            <w14:solidFill>
              <w14:schemeClr w14:val="tx1"/>
            </w14:solidFill>
          </w14:textFill>
        </w:rPr>
        <w:t>含量一览表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2"/>
        <w:gridCol w:w="3399"/>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原料名称</w:t>
            </w:r>
          </w:p>
        </w:tc>
        <w:tc>
          <w:tcPr>
            <w:tcW w:w="3399"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成分名称</w:t>
            </w:r>
          </w:p>
        </w:tc>
        <w:tc>
          <w:tcPr>
            <w:tcW w:w="1291"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832"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佐敦51号稀释剂（油漆稀释剂）</w:t>
            </w:r>
          </w:p>
        </w:tc>
        <w:tc>
          <w:tcPr>
            <w:tcW w:w="3399" w:type="dxa"/>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19"/>
                <w:szCs w:val="19"/>
                <w:lang w:val="en-US" w:eastAsia="zh-CN" w:bidi="ar"/>
                <w14:textFill>
                  <w14:solidFill>
                    <w14:schemeClr w14:val="tx1"/>
                  </w14:solidFill>
                </w14:textFill>
              </w:rPr>
              <w:t>轻芳烃溶剂石脑油（石油）</w:t>
            </w:r>
          </w:p>
        </w:tc>
        <w:tc>
          <w:tcPr>
            <w:tcW w:w="0" w:type="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≥50~≤75</w:t>
            </w:r>
          </w:p>
        </w:tc>
      </w:tr>
    </w:tbl>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2"/>
          <w:highlight w:val="none"/>
          <w14:textFill>
            <w14:solidFill>
              <w14:schemeClr w14:val="tx1"/>
            </w14:solidFill>
          </w14:textFill>
        </w:rPr>
      </w:pPr>
      <w:r>
        <w:rPr>
          <w:rFonts w:hint="default" w:ascii="Times New Roman" w:hAnsi="Times New Roman" w:eastAsia="宋体" w:cs="Times New Roman"/>
          <w:b/>
          <w:bCs/>
          <w:color w:val="000000" w:themeColor="text1"/>
          <w:sz w:val="21"/>
          <w:szCs w:val="22"/>
          <w:highlight w:val="none"/>
          <w:lang w:val="en-US" w:eastAsia="zh-CN"/>
          <w14:textFill>
            <w14:solidFill>
              <w14:schemeClr w14:val="tx1"/>
            </w14:solidFill>
          </w14:textFill>
        </w:rPr>
        <w:t>表3.1-6   环氧树脂与环氧树脂固化剂成分</w:t>
      </w:r>
      <w:r>
        <w:rPr>
          <w:rFonts w:hint="default" w:ascii="Times New Roman" w:hAnsi="Times New Roman" w:eastAsia="宋体" w:cs="Times New Roman"/>
          <w:b/>
          <w:bCs/>
          <w:color w:val="000000" w:themeColor="text1"/>
          <w:sz w:val="21"/>
          <w:szCs w:val="22"/>
          <w:highlight w:val="none"/>
          <w14:textFill>
            <w14:solidFill>
              <w14:schemeClr w14:val="tx1"/>
            </w14:solidFill>
          </w14:textFill>
        </w:rPr>
        <w:t>含量一览表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988"/>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原料名称</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成分名称</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环氧树脂</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双酚A二环氧甘油醚</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脂肪族缩水甘油醚</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环氧树脂固化剂</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芳香胺</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≥25.0~&lt;50.0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促进剂</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≥20.0~&lt;50.0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稀释剂</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≥10.0~&lt;25.0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脂环胺</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≥10.0~&lt;25.0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聚醚胺</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≥5.0~&lt;10.0</w:t>
            </w:r>
          </w:p>
        </w:tc>
      </w:tr>
    </w:tbl>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2"/>
          <w:highlight w:val="none"/>
          <w14:textFill>
            <w14:solidFill>
              <w14:schemeClr w14:val="tx1"/>
            </w14:solidFill>
          </w14:textFill>
        </w:rPr>
      </w:pPr>
      <w:r>
        <w:rPr>
          <w:rFonts w:hint="default" w:ascii="Times New Roman" w:hAnsi="Times New Roman" w:eastAsia="宋体" w:cs="Times New Roman"/>
          <w:b/>
          <w:bCs/>
          <w:color w:val="000000" w:themeColor="text1"/>
          <w:sz w:val="21"/>
          <w:szCs w:val="22"/>
          <w:highlight w:val="none"/>
          <w:lang w:val="en-US" w:eastAsia="zh-CN"/>
          <w14:textFill>
            <w14:solidFill>
              <w14:schemeClr w14:val="tx1"/>
            </w14:solidFill>
          </w14:textFill>
        </w:rPr>
        <w:t>表3.1-7   成分</w:t>
      </w:r>
      <w:r>
        <w:rPr>
          <w:rFonts w:hint="default" w:ascii="Times New Roman" w:hAnsi="Times New Roman" w:eastAsia="宋体" w:cs="Times New Roman"/>
          <w:b/>
          <w:bCs/>
          <w:color w:val="000000" w:themeColor="text1"/>
          <w:sz w:val="21"/>
          <w:szCs w:val="22"/>
          <w:highlight w:val="none"/>
          <w14:textFill>
            <w14:solidFill>
              <w14:schemeClr w14:val="tx1"/>
            </w14:solidFill>
          </w14:textFill>
        </w:rPr>
        <w:t>含量一览表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5"/>
        <w:gridCol w:w="2988"/>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原料名称</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成分名称</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34"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腻子主剂</w:t>
            </w:r>
          </w:p>
        </w:tc>
        <w:tc>
          <w:tcPr>
            <w:tcW w:w="1135"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腻子组份A</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聚酯多元醇</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34"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1135"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聚醚多元醇</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34"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1135"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腻子组份B</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聚异佛尔酮异氰酸酯</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34"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1135"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二苯基二异氰酸酯</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269" w:type="dxa"/>
            <w:gridSpan w:val="2"/>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腻子固化剂</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二月桂酸二丁基锡</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6</w:t>
            </w:r>
          </w:p>
        </w:tc>
      </w:tr>
    </w:tbl>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2"/>
          <w:highlight w:val="none"/>
          <w14:textFill>
            <w14:solidFill>
              <w14:schemeClr w14:val="tx1"/>
            </w14:solidFill>
          </w14:textFill>
        </w:rPr>
      </w:pPr>
      <w:r>
        <w:rPr>
          <w:rFonts w:hint="default" w:ascii="Times New Roman" w:hAnsi="Times New Roman" w:eastAsia="宋体" w:cs="Times New Roman"/>
          <w:b/>
          <w:bCs/>
          <w:color w:val="000000" w:themeColor="text1"/>
          <w:sz w:val="21"/>
          <w:szCs w:val="22"/>
          <w:highlight w:val="none"/>
          <w:lang w:val="en-US" w:eastAsia="zh-CN"/>
          <w14:textFill>
            <w14:solidFill>
              <w14:schemeClr w14:val="tx1"/>
            </w14:solidFill>
          </w14:textFill>
        </w:rPr>
        <w:t>表3.1-8   结构胶成分</w:t>
      </w:r>
      <w:r>
        <w:rPr>
          <w:rFonts w:hint="default" w:ascii="Times New Roman" w:hAnsi="Times New Roman" w:eastAsia="宋体" w:cs="Times New Roman"/>
          <w:b/>
          <w:bCs/>
          <w:color w:val="000000" w:themeColor="text1"/>
          <w:sz w:val="21"/>
          <w:szCs w:val="22"/>
          <w:highlight w:val="none"/>
          <w14:textFill>
            <w14:solidFill>
              <w14:schemeClr w14:val="tx1"/>
            </w14:solidFill>
          </w14:textFill>
        </w:rPr>
        <w:t>含量一览表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988"/>
        <w:gridCol w:w="3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原料名称</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成分名称</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结构胶WD3135D/WD3137D</w:t>
            </w: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脂肪族胺/聚醚胺/聚酰胺型改性硬化剂</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n.环氧树脂</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助剂</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玻璃纤维/色素</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988"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二氧化硅</w:t>
            </w:r>
          </w:p>
        </w:tc>
        <w:tc>
          <w:tcPr>
            <w:tcW w:w="3265" w:type="dxa"/>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269" w:type="dxa"/>
            <w:vMerge w:val="continue"/>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0" w:type="auto"/>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抗氧化剂</w:t>
            </w:r>
          </w:p>
        </w:tc>
        <w:tc>
          <w:tcPr>
            <w:tcW w:w="0" w:type="auto"/>
            <w:vAlign w:val="center"/>
          </w:tcPr>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0.1%-1%</w:t>
            </w:r>
          </w:p>
        </w:tc>
      </w:tr>
    </w:tbl>
    <w:p>
      <w:pPr>
        <w:keepNext w:val="0"/>
        <w:keepLines w:val="0"/>
        <w:pageBreakBefore w:val="0"/>
        <w:kinsoku/>
        <w:wordWrap/>
        <w:overflowPunct w:val="0"/>
        <w:topLinePunct w:val="0"/>
        <w:bidi w:val="0"/>
        <w:adjustRightInd/>
        <w:snapToGrid/>
        <w:spacing w:line="360" w:lineRule="auto"/>
        <w:jc w:val="both"/>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4</w:t>
      </w:r>
      <w:bookmarkEnd w:id="108"/>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产品方案及规模</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项目主要产品为风电叶片</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和主机</w:t>
      </w:r>
      <w:r>
        <w:rPr>
          <w:rFonts w:hint="default" w:ascii="Times New Roman" w:hAnsi="Times New Roman" w:eastAsia="宋体" w:cs="Times New Roman"/>
          <w:color w:val="000000" w:themeColor="text1"/>
          <w:sz w:val="24"/>
          <w:szCs w:val="28"/>
          <w:highlight w:val="none"/>
          <w14:textFill>
            <w14:solidFill>
              <w14:schemeClr w14:val="tx1"/>
            </w14:solidFill>
          </w14:textFill>
        </w:rPr>
        <w:t>，产品分</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5MW、7MW、</w:t>
      </w:r>
      <w:r>
        <w:rPr>
          <w:rFonts w:hint="default" w:ascii="Times New Roman" w:hAnsi="Times New Roman" w:eastAsia="宋体" w:cs="Times New Roman"/>
          <w:color w:val="000000" w:themeColor="text1"/>
          <w:sz w:val="24"/>
          <w:szCs w:val="28"/>
          <w:highlight w:val="none"/>
          <w14:textFill>
            <w14:solidFill>
              <w14:schemeClr w14:val="tx1"/>
            </w14:solidFill>
          </w14:textFill>
        </w:rPr>
        <w:t>和</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10MW三个规格的陆地叶片</w:t>
      </w:r>
      <w:r>
        <w:rPr>
          <w:rFonts w:hint="default" w:ascii="Times New Roman" w:hAnsi="Times New Roman" w:eastAsia="宋体" w:cs="Times New Roman"/>
          <w:color w:val="000000" w:themeColor="text1"/>
          <w:sz w:val="24"/>
          <w:szCs w:val="28"/>
          <w:highlight w:val="none"/>
          <w14:textFill>
            <w14:solidFill>
              <w14:schemeClr w14:val="tx1"/>
            </w14:solidFill>
          </w14:textFill>
        </w:rPr>
        <w:t>，建成投产后，可形成年产1500MW（5/7/10MW：根据市场需求生产不同型号）陆地叶片。详见</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8"/>
          <w:highlight w:val="none"/>
          <w14:textFill>
            <w14:solidFill>
              <w14:schemeClr w14:val="tx1"/>
            </w14:solidFill>
          </w14:textFill>
        </w:rPr>
        <w:t>表。</w:t>
      </w:r>
    </w:p>
    <w:p>
      <w:pPr>
        <w:keepNext w:val="0"/>
        <w:keepLines w:val="0"/>
        <w:pageBreakBefore w:val="0"/>
        <w:widowControl w:val="0"/>
        <w:kinsoku/>
        <w:wordWrap/>
        <w:overflowPunct w:val="0"/>
        <w:topLinePunct w:val="0"/>
        <w:autoSpaceDE/>
        <w:autoSpaceDN/>
        <w:bidi w:val="0"/>
        <w:adjustRightInd/>
        <w:snapToGrid/>
        <w:spacing w:line="240" w:lineRule="auto"/>
        <w:ind w:firstLine="480" w:firstLineChars="200"/>
        <w:jc w:val="center"/>
        <w:textAlignment w:val="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表3.1-</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    产品产量方案</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93"/>
        <w:gridCol w:w="1693"/>
        <w:gridCol w:w="169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序号</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名称</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数量</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叶片长度</w:t>
            </w:r>
          </w:p>
        </w:tc>
        <w:tc>
          <w:tcPr>
            <w:tcW w:w="1027"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1</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t>5MW</w:t>
            </w:r>
            <w:r>
              <w:rPr>
                <w:rFonts w:hint="default" w:ascii="Times New Roman" w:hAnsi="Times New Roman" w:eastAsia="宋体" w:cs="Times New Roman"/>
                <w:color w:val="000000" w:themeColor="text1"/>
                <w:sz w:val="21"/>
                <w:szCs w:val="22"/>
                <w:highlight w:val="none"/>
                <w14:textFill>
                  <w14:solidFill>
                    <w14:schemeClr w14:val="tx1"/>
                  </w14:solidFill>
                </w14:textFill>
              </w:rPr>
              <w:t>叶片</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300套</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67.958</w:t>
            </w:r>
          </w:p>
        </w:tc>
        <w:tc>
          <w:tcPr>
            <w:tcW w:w="1027"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1500MW（5/7/10MW</w:t>
            </w: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t>7MW</w:t>
            </w:r>
            <w:r>
              <w:rPr>
                <w:rFonts w:hint="default" w:ascii="Times New Roman" w:hAnsi="Times New Roman" w:eastAsia="宋体" w:cs="Times New Roman"/>
                <w:color w:val="000000" w:themeColor="text1"/>
                <w:sz w:val="21"/>
                <w:szCs w:val="22"/>
                <w:highlight w:val="none"/>
                <w14:textFill>
                  <w14:solidFill>
                    <w14:schemeClr w14:val="tx1"/>
                  </w14:solidFill>
                </w14:textFill>
              </w:rPr>
              <w:t>叶片</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14:textFill>
                  <w14:solidFill>
                    <w14:schemeClr w14:val="tx1"/>
                  </w14:solidFill>
                </w14:textFill>
              </w:rPr>
              <w:t>214套</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91</w:t>
            </w:r>
          </w:p>
        </w:tc>
        <w:tc>
          <w:tcPr>
            <w:tcW w:w="102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t>10MW</w:t>
            </w:r>
            <w:r>
              <w:rPr>
                <w:rFonts w:hint="default" w:ascii="Times New Roman" w:hAnsi="Times New Roman" w:eastAsia="宋体" w:cs="Times New Roman"/>
                <w:color w:val="000000" w:themeColor="text1"/>
                <w:sz w:val="21"/>
                <w:szCs w:val="22"/>
                <w:highlight w:val="none"/>
                <w14:textFill>
                  <w14:solidFill>
                    <w14:schemeClr w14:val="tx1"/>
                  </w14:solidFill>
                </w14:textFill>
              </w:rPr>
              <w:t>叶片</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2"/>
                <w:highlight w:val="none"/>
                <w14:textFill>
                  <w14:solidFill>
                    <w14:schemeClr w14:val="tx1"/>
                  </w14:solidFill>
                </w14:textFill>
              </w:rPr>
              <w:t>套</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90</w:t>
            </w:r>
          </w:p>
        </w:tc>
        <w:tc>
          <w:tcPr>
            <w:tcW w:w="1027"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2</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lang w:val="en-US" w:eastAsia="zh-CN"/>
                <w14:textFill>
                  <w14:solidFill>
                    <w14:schemeClr w14:val="tx1"/>
                  </w14:solidFill>
                </w14:textFill>
              </w:rPr>
              <w:t>主机</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400</w:t>
            </w:r>
          </w:p>
        </w:tc>
        <w:tc>
          <w:tcPr>
            <w:tcW w:w="993"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w:t>
            </w:r>
          </w:p>
        </w:tc>
        <w:tc>
          <w:tcPr>
            <w:tcW w:w="1027" w:type="pct"/>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2"/>
                <w:highlight w:val="none"/>
                <w:vertAlign w:val="baseline"/>
                <w:lang w:val="en-US" w:eastAsia="zh-CN"/>
                <w14:textFill>
                  <w14:solidFill>
                    <w14:schemeClr w14:val="tx1"/>
                  </w14:solidFill>
                </w14:textFill>
              </w:rPr>
              <w:t>/</w:t>
            </w:r>
          </w:p>
        </w:tc>
      </w:tr>
    </w:tbl>
    <w:p>
      <w:pPr>
        <w:keepNext w:val="0"/>
        <w:keepLines w:val="0"/>
        <w:pageBreakBefore w:val="0"/>
        <w:kinsoku/>
        <w:wordWrap/>
        <w:overflowPunct w:val="0"/>
        <w:topLinePunct w:val="0"/>
        <w:bidi w:val="0"/>
        <w:adjustRightInd/>
        <w:snapToGrid/>
        <w:spacing w:line="360" w:lineRule="auto"/>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bookmarkStart w:id="109" w:name="_Toc617"/>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公用工程</w:t>
      </w:r>
      <w:bookmarkEnd w:id="109"/>
    </w:p>
    <w:p>
      <w:pPr>
        <w:keepNext w:val="0"/>
        <w:keepLines w:val="0"/>
        <w:pageBreakBefore w:val="0"/>
        <w:kinsoku/>
        <w:wordWrap/>
        <w:overflowPunct w:val="0"/>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（1）给水</w:t>
      </w:r>
    </w:p>
    <w:p>
      <w:pPr>
        <w:keepNext w:val="0"/>
        <w:keepLines w:val="0"/>
        <w:pageBreakBefore w:val="0"/>
        <w:kinsoku/>
        <w:wordWrap/>
        <w:overflowPunct w:val="0"/>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本项目生活用水由</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园区供水管网</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提供，能够满足本项目的需求，由</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园区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供水管网接入厂区内给水管道。其供水水压、供水水质、供水能力均能满足项目建设及营运期间的用水要求。</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（2）排水</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食堂废水经隔油池处理后和生活污水一并进入厂区自建化粪池处理达到《污水综合排放标准》（GB</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- 1996）表4的三级标准后排入园区污水处理厂处理。</w:t>
      </w:r>
    </w:p>
    <w:p>
      <w:pPr>
        <w:keepNext w:val="0"/>
        <w:keepLines w:val="0"/>
        <w:pageBreakBefore w:val="0"/>
        <w:kinsoku/>
        <w:wordWrap/>
        <w:overflowPunct w:val="0"/>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（3）供电</w:t>
      </w:r>
    </w:p>
    <w:p>
      <w:pPr>
        <w:keepNext w:val="0"/>
        <w:keepLines w:val="0"/>
        <w:pageBreakBefore w:val="0"/>
        <w:kinsoku/>
        <w:wordWrap/>
        <w:overflowPunct w:val="0"/>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供电由园区总干线网供给，并由配电室供给。园区内有完整的供电网络系统，电力供应充足。动力及照明线路在防火区采用阻燃型电线，其他区域选用BV-500型电线。动力控制线路选用KVV-500型控制电缆。全部电气线路均采用穿保护钢管暗敷设的方式。</w:t>
      </w:r>
    </w:p>
    <w:p>
      <w:pPr>
        <w:keepNext w:val="0"/>
        <w:keepLines w:val="0"/>
        <w:pageBreakBefore w:val="0"/>
        <w:kinsoku/>
        <w:wordWrap/>
        <w:overflowPunct w:val="0"/>
        <w:topLinePunct w:val="0"/>
        <w:bidi w:val="0"/>
        <w:adjustRightInd/>
        <w:snapToGrid/>
        <w:spacing w:line="360" w:lineRule="auto"/>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bookmarkStart w:id="110" w:name="_Toc1367"/>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劳动定员及工作制度</w:t>
      </w:r>
      <w:bookmarkEnd w:id="110"/>
    </w:p>
    <w:p>
      <w:pPr>
        <w:keepNext w:val="0"/>
        <w:keepLines w:val="0"/>
        <w:pageBreakBefore w:val="0"/>
        <w:kinsoku/>
        <w:wordWrap/>
        <w:overflowPunct w:val="0"/>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环评设计</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劳动定员</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1000</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人</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车间采用一班工作制，全年工作260天。</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1"/>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bookmarkStart w:id="111" w:name="_Toc21388"/>
      <w:bookmarkStart w:id="112" w:name="_Toc3801"/>
      <w:bookmarkStart w:id="113" w:name="_Toc30507"/>
      <w:bookmarkStart w:id="114" w:name="_Toc2178"/>
      <w:bookmarkStart w:id="115" w:name="_Toc16820"/>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工程分析</w:t>
      </w:r>
      <w:bookmarkEnd w:id="111"/>
      <w:bookmarkEnd w:id="112"/>
      <w:bookmarkEnd w:id="113"/>
      <w:bookmarkEnd w:id="114"/>
      <w:bookmarkEnd w:id="115"/>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.1工艺流程简述</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3.2.1.1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施工期工艺流程</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施工期期间产生施工扬尘、装修废气，噪声、建筑垃圾等，其生产工艺流程及产污节点见图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p>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-137160</wp:posOffset>
            </wp:positionH>
            <wp:positionV relativeFrom="paragraph">
              <wp:posOffset>52070</wp:posOffset>
            </wp:positionV>
            <wp:extent cx="5503545" cy="1748155"/>
            <wp:effectExtent l="0" t="0" r="1905" b="4445"/>
            <wp:wrapTopAndBottom/>
            <wp:docPr id="215" name="图片 3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81" descr="IMG_256"/>
                    <pic:cNvPicPr>
                      <a:picLocks noChangeAspect="1"/>
                    </pic:cNvPicPr>
                  </pic:nvPicPr>
                  <pic:blipFill>
                    <a:blip r:embed="rId14"/>
                    <a:stretch>
                      <a:fillRect/>
                    </a:stretch>
                  </pic:blipFill>
                  <pic:spPr>
                    <a:xfrm>
                      <a:off x="0" y="0"/>
                      <a:ext cx="5503545" cy="1748155"/>
                    </a:xfrm>
                    <a:prstGeom prst="rect">
                      <a:avLst/>
                    </a:prstGeom>
                    <a:noFill/>
                    <a:ln>
                      <a:noFill/>
                    </a:ln>
                  </pic:spPr>
                </pic:pic>
              </a:graphicData>
            </a:graphic>
          </wp:anchor>
        </w:drawing>
      </w:r>
      <w:r>
        <w:rPr>
          <w:rFonts w:hint="default" w:ascii="Times New Roman" w:hAnsi="Times New Roman" w:eastAsia="宋体" w:cs="Times New Roman"/>
          <w:b/>
          <w:bCs/>
          <w:color w:val="000000" w:themeColor="text1"/>
          <w:highlight w:val="none"/>
          <w14:textFill>
            <w14:solidFill>
              <w14:schemeClr w14:val="tx1"/>
            </w14:solidFill>
          </w14:textFill>
        </w:rPr>
        <w:t>图</w:t>
      </w:r>
      <w:r>
        <w:rPr>
          <w:rFonts w:hint="default" w:ascii="Times New Roman" w:hAnsi="Times New Roman" w:eastAsia="宋体" w:cs="Times New Roman"/>
          <w:b/>
          <w:bCs/>
          <w:color w:val="000000" w:themeColor="text1"/>
          <w:highlight w:val="none"/>
          <w:lang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14:textFill>
            <w14:solidFill>
              <w14:schemeClr w14:val="tx1"/>
            </w14:solidFill>
          </w14:textFill>
        </w:rPr>
        <w:t>-1  施工工艺流程及产污节点图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施工扬尘</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基础开挖、施工渣土堆场、进出车辆带</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泥沙</w:t>
      </w:r>
      <w:r>
        <w:rPr>
          <w:rFonts w:hint="default" w:ascii="Times New Roman" w:hAnsi="Times New Roman" w:eastAsia="宋体" w:cs="Times New Roman"/>
          <w:color w:val="000000" w:themeColor="text1"/>
          <w:sz w:val="24"/>
          <w:szCs w:val="24"/>
          <w:highlight w:val="none"/>
          <w14:textFill>
            <w14:solidFill>
              <w14:schemeClr w14:val="tx1"/>
            </w14:solidFill>
          </w14:textFill>
        </w:rPr>
        <w:t>量、水泥搬运，砂石、混凝土等建筑材料运输、装卸等均可能产生扬尘，要求建设单位施工期间应严格遵守《防治城市扬尘污染技术规范》（HJ/T393-2007）的要求。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②尾气</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施工期运输机械运行时会产生一定量的尾气，其主要污染物为烃类、一氧化碳及氮氧化物等。</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（2）废水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施工废水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产生的废水包括修建基础设施时地基的开挖、混凝土料的备制、建筑时砂石料冲洗及机械清洗等废水。项目施工产生的污水中主要是泥沙悬浮物含量较大。为此可以修建沉砂池沉淀后回用于施工过程。施工机械设备冲洗、施工车辆冲洗废水中主要污染物为石油类和悬浮物，沉淀后用于施工场地抑尘。</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生活污水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本项目施工现场设施工营地。项目施工高峰期按施工人数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0人计，生活用水定额50L/人•d计取，生活污水按用水量的80%计，则施工期间产生的生活污水为Q=</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0人×50L/人•d×0.80=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/d，全部排入下水管网，最终进入园区污水处理厂处理。</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噪声</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工程施工中的噪声源可分为连续噪声源和流动噪声源。连续噪声源主要是砂石料加工、空压机、搅拌机及其他各类机泵产生的噪声；流动噪声源主要是机动车辆、挖掘机及其他作业设备产生的噪声。</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固体废物</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1）施工土石方及建筑垃圾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基础开挖产生的土石方，产生量较少，可就地用于场区平整。产生的建筑垃圾，主要包括砂石、石块、碎砖瓦、废木料、废金属、废钢筋等杂物，可回收的应尽量回收，不能回收的经集中收集后由施工单位及时清运，以免影响施工和环境卫生。</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2）施工人员生活垃圾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施工期间项目施工高峰期施工人员按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0人计，生活垃圾按0.50kg/人·d计，则施工期间生活垃圾日产生量约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kg/d。垃圾经袋装收集后送往垃圾处理场进行处置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委托园区环卫部门统一清运。</w:t>
      </w:r>
    </w:p>
    <w:p>
      <w:pP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br w:type="page"/>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3.2.1.2运营期工艺流程</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mc:AlternateContent>
          <mc:Choice Requires="wpc">
            <w:drawing>
              <wp:inline distT="0" distB="0" distL="114300" distR="114300">
                <wp:extent cx="5274310" cy="8294370"/>
                <wp:effectExtent l="0" t="0" r="21590" b="11430"/>
                <wp:docPr id="4" name="画布 4"/>
                <wp:cNvGraphicFramePr/>
                <a:graphic xmlns:a="http://schemas.openxmlformats.org/drawingml/2006/main">
                  <a:graphicData uri="http://schemas.microsoft.com/office/word/2010/wordprocessingCanvas">
                    <wpc:wpc>
                      <wpc:bg/>
                      <wpc:whole>
                        <a:ln>
                          <a:noFill/>
                        </a:ln>
                      </wpc:whole>
                      <wps:wsp>
                        <wps:cNvPr id="5" name="直接箭头连接符 5"/>
                        <wps:cNvCnPr>
                          <a:stCxn id="8" idx="3"/>
                          <a:endCxn id="12" idx="1"/>
                        </wps:cNvCnPr>
                        <wps:spPr>
                          <a:xfrm>
                            <a:off x="781050" y="1213485"/>
                            <a:ext cx="455295"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 name="矩形 6"/>
                        <wps:cNvSpPr/>
                        <wps:spPr>
                          <a:xfrm>
                            <a:off x="1153160" y="320675"/>
                            <a:ext cx="742315" cy="381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叶片模具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28575" y="1008380"/>
                            <a:ext cx="752475" cy="409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玻璃纤维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953135" y="3517265"/>
                            <a:ext cx="914400" cy="316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树脂粘合剂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2418080" y="5104130"/>
                            <a:ext cx="7715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螺栓安装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17780" y="2027555"/>
                            <a:ext cx="80010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eastAsia="zh-CN"/>
                                </w:rPr>
                              </w:pPr>
                              <w:r>
                                <w:rPr>
                                  <w:rFonts w:hint="eastAsia"/>
                                  <w:lang w:val="en-US" w:eastAsia="zh-CN"/>
                                </w:rPr>
                                <w:t>混合树脂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236345" y="1017905"/>
                            <a:ext cx="581660"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层铺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1236980" y="2037080"/>
                            <a:ext cx="58166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灌注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133475" y="2781935"/>
                            <a:ext cx="803910" cy="283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固化、脱模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a:stCxn id="22" idx="2"/>
                          <a:endCxn id="30" idx="0"/>
                        </wps:cNvCnPr>
                        <wps:spPr>
                          <a:xfrm>
                            <a:off x="4290060" y="703580"/>
                            <a:ext cx="9525" cy="34290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6" name="直接箭头连接符 16"/>
                        <wps:cNvCnPr>
                          <a:stCxn id="13" idx="2"/>
                          <a:endCxn id="14" idx="0"/>
                        </wps:cNvCnPr>
                        <wps:spPr>
                          <a:xfrm>
                            <a:off x="1527810" y="2408555"/>
                            <a:ext cx="7620" cy="37338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7" name="直接箭头连接符 17"/>
                        <wps:cNvCnPr>
                          <a:stCxn id="11" idx="3"/>
                          <a:endCxn id="13" idx="1"/>
                        </wps:cNvCnPr>
                        <wps:spPr>
                          <a:xfrm>
                            <a:off x="817880" y="2213610"/>
                            <a:ext cx="419100" cy="952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8" name="直接箭头连接符 18"/>
                        <wps:cNvCnPr>
                          <a:stCxn id="12" idx="2"/>
                          <a:endCxn id="13" idx="0"/>
                        </wps:cNvCnPr>
                        <wps:spPr>
                          <a:xfrm>
                            <a:off x="1527175" y="1408430"/>
                            <a:ext cx="635" cy="62865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19" name="直接箭头连接符 19"/>
                        <wps:cNvCnPr>
                          <a:stCxn id="6" idx="2"/>
                          <a:endCxn id="12" idx="0"/>
                        </wps:cNvCnPr>
                        <wps:spPr>
                          <a:xfrm>
                            <a:off x="1524635" y="701675"/>
                            <a:ext cx="2540" cy="31623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20" name="矩形 20"/>
                        <wps:cNvSpPr/>
                        <wps:spPr>
                          <a:xfrm>
                            <a:off x="2418080" y="5904230"/>
                            <a:ext cx="7715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表面打磨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2732405" y="1046480"/>
                            <a:ext cx="7715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玻璃纤维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矩形 22"/>
                        <wps:cNvSpPr/>
                        <wps:spPr>
                          <a:xfrm>
                            <a:off x="3903980" y="332105"/>
                            <a:ext cx="7715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大梁模具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23"/>
                        <wps:cNvSpPr/>
                        <wps:spPr>
                          <a:xfrm>
                            <a:off x="2722880" y="2037080"/>
                            <a:ext cx="7715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混合树脂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2411730" y="7323455"/>
                            <a:ext cx="835660" cy="300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自然晾干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 25"/>
                        <wps:cNvSpPr/>
                        <wps:spPr>
                          <a:xfrm>
                            <a:off x="2383155" y="7973060"/>
                            <a:ext cx="906145" cy="284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总检、入库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矩形 26"/>
                        <wps:cNvSpPr/>
                        <wps:spPr>
                          <a:xfrm>
                            <a:off x="2530475" y="6582410"/>
                            <a:ext cx="581660" cy="4584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调漆、</w:t>
                              </w:r>
                              <w:r>
                                <w:rPr>
                                  <w:rFonts w:hint="default" w:eastAsia="宋体"/>
                                  <w:lang w:val="en-US" w:eastAsia="zh-CN"/>
                                </w:rPr>
                                <w:t>辊涂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27"/>
                        <wps:cNvSpPr/>
                        <wps:spPr>
                          <a:xfrm>
                            <a:off x="2503805" y="4294505"/>
                            <a:ext cx="58166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修型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2494280" y="3526790"/>
                            <a:ext cx="58166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粘合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3909695" y="2765425"/>
                            <a:ext cx="808990"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固化、脱模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4008755" y="1046480"/>
                            <a:ext cx="58166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层铺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4018280" y="2037080"/>
                            <a:ext cx="58166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灌注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33"/>
                        <wps:cNvSpPr/>
                        <wps:spPr>
                          <a:xfrm>
                            <a:off x="1227455" y="5904230"/>
                            <a:ext cx="58166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腻子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直接箭头连接符 34"/>
                        <wps:cNvCnPr>
                          <a:stCxn id="9" idx="3"/>
                          <a:endCxn id="28" idx="1"/>
                        </wps:cNvCnPr>
                        <wps:spPr>
                          <a:xfrm flipV="1">
                            <a:off x="1867535" y="3665220"/>
                            <a:ext cx="626745" cy="1016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5" name="直接箭头连接符 35"/>
                        <wps:cNvCnPr>
                          <a:stCxn id="21" idx="3"/>
                          <a:endCxn id="30" idx="1"/>
                        </wps:cNvCnPr>
                        <wps:spPr>
                          <a:xfrm>
                            <a:off x="3503930" y="1232535"/>
                            <a:ext cx="504825"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6" name="直接箭头连接符 36"/>
                        <wps:cNvCnPr>
                          <a:stCxn id="23" idx="3"/>
                          <a:endCxn id="31" idx="1"/>
                        </wps:cNvCnPr>
                        <wps:spPr>
                          <a:xfrm>
                            <a:off x="3494405" y="2223135"/>
                            <a:ext cx="523875"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7" name="直接箭头连接符 37"/>
                        <wps:cNvCnPr>
                          <a:stCxn id="31" idx="2"/>
                          <a:endCxn id="29" idx="0"/>
                        </wps:cNvCnPr>
                        <wps:spPr>
                          <a:xfrm>
                            <a:off x="4309110" y="2408555"/>
                            <a:ext cx="5080" cy="35687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8" name="直接箭头连接符 38"/>
                        <wps:cNvCnPr>
                          <a:stCxn id="30" idx="2"/>
                          <a:endCxn id="31" idx="0"/>
                        </wps:cNvCnPr>
                        <wps:spPr>
                          <a:xfrm>
                            <a:off x="4299585" y="1417955"/>
                            <a:ext cx="9525" cy="61912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39" name="肘形连接符 39"/>
                        <wps:cNvCnPr>
                          <a:stCxn id="14" idx="2"/>
                          <a:endCxn id="28" idx="0"/>
                        </wps:cNvCnPr>
                        <wps:spPr>
                          <a:xfrm rot="5400000" flipV="1">
                            <a:off x="1929765" y="2671445"/>
                            <a:ext cx="461010" cy="1249680"/>
                          </a:xfrm>
                          <a:prstGeom prst="bentConnector3">
                            <a:avLst>
                              <a:gd name="adj1" fmla="val 50000"/>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40" name="肘形连接符 40"/>
                        <wps:cNvCnPr>
                          <a:stCxn id="29" idx="2"/>
                          <a:endCxn id="28" idx="0"/>
                        </wps:cNvCnPr>
                        <wps:spPr>
                          <a:xfrm rot="5400000">
                            <a:off x="3314700" y="2527300"/>
                            <a:ext cx="469900" cy="152908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4" name="直接箭头连接符 44"/>
                        <wps:cNvCnPr>
                          <a:stCxn id="20" idx="2"/>
                          <a:endCxn id="26" idx="0"/>
                        </wps:cNvCnPr>
                        <wps:spPr>
                          <a:xfrm>
                            <a:off x="2804160" y="6275705"/>
                            <a:ext cx="17145" cy="30670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45" name="直接箭头连接符 45"/>
                        <wps:cNvCnPr>
                          <a:stCxn id="10" idx="2"/>
                          <a:endCxn id="20" idx="0"/>
                        </wps:cNvCnPr>
                        <wps:spPr>
                          <a:xfrm>
                            <a:off x="2804160" y="5475605"/>
                            <a:ext cx="0" cy="42862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46" name="直接箭头连接符 46"/>
                        <wps:cNvCnPr>
                          <a:stCxn id="27" idx="2"/>
                          <a:endCxn id="10" idx="0"/>
                        </wps:cNvCnPr>
                        <wps:spPr>
                          <a:xfrm>
                            <a:off x="2794635" y="4665980"/>
                            <a:ext cx="9525" cy="43815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47" name="直接箭头连接符 47"/>
                        <wps:cNvCnPr>
                          <a:stCxn id="28" idx="2"/>
                          <a:endCxn id="27" idx="0"/>
                        </wps:cNvCnPr>
                        <wps:spPr>
                          <a:xfrm>
                            <a:off x="2785110" y="3803015"/>
                            <a:ext cx="9525" cy="49149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48" name="直接箭头连接符 48"/>
                        <wps:cNvCnPr>
                          <a:stCxn id="24" idx="2"/>
                          <a:endCxn id="25" idx="0"/>
                        </wps:cNvCnPr>
                        <wps:spPr>
                          <a:xfrm>
                            <a:off x="2829560" y="7623810"/>
                            <a:ext cx="6985" cy="34925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49" name="直接箭头连接符 49"/>
                        <wps:cNvCnPr>
                          <a:stCxn id="33" idx="3"/>
                          <a:endCxn id="20" idx="1"/>
                        </wps:cNvCnPr>
                        <wps:spPr>
                          <a:xfrm>
                            <a:off x="1809115" y="6090285"/>
                            <a:ext cx="608965" cy="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1" name="直接箭头连接符 61"/>
                        <wps:cNvCnPr>
                          <a:stCxn id="26" idx="2"/>
                          <a:endCxn id="24" idx="0"/>
                        </wps:cNvCnPr>
                        <wps:spPr>
                          <a:xfrm>
                            <a:off x="2821305" y="7040880"/>
                            <a:ext cx="8255" cy="28257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wps:wsp>
                        <wps:cNvPr id="65" name="直接箭头连接符 65"/>
                        <wps:cNvCnPr>
                          <a:stCxn id="29" idx="1"/>
                          <a:endCxn id="68" idx="3"/>
                        </wps:cNvCnPr>
                        <wps:spPr>
                          <a:xfrm flipH="1">
                            <a:off x="3434715" y="2911475"/>
                            <a:ext cx="474980" cy="172720"/>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14" idx="3"/>
                          <a:endCxn id="68" idx="1"/>
                        </wps:cNvCnPr>
                        <wps:spPr>
                          <a:xfrm>
                            <a:off x="1937385" y="2924175"/>
                            <a:ext cx="401955" cy="160020"/>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68" name="矩形 68"/>
                        <wps:cNvSpPr/>
                        <wps:spPr>
                          <a:xfrm>
                            <a:off x="2339340" y="2957195"/>
                            <a:ext cx="1095375"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有机废气、噪声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直接箭头连接符 71"/>
                        <wps:cNvCnPr/>
                        <wps:spPr>
                          <a:xfrm flipV="1">
                            <a:off x="3100705" y="4418330"/>
                            <a:ext cx="292100" cy="86995"/>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a:stCxn id="28" idx="3"/>
                          <a:endCxn id="78" idx="1"/>
                        </wps:cNvCnPr>
                        <wps:spPr>
                          <a:xfrm flipV="1">
                            <a:off x="3075940" y="3655695"/>
                            <a:ext cx="628015" cy="9525"/>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73" name="直接箭头连接符 73"/>
                        <wps:cNvCnPr>
                          <a:stCxn id="31" idx="0"/>
                          <a:endCxn id="75" idx="3"/>
                        </wps:cNvCnPr>
                        <wps:spPr>
                          <a:xfrm flipH="1" flipV="1">
                            <a:off x="3268980" y="1744345"/>
                            <a:ext cx="1040130" cy="292735"/>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a:stCxn id="13" idx="0"/>
                          <a:endCxn id="75" idx="1"/>
                        </wps:cNvCnPr>
                        <wps:spPr>
                          <a:xfrm flipV="1">
                            <a:off x="1527810" y="1744345"/>
                            <a:ext cx="786130" cy="292735"/>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75" name="矩形 75"/>
                        <wps:cNvSpPr/>
                        <wps:spPr>
                          <a:xfrm>
                            <a:off x="2313940" y="1521460"/>
                            <a:ext cx="955040" cy="44513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固废、噪声、有机废气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矩形 78"/>
                        <wps:cNvSpPr/>
                        <wps:spPr>
                          <a:xfrm>
                            <a:off x="3703955" y="3528695"/>
                            <a:ext cx="777240"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79"/>
                        <wps:cNvSpPr/>
                        <wps:spPr>
                          <a:xfrm>
                            <a:off x="965200" y="5267960"/>
                            <a:ext cx="1101725"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有机废气、噪声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 80"/>
                        <wps:cNvSpPr/>
                        <wps:spPr>
                          <a:xfrm>
                            <a:off x="3395980" y="4269105"/>
                            <a:ext cx="1429385"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粉尘、固废、噪声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直接箭头连接符 81"/>
                        <wps:cNvCnPr>
                          <a:stCxn id="33" idx="0"/>
                          <a:endCxn id="79" idx="2"/>
                        </wps:cNvCnPr>
                        <wps:spPr>
                          <a:xfrm flipH="1" flipV="1">
                            <a:off x="1516380" y="5521960"/>
                            <a:ext cx="1905" cy="382270"/>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a:stCxn id="20" idx="3"/>
                          <a:endCxn id="86" idx="1"/>
                        </wps:cNvCnPr>
                        <wps:spPr>
                          <a:xfrm flipV="1">
                            <a:off x="3189605" y="5918835"/>
                            <a:ext cx="363855" cy="171450"/>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a:stCxn id="10" idx="3"/>
                          <a:endCxn id="85" idx="1"/>
                        </wps:cNvCnPr>
                        <wps:spPr>
                          <a:xfrm flipV="1">
                            <a:off x="3189605" y="5116830"/>
                            <a:ext cx="331470" cy="173355"/>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85" name="矩形 85"/>
                        <wps:cNvSpPr/>
                        <wps:spPr>
                          <a:xfrm>
                            <a:off x="3521075" y="4989830"/>
                            <a:ext cx="541020"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86"/>
                        <wps:cNvSpPr/>
                        <wps:spPr>
                          <a:xfrm>
                            <a:off x="3553460" y="5791835"/>
                            <a:ext cx="1429385"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粉尘、固废、噪声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3594100" y="6679565"/>
                            <a:ext cx="1680210"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有机废气、噪声、固废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直接箭头连接符 90"/>
                        <wps:cNvCnPr>
                          <a:stCxn id="26" idx="3"/>
                          <a:endCxn id="87" idx="1"/>
                        </wps:cNvCnPr>
                        <wps:spPr>
                          <a:xfrm flipV="1">
                            <a:off x="3112135" y="6806565"/>
                            <a:ext cx="481965" cy="5080"/>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93" name="矩形 93"/>
                        <wps:cNvSpPr/>
                        <wps:spPr>
                          <a:xfrm>
                            <a:off x="3806825" y="7353935"/>
                            <a:ext cx="777240" cy="2540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直接箭头连接符 94"/>
                        <wps:cNvCnPr>
                          <a:stCxn id="24" idx="3"/>
                          <a:endCxn id="93" idx="1"/>
                        </wps:cNvCnPr>
                        <wps:spPr>
                          <a:xfrm>
                            <a:off x="3247390" y="7473950"/>
                            <a:ext cx="559435" cy="6985"/>
                          </a:xfrm>
                          <a:prstGeom prst="straightConnector1">
                            <a:avLst/>
                          </a:prstGeom>
                          <a:ln>
                            <a:solidFill>
                              <a:schemeClr val="tx1"/>
                            </a:solidFill>
                            <a:prstDash val="dash"/>
                            <a:headEnd type="none"/>
                            <a:tailEnd type="arrow" w="med" len="med"/>
                          </a:ln>
                        </wps:spPr>
                        <wps:style>
                          <a:lnRef idx="1">
                            <a:schemeClr val="accent1"/>
                          </a:lnRef>
                          <a:fillRef idx="0">
                            <a:schemeClr val="accent1"/>
                          </a:fillRef>
                          <a:effectRef idx="0">
                            <a:schemeClr val="accent1"/>
                          </a:effectRef>
                          <a:fontRef idx="minor">
                            <a:schemeClr val="tx1"/>
                          </a:fontRef>
                        </wps:style>
                        <wps:bodyPr/>
                      </wps:wsp>
                      <wps:wsp>
                        <wps:cNvPr id="1" name="直接箭头连接符 1"/>
                        <wps:cNvCnPr>
                          <a:stCxn id="103" idx="1"/>
                        </wps:cNvCnPr>
                        <wps:spPr>
                          <a:xfrm flipH="1">
                            <a:off x="1943735" y="2665095"/>
                            <a:ext cx="588010" cy="135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2" name="直接箭头连接符 102"/>
                        <wps:cNvCnPr>
                          <a:stCxn id="103" idx="3"/>
                        </wps:cNvCnPr>
                        <wps:spPr>
                          <a:xfrm>
                            <a:off x="3182620" y="2665095"/>
                            <a:ext cx="729615" cy="111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3" name="矩形 103"/>
                        <wps:cNvSpPr/>
                        <wps:spPr>
                          <a:xfrm>
                            <a:off x="2531745" y="2522220"/>
                            <a:ext cx="650875"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b/>
                                  <w:bCs/>
                                  <w:lang w:val="en-US" w:eastAsia="zh-CN"/>
                                </w:rPr>
                              </w:pPr>
                              <w:r>
                                <w:rPr>
                                  <w:rFonts w:hint="eastAsia" w:eastAsia="宋体"/>
                                  <w:b/>
                                  <w:bCs/>
                                  <w:lang w:val="en-US" w:eastAsia="zh-CN"/>
                                </w:rPr>
                                <w:t>电加热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 name="肘形连接符 104"/>
                        <wps:cNvCnPr>
                          <a:stCxn id="26" idx="1"/>
                          <a:endCxn id="24" idx="1"/>
                        </wps:cNvCnPr>
                        <wps:spPr>
                          <a:xfrm rot="10800000" flipV="1">
                            <a:off x="2411730" y="6811645"/>
                            <a:ext cx="118745" cy="662305"/>
                          </a:xfrm>
                          <a:prstGeom prst="bentConnector3">
                            <a:avLst>
                              <a:gd name="adj1" fmla="val 300535"/>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09" name="直接箭头连接符 109"/>
                        <wps:cNvCnPr>
                          <a:stCxn id="111" idx="3"/>
                        </wps:cNvCnPr>
                        <wps:spPr>
                          <a:xfrm flipV="1">
                            <a:off x="1619250" y="7137400"/>
                            <a:ext cx="55562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1" name="矩形 111"/>
                        <wps:cNvSpPr/>
                        <wps:spPr>
                          <a:xfrm>
                            <a:off x="381000" y="6514465"/>
                            <a:ext cx="1238250" cy="1261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ageBreakBefore w:val="0"/>
                                <w:widowControl/>
                                <w:kinsoku w:val="0"/>
                                <w:wordWrap/>
                                <w:overflowPunct/>
                                <w:topLinePunct w:val="0"/>
                                <w:autoSpaceDE w:val="0"/>
                                <w:autoSpaceDN w:val="0"/>
                                <w:bidi w:val="0"/>
                                <w:adjustRightInd/>
                                <w:snapToGrid/>
                                <w:spacing w:before="0" w:after="0" w:line="240" w:lineRule="auto"/>
                                <w:jc w:val="both"/>
                                <w:textAlignment w:val="baseline"/>
                                <w:outlineLvl w:val="9"/>
                                <w:rPr>
                                  <w:rFonts w:hint="default" w:eastAsia="宋体"/>
                                  <w:b/>
                                  <w:bCs/>
                                  <w:lang w:val="en-US" w:eastAsia="zh-CN"/>
                                </w:rPr>
                              </w:pPr>
                              <w:r>
                                <w:rPr>
                                  <w:rFonts w:hint="eastAsia" w:eastAsia="宋体"/>
                                  <w:b/>
                                  <w:bCs/>
                                  <w:lang w:val="en-US" w:eastAsia="zh-CN"/>
                                </w:rPr>
                                <w:t>调漆、辊涂、自然晾干过程均在同一间密闭涂装车间内完成。</w:t>
                              </w:r>
                            </w:p>
                            <w:p>
                              <w:pPr>
                                <w:pageBreakBefore w:val="0"/>
                                <w:widowControl/>
                                <w:kinsoku w:val="0"/>
                                <w:wordWrap/>
                                <w:overflowPunct/>
                                <w:topLinePunct w:val="0"/>
                                <w:autoSpaceDE w:val="0"/>
                                <w:autoSpaceDN w:val="0"/>
                                <w:bidi w:val="0"/>
                                <w:adjustRightInd/>
                                <w:snapToGrid/>
                                <w:spacing w:before="0" w:after="0" w:line="240" w:lineRule="auto"/>
                                <w:jc w:val="both"/>
                                <w:textAlignment w:val="baseline"/>
                                <w:outlineLvl w:val="9"/>
                                <w:rPr>
                                  <w:rFonts w:hint="eastAsia" w:eastAsia="宋体"/>
                                  <w:b/>
                                  <w:bCs/>
                                  <w:lang w:eastAsia="zh-CN"/>
                                </w:rPr>
                              </w:pPr>
                              <w:r>
                                <w:rPr>
                                  <w:rFonts w:hint="eastAsia" w:eastAsia="宋体"/>
                                  <w:b/>
                                  <w:bCs/>
                                  <w:lang w:eastAsia="zh-CN"/>
                                </w:rPr>
                                <w:t>（</w:t>
                              </w:r>
                              <w:r>
                                <w:rPr>
                                  <w:rFonts w:hint="eastAsia" w:eastAsia="宋体"/>
                                  <w:b/>
                                  <w:bCs/>
                                  <w:lang w:val="en-US" w:eastAsia="zh-CN"/>
                                </w:rPr>
                                <w:t>催化燃烧热源采用电加热</w:t>
                              </w:r>
                              <w:r>
                                <w:rPr>
                                  <w:rFonts w:hint="eastAsia" w:eastAsia="宋体"/>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653.1pt;width:415.3pt;" coordsize="5274310,8294370" editas="canvas" o:gfxdata="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">
                <o:lock v:ext="edit" aspectratio="f"/>
                <v:shape id="_x0000_s1026" o:spid="_x0000_s1026" style="position:absolute;left:0;top:0;height:8294370;width:5274310;" filled="f" stroked="f" coordsize="21600,21600" o:gfxdata="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">
                  <v:fill on="f" focussize="0,0"/>
                  <v:stroke on="f"/>
                  <v:imagedata o:title=""/>
                  <o:lock v:ext="edit" aspectratio="f"/>
                </v:shape>
                <v:shape id="_x0000_s1026" o:spid="_x0000_s1026" o:spt="32" type="#_x0000_t32" style="position:absolute;left:781050;top:1213485;height:0;width:45529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lSrf9IAAAAGAQAADwAAAAAAAAABACAAAAAiAAAAZHJzL2Rvd25yZXYueG1s&#10;UEsBAhQAFAAAAAgAh07iQEwWTy03AgAAPgQAAA4AAAAAAAAAAQAgAAAAIQEAAGRycy9lMm9Eb2Mu&#10;eG1sUEsFBgAAAAAGAAYAWQEAAMoFAAAAAA==&#10;">
                  <v:fill on="f" focussize="0,0"/>
                  <v:stroke weight="0.5pt" color="#000000 [3200]" miterlimit="8" joinstyle="miter" endarrow="block"/>
                  <v:imagedata o:title=""/>
                  <o:lock v:ext="edit" aspectratio="f"/>
                </v:shape>
                <v:rect id="_x0000_s1026" o:spid="_x0000_s1026" o:spt="1" style="position:absolute;left:1153160;top:320675;height:381000;width:74231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C/gWrh6AgAA4AQAAA4AAAAAAAAAAQAgAAAAIwEA&#10;AGRycy9lMm9Eb2MueG1sUEsFBgAAAAAGAAYAWQEAAA8GA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叶片模具</w:t>
                        </w:r>
                      </w:p>
                    </w:txbxContent>
                  </v:textbox>
                </v:rect>
                <v:rect id="_x0000_s1026" o:spid="_x0000_s1026" o:spt="1" style="position:absolute;left:28575;top:1008380;height:409575;width:75247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FM/g7UAAAABgEAAA8AAAAAAAAAAQAgAAAAIgAAAGRycy9kb3du&#10;cmV2LnhtbFBLAQIUABQAAAAIAIdO4kBtPI/VdQIAAN8EAAAOAAAAAAAAAAEAIAAAACMBAABkcnMv&#10;ZTJvRG9jLnhtbFBLBQYAAAAABgAGAFkBAAAK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玻璃纤维</w:t>
                        </w:r>
                      </w:p>
                    </w:txbxContent>
                  </v:textbox>
                </v:rect>
                <v:rect id="_x0000_s1026" o:spid="_x0000_s1026" o:spt="1" style="position:absolute;left:953135;top:3517265;height:316230;width:91440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Uz+DtQAAAAGAQAADwAAAAAAAAABACAAAAAiAAAAZHJzL2Rv&#10;d25yZXYueG1sUEsBAhQAFAAAAAgAh07iQJ0Spsd3AgAA4AQAAA4AAAAAAAAAAQAgAAAAIwEAAGRy&#10;cy9lMm9Eb2MueG1sUEsFBgAAAAAGAAYAWQEAAAw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树脂粘合剂</w:t>
                        </w:r>
                      </w:p>
                    </w:txbxContent>
                  </v:textbox>
                </v:rect>
                <v:rect id="_x0000_s1026" o:spid="_x0000_s1026" o:spt="1" style="position:absolute;left:2418080;top:5104130;height:371475;width:77152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MSGmB16AgAA4w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螺栓安装</w:t>
                        </w:r>
                      </w:p>
                    </w:txbxContent>
                  </v:textbox>
                </v:rect>
                <v:rect id="_x0000_s1026" o:spid="_x0000_s1026" o:spt="1" style="position:absolute;left:17780;top:2027555;height:371475;width:80010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TP4O1AAAAAYBAAAPAAAAAAAAAAEAIAAAACIAAABkcnMvZG93&#10;bnJldi54bWxQSwECFAAUAAAACACHTuJAQqasknYCAADhBAAADgAAAAAAAAABACAAAAAjAQAAZHJz&#10;L2Uyb0RvYy54bWxQSwUGAAAAAAYABgBZAQAACwYAAAAA&#10;">
                  <v:fill on="f" focussize="0,0"/>
                  <v:stroke weight="1pt" color="#000000 [3213]" miterlimit="8" joinstyle="miter"/>
                  <v:imagedata o:title=""/>
                  <o:lock v:ext="edit" aspectratio="f"/>
                  <v:textbox>
                    <w:txbxContent>
                      <w:p>
                        <w:pPr>
                          <w:rPr>
                            <w:rFonts w:hint="default"/>
                            <w:lang w:val="en-US" w:eastAsia="zh-CN"/>
                          </w:rPr>
                        </w:pPr>
                        <w:r>
                          <w:rPr>
                            <w:rFonts w:hint="eastAsia"/>
                            <w:lang w:val="en-US" w:eastAsia="zh-CN"/>
                          </w:rPr>
                          <w:t>混合树脂</w:t>
                        </w:r>
                      </w:p>
                    </w:txbxContent>
                  </v:textbox>
                </v:rect>
                <v:rect id="_x0000_s1026" o:spid="_x0000_s1026" o:spt="1" style="position:absolute;left:1236345;top:1017905;height:39052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FM/g7UAAAABgEAAA8AAAAAAAAAAQAgAAAAIgAAAGRycy9k&#10;b3ducmV2LnhtbFBLAQIUABQAAAAIAIdO4kC8BZpkeAIAAOMEAAAOAAAAAAAAAAEAIAAAACMBAABk&#10;cnMvZTJvRG9jLnhtbFBLBQYAAAAABgAGAFkBAAAN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层铺</w:t>
                        </w:r>
                      </w:p>
                    </w:txbxContent>
                  </v:textbox>
                </v:rect>
                <v:rect id="_x0000_s1026" o:spid="_x0000_s1026" o:spt="1" style="position:absolute;left:1236980;top:2037080;height:37147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TP4O1AAAAAYBAAAPAAAAAAAAAAEAIAAAACIAAABkcnMvZG93&#10;bnJldi54bWxQSwECFAAUAAAACACHTuJAjamQ1HYCAADjBAAADgAAAAAAAAABACAAAAAjAQAAZHJz&#10;L2Uyb0RvYy54bWxQSwUGAAAAAAYABgBZAQAACw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灌注</w:t>
                        </w:r>
                      </w:p>
                    </w:txbxContent>
                  </v:textbox>
                </v:rect>
                <v:rect id="_x0000_s1026" o:spid="_x0000_s1026" o:spt="1" style="position:absolute;left:1133475;top:2781935;height:283845;width:80391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BTP4O1AAAAAYBAAAPAAAAAAAAAAEAIAAAACIAAABk&#10;cnMvZG93bnJldi54bWxQSwECFAAUAAAACACHTuJAEIsQmnwCAADjBAAADgAAAAAAAAABACAAAAAj&#10;AQAAZHJzL2Uyb0RvYy54bWxQSwUGAAAAAAYABgBZAQAAEQ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固化、脱模</w:t>
                        </w:r>
                      </w:p>
                    </w:txbxContent>
                  </v:textbox>
                </v:rect>
                <v:shape id="_x0000_s1026" o:spid="_x0000_s1026" o:spt="32" type="#_x0000_t32" style="position:absolute;left:4290060;top:703580;height:342900;width:952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VKt/0gAAAAYBAAAPAAAAAAAAAAEAIAAAACIAAABkcnMvZG93bnJldi54bWxQ&#10;SwECFAAUAAAACACHTuJAATRYCjYCAABEBAAADgAAAAAAAAABACAAAAAhAQAAZHJzL2Uyb0RvYy54&#10;bWxQSwUGAAAAAAYABgBZAQAAyQUAAAAA&#10;">
                  <v:fill on="f" focussize="0,0"/>
                  <v:stroke weight="0.5pt" color="#000000 [3200]" miterlimit="8" joinstyle="miter" endarrow="block"/>
                  <v:imagedata o:title=""/>
                  <o:lock v:ext="edit" aspectratio="f"/>
                </v:shape>
                <v:shape id="_x0000_s1026" o:spid="_x0000_s1026" o:spt="32" type="#_x0000_t32" style="position:absolute;left:1527810;top:2408555;height:373380;width:7620;"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ZUq3/SAAAABgEAAA8AAAAAAAAAAQAgAAAAIgAAAGRycy9kb3ducmV2Lnht&#10;bFBLAQIUABQAAAAIAIdO4kB1m/bmOAIAAEUEAAAOAAAAAAAAAAEAIAAAACEBAABkcnMvZTJvRG9j&#10;LnhtbFBLBQYAAAAABgAGAFkBAADLBQAAAAA=&#10;">
                  <v:fill on="f" focussize="0,0"/>
                  <v:stroke weight="0.5pt" color="#000000 [3200]" miterlimit="8" joinstyle="miter" endarrow="block"/>
                  <v:imagedata o:title=""/>
                  <o:lock v:ext="edit" aspectratio="f"/>
                </v:shape>
                <v:shape id="_x0000_s1026" o:spid="_x0000_s1026" o:spt="32" type="#_x0000_t32" style="position:absolute;left:817880;top:2213610;height:9525;width:419100;"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lSrf9IAAAAGAQAADwAAAAAAAAABACAAAAAiAAAAZHJzL2Rvd25yZXYueG1s&#10;UEsBAhQAFAAAAAgAh07iQFppPJw3AgAARAQAAA4AAAAAAAAAAQAgAAAAIQEAAGRycy9lMm9Eb2Mu&#10;eG1sUEsFBgAAAAAGAAYAWQEAAMoFAAAAAA==&#10;">
                  <v:fill on="f" focussize="0,0"/>
                  <v:stroke weight="0.5pt" color="#000000 [3200]" miterlimit="8" joinstyle="miter" endarrow="block"/>
                  <v:imagedata o:title=""/>
                  <o:lock v:ext="edit" aspectratio="f"/>
                </v:shape>
                <v:shape id="_x0000_s1026" o:spid="_x0000_s1026" o:spt="32" type="#_x0000_t32" style="position:absolute;left:1527175;top:1408430;height:628650;width:63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VKt/0gAAAAYBAAAPAAAAAAAAAAEAIAAAACIAAABkcnMvZG93bnJldi54bWxQ&#10;SwECFAAUAAAACACHTuJAN3KmkjYCAABEBAAADgAAAAAAAAABACAAAAAhAQAAZHJzL2Uyb0RvYy54&#10;bWxQSwUGAAAAAAYABgBZAQAAyQUAAAAA&#10;">
                  <v:fill on="f" focussize="0,0"/>
                  <v:stroke weight="0.5pt" color="#000000 [3200]" miterlimit="8" joinstyle="miter" endarrow="block"/>
                  <v:imagedata o:title=""/>
                  <o:lock v:ext="edit" aspectratio="f"/>
                </v:shape>
                <v:shape id="_x0000_s1026" o:spid="_x0000_s1026" o:spt="32" type="#_x0000_t32" style="position:absolute;left:1524635;top:701675;height:316230;width:2540;"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VKt/0gAAAAYBAAAPAAAAAAAAAAEAIAAAACIAAABkcnMvZG93bnJldi54&#10;bWxQSwECFAAUAAAACACHTuJASrKC4TkCAABDBAAADgAAAAAAAAABACAAAAAhAQAAZHJzL2Uyb0Rv&#10;Yy54bWxQSwUGAAAAAAYABgBZAQAAzAUAAAAA&#10;">
                  <v:fill on="f" focussize="0,0"/>
                  <v:stroke weight="0.5pt" color="#000000 [3200]" miterlimit="8" joinstyle="miter" endarrow="block"/>
                  <v:imagedata o:title=""/>
                  <o:lock v:ext="edit" aspectratio="f"/>
                </v:shape>
                <v:rect id="_x0000_s1026" o:spid="_x0000_s1026" o:spt="1" style="position:absolute;left:2418080;top:5904230;height:371475;width:77152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MmAZ4N6AgAA4w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表面打磨</w:t>
                        </w:r>
                      </w:p>
                    </w:txbxContent>
                  </v:textbox>
                </v:rect>
                <v:rect id="_x0000_s1026" o:spid="_x0000_s1026" o:spt="1" style="position:absolute;left:2732405;top:1046480;height:371475;width:77152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Mt0sG96AgAA4w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玻璃纤维</w:t>
                        </w:r>
                      </w:p>
                    </w:txbxContent>
                  </v:textbox>
                </v:rect>
                <v:rect id="_x0000_s1026" o:spid="_x0000_s1026" o:spt="1" style="position:absolute;left:3903980;top:332105;height:371475;width:77152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EXWwQ56AgAA4g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大梁模具</w:t>
                        </w:r>
                      </w:p>
                    </w:txbxContent>
                  </v:textbox>
                </v:rect>
                <v:rect id="_x0000_s1026" o:spid="_x0000_s1026" o:spt="1" style="position:absolute;left:2722880;top:2037080;height:371475;width:77152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Uz+DtQAAAAGAQAADwAAAAAAAAABACAAAAAiAAAAZHJzL2Rv&#10;d25yZXYueG1sUEsBAhQAFAAAAAgAh07iQHjScAN3AgAA4wQAAA4AAAAAAAAAAQAgAAAAIwEAAGRy&#10;cy9lMm9Eb2MueG1sUEsFBgAAAAAGAAYAWQEAAAw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混合树脂</w:t>
                        </w:r>
                      </w:p>
                    </w:txbxContent>
                  </v:textbox>
                </v:rect>
                <v:rect id="_x0000_s1026" o:spid="_x0000_s1026" o:spt="1" style="position:absolute;left:2411730;top:7323455;height:300355;width:835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FM/g7UAAAABgEAAA8AAAAAAAAAAQAgAAAAIgAAAGRycy9k&#10;b3ducmV2LnhtbFBLAQIUABQAAAAIAIdO4kDX6ARveAIAAOMEAAAOAAAAAAAAAAEAIAAAACMBAABk&#10;cnMvZTJvRG9jLnhtbFBLBQYAAAAABgAGAFkBAAAN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自然晾干</w:t>
                        </w:r>
                      </w:p>
                    </w:txbxContent>
                  </v:textbox>
                </v:rect>
                <v:rect id="_x0000_s1026" o:spid="_x0000_s1026" o:spt="1" style="position:absolute;left:2383155;top:7973060;height:284480;width:90614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BTP4O1AAAAAYBAAAPAAAAAAAAAAEAIAAAACIAAABk&#10;cnMvZG93bnJldi54bWxQSwECFAAUAAAACACHTuJA+VD+AHwCAADjBAAADgAAAAAAAAABACAAAAAj&#10;AQAAZHJzL2Uyb0RvYy54bWxQSwUGAAAAAAYABgBZAQAAEQ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总检、入库</w:t>
                        </w:r>
                      </w:p>
                    </w:txbxContent>
                  </v:textbox>
                </v:rect>
                <v:rect id="_x0000_s1026" o:spid="_x0000_s1026" o:spt="1" style="position:absolute;left:2530475;top:6582410;height:458470;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FlEUKl6AgAA4w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调漆、</w:t>
                        </w:r>
                        <w:r>
                          <w:rPr>
                            <w:rFonts w:hint="default" w:eastAsia="宋体"/>
                            <w:lang w:val="en-US" w:eastAsia="zh-CN"/>
                          </w:rPr>
                          <w:t>辊涂</w:t>
                        </w:r>
                      </w:p>
                    </w:txbxContent>
                  </v:textbox>
                </v:rect>
                <v:rect id="_x0000_s1026" o:spid="_x0000_s1026" o:spt="1" style="position:absolute;left:2503805;top:4294505;height:37147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M4LtuV6AgAA4w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修型</w:t>
                        </w:r>
                      </w:p>
                    </w:txbxContent>
                  </v:textbox>
                </v:rect>
                <v:rect id="_x0000_s1026" o:spid="_x0000_s1026" o:spt="1" style="position:absolute;left:2494280;top:3526790;height:27622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BTP4O1AAAAAYBAAAPAAAAAAAAAAEAIAAAACIAAABkcnMv&#10;ZG93bnJldi54bWxQSwECFAAUAAAACACHTuJA55Q8CXkCAADjBAAADgAAAAAAAAABACAAAAAjAQAA&#10;ZHJzL2Uyb0RvYy54bWxQSwUGAAAAAAYABgBZAQAADg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粘合</w:t>
                        </w:r>
                      </w:p>
                    </w:txbxContent>
                  </v:textbox>
                </v:rect>
                <v:rect id="_x0000_s1026" o:spid="_x0000_s1026" o:spt="1" style="position:absolute;left:3909695;top:2765425;height:291465;width:80899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FM/g7UAAAABgEAAA8AAAAAAAAAAQAgAAAAIgAAAGRy&#10;cy9kb3ducmV2LnhtbFBLAQIUABQAAAAIAIdO4kAdgiDBewIAAOMEAAAOAAAAAAAAAAEAIAAAACMB&#10;AABkcnMvZTJvRG9jLnhtbFBLBQYAAAAABgAGAFkBAAAQ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固化、脱模</w:t>
                        </w:r>
                      </w:p>
                    </w:txbxContent>
                  </v:textbox>
                </v:rect>
                <v:rect id="_x0000_s1026" o:spid="_x0000_s1026" o:spt="1" style="position:absolute;left:4008755;top:1046480;height:37147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Uz+DtQAAAAGAQAADwAAAAAAAAABACAAAAAiAAAAZHJz&#10;L2Rvd25yZXYueG1sUEsBAhQAFAAAAAgAh07iQGVqDyZ6AgAA4wQAAA4AAAAAAAAAAQAgAAAAIwEA&#10;AGRycy9lMm9Eb2MueG1sUEsFBgAAAAAGAAYAWQEAAA8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层铺</w:t>
                        </w:r>
                      </w:p>
                    </w:txbxContent>
                  </v:textbox>
                </v:rect>
                <v:rect id="_x0000_s1026" o:spid="_x0000_s1026" o:spt="1" style="position:absolute;left:4018280;top:2037080;height:37147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FM/g7UAAAABgEAAA8AAAAAAAAAAQAgAAAAIgAAAGRycy9k&#10;b3ducmV2LnhtbFBLAQIUABQAAAAIAIdO4kAgwiRCeAIAAOMEAAAOAAAAAAAAAAEAIAAAACMBAABk&#10;cnMvZTJvRG9jLnhtbFBLBQYAAAAABgAGAFkBAAAN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灌注</w:t>
                        </w:r>
                      </w:p>
                    </w:txbxContent>
                  </v:textbox>
                </v:rect>
                <v:rect id="_x0000_s1026" o:spid="_x0000_s1026" o:spt="1" style="position:absolute;left:1227455;top:5904230;height:371475;width:58166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BTP4O1AAAAAYBAAAPAAAAAAAAAAEAIAAAACIAAABkcnMv&#10;ZG93bnJldi54bWxQSwECFAAUAAAACACHTuJAhvlP+nkCAADjBAAADgAAAAAAAAABACAAAAAjAQAA&#10;ZHJzL2Uyb0RvYy54bWxQSwUGAAAAAAYABgBZAQAADg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腻子</w:t>
                        </w:r>
                      </w:p>
                    </w:txbxContent>
                  </v:textbox>
                </v:rect>
                <v:shape id="_x0000_s1026" o:spid="_x0000_s1026" o:spt="32" type="#_x0000_t32" style="position:absolute;left:1867535;top:3665220;flip:y;height:10160;width:626745;" filled="f" stroked="t" coordsize="21600,21600" o:gfxdata="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zhki9UAAAAGAQAADwAAAAAAAAABACAAAAAiAAAA&#10;ZHJzL2Rvd25yZXYueG1sUEsBAhQAFAAAAAgAh07iQGu42ARDAgAATwQAAA4AAAAAAAAAAQAgAAAA&#10;JAEAAGRycy9lMm9Eb2MueG1sUEsFBgAAAAAGAAYAWQEAANkFAAAAAA==&#10;">
                  <v:fill on="f" focussize="0,0"/>
                  <v:stroke weight="0.5pt" color="#000000 [3200]" miterlimit="8" joinstyle="miter" endarrow="block"/>
                  <v:imagedata o:title=""/>
                  <o:lock v:ext="edit" aspectratio="f"/>
                </v:shape>
                <v:shape id="_x0000_s1026" o:spid="_x0000_s1026" o:spt="32" type="#_x0000_t32" style="position:absolute;left:3503930;top:1232535;height:0;width:50482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ZUq3/SAAAABgEAAA8AAAAAAAAAAQAgAAAAIgAAAGRycy9kb3ducmV2Lnht&#10;bFBLAQIUABQAAAAIAIdO4kBTXDN0OAIAAEIEAAAOAAAAAAAAAAEAIAAAACEBAABkcnMvZTJvRG9j&#10;LnhtbFBLBQYAAAAABgAGAFkBAADLBQAAAAA=&#10;">
                  <v:fill on="f" focussize="0,0"/>
                  <v:stroke weight="0.5pt" color="#000000 [3200]" miterlimit="8" joinstyle="miter" endarrow="block"/>
                  <v:imagedata o:title=""/>
                  <o:lock v:ext="edit" aspectratio="f"/>
                </v:shape>
                <v:shape id="_x0000_s1026" o:spid="_x0000_s1026" o:spt="32" type="#_x0000_t32" style="position:absolute;left:3494405;top:2223135;height:0;width:52387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VKt/0gAAAAYBAAAPAAAAAAAAAAEAIAAAACIAAABkcnMvZG93bnJldi54&#10;bWxQSwECFAAUAAAACACHTuJA45Vk8jkCAABCBAAADgAAAAAAAAABACAAAAAhAQAAZHJzL2Uyb0Rv&#10;Yy54bWxQSwUGAAAAAAYABgBZAQAAzAUAAAAA&#10;">
                  <v:fill on="f" focussize="0,0"/>
                  <v:stroke weight="0.5pt" color="#000000 [3200]" miterlimit="8" joinstyle="miter" endarrow="block"/>
                  <v:imagedata o:title=""/>
                  <o:lock v:ext="edit" aspectratio="f"/>
                </v:shape>
                <v:shape id="_x0000_s1026" o:spid="_x0000_s1026" o:spt="32" type="#_x0000_t32" style="position:absolute;left:4309110;top:2408555;height:356870;width:5080;"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lSrf9IAAAAGAQAADwAAAAAAAAABACAAAAAiAAAAZHJzL2Rvd25yZXYu&#10;eG1sUEsBAhQAFAAAAAgAh07iQF10Yf46AgAARQQAAA4AAAAAAAAAAQAgAAAAIQEAAGRycy9lMm9E&#10;b2MueG1sUEsFBgAAAAAGAAYAWQEAAM0FAAAAAA==&#10;">
                  <v:fill on="f" focussize="0,0"/>
                  <v:stroke weight="0.5pt" color="#000000 [3200]" miterlimit="8" joinstyle="miter" endarrow="block"/>
                  <v:imagedata o:title=""/>
                  <o:lock v:ext="edit" aspectratio="f"/>
                </v:shape>
                <v:shape id="_x0000_s1026" o:spid="_x0000_s1026" o:spt="32" type="#_x0000_t32" style="position:absolute;left:4299585;top:1417955;height:619125;width:952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lSrf9IAAAAGAQAADwAAAAAAAAABACAAAAAiAAAAZHJzL2Rvd25yZXYueG1s&#10;UEsBAhQAFAAAAAgAh07iQBcrsFs3AgAARQQAAA4AAAAAAAAAAQAgAAAAIQEAAGRycy9lMm9Eb2Mu&#10;eG1sUEsFBgAAAAAGAAYAWQEAAMoFAAAAAA==&#10;">
                  <v:fill on="f" focussize="0,0"/>
                  <v:stroke weight="0.5pt" color="#000000 [3200]" miterlimit="8" joinstyle="miter" endarrow="block"/>
                  <v:imagedata o:title=""/>
                  <o:lock v:ext="edit" aspectratio="f"/>
                </v:shape>
                <v:shape id="_x0000_s1026" o:spid="_x0000_s1026" o:spt="34" type="#_x0000_t34" style="position:absolute;left:1929765;top:2671445;flip:y;height:1249680;width:461010;rotation:-5898240f;" filled="f" stroked="t" coordsize="21600,21600" o:gfxdata="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Dd0CTXAAAABgEAAA8AAAAAAAAAAQAgAAAAIgAAAGRycy9kb3ducmV2LnhtbFBLAQIUABQAAAAI&#10;AIdO4kDPfkRyYAIAAIMEAAAOAAAAAAAAAAEAIAAAACYBAABkcnMvZTJvRG9jLnhtbFBLBQYAAAAA&#10;BgAGAFkBAAD4BQAAAAA=&#10;" adj="10800">
                  <v:fill on="f" focussize="0,0"/>
                  <v:stroke weight="0.5pt" color="#000000 [3200]" miterlimit="8" joinstyle="miter" endarrow="block"/>
                  <v:imagedata o:title=""/>
                  <o:lock v:ext="edit" aspectratio="f"/>
                </v:shape>
                <v:shape id="_x0000_s1026" o:spid="_x0000_s1026" o:spt="34" type="#_x0000_t34" style="position:absolute;left:3314700;top:2527300;height:1529080;width:469900;rotation:5898240f;" filled="f" stroked="t" coordsize="21600,21600" o:gfxdata="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1+nSy0wAAAAYBAAAPAAAA&#10;AAAAAAEAIAAAACIAAABkcnMvZG93bnJldi54bWxQSwECFAAUAAAACACHTuJA4Wl0/1MCAAB2BAAA&#10;DgAAAAAAAAABACAAAAAiAQAAZHJzL2Uyb0RvYy54bWxQSwUGAAAAAAYABgBZAQAA5wUAAAAA&#10;" adj="10800">
                  <v:fill on="f" focussize="0,0"/>
                  <v:stroke weight="0.5pt" color="#000000 [3200]" miterlimit="8" joinstyle="miter" endarrow="open"/>
                  <v:imagedata o:title=""/>
                  <o:lock v:ext="edit" aspectratio="f"/>
                </v:shape>
                <v:shape id="_x0000_s1026" o:spid="_x0000_s1026" o:spt="32" type="#_x0000_t32" style="position:absolute;left:2804160;top:6275705;height:306705;width:1714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VKt/0gAAAAYBAAAPAAAAAAAAAAEAIAAAACIAAABkcnMvZG93bnJldi54&#10;bWxQSwECFAAUAAAACACHTuJAb+XazjkCAABGBAAADgAAAAAAAAABACAAAAAhAQAAZHJzL2Uyb0Rv&#10;Yy54bWxQSwUGAAAAAAYABgBZAQAAzAUAAAAA&#10;">
                  <v:fill on="f" focussize="0,0"/>
                  <v:stroke weight="0.5pt" color="#000000 [3200]" miterlimit="8" joinstyle="miter" endarrow="block"/>
                  <v:imagedata o:title=""/>
                  <o:lock v:ext="edit" aspectratio="f"/>
                </v:shape>
                <v:shape id="_x0000_s1026" o:spid="_x0000_s1026" o:spt="32" type="#_x0000_t32" style="position:absolute;left:2804160;top:5475605;height:428625;width:0;"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VKt/0gAAAAYBAAAPAAAAAAAAAAEAIAAAACIAAABkcnMvZG93bnJldi54bWxQ&#10;SwECFAAUAAAACACHTuJAnuJWATYCAABCBAAADgAAAAAAAAABACAAAAAhAQAAZHJzL2Uyb0RvYy54&#10;bWxQSwUGAAAAAAYABgBZAQAAyQUAAAAA&#10;">
                  <v:fill on="f" focussize="0,0"/>
                  <v:stroke weight="0.5pt" color="#000000 [3200]" miterlimit="8" joinstyle="miter" endarrow="block"/>
                  <v:imagedata o:title=""/>
                  <o:lock v:ext="edit" aspectratio="f"/>
                </v:shape>
                <v:shape id="_x0000_s1026" o:spid="_x0000_s1026" o:spt="32" type="#_x0000_t32" style="position:absolute;left:2794635;top:4665980;height:438150;width:952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lSrf9IAAAAGAQAADwAAAAAAAAABACAAAAAiAAAAZHJzL2Rvd25yZXYu&#10;eG1sUEsBAhQAFAAAAAgAh07iQCsxGQc6AgAARQQAAA4AAAAAAAAAAQAgAAAAIQEAAGRycy9lMm9E&#10;b2MueG1sUEsFBgAAAAAGAAYAWQEAAM0FAAAAAA==&#10;">
                  <v:fill on="f" focussize="0,0"/>
                  <v:stroke weight="0.5pt" color="#000000 [3200]" miterlimit="8" joinstyle="miter" endarrow="block"/>
                  <v:imagedata o:title=""/>
                  <o:lock v:ext="edit" aspectratio="f"/>
                </v:shape>
                <v:shape id="_x0000_s1026" o:spid="_x0000_s1026" o:spt="32" type="#_x0000_t32" style="position:absolute;left:2785110;top:3803015;height:491490;width:952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GVKt/0gAAAAYBAAAPAAAAAAAAAAEAIAAAACIAAABkcnMvZG93bnJl&#10;di54bWxQSwECFAAUAAAACACHTuJAoPs0XjwCAABFBAAADgAAAAAAAAABACAAAAAhAQAAZHJzL2Uy&#10;b0RvYy54bWxQSwUGAAAAAAYABgBZAQAAzwUAAAAA&#10;">
                  <v:fill on="f" focussize="0,0"/>
                  <v:stroke weight="0.5pt" color="#000000 [3200]" miterlimit="8" joinstyle="miter" endarrow="block"/>
                  <v:imagedata o:title=""/>
                  <o:lock v:ext="edit" aspectratio="f"/>
                </v:shape>
                <v:shape id="_x0000_s1026" o:spid="_x0000_s1026" o:spt="32" type="#_x0000_t32" style="position:absolute;left:2829560;top:7623810;height:349250;width:698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lSrf9IAAAAGAQAADwAAAAAAAAABACAAAAAiAAAAZHJzL2Rvd25yZXYu&#10;eG1sUEsBAhQAFAAAAAgAh07iQEZsp7c6AgAARQQAAA4AAAAAAAAAAQAgAAAAIQEAAGRycy9lMm9E&#10;b2MueG1sUEsFBgAAAAAGAAYAWQEAAM0FAAAAAA==&#10;">
                  <v:fill on="f" focussize="0,0"/>
                  <v:stroke weight="0.5pt" color="#000000 [3200]" miterlimit="8" joinstyle="miter" endarrow="block"/>
                  <v:imagedata o:title=""/>
                  <o:lock v:ext="edit" aspectratio="f"/>
                </v:shape>
                <v:shape id="_x0000_s1026" o:spid="_x0000_s1026" o:spt="32" type="#_x0000_t32" style="position:absolute;left:1809115;top:6090285;height:0;width:60896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lSrf9IAAAAGAQAADwAAAAAAAAABACAAAAAiAAAAZHJzL2Rvd25yZXYu&#10;eG1sUEsBAhQAFAAAAAgAh07iQIPjUYQ6AgAAQgQAAA4AAAAAAAAAAQAgAAAAIQEAAGRycy9lMm9E&#10;b2MueG1sUEsFBgAAAAAGAAYAWQEAAM0FAAAAAA==&#10;">
                  <v:fill on="f" focussize="0,0"/>
                  <v:stroke weight="0.5pt" color="#000000 [3200]" miterlimit="8" joinstyle="miter" endarrow="block"/>
                  <v:imagedata o:title=""/>
                  <o:lock v:ext="edit" aspectratio="f"/>
                </v:shape>
                <v:shape id="_x0000_s1026" o:spid="_x0000_s1026" o:spt="32" type="#_x0000_t32" style="position:absolute;left:2821305;top:7040880;height:282575;width:8255;" filled="f" stroked="t" coordsize="21600,21600" o:gfxdata="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lSrf9IAAAAGAQAADwAAAAAAAAABACAAAAAiAAAAZHJzL2Rvd25yZXYueG1s&#10;UEsBAhQAFAAAAAgAh07iQP934+83AgAARQQAAA4AAAAAAAAAAQAgAAAAIQEAAGRycy9lMm9Eb2Mu&#10;eG1sUEsFBgAAAAAGAAYAWQEAAMoFAAAAAA==&#10;">
                  <v:fill on="f" focussize="0,0"/>
                  <v:stroke weight="0.5pt" color="#000000 [3200]" miterlimit="8" joinstyle="miter" endarrow="block"/>
                  <v:imagedata o:title=""/>
                  <o:lock v:ext="edit" aspectratio="f"/>
                </v:shape>
                <v:shape id="_x0000_s1026" o:spid="_x0000_s1026" o:spt="32" type="#_x0000_t32" style="position:absolute;left:3434715;top:2911475;flip:x;height:172720;width:474980;"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tJaB1AAAAAYBAAAPAAAAAAAA&#10;AAEAIAAAACIAAABkcnMvZG93bnJldi54bWxQSwECFAAUAAAACACHTuJAQThspU8CAABlBAAADgAA&#10;AAAAAAABACAAAAAjAQAAZHJzL2Uyb0RvYy54bWxQSwUGAAAAAAYABgBZAQAA5AUAAAAA&#10;">
                  <v:fill on="f" focussize="0,0"/>
                  <v:stroke weight="0.5pt" color="#000000 [3213]" miterlimit="8" joinstyle="miter" dashstyle="dash" endarrow="open"/>
                  <v:imagedata o:title=""/>
                  <o:lock v:ext="edit" aspectratio="f"/>
                </v:shape>
                <v:shape id="_x0000_s1026" o:spid="_x0000_s1026" o:spt="32" type="#_x0000_t32" style="position:absolute;left:1937385;top:2924175;height:160020;width:401955;" filled="f" stroked="t" coordsize="21600,21600" o:gfxdata="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y8bmdUAAAAGAQAADwAAAAAAAAABACAA&#10;AAAiAAAAZHJzL2Rvd25yZXYueG1sUEsBAhQAFAAAAAgAh07iQP1rpS5JAgAAWwQAAA4AAAAAAAAA&#10;AQAgAAAAJAEAAGRycy9lMm9Eb2MueG1sUEsFBgAAAAAGAAYAWQEAAN8FAAAAAA==&#10;">
                  <v:fill on="f" focussize="0,0"/>
                  <v:stroke weight="0.5pt" color="#000000 [3213]" miterlimit="8" joinstyle="miter" dashstyle="dash" endarrow="open"/>
                  <v:imagedata o:title=""/>
                  <o:lock v:ext="edit" aspectratio="f"/>
                </v:shape>
                <v:rect id="_x0000_s1026" o:spid="_x0000_s1026" o:spt="1" style="position:absolute;left:2339340;top:2957195;height:254000;width:1095375;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G0CZLUAAAABgEAAA8AAAAAAAAAAQAgAAAAIgAAAGRy&#10;cy9kb3ducmV2LnhtbFBLAQIUABQAAAAIAIdO4kAKUI28ewIAAOIEAAAOAAAAAAAAAAEAIAAAACMB&#10;AABkcnMvZTJvRG9jLnhtbFBLBQYAAAAABgAGAFkBAAAQBg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有机废气、噪声</w:t>
                        </w:r>
                      </w:p>
                    </w:txbxContent>
                  </v:textbox>
                </v:rect>
                <v:shape id="_x0000_s1026" o:spid="_x0000_s1026" o:spt="32" type="#_x0000_t32" style="position:absolute;left:3100705;top:4418330;flip:y;height:86995;width:292100;"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20loHUAAAABgEAAA8AAAAAAAAAAQAgAAAAIgAAAGRycy9kb3ducmV2LnhtbFBLAQIU&#10;ABQAAAAIAIdO4kDzqDpdMAIAACIEAAAOAAAAAAAAAAEAIAAAACMBAABkcnMvZTJvRG9jLnhtbFBL&#10;BQYAAAAABgAGAFkBAADFBQAAAAA=&#10;">
                  <v:fill on="f" focussize="0,0"/>
                  <v:stroke weight="0.5pt" color="#000000 [3213]" miterlimit="8" joinstyle="miter" dashstyle="dash" endarrow="open"/>
                  <v:imagedata o:title=""/>
                  <o:lock v:ext="edit" aspectratio="f"/>
                </v:shape>
                <v:shape id="_x0000_s1026" o:spid="_x0000_s1026" o:spt="32" type="#_x0000_t32" style="position:absolute;left:3075940;top:3655695;flip:y;height:9525;width:628015;"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bSWgdQAAAAGAQAADwAAAAAAAAABACAA&#10;AAAiAAAAZHJzL2Rvd25yZXYueG1sUEsBAhQAFAAAAAgAh07iQFBorAlKAgAAYwQAAA4AAAAAAAAA&#10;AQAgAAAAIwEAAGRycy9lMm9Eb2MueG1sUEsFBgAAAAAGAAYAWQEAAN8FAAAAAA==&#10;">
                  <v:fill on="f" focussize="0,0"/>
                  <v:stroke weight="0.5pt" color="#000000 [3213]" miterlimit="8" joinstyle="miter" dashstyle="dash" endarrow="open"/>
                  <v:imagedata o:title=""/>
                  <o:lock v:ext="edit" aspectratio="f"/>
                </v:shape>
                <v:shape id="_x0000_s1026" o:spid="_x0000_s1026" o:spt="32" type="#_x0000_t32" style="position:absolute;left:3268980;top:1744345;flip:x y;height:292735;width:1040130;" filled="f" stroked="t" coordsize="21600,21600" o:gfxdata="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wBc831QAAAAYBAAAPAAAA&#10;AAAAAAEAIAAAACIAAABkcnMvZG93bnJldi54bWxQSwECFAAUAAAACACHTuJAtIVuclECAABwBAAA&#10;DgAAAAAAAAABACAAAAAkAQAAZHJzL2Uyb0RvYy54bWxQSwUGAAAAAAYABgBZAQAA5wUAAAAA&#10;">
                  <v:fill on="f" focussize="0,0"/>
                  <v:stroke weight="0.5pt" color="#000000 [3213]" miterlimit="8" joinstyle="miter" dashstyle="dash" endarrow="open"/>
                  <v:imagedata o:title=""/>
                  <o:lock v:ext="edit" aspectratio="f"/>
                </v:shape>
                <v:shape id="_x0000_s1026" o:spid="_x0000_s1026" o:spt="32" type="#_x0000_t32" style="position:absolute;left:1527810;top:1744345;flip:y;height:292735;width:786130;"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20loHUAAAABgEAAA8AAAAAAAAAAQAg&#10;AAAAIgAAAGRycy9kb3ducmV2LnhtbFBLAQIUABQAAAAIAIdO4kAGVFidSwIAAGUEAAAOAAAAAAAA&#10;AAEAIAAAACMBAABkcnMvZTJvRG9jLnhtbFBLBQYAAAAABgAGAFkBAADgBQAAAAA=&#10;">
                  <v:fill on="f" focussize="0,0"/>
                  <v:stroke weight="0.5pt" color="#000000 [3213]" miterlimit="8" joinstyle="miter" dashstyle="dash" endarrow="open"/>
                  <v:imagedata o:title=""/>
                  <o:lock v:ext="edit" aspectratio="f"/>
                </v:shape>
                <v:rect id="_x0000_s1026" o:spid="_x0000_s1026" o:spt="1" style="position:absolute;left:2313940;top:1521460;height:445135;width:955040;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RtAmS1AAAAAYBAAAPAAAAAAAAAAEAIAAAACIAAABkcnMv&#10;ZG93bnJldi54bWxQSwECFAAUAAAACACHTuJAteuJ9HkCAADhBAAADgAAAAAAAAABACAAAAAjAQAA&#10;ZHJzL2Uyb0RvYy54bWxQSwUGAAAAAAYABgBZAQAADgY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固废、噪声、有机废气</w:t>
                        </w:r>
                      </w:p>
                    </w:txbxContent>
                  </v:textbox>
                </v:rect>
                <v:rect id="_x0000_s1026" o:spid="_x0000_s1026" o:spt="1" style="position:absolute;left:3703955;top:3528695;height:254000;width:777240;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G0CZLUAAAABgEAAA8AAAAAAAAAAQAgAAAAIgAAAGRy&#10;cy9kb3ducmV2LnhtbFBLAQIUABQAAAAIAIdO4kCf3g74ewIAAOEEAAAOAAAAAAAAAAEAIAAAACMB&#10;AABkcnMvZTJvRG9jLnhtbFBLBQYAAAAABgAGAFkBAAAQBg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有机废气</w:t>
                        </w:r>
                      </w:p>
                    </w:txbxContent>
                  </v:textbox>
                </v:rect>
                <v:rect id="_x0000_s1026" o:spid="_x0000_s1026" o:spt="1" style="position:absolute;left:965200;top:5267960;height:254000;width:1101725;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G0CZLUAAAABgEAAA8AAAAAAAAAAQAgAAAAIgAAAGRy&#10;cy9kb3ducmV2LnhtbFBLAQIUABQAAAAIAIdO4kDMeXZTewIAAOEEAAAOAAAAAAAAAAEAIAAAACMB&#10;AABkcnMvZTJvRG9jLnhtbFBLBQYAAAAABgAGAFkBAAAQBg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有机废气、噪声</w:t>
                        </w:r>
                      </w:p>
                    </w:txbxContent>
                  </v:textbox>
                </v:rect>
                <v:rect id="_x0000_s1026" o:spid="_x0000_s1026" o:spt="1" style="position:absolute;left:3395980;top:4269105;height:254000;width:1429385;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bQJktQAAAAGAQAADwAAAAAAAAABACAAAAAiAAAA&#10;ZHJzL2Rvd25yZXYueG1sUEsBAhQAFAAAAAgAh07iQEKtfb19AgAA4gQAAA4AAAAAAAAAAQAgAAAA&#10;IwEAAGRycy9lMm9Eb2MueG1sUEsFBgAAAAAGAAYAWQEAABIGA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粉尘、固废、噪声</w:t>
                        </w:r>
                      </w:p>
                    </w:txbxContent>
                  </v:textbox>
                </v:rect>
                <v:shape id="_x0000_s1026" o:spid="_x0000_s1026" o:spt="32" type="#_x0000_t32" style="position:absolute;left:1516380;top:5521960;flip:x y;height:382270;width:1905;" filled="f" stroked="t" coordsize="21600,21600" o:gfxdata="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Bc831QAAAAYBAAAPAAAAAAAA&#10;AAEAIAAAACIAAABkcnMvZG93bnJldi54bWxQSwECFAAUAAAACACHTuJA/R+Fck4CAABtBAAADgAA&#10;AAAAAAABACAAAAAkAQAAZHJzL2Uyb0RvYy54bWxQSwUGAAAAAAYABgBZAQAA5AUAAAAA&#10;">
                  <v:fill on="f" focussize="0,0"/>
                  <v:stroke weight="0.5pt" color="#000000 [3213]" miterlimit="8" joinstyle="miter" dashstyle="dash" endarrow="open"/>
                  <v:imagedata o:title=""/>
                  <o:lock v:ext="edit" aspectratio="f"/>
                </v:shape>
                <v:shape id="_x0000_s1026" o:spid="_x0000_s1026" o:spt="32" type="#_x0000_t32" style="position:absolute;left:3189605;top:5918835;flip:y;height:171450;width:363855;"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bSWgdQAAAAGAQAADwAAAAAAAAAB&#10;ACAAAAAiAAAAZHJzL2Rvd25yZXYueG1sUEsBAhQAFAAAAAgAh07iQNJLYa9NAgAAZQQAAA4AAAAA&#10;AAAAAQAgAAAAIwEAAGRycy9lMm9Eb2MueG1sUEsFBgAAAAAGAAYAWQEAAOIFAAAAAA==&#10;">
                  <v:fill on="f" focussize="0,0"/>
                  <v:stroke weight="0.5pt" color="#000000 [3213]" miterlimit="8" joinstyle="miter" dashstyle="dash" endarrow="open"/>
                  <v:imagedata o:title=""/>
                  <o:lock v:ext="edit" aspectratio="f"/>
                </v:shape>
                <v:shape id="_x0000_s1026" o:spid="_x0000_s1026" o:spt="32" type="#_x0000_t32" style="position:absolute;left:3189605;top:5116830;flip:y;height:173355;width:331470;"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bSWgdQAAAAGAQAADwAAAAAAAAABACAA&#10;AAAiAAAAZHJzL2Rvd25yZXYueG1sUEsBAhQAFAAAAAgAh07iQMhdhodKAgAAZQQAAA4AAAAAAAAA&#10;AQAgAAAAIwEAAGRycy9lMm9Eb2MueG1sUEsFBgAAAAAGAAYAWQEAAN8FAAAAAA==&#10;">
                  <v:fill on="f" focussize="0,0"/>
                  <v:stroke weight="0.5pt" color="#000000 [3213]" miterlimit="8" joinstyle="miter" dashstyle="dash" endarrow="open"/>
                  <v:imagedata o:title=""/>
                  <o:lock v:ext="edit" aspectratio="f"/>
                </v:shape>
                <v:rect id="_x0000_s1026" o:spid="_x0000_s1026" o:spt="1" style="position:absolute;left:3521075;top:4989830;height:254000;width:541020;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bQJktQAAAAGAQAADwAAAAAAAAABACAAAAAiAAAAZHJz&#10;L2Rvd25yZXYueG1sUEsBAhQAFAAAAAgAh07iQMeYaop6AgAA4QQAAA4AAAAAAAAAAQAgAAAAIwEA&#10;AGRycy9lMm9Eb2MueG1sUEsFBgAAAAAGAAYAWQEAAA8GA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噪声</w:t>
                        </w:r>
                      </w:p>
                    </w:txbxContent>
                  </v:textbox>
                </v:rect>
                <v:rect id="_x0000_s1026" o:spid="_x0000_s1026" o:spt="1" style="position:absolute;left:3553460;top:5791835;height:254000;width:1429385;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bQJktQAAAAGAQAADwAAAAAAAAABACAAAAAiAAAA&#10;ZHJzL2Rvd25yZXYueG1sUEsBAhQAFAAAAAgAh07iQPfRWI59AgAA4gQAAA4AAAAAAAAAAQAgAAAA&#10;IwEAAGRycy9lMm9Eb2MueG1sUEsFBgAAAAAGAAYAWQEAABIGA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粉尘、固废、噪声</w:t>
                        </w:r>
                      </w:p>
                    </w:txbxContent>
                  </v:textbox>
                </v:rect>
                <v:rect id="_x0000_s1026" o:spid="_x0000_s1026" o:spt="1" style="position:absolute;left:3594100;top:6679565;height:254000;width:1680210;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bQJktQAAAAGAQAADwAAAAAAAAABACAAAAAiAAAAZHJz&#10;L2Rvd25yZXYueG1sUEsBAhQAFAAAAAgAh07iQLQO2bZ6AgAA4gQAAA4AAAAAAAAAAQAgAAAAIwEA&#10;AGRycy9lMm9Eb2MueG1sUEsFBgAAAAAGAAYAWQEAAA8GA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有机废气、噪声、固废</w:t>
                        </w:r>
                      </w:p>
                    </w:txbxContent>
                  </v:textbox>
                </v:rect>
                <v:shape id="_x0000_s1026" o:spid="_x0000_s1026" o:spt="32" type="#_x0000_t32" style="position:absolute;left:3112135;top:6806565;flip:y;height:5080;width:481965;" filled="f" stroked="t" coordsize="21600,21600" o:gfxdata="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20loHUAAAABgEAAA8AAAAAAAAAAQAg&#10;AAAAIgAAAGRycy9kb3ducmV2LnhtbFBLAQIUABQAAAAIAIdO4kAaztq0SwIAAGMEAAAOAAAAAAAA&#10;AAEAIAAAACMBAABkcnMvZTJvRG9jLnhtbFBLBQYAAAAABgAGAFkBAADgBQAAAAA=&#10;">
                  <v:fill on="f" focussize="0,0"/>
                  <v:stroke weight="0.5pt" color="#000000 [3213]" miterlimit="8" joinstyle="miter" dashstyle="dash" endarrow="open"/>
                  <v:imagedata o:title=""/>
                  <o:lock v:ext="edit" aspectratio="f"/>
                </v:shape>
                <v:rect id="_x0000_s1026" o:spid="_x0000_s1026" o:spt="1" style="position:absolute;left:3806825;top:7353935;height:254000;width:777240;v-text-anchor:middle;" filled="f" stroked="t" coordsize="21600,21600" o:gfxdata="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&#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RtAmS1AAAAAYBAAAPAAAAAAAAAAEAIAAAACIAAABk&#10;cnMvZG93bnJldi54bWxQSwECFAAUAAAACACHTuJAJX33b3wCAADhBAAADgAAAAAAAAABACAAAAAj&#10;AQAAZHJzL2Uyb0RvYy54bWxQSwUGAAAAAAYABgBZAQAAEQYAAAAA&#10;">
                  <v:fill on="f" focussize="0,0"/>
                  <v:stroke weight="0.5pt" color="#000000 [3213]" miterlimit="8" joinstyle="miter" dashstyle="dash"/>
                  <v:imagedata o:title=""/>
                  <o:lock v:ext="edit" aspectratio="f"/>
                  <v:textbox>
                    <w:txbxContent>
                      <w:p>
                        <w:pPr>
                          <w:jc w:val="center"/>
                          <w:rPr>
                            <w:rFonts w:hint="default" w:eastAsia="宋体"/>
                            <w:lang w:val="en-US" w:eastAsia="zh-CN"/>
                          </w:rPr>
                        </w:pPr>
                        <w:r>
                          <w:rPr>
                            <w:rFonts w:hint="eastAsia" w:eastAsia="宋体"/>
                            <w:lang w:val="en-US" w:eastAsia="zh-CN"/>
                          </w:rPr>
                          <w:t>有机废气</w:t>
                        </w:r>
                      </w:p>
                    </w:txbxContent>
                  </v:textbox>
                </v:rect>
                <v:shape id="_x0000_s1026" o:spid="_x0000_s1026" o:spt="32" type="#_x0000_t32" style="position:absolute;left:3247390;top:7473950;height:6985;width:559435;" filled="f" stroked="t" coordsize="21600,21600" o:gfxdata="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y8bmdUAAAAGAQAADwAAAAAAAAABACAAAAAiAAAAZHJz&#10;L2Rvd25yZXYueG1sUEsBAhQAFAAAAAgAh07iQDmqF+ZAAgAAWQQAAA4AAAAAAAAAAQAgAAAAJAEA&#10;AGRycy9lMm9Eb2MueG1sUEsFBgAAAAAGAAYAWQEAANYFAAAAAA==&#10;">
                  <v:fill on="f" focussize="0,0"/>
                  <v:stroke weight="0.5pt" color="#000000 [3213]" miterlimit="8" joinstyle="miter" dashstyle="dash" endarrow="open"/>
                  <v:imagedata o:title=""/>
                  <o:lock v:ext="edit" aspectratio="f"/>
                </v:shape>
                <v:shape id="_x0000_s1026" o:spid="_x0000_s1026" o:spt="32" type="#_x0000_t32" style="position:absolute;left:1943735;top:2665095;flip:x;height:135255;width:588010;" filled="f" stroked="t" coordsize="21600,21600" o:gfxdata="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BLD5tUAAAAGAQAADwAAAAAAAAABACAAAAAiAAAAZHJzL2Rvd25yZXYueG1s&#10;UEsBAhQAFAAAAAgAh07iQAmUj700AgAAMgQAAA4AAAAAAAAAAQAgAAAAJAEAAGRycy9lMm9Eb2Mu&#10;eG1sUEsFBgAAAAAGAAYAWQEAAMoFAAAAAA==&#10;">
                  <v:fill on="f" focussize="0,0"/>
                  <v:stroke weight="0.5pt" color="#000000 [3200]" miterlimit="8" joinstyle="miter" endarrow="open"/>
                  <v:imagedata o:title=""/>
                  <o:lock v:ext="edit" aspectratio="f"/>
                </v:shape>
                <v:shape id="_x0000_s1026" o:spid="_x0000_s1026" o:spt="32" type="#_x0000_t32" style="position:absolute;left:3182620;top:2665095;height:111125;width:729615;" filled="f" stroked="t" coordsize="21600,21600" o:gfxdata="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ePRc1QAAAAYBAAAPAAAAAAAAAAEAIAAAACIAAABkcnMvZG93bnJldi54bWxQSwEC&#10;FAAUAAAACACHTuJA/TeNvjACAAAsBAAADgAAAAAAAAABACAAAAAkAQAAZHJzL2Uyb0RvYy54bWxQ&#10;SwUGAAAAAAYABgBZAQAAxgUAAAAA&#10;">
                  <v:fill on="f" focussize="0,0"/>
                  <v:stroke weight="0.5pt" color="#000000 [3200]" miterlimit="8" joinstyle="miter" endarrow="open"/>
                  <v:imagedata o:title=""/>
                  <o:lock v:ext="edit" aspectratio="f"/>
                </v:shape>
                <v:rect id="_x0000_s1026" o:spid="_x0000_s1026" o:spt="1" style="position:absolute;left:2531745;top:2522220;height:285750;width:650875;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BTP4O1AAAAAYBAAAPAAAAAAAAAAEAIAAAACIAAABkcnMv&#10;ZG93bnJldi54bWxQSwECFAAUAAAACACHTuJAUDeL4XkCAADlBAAADgAAAAAAAAABACAAAAAjAQAA&#10;ZHJzL2Uyb0RvYy54bWxQSwUGAAAAAAYABgBZAQAADgYAAAAA&#10;">
                  <v:fill on="f" focussize="0,0"/>
                  <v:stroke weight="1pt" color="#000000 [3213]" miterlimit="8" joinstyle="miter"/>
                  <v:imagedata o:title=""/>
                  <o:lock v:ext="edit" aspectratio="f"/>
                  <v:textbox>
                    <w:txbxContent>
                      <w:p>
                        <w:pPr>
                          <w:jc w:val="center"/>
                          <w:rPr>
                            <w:rFonts w:hint="eastAsia" w:eastAsia="宋体"/>
                            <w:b/>
                            <w:bCs/>
                            <w:lang w:val="en-US" w:eastAsia="zh-CN"/>
                          </w:rPr>
                        </w:pPr>
                        <w:r>
                          <w:rPr>
                            <w:rFonts w:hint="eastAsia" w:eastAsia="宋体"/>
                            <w:b/>
                            <w:bCs/>
                            <w:lang w:val="en-US" w:eastAsia="zh-CN"/>
                          </w:rPr>
                          <w:t>电加热</w:t>
                        </w:r>
                      </w:p>
                    </w:txbxContent>
                  </v:textbox>
                </v:rect>
                <v:shape id="_x0000_s1026" o:spid="_x0000_s1026" o:spt="34" type="#_x0000_t34" style="position:absolute;left:2411730;top:6811645;flip:y;height:662305;width:118745;rotation:11796480f;" filled="f" stroked="t" coordsize="21600,21600" o:gfxdata="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ZXLA9YAAAAGAQAADwAAAAAAAAABACAAAAAiAAAAZHJzL2Rvd25yZXYueG1sUEsBAhQAFAAAAAgA&#10;h07iQISwZ9lgAgAArgQAAA4AAAAAAAAAAQAgAAAAJQEAAGRycy9lMm9Eb2MueG1sUEsFBgAAAAAG&#10;AAYAWQEAAPcFAAAAAA==&#10;" adj="64916">
                  <v:fill on="f" focussize="0,0"/>
                  <v:stroke weight="0.5pt" color="#000000 [3200]" miterlimit="8" joinstyle="miter" startarrow="open" endarrow="open"/>
                  <v:imagedata o:title=""/>
                  <o:lock v:ext="edit" aspectratio="f"/>
                </v:shape>
                <v:shape id="_x0000_s1026" o:spid="_x0000_s1026" o:spt="32" type="#_x0000_t32" style="position:absolute;left:1619250;top:7137400;flip:y;height:8255;width:555625;" filled="f" stroked="t" coordsize="21600,21600" o:gfxdata="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EsPm1QAAAAYBAAAPAAAAAAAAAAEAIAAAACIAAABkcnMvZG93bnJldi54&#10;bWxQSwECFAAUAAAACACHTuJARhw/EjYCAAA0BAAADgAAAAAAAAABACAAAAAkAQAAZHJzL2Uyb0Rv&#10;Yy54bWxQSwUGAAAAAAYABgBZAQAAzAUAAAAA&#10;">
                  <v:fill on="f" focussize="0,0"/>
                  <v:stroke weight="0.5pt" color="#000000 [3200]" miterlimit="8" joinstyle="miter" endarrow="open"/>
                  <v:imagedata o:title=""/>
                  <o:lock v:ext="edit" aspectratio="f"/>
                </v:shape>
                <v:rect id="_x0000_s1026" o:spid="_x0000_s1026" o:spt="1" style="position:absolute;left:381000;top:6514465;height:1261745;width:1238250;v-text-anchor:middle;" filled="f" stroked="t" coordsize="21600,21600" o:gfxdata="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FM/g7UAAAABgEAAA8AAAAAAAAAAQAgAAAAIgAAAGRy&#10;cy9kb3ducmV2LnhtbFBLAQIUABQAAAAIAIdO4kDcYv60ewIAAOYEAAAOAAAAAAAAAAEAIAAAACMB&#10;AABkcnMvZTJvRG9jLnhtbFBLBQYAAAAABgAGAFkBAAAQBgAAAAA=&#10;">
                  <v:fill on="f" focussize="0,0"/>
                  <v:stroke weight="1pt" color="#000000 [3213]" miterlimit="8" joinstyle="miter"/>
                  <v:imagedata o:title=""/>
                  <o:lock v:ext="edit" aspectratio="f"/>
                  <v:textbox>
                    <w:txbxContent>
                      <w:p>
                        <w:pPr>
                          <w:pageBreakBefore w:val="0"/>
                          <w:widowControl/>
                          <w:kinsoku w:val="0"/>
                          <w:wordWrap/>
                          <w:overflowPunct/>
                          <w:topLinePunct w:val="0"/>
                          <w:autoSpaceDE w:val="0"/>
                          <w:autoSpaceDN w:val="0"/>
                          <w:bidi w:val="0"/>
                          <w:adjustRightInd/>
                          <w:snapToGrid/>
                          <w:spacing w:before="0" w:after="0" w:line="240" w:lineRule="auto"/>
                          <w:jc w:val="both"/>
                          <w:textAlignment w:val="baseline"/>
                          <w:outlineLvl w:val="9"/>
                          <w:rPr>
                            <w:rFonts w:hint="default" w:eastAsia="宋体"/>
                            <w:b/>
                            <w:bCs/>
                            <w:lang w:val="en-US" w:eastAsia="zh-CN"/>
                          </w:rPr>
                        </w:pPr>
                        <w:r>
                          <w:rPr>
                            <w:rFonts w:hint="eastAsia" w:eastAsia="宋体"/>
                            <w:b/>
                            <w:bCs/>
                            <w:lang w:val="en-US" w:eastAsia="zh-CN"/>
                          </w:rPr>
                          <w:t>调漆、辊涂、自然晾干过程均在同一间密闭涂装车间内完成。</w:t>
                        </w:r>
                      </w:p>
                      <w:p>
                        <w:pPr>
                          <w:pageBreakBefore w:val="0"/>
                          <w:widowControl/>
                          <w:kinsoku w:val="0"/>
                          <w:wordWrap/>
                          <w:overflowPunct/>
                          <w:topLinePunct w:val="0"/>
                          <w:autoSpaceDE w:val="0"/>
                          <w:autoSpaceDN w:val="0"/>
                          <w:bidi w:val="0"/>
                          <w:adjustRightInd/>
                          <w:snapToGrid/>
                          <w:spacing w:before="0" w:after="0" w:line="240" w:lineRule="auto"/>
                          <w:jc w:val="both"/>
                          <w:textAlignment w:val="baseline"/>
                          <w:outlineLvl w:val="9"/>
                          <w:rPr>
                            <w:rFonts w:hint="eastAsia" w:eastAsia="宋体"/>
                            <w:b/>
                            <w:bCs/>
                            <w:lang w:eastAsia="zh-CN"/>
                          </w:rPr>
                        </w:pPr>
                        <w:r>
                          <w:rPr>
                            <w:rFonts w:hint="eastAsia" w:eastAsia="宋体"/>
                            <w:b/>
                            <w:bCs/>
                            <w:lang w:eastAsia="zh-CN"/>
                          </w:rPr>
                          <w:t>（</w:t>
                        </w:r>
                        <w:r>
                          <w:rPr>
                            <w:rFonts w:hint="eastAsia" w:eastAsia="宋体"/>
                            <w:b/>
                            <w:bCs/>
                            <w:lang w:val="en-US" w:eastAsia="zh-CN"/>
                          </w:rPr>
                          <w:t>催化燃烧热源采用电加热</w:t>
                        </w:r>
                        <w:r>
                          <w:rPr>
                            <w:rFonts w:hint="eastAsia" w:eastAsia="宋体"/>
                            <w:b/>
                            <w:bCs/>
                            <w:lang w:eastAsia="zh-CN"/>
                          </w:rPr>
                          <w:t>）</w:t>
                        </w:r>
                      </w:p>
                    </w:txbxContent>
                  </v:textbox>
                </v:rect>
                <w10:wrap type="none"/>
                <w10:anchorlock/>
              </v:group>
            </w:pict>
          </mc:Fallback>
        </mc:AlternateConten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图3.</w:t>
      </w:r>
      <w:r>
        <w:rPr>
          <w:rFonts w:hint="default" w:ascii="Times New Roman" w:hAnsi="Times New Roman" w:eastAsia="宋体" w:cs="Times New Roman"/>
          <w:b/>
          <w:bCs/>
          <w:color w:val="000000" w:themeColor="text1"/>
          <w:spacing w:val="2"/>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pacing w:val="2"/>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10"/>
          <w:w w:val="10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pacing w:val="10"/>
          <w:w w:val="101"/>
          <w:sz w:val="21"/>
          <w:szCs w:val="21"/>
          <w:highlight w:val="none"/>
          <w:lang w:val="en-US" w:eastAsia="zh-CN"/>
          <w14:textFill>
            <w14:solidFill>
              <w14:schemeClr w14:val="tx1"/>
            </w14:solidFill>
          </w14:textFill>
        </w:rPr>
        <w:t>运营期叶片</w:t>
      </w: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生产工艺流程</w:t>
      </w:r>
    </w:p>
    <w:p>
      <w:pPr>
        <w:keepNext w:val="0"/>
        <w:keepLines w:val="0"/>
        <w:pageBreakBefore w:val="0"/>
        <w:widowControl/>
        <w:kinsoku/>
        <w:wordWrap/>
        <w:overflowPunct w:val="0"/>
        <w:topLinePunct w:val="0"/>
        <w:autoSpaceDE w:val="0"/>
        <w:autoSpaceDN w:val="0"/>
        <w:bidi w:val="0"/>
        <w:adjustRightInd/>
        <w:snapToGrid/>
        <w:spacing w:line="360" w:lineRule="auto"/>
        <w:ind w:firstLine="452"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主要工艺流程简述：</w:t>
      </w:r>
    </w:p>
    <w:p>
      <w:pPr>
        <w:keepNext w:val="0"/>
        <w:keepLines w:val="0"/>
        <w:pageBreakBefore w:val="0"/>
        <w:widowControl/>
        <w:kinsoku/>
        <w:wordWrap/>
        <w:overflowPunct w:val="0"/>
        <w:topLinePunct w:val="0"/>
        <w:autoSpaceDE w:val="0"/>
        <w:autoSpaceDN w:val="0"/>
        <w:bidi w:val="0"/>
        <w:adjustRightInd/>
        <w:snapToGrid/>
        <w:spacing w:line="360" w:lineRule="auto"/>
        <w:ind w:firstLine="476"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预制件制备包括大梁</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叶片</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制备。利用大梁</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叶片</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模具外形，在模具上铺设玻纤布、夹心套材及导流辅材，并将真空袋膜密封，使用抽气管道连接</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真空泵和密封区域，用树脂混合机按配比混合环氧树脂及玻璃钢固化剂，然后</w:t>
      </w:r>
      <w:r>
        <w:rPr>
          <w:rFonts w:hint="default" w:ascii="Times New Roman" w:hAnsi="Times New Roman" w:eastAsia="宋体" w:cs="Times New Roman"/>
          <w:color w:val="000000" w:themeColor="text1"/>
          <w:sz w:val="24"/>
          <w:szCs w:val="24"/>
          <w:highlight w:val="none"/>
          <w14:textFill>
            <w14:solidFill>
              <w14:schemeClr w14:val="tx1"/>
            </w14:solidFill>
          </w14:textFill>
        </w:rPr>
        <w:t>将混合好的树脂导入，并将密封区域压力抽至</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0.1Mpa以排除气泡使积层致密。</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灌注完成后进行70℃加热使得部件固化成型，</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此处固化时间为6小时。固化完成后需进行脱模，撕除袋膜等辅材，用行车将附</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件吊离模具。</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在粘接区域按照测量间隙涂刮结构胶，并翻</w:t>
      </w:r>
      <w:r>
        <w:rPr>
          <w:rFonts w:hint="default" w:ascii="Times New Roman" w:hAnsi="Times New Roman" w:eastAsia="宋体" w:cs="Times New Roman"/>
          <w:color w:val="000000" w:themeColor="text1"/>
          <w:spacing w:val="-13"/>
          <w:sz w:val="24"/>
          <w:szCs w:val="24"/>
          <w:highlight w:val="none"/>
          <w14:textFill>
            <w14:solidFill>
              <w14:schemeClr w14:val="tx1"/>
            </w14:solidFill>
          </w14:textFill>
        </w:rPr>
        <w:t>转合模加压；合模之后清理残余的结构胶，用玻纤布进行内补强，之后进</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行恒温固化，完成合模工序。</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合模后的产品需经小型手磨机或切割机进行切边打磨，然后用玻纤布对叶片前后缘外部进行手糊补强（使用树脂手工浸润玻纤布，贴附在叶片前后缘外</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表面</w:t>
      </w:r>
      <w:r>
        <w:rPr>
          <w:rFonts w:hint="default" w:ascii="Times New Roman" w:hAnsi="Times New Roman" w:eastAsia="宋体" w:cs="Times New Roman"/>
          <w:color w:val="000000" w:themeColor="text1"/>
          <w:spacing w:val="-54"/>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加强后进行表面处理（使用砂纸将叶片表面打磨粗糙，然后使用腻子</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对叶片表面不平的位置进行修型</w:t>
      </w:r>
      <w:r>
        <w:rPr>
          <w:rFonts w:hint="default" w:ascii="Times New Roman" w:hAnsi="Times New Roman" w:eastAsia="宋体" w:cs="Times New Roman"/>
          <w:color w:val="000000" w:themeColor="text1"/>
          <w:spacing w:val="-6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完成后安装遮雨帽、人孔板以及螺母、螺</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栓，每次单件产品入全密闭涂装房进行人工辊涂</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后放置指定位置</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自然晾干，</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最后经称重，安装铭牌及刻度盘等标识后进行配重，并经</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检验合格后，即可出厂</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主机制造生产主要为：发电机组机舱、轮毂、底架、控制柜部件装配及机罩部件装配、成品包装等。</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mc:AlternateContent>
          <mc:Choice Requires="wpc">
            <w:drawing>
              <wp:inline distT="0" distB="0" distL="114300" distR="114300">
                <wp:extent cx="5274310" cy="1837055"/>
                <wp:effectExtent l="0" t="0" r="0" b="0"/>
                <wp:docPr id="97" name="画布 97"/>
                <wp:cNvGraphicFramePr/>
                <a:graphic xmlns:a="http://schemas.openxmlformats.org/drawingml/2006/main">
                  <a:graphicData uri="http://schemas.microsoft.com/office/word/2010/wordprocessingCanvas">
                    <wpc:wpc>
                      <wpc:bg/>
                      <wpc:whole>
                        <a:ln>
                          <a:noFill/>
                        </a:ln>
                      </wpc:whole>
                      <wps:wsp>
                        <wps:cNvPr id="43" name="矩形 98"/>
                        <wps:cNvSpPr/>
                        <wps:spPr>
                          <a:xfrm>
                            <a:off x="2178685" y="779780"/>
                            <a:ext cx="516255" cy="2781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装配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99"/>
                        <wps:cNvSpPr/>
                        <wps:spPr>
                          <a:xfrm>
                            <a:off x="3259455" y="767715"/>
                            <a:ext cx="818515" cy="316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宋体"/>
                                  <w:lang w:val="en-US" w:eastAsia="zh-CN"/>
                                </w:rPr>
                              </w:pPr>
                              <w:r>
                                <w:rPr>
                                  <w:rFonts w:hint="eastAsia" w:eastAsia="宋体"/>
                                  <w:lang w:val="en-US" w:eastAsia="zh-CN"/>
                                </w:rPr>
                                <w:t>成品包装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 100"/>
                        <wps:cNvSpPr/>
                        <wps:spPr>
                          <a:xfrm>
                            <a:off x="284480" y="452120"/>
                            <a:ext cx="572770" cy="2463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机罩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101"/>
                        <wps:cNvSpPr/>
                        <wps:spPr>
                          <a:xfrm>
                            <a:off x="238125" y="65405"/>
                            <a:ext cx="713105" cy="3181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控制柜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102"/>
                        <wps:cNvSpPr/>
                        <wps:spPr>
                          <a:xfrm>
                            <a:off x="280035" y="1080770"/>
                            <a:ext cx="516255" cy="2463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底架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103"/>
                        <wps:cNvSpPr/>
                        <wps:spPr>
                          <a:xfrm>
                            <a:off x="304800" y="749935"/>
                            <a:ext cx="493395" cy="2933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轮毂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104"/>
                        <wps:cNvSpPr/>
                        <wps:spPr>
                          <a:xfrm>
                            <a:off x="67945" y="1435100"/>
                            <a:ext cx="1056005" cy="333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发电机组机舱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直接箭头连接符 105"/>
                        <wps:cNvCnPr>
                          <a:stCxn id="101" idx="3"/>
                        </wps:cNvCnPr>
                        <wps:spPr>
                          <a:xfrm flipV="1">
                            <a:off x="951230" y="216535"/>
                            <a:ext cx="655320" cy="8255"/>
                          </a:xfrm>
                          <a:prstGeom prst="straightConnector1">
                            <a:avLst/>
                          </a:prstGeom>
                          <a:ln>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77" name="直接箭头连接符 106"/>
                        <wps:cNvCnPr>
                          <a:stCxn id="102" idx="3"/>
                        </wps:cNvCnPr>
                        <wps:spPr>
                          <a:xfrm flipV="1">
                            <a:off x="796290" y="1200150"/>
                            <a:ext cx="818515" cy="3810"/>
                          </a:xfrm>
                          <a:prstGeom prst="straightConnector1">
                            <a:avLst/>
                          </a:prstGeom>
                          <a:ln>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82" name="直接箭头连接符 107"/>
                        <wps:cNvCnPr/>
                        <wps:spPr>
                          <a:xfrm>
                            <a:off x="1614805" y="207645"/>
                            <a:ext cx="0" cy="1397000"/>
                          </a:xfrm>
                          <a:prstGeom prst="straightConnector1">
                            <a:avLst/>
                          </a:prstGeom>
                          <a:ln>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88" name="直接箭头连接符 108"/>
                        <wps:cNvCnPr>
                          <a:stCxn id="104" idx="3"/>
                        </wps:cNvCnPr>
                        <wps:spPr>
                          <a:xfrm>
                            <a:off x="1123950" y="1602105"/>
                            <a:ext cx="506730" cy="3175"/>
                          </a:xfrm>
                          <a:prstGeom prst="straightConnector1">
                            <a:avLst/>
                          </a:prstGeom>
                          <a:ln>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89" name="直接箭头连接符 109"/>
                        <wps:cNvCnPr>
                          <a:stCxn id="103" idx="3"/>
                        </wps:cNvCnPr>
                        <wps:spPr>
                          <a:xfrm flipV="1">
                            <a:off x="798195" y="882650"/>
                            <a:ext cx="816610" cy="13970"/>
                          </a:xfrm>
                          <a:prstGeom prst="straightConnector1">
                            <a:avLst/>
                          </a:prstGeom>
                          <a:ln>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91" name="直接箭头连接符 110"/>
                        <wps:cNvCnPr>
                          <a:stCxn id="100" idx="3"/>
                        </wps:cNvCnPr>
                        <wps:spPr>
                          <a:xfrm flipV="1">
                            <a:off x="857250" y="574040"/>
                            <a:ext cx="757555" cy="1270"/>
                          </a:xfrm>
                          <a:prstGeom prst="straightConnector1">
                            <a:avLst/>
                          </a:prstGeom>
                          <a:ln>
                            <a:headEnd type="none"/>
                            <a:tailEnd type="none" w="med" len="med"/>
                          </a:ln>
                        </wps:spPr>
                        <wps:style>
                          <a:lnRef idx="1">
                            <a:schemeClr val="dk1"/>
                          </a:lnRef>
                          <a:fillRef idx="0">
                            <a:schemeClr val="dk1"/>
                          </a:fillRef>
                          <a:effectRef idx="0">
                            <a:schemeClr val="dk1"/>
                          </a:effectRef>
                          <a:fontRef idx="minor">
                            <a:schemeClr val="tx1"/>
                          </a:fontRef>
                        </wps:style>
                        <wps:bodyPr/>
                      </wps:wsp>
                      <wps:wsp>
                        <wps:cNvPr id="92" name="直接箭头连接符 111"/>
                        <wps:cNvCnPr/>
                        <wps:spPr>
                          <a:xfrm>
                            <a:off x="1638300" y="947420"/>
                            <a:ext cx="492125" cy="825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5" name="直接箭头连接符 112"/>
                        <wps:cNvCnPr>
                          <a:stCxn id="98" idx="3"/>
                          <a:endCxn id="99" idx="1"/>
                        </wps:cNvCnPr>
                        <wps:spPr>
                          <a:xfrm>
                            <a:off x="2694940" y="918845"/>
                            <a:ext cx="564515" cy="762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 name="直接箭头连接符 113"/>
                        <wps:cNvCnPr>
                          <a:stCxn id="98" idx="0"/>
                          <a:endCxn id="114" idx="2"/>
                        </wps:cNvCnPr>
                        <wps:spPr>
                          <a:xfrm flipV="1">
                            <a:off x="2437130" y="523875"/>
                            <a:ext cx="230505" cy="255905"/>
                          </a:xfrm>
                          <a:prstGeom prst="straightConnector1">
                            <a:avLst/>
                          </a:prstGeom>
                          <a:ln>
                            <a:prstDash val="sys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98" name="矩形 114"/>
                        <wps:cNvSpPr/>
                        <wps:spPr>
                          <a:xfrm>
                            <a:off x="2235200" y="245745"/>
                            <a:ext cx="864870" cy="2781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44.65pt;width:415.3pt;" coordsize="5274310,1837055" editas="canvas" o:gfxdata="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">
                <o:lock v:ext="edit" aspectratio="f"/>
                <v:shape id="_x0000_s1026" o:spid="_x0000_s1026" style="position:absolute;left:0;top:0;height:1837055;width:5274310;" filled="f" stroked="f" coordsize="21600,21600" o:gfxdata="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OgcuX/XAAAABQEAAA8A&#10;AAAAAAAAAQAgAAAAIgAAAGRycy9kb3ducmV2LnhtbFBLAQIUABQAAAAIAIdO4kCxCTu3UwYAAB0w&#10;AAAOAAAAAAAAAAEAIAAAACYBAABkcnMvZTJvRG9jLnhtbFBLBQYAAAAABgAGAFkBAADrCQAAAAA=&#10;">
                  <v:fill on="f" focussize="0,0"/>
                  <v:stroke on="f"/>
                  <v:imagedata o:title=""/>
                  <o:lock v:ext="edit" aspectratio="f"/>
                </v:shape>
                <v:rect id="矩形 98" o:spid="_x0000_s1026" o:spt="1" style="position:absolute;left:2178685;top:779780;height:278130;width:516255;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omit1AAAAAUBAAAPAAAAAAAAAAEAIAAAACIAAABk&#10;cnMvZG93bnJldi54bWxQSwECFAAUAAAACACHTuJA2MxKT3wCAADhBAAADgAAAAAAAAABACAAAAAj&#10;AQAAZHJzL2Uyb0RvYy54bWxQSwUGAAAAAAYABgBZAQAAEQYAAAAA&#10;">
                  <v:fill on="f" focussize="0,0"/>
                  <v:stroke weight="0.5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装配</w:t>
                        </w:r>
                      </w:p>
                    </w:txbxContent>
                  </v:textbox>
                </v:rect>
                <v:rect id="矩形 99" o:spid="_x0000_s1026" o:spt="1" style="position:absolute;left:3259455;top:767715;height:316865;width:818515;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6JordQAAAAFAQAADwAAAAAAAAABACAAAAAiAAAAZHJz&#10;L2Rvd25yZXYueG1sUEsBAhQAFAAAAAgAh07iQIEnreJ6AgAA4QQAAA4AAAAAAAAAAQAgAAAAIwEA&#10;AGRycy9lMm9Eb2MueG1sUEsFBgAAAAAGAAYAWQEAAA8GAAAAAA==&#10;">
                  <v:fill on="f" focussize="0,0"/>
                  <v:stroke weight="0.5pt" color="#000000 [3213]" miterlimit="8" joinstyle="miter"/>
                  <v:imagedata o:title=""/>
                  <o:lock v:ext="edit" aspectratio="f"/>
                  <v:textbox>
                    <w:txbxContent>
                      <w:p>
                        <w:pPr>
                          <w:rPr>
                            <w:rFonts w:hint="default" w:eastAsia="宋体"/>
                            <w:lang w:val="en-US" w:eastAsia="zh-CN"/>
                          </w:rPr>
                        </w:pPr>
                        <w:r>
                          <w:rPr>
                            <w:rFonts w:hint="eastAsia" w:eastAsia="宋体"/>
                            <w:lang w:val="en-US" w:eastAsia="zh-CN"/>
                          </w:rPr>
                          <w:t>成品包装</w:t>
                        </w:r>
                      </w:p>
                    </w:txbxContent>
                  </v:textbox>
                </v:rect>
                <v:rect id="矩形 100" o:spid="_x0000_s1026" o:spt="1" style="position:absolute;left:284480;top:452120;height:246380;width:572770;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iaK3UAAAABQEAAA8AAAAAAAAAAQAgAAAAIgAAAGRycy9kb3du&#10;cmV2LnhtbFBLAQIUABQAAAAIAIdO4kDGs91EdQIAAOEEAAAOAAAAAAAAAAEAIAAAACMBAABkcnMv&#10;ZTJvRG9jLnhtbFBLBQYAAAAABgAGAFkBAAAKBgAAAAA=&#10;">
                  <v:fill on="f" focussize="0,0"/>
                  <v:stroke weight="0.5pt" color="#000000 [3213]" miterlimit="8" joinstyle="miter"/>
                  <v:imagedata o:title=""/>
                  <o:lock v:ext="edit" aspectratio="f"/>
                  <v:textbox>
                    <w:txbxContent>
                      <w:p>
                        <w:pPr>
                          <w:jc w:val="center"/>
                        </w:pPr>
                        <w:r>
                          <w:rPr>
                            <w:rFonts w:hint="eastAsia"/>
                          </w:rPr>
                          <w:t>机罩</w:t>
                        </w:r>
                      </w:p>
                    </w:txbxContent>
                  </v:textbox>
                </v:rect>
                <v:rect id="矩形 101" o:spid="_x0000_s1026" o:spt="1" style="position:absolute;left:238125;top:65405;height:318135;width:713105;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omit1AAAAAUBAAAPAAAAAAAAAAEAIAAAACIAAABkcnMv&#10;ZG93bnJldi54bWxQSwECFAAUAAAACACHTuJA84tWBXkCAADgBAAADgAAAAAAAAABACAAAAAjAQAA&#10;ZHJzL2Uyb0RvYy54bWxQSwUGAAAAAAYABgBZAQAADgYAAAAA&#10;">
                  <v:fill on="f" focussize="0,0"/>
                  <v:stroke weight="0.5pt" color="#000000 [3213]" miterlimit="8" joinstyle="miter"/>
                  <v:imagedata o:title=""/>
                  <o:lock v:ext="edit" aspectratio="f"/>
                  <v:textbox>
                    <w:txbxContent>
                      <w:p>
                        <w:pPr>
                          <w:jc w:val="center"/>
                        </w:pPr>
                        <w:r>
                          <w:rPr>
                            <w:rFonts w:hint="eastAsia"/>
                          </w:rPr>
                          <w:t>控制柜</w:t>
                        </w:r>
                      </w:p>
                    </w:txbxContent>
                  </v:textbox>
                </v:rect>
                <v:rect id="矩形 102" o:spid="_x0000_s1026" o:spt="1" style="position:absolute;left:280035;top:1080770;height:246380;width:516255;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&#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omit1AAAAAUBAAAPAAAAAAAAAAEAIAAAACIAAABk&#10;cnMvZG93bnJldi54bWxQSwECFAAUAAAACACHTuJAaaNerHwCAADiBAAADgAAAAAAAAABACAAAAAj&#10;AQAAZHJzL2Uyb0RvYy54bWxQSwUGAAAAAAYABgBZAQAAEQYAAAAA&#10;">
                  <v:fill on="f" focussize="0,0"/>
                  <v:stroke weight="0.5pt" color="#000000 [3213]" miterlimit="8" joinstyle="miter"/>
                  <v:imagedata o:title=""/>
                  <o:lock v:ext="edit" aspectratio="f"/>
                  <v:textbox>
                    <w:txbxContent>
                      <w:p>
                        <w:pPr>
                          <w:jc w:val="center"/>
                        </w:pPr>
                        <w:r>
                          <w:rPr>
                            <w:rFonts w:hint="eastAsia"/>
                          </w:rPr>
                          <w:t>底架</w:t>
                        </w:r>
                      </w:p>
                    </w:txbxContent>
                  </v:textbox>
                </v:rect>
                <v:rect id="矩形 103" o:spid="_x0000_s1026" o:spt="1" style="position:absolute;left:304800;top:749935;height:293370;width:493395;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iaK3UAAAABQEAAA8AAAAAAAAAAQAgAAAAIgAAAGRy&#10;cy9kb3ducmV2LnhtbFBLAQIUABQAAAAIAIdO4kCHAgNuewIAAOEEAAAOAAAAAAAAAAEAIAAAACMB&#10;AABkcnMvZTJvRG9jLnhtbFBLBQYAAAAABgAGAFkBAAAQBgAAAAA=&#10;">
                  <v:fill on="f" focussize="0,0"/>
                  <v:stroke weight="0.5pt" color="#000000 [3213]" miterlimit="8" joinstyle="miter"/>
                  <v:imagedata o:title=""/>
                  <o:lock v:ext="edit" aspectratio="f"/>
                  <v:textbox>
                    <w:txbxContent>
                      <w:p>
                        <w:pPr>
                          <w:jc w:val="center"/>
                        </w:pPr>
                        <w:r>
                          <w:rPr>
                            <w:rFonts w:hint="eastAsia"/>
                          </w:rPr>
                          <w:t>轮毂</w:t>
                        </w:r>
                      </w:p>
                    </w:txbxContent>
                  </v:textbox>
                </v:rect>
                <v:rect id="矩形 104" o:spid="_x0000_s1026" o:spt="1" style="position:absolute;left:67945;top:1435100;height:333375;width:1056005;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omit1AAAAAUBAAAPAAAAAAAAAAEAIAAAACIAAABkcnMv&#10;ZG93bnJldi54bWxQSwECFAAUAAAACACHTuJAGV9uy3kCAADiBAAADgAAAAAAAAABACAAAAAjAQAA&#10;ZHJzL2Uyb0RvYy54bWxQSwUGAAAAAAYABgBZAQAADgYAAAAA&#10;">
                  <v:fill on="f" focussize="0,0"/>
                  <v:stroke weight="0.5pt" color="#000000 [3213]" miterlimit="8" joinstyle="miter"/>
                  <v:imagedata o:title=""/>
                  <o:lock v:ext="edit" aspectratio="f"/>
                  <v:textbox>
                    <w:txbxContent>
                      <w:p>
                        <w:pPr>
                          <w:jc w:val="center"/>
                        </w:pPr>
                        <w:r>
                          <w:rPr>
                            <w:rFonts w:hint="eastAsia"/>
                          </w:rPr>
                          <w:t>发电机组机舱</w:t>
                        </w:r>
                      </w:p>
                    </w:txbxContent>
                  </v:textbox>
                </v:rect>
                <v:shape id="直接箭头连接符 105" o:spid="_x0000_s1026" o:spt="32" type="#_x0000_t32" style="position:absolute;left:951230;top:216535;flip:y;height:8255;width:655320;" filled="f" stroked="t" coordsize="21600,21600" o:gfxdata="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Vj+0bXAAAABQEAAA8AAAAAAAAAAQAgAAAAIgAAAGRycy9k&#10;b3ducmV2LnhtbFBLAQIUABQAAAAIAIdO4kDwSLQ0PAIAAEgEAAAOAAAAAAAAAAEAIAAAACYBAABk&#10;cnMvZTJvRG9jLnhtbFBLBQYAAAAABgAGAFkBAADUBQAAAAA=&#10;">
                  <v:fill on="f" focussize="0,0"/>
                  <v:stroke weight="0.5pt" color="#000000 [3200]" miterlimit="8" joinstyle="miter"/>
                  <v:imagedata o:title=""/>
                  <o:lock v:ext="edit" aspectratio="f"/>
                </v:shape>
                <v:shape id="直接箭头连接符 106" o:spid="_x0000_s1026" o:spt="32" type="#_x0000_t32" style="position:absolute;left:796290;top:1200150;flip:y;height:3810;width:818515;" filled="f" stroked="t" coordsize="21600,21600" o:gfxdata="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Vj+0bXAAAABQEAAA8AAAAAAAAAAQAgAAAAIgAAAGRycy9k&#10;b3ducmV2LnhtbFBLAQIUABQAAAAIAIdO4kCcszZVPAIAAEkEAAAOAAAAAAAAAAEAIAAAACYBAABk&#10;cnMvZTJvRG9jLnhtbFBLBQYAAAAABgAGAFkBAADUBQAAAAA=&#10;">
                  <v:fill on="f" focussize="0,0"/>
                  <v:stroke weight="0.5pt" color="#000000 [3200]" miterlimit="8" joinstyle="miter"/>
                  <v:imagedata o:title=""/>
                  <o:lock v:ext="edit" aspectratio="f"/>
                </v:shape>
                <v:shape id="直接箭头连接符 107" o:spid="_x0000_s1026" o:spt="32" type="#_x0000_t32" style="position:absolute;left:1614805;top:207645;height:1397000;width:0;" filled="f" stroked="t" coordsize="21600,21600" o:gfxdata="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P98&#10;vtYAAAAFAQAADwAAAAAAAAABACAAAAAiAAAAZHJzL2Rvd25yZXYueG1sUEsBAhQAFAAAAAgAh07i&#10;QJjh38IkAgAAFQQAAA4AAAAAAAAAAQAgAAAAJQEAAGRycy9lMm9Eb2MueG1sUEsFBgAAAAAGAAYA&#10;WQEAALsFAAAAAA==&#10;">
                  <v:fill on="f" focussize="0,0"/>
                  <v:stroke weight="0.5pt" color="#000000 [3200]" miterlimit="8" joinstyle="miter"/>
                  <v:imagedata o:title=""/>
                  <o:lock v:ext="edit" aspectratio="f"/>
                </v:shape>
                <v:shape id="直接箭头连接符 108" o:spid="_x0000_s1026" o:spt="32" type="#_x0000_t32" style="position:absolute;left:1123950;top:1602105;height:3175;width:506730;" filled="f" stroked="t" coordsize="21600,21600" o:gfxdata="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Y/3y+1gAAAAUBAAAPAAAAAAAAAAEAIAAAACIAAABkcnMvZG93bnJldi54&#10;bWxQSwECFAAUAAAACACHTuJAWb8O1zUCAABABAAADgAAAAAAAAABACAAAAAlAQAAZHJzL2Uyb0Rv&#10;Yy54bWxQSwUGAAAAAAYABgBZAQAAzAUAAAAA&#10;">
                  <v:fill on="f" focussize="0,0"/>
                  <v:stroke weight="0.5pt" color="#000000 [3200]" miterlimit="8" joinstyle="miter"/>
                  <v:imagedata o:title=""/>
                  <o:lock v:ext="edit" aspectratio="f"/>
                </v:shape>
                <v:shape id="直接箭头连接符 109" o:spid="_x0000_s1026" o:spt="32" type="#_x0000_t32" style="position:absolute;left:798195;top:882650;flip:y;height:13970;width:816610;" filled="f" stroked="t" coordsize="21600,21600" o:gfxdata="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Y/tG1wAAAAUBAAAPAAAAAAAAAAEAIAAAACIAAABkcnMv&#10;ZG93bnJldi54bWxQSwECFAAUAAAACACHTuJAS95fsT0CAABJBAAADgAAAAAAAAABACAAAAAmAQAA&#10;ZHJzL2Uyb0RvYy54bWxQSwUGAAAAAAYABgBZAQAA1QUAAAAA&#10;">
                  <v:fill on="f" focussize="0,0"/>
                  <v:stroke weight="0.5pt" color="#000000 [3200]" miterlimit="8" joinstyle="miter"/>
                  <v:imagedata o:title=""/>
                  <o:lock v:ext="edit" aspectratio="f"/>
                </v:shape>
                <v:shape id="直接箭头连接符 110" o:spid="_x0000_s1026" o:spt="32" type="#_x0000_t32" style="position:absolute;left:857250;top:574040;flip:y;height:1270;width:757555;" filled="f" stroked="t" coordsize="21600,21600" o:gfxdata="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Vj+0bXAAAABQEAAA8AAAAAAAAAAQAgAAAAIgAAAGRycy9k&#10;b3ducmV2LnhtbFBLAQIUABQAAAAIAIdO4kBPADNgPAIAAEgEAAAOAAAAAAAAAAEAIAAAACYBAABk&#10;cnMvZTJvRG9jLnhtbFBLBQYAAAAABgAGAFkBAADUBQAAAAA=&#10;">
                  <v:fill on="f" focussize="0,0"/>
                  <v:stroke weight="0.5pt" color="#000000 [3200]" miterlimit="8" joinstyle="miter"/>
                  <v:imagedata o:title=""/>
                  <o:lock v:ext="edit" aspectratio="f"/>
                </v:shape>
                <v:shape id="直接箭头连接符 111" o:spid="_x0000_s1026" o:spt="32" type="#_x0000_t32" style="position:absolute;left:1638300;top:947420;height:8255;width:492125;" filled="f" stroked="t" coordsize="21600,21600" o:gfxdata="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yWajdQAAAAFAQAADwAAAAAAAAABACAAAAAiAAAAZHJzL2Rvd25yZXYueG1sUEsBAhQAFAAAAAgA&#10;h07iQBJOOYApAgAAGwQAAA4AAAAAAAAAAQAgAAAAIwEAAGRycy9lMm9Eb2MueG1sUEsFBgAAAAAG&#10;AAYAWQEAAL4FAAAAAA==&#10;">
                  <v:fill on="f" focussize="0,0"/>
                  <v:stroke weight="0.5pt" color="#000000 [3200]" miterlimit="8" joinstyle="miter" endarrow="block"/>
                  <v:imagedata o:title=""/>
                  <o:lock v:ext="edit" aspectratio="f"/>
                </v:shape>
                <v:shape id="直接箭头连接符 112" o:spid="_x0000_s1026" o:spt="32" type="#_x0000_t32" style="position:absolute;left:2694940;top:918845;height:7620;width:564515;" filled="f" stroked="t" coordsize="21600,21600" o:gfxdata="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JZqN1AAAAAUBAAAPAAAAAAAAAAEAIAAAACIA&#10;AABkcnMvZG93bnJldi54bWxQSwECFAAUAAAACACHTuJA4dMGiEYCAABdBAAADgAAAAAAAAABACAA&#10;AAAjAQAAZHJzL2Uyb0RvYy54bWxQSwUGAAAAAAYABgBZAQAA2wUAAAAA&#10;">
                  <v:fill on="f" focussize="0,0"/>
                  <v:stroke weight="0.5pt" color="#000000 [3200]" miterlimit="8" joinstyle="miter" endarrow="block"/>
                  <v:imagedata o:title=""/>
                  <o:lock v:ext="edit" aspectratio="f"/>
                </v:shape>
                <v:shape id="直接箭头连接符 113" o:spid="_x0000_s1026" o:spt="32" type="#_x0000_t32" style="position:absolute;left:2437130;top:523875;flip:y;height:255905;width:230505;" filled="f" stroked="t" coordsize="21600,21600" o:gfxdata="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X79x/UAAAABQEAAA8AAAAAAAAA&#10;AQAgAAAAIgAAAGRycy9kb3ducmV2LnhtbFBLAQIUABQAAAAIAIdO4kA8VPhiTgIAAGkEAAAOAAAA&#10;AAAAAAEAIAAAACMBAABkcnMvZTJvRG9jLnhtbFBLBQYAAAAABgAGAFkBAADjBQAAAAA=&#10;">
                  <v:fill on="f" focussize="0,0"/>
                  <v:stroke weight="0.5pt" color="#000000 [3200]" miterlimit="8" joinstyle="miter" dashstyle="3 1" endarrow="open"/>
                  <v:imagedata o:title=""/>
                  <o:lock v:ext="edit" aspectratio="f"/>
                </v:shape>
                <v:rect id="矩形 114" o:spid="_x0000_s1026" o:spt="1" style="position:absolute;left:2235200;top:245745;height:278130;width:864870;v-text-anchor:middle;" filled="f" stroked="t" coordsize="21600,21600" o:gfxdata="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iaK3UAAAABQEAAA8AAAAAAAAAAQAgAAAAIgAAAGRycy9k&#10;b3ducmV2LnhtbFBLAQIUABQAAAAIAIdO4kDxG5o5eAIAAOIEAAAOAAAAAAAAAAEAIAAAACMBAABk&#10;cnMvZTJvRG9jLnhtbFBLBQYAAAAABgAGAFkBAAANBgAAAAA=&#10;">
                  <v:fill on="f" focussize="0,0"/>
                  <v:stroke weight="0.5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噪声、固废</w:t>
                        </w:r>
                      </w:p>
                    </w:txbxContent>
                  </v:textbox>
                </v:rect>
                <w10:wrap type="none"/>
                <w10:anchorlock/>
              </v:group>
            </w:pict>
          </mc:Fallback>
        </mc:AlternateConten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图3.2-3   运营期主机生产工艺流程</w:t>
      </w:r>
    </w:p>
    <w:p>
      <w:pPr>
        <w:keepNext w:val="0"/>
        <w:keepLines w:val="0"/>
        <w:pageBreakBefore w:val="0"/>
        <w:widowControl/>
        <w:kinsoku/>
        <w:wordWrap/>
        <w:overflowPunct w:val="0"/>
        <w:topLinePunct w:val="0"/>
        <w:autoSpaceDE w:val="0"/>
        <w:autoSpaceDN w:val="0"/>
        <w:bidi w:val="0"/>
        <w:adjustRightInd/>
        <w:snapToGrid w:val="0"/>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产污环节分析</w:t>
      </w:r>
    </w:p>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2-1 </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产污环节一览表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970"/>
        <w:gridCol w:w="2183"/>
        <w:gridCol w:w="3564"/>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时期</w:t>
            </w:r>
          </w:p>
        </w:tc>
        <w:tc>
          <w:tcPr>
            <w:tcW w:w="569"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污染类别</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污染源</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污染物种类</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施工期</w:t>
            </w:r>
          </w:p>
        </w:tc>
        <w:tc>
          <w:tcPr>
            <w:tcW w:w="569"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废气</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施工扬尘</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颗粒物</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汽车尾气</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THC、TSP、CO、NOx</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废水</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施工废水</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SS</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施工生活废水</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COD、BOD5、SS、氨氮、动植物油等</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噪声</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施工机械及运输车辆</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设备噪声</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运输噪声</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固废</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建筑垃圾</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土石方</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砂石、石块、碎砖瓦、废木料、废金属、废钢筋等</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生活垃圾</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生活垃圾</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运营期</w:t>
            </w:r>
          </w:p>
        </w:tc>
        <w:tc>
          <w:tcPr>
            <w:tcW w:w="569"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修型</w:t>
            </w:r>
            <w:r>
              <w:rPr>
                <w:rFonts w:hint="default" w:ascii="Times New Roman" w:hAnsi="Times New Roman" w:eastAsia="宋体" w:cs="Times New Roman"/>
                <w:color w:val="000000" w:themeColor="text1"/>
                <w:szCs w:val="21"/>
                <w:highlight w:val="none"/>
                <w14:textFill>
                  <w14:solidFill>
                    <w14:schemeClr w14:val="tx1"/>
                  </w14:solidFill>
                </w14:textFill>
              </w:rPr>
              <w:t>、打磨</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TSP</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调漆、</w:t>
            </w:r>
            <w:r>
              <w:rPr>
                <w:rFonts w:hint="default" w:ascii="Times New Roman" w:hAnsi="Times New Roman" w:eastAsia="宋体" w:cs="Times New Roman"/>
                <w:color w:val="000000" w:themeColor="text1"/>
                <w:szCs w:val="21"/>
                <w:highlight w:val="none"/>
                <w14:textFill>
                  <w14:solidFill>
                    <w14:schemeClr w14:val="tx1"/>
                  </w14:solidFill>
                </w14:textFill>
              </w:rPr>
              <w:t>涂装</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、自然晾干过程</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甲苯、二甲苯</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脱模、</w:t>
            </w:r>
            <w:r>
              <w:rPr>
                <w:rFonts w:hint="default" w:ascii="Times New Roman" w:hAnsi="Times New Roman" w:eastAsia="宋体" w:cs="Times New Roman"/>
                <w:color w:val="000000" w:themeColor="text1"/>
                <w:szCs w:val="21"/>
                <w:highlight w:val="none"/>
                <w14:textFill>
                  <w14:solidFill>
                    <w14:schemeClr w14:val="tx1"/>
                  </w14:solidFill>
                </w14:textFill>
              </w:rPr>
              <w:t>粘接、</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腻子使用过程、结构胶使用过程；</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食堂油烟</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油烟</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危废暂存间</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废水</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生活废水</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COD、BOD</w:t>
            </w:r>
            <w:r>
              <w:rPr>
                <w:rFonts w:hint="default" w:ascii="Times New Roman" w:hAnsi="Times New Roman" w:eastAsia="宋体" w:cs="Times New Roman"/>
                <w:color w:val="000000" w:themeColor="text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、SS、氨氮、动植物油等</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生产设备</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设备噪声</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车辆</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运输噪声</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128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生活过程</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生活垃圾</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生产过程</w:t>
            </w: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边角废料</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废灌注管、废树脂及树脂固化剂、脱模过程中产生的含未固化沾染性废树脂料</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叶片废腻子及固化剂、砂纸</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辊涂漆、调漆过程产生的废漆、</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Cs w:val="21"/>
                <w:highlight w:val="none"/>
                <w14:textFill>
                  <w14:solidFill>
                    <w14:schemeClr w14:val="tx1"/>
                  </w14:solidFill>
                </w14:textFill>
              </w:rPr>
              <w:t>辊筒</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废漆桶等</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废空压机油、废机油</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、废催化剂</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废铅蓄电池</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包装废料</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69"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8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0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收集尘</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间歇</w:t>
            </w:r>
          </w:p>
        </w:tc>
      </w:tr>
    </w:tbl>
    <w:p>
      <w:pPr>
        <w:pageBreakBefore w:val="0"/>
        <w:kinsoku/>
        <w:overflowPunct w:val="0"/>
        <w:bidi w:val="0"/>
        <w:rPr>
          <w:rFonts w:hint="default" w:ascii="Times New Roman" w:hAnsi="Times New Roman" w:eastAsia="宋体" w:cs="Times New Roman"/>
          <w:color w:val="000000" w:themeColor="text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运营期污染源源强核算及防治措施</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3.2.3.1废气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（1）有组织废气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有机废气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①涂装车间</w:t>
      </w:r>
    </w:p>
    <w:p>
      <w:pPr>
        <w:keepNext w:val="0"/>
        <w:keepLines w:val="0"/>
        <w:pageBreakBefore w:val="0"/>
        <w:widowControl/>
        <w:kinsoku/>
        <w:wordWrap/>
        <w:overflowPunct w:val="0"/>
        <w:topLinePunct w:val="0"/>
        <w:autoSpaceDE w:val="0"/>
        <w:autoSpaceDN w:val="0"/>
        <w:bidi w:val="0"/>
        <w:adjustRightInd/>
        <w:snapToGrid/>
        <w:spacing w:line="360" w:lineRule="auto"/>
        <w:ind w:firstLine="468" w:firstLineChars="200"/>
        <w:jc w:val="both"/>
        <w:textAlignment w:val="baseline"/>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根据建设单位提供的油漆成分组成表。详见表3.1-4。</w:t>
      </w:r>
    </w:p>
    <w:p>
      <w:pPr>
        <w:keepNext w:val="0"/>
        <w:keepLines w:val="0"/>
        <w:pageBreakBefore w:val="0"/>
        <w:widowControl/>
        <w:kinsoku/>
        <w:wordWrap/>
        <w:overflowPunct w:val="0"/>
        <w:topLinePunct w:val="0"/>
        <w:autoSpaceDE w:val="0"/>
        <w:autoSpaceDN w:val="0"/>
        <w:bidi w:val="0"/>
        <w:adjustRightInd/>
        <w:snapToGrid/>
        <w:spacing w:line="360" w:lineRule="auto"/>
        <w:ind w:firstLine="468" w:firstLineChars="200"/>
        <w:jc w:val="both"/>
        <w:textAlignment w:val="baseline"/>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根据建设单位提供资料，桶装油漆、稀释剂送至辊涂房，调漆在辊涂房内进行，辊涂结束后，工件直接在辊涂房内进行常温晾干，晾干时辊涂在工件表面的油漆组分中有机溶剂全部挥发，综合晾干时长约5h/d。</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在</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调漆、</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辊涂、晾干过程中，漆中的挥发分全部挥发形成有机废气</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项目使用的油漆和稀释剂均为密闭性容器，存放于室内，在非取用状态时均加盖并封口，保持密闭。</w:t>
      </w:r>
    </w:p>
    <w:p>
      <w:pPr>
        <w:keepNext w:val="0"/>
        <w:keepLines w:val="0"/>
        <w:pageBreakBefore w:val="0"/>
        <w:widowControl/>
        <w:kinsoku/>
        <w:wordWrap/>
        <w:overflowPunct w:val="0"/>
        <w:topLinePunct w:val="0"/>
        <w:autoSpaceDE w:val="0"/>
        <w:autoSpaceDN w:val="0"/>
        <w:bidi w:val="0"/>
        <w:adjustRightInd/>
        <w:snapToGrid/>
        <w:spacing w:line="360" w:lineRule="auto"/>
        <w:ind w:firstLine="468" w:firstLineChars="200"/>
        <w:jc w:val="both"/>
        <w:textAlignment w:val="baseline"/>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3"/>
          <w:sz w:val="24"/>
          <w:szCs w:val="24"/>
          <w:highlight w:val="none"/>
          <w:lang w:val="en-US" w:eastAsia="zh-CN"/>
          <w14:textFill>
            <w14:solidFill>
              <w14:schemeClr w14:val="tx1"/>
            </w14:solidFill>
          </w14:textFill>
        </w:rPr>
        <w:t>本项目最大产能按1500MW（5/7/10MW）计算，则本项目10MW叶片为最大喷涂面积，根据建设单位提供的资料，年使用油漆约为150t/a。油漆VOCs含量参考油漆成分含量表计算，聚氨酯叶片涂料BC100</w:t>
      </w:r>
      <w:r>
        <w:rPr>
          <w:rFonts w:hint="default" w:ascii="Times New Roman" w:hAnsi="Times New Roman" w:eastAsia="宋体" w:cs="Times New Roman"/>
          <w:color w:val="000000" w:themeColor="text1"/>
          <w:spacing w:val="-3"/>
          <w:sz w:val="24"/>
          <w:szCs w:val="24"/>
          <w:highlight w:val="none"/>
          <w:vertAlign w:val="baseline"/>
          <w:lang w:val="en-US" w:eastAsia="zh-CN"/>
          <w14:textFill>
            <w14:solidFill>
              <w14:schemeClr w14:val="tx1"/>
            </w14:solidFill>
          </w14:textFill>
        </w:rPr>
        <w:t>组份A中轻芳烃溶剂油含量占比选取中间值37.5%。</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本次环评从对环境最不利角度考虑，假定油漆及稀释剂中有机溶剂全部挥发，以VOCs计。</w:t>
      </w:r>
    </w:p>
    <w:p>
      <w:pPr>
        <w:keepNext w:val="0"/>
        <w:keepLines w:val="0"/>
        <w:pageBreakBefore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 xml:space="preserve">表3.2-2   </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叶片VOCs含量一览表（kg）</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999"/>
        <w:gridCol w:w="1537"/>
        <w:gridCol w:w="983"/>
        <w:gridCol w:w="1767"/>
        <w:gridCol w:w="136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工序</w:t>
            </w:r>
          </w:p>
        </w:tc>
        <w:tc>
          <w:tcPr>
            <w:tcW w:w="58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名称</w:t>
            </w:r>
          </w:p>
        </w:tc>
        <w:tc>
          <w:tcPr>
            <w:tcW w:w="1478" w:type="pct"/>
            <w:gridSpan w:val="2"/>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物料名称</w:t>
            </w:r>
          </w:p>
        </w:tc>
        <w:tc>
          <w:tcPr>
            <w:tcW w:w="1037"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用</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量</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VOC</w:t>
            </w:r>
            <w:r>
              <w:rPr>
                <w:rFonts w:hint="default" w:ascii="Times New Roman" w:hAnsi="Times New Roman" w:eastAsia="宋体" w:cs="Times New Roman"/>
                <w:color w:val="000000" w:themeColor="text1"/>
                <w:spacing w:val="-1"/>
                <w:sz w:val="21"/>
                <w:szCs w:val="21"/>
                <w:highlight w:val="none"/>
                <w:vertAlign w:val="subscript"/>
                <w14:textFill>
                  <w14:solidFill>
                    <w14:schemeClr w14:val="tx1"/>
                  </w14:solidFill>
                </w14:textFill>
              </w:rPr>
              <w:t>S</w:t>
            </w:r>
          </w:p>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w:t>
            </w:r>
          </w:p>
        </w:tc>
        <w:tc>
          <w:tcPr>
            <w:tcW w:w="76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固形物</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辊涂</w:t>
            </w:r>
          </w:p>
        </w:tc>
        <w:tc>
          <w:tcPr>
            <w:tcW w:w="586" w:type="pct"/>
            <w:vMerge w:val="restar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snapToGrid w:val="0"/>
                <w:color w:val="000000" w:themeColor="text1"/>
                <w:spacing w:val="-3"/>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叶片</w:t>
            </w:r>
          </w:p>
        </w:tc>
        <w:tc>
          <w:tcPr>
            <w:tcW w:w="902" w:type="pct"/>
            <w:vMerge w:val="restar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通用聚氨酯叶片涂料BC100</w:t>
            </w:r>
          </w:p>
        </w:tc>
        <w:tc>
          <w:tcPr>
            <w:tcW w:w="576"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组份A</w:t>
            </w:r>
          </w:p>
        </w:tc>
        <w:tc>
          <w:tcPr>
            <w:tcW w:w="1037"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129</w:t>
            </w:r>
          </w:p>
        </w:tc>
        <w:tc>
          <w:tcPr>
            <w:tcW w:w="801"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48.375</w:t>
            </w:r>
          </w:p>
        </w:tc>
        <w:tc>
          <w:tcPr>
            <w:tcW w:w="7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80.625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pPr>
          </w:p>
        </w:tc>
        <w:tc>
          <w:tcPr>
            <w:tcW w:w="586" w:type="pct"/>
            <w:vMerge w:val="continue"/>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p>
        </w:tc>
        <w:tc>
          <w:tcPr>
            <w:tcW w:w="902" w:type="pct"/>
            <w:vMerge w:val="continue"/>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p>
        </w:tc>
        <w:tc>
          <w:tcPr>
            <w:tcW w:w="576"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组份B</w:t>
            </w:r>
          </w:p>
        </w:tc>
        <w:tc>
          <w:tcPr>
            <w:tcW w:w="1037"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21</w:t>
            </w:r>
          </w:p>
        </w:tc>
        <w:tc>
          <w:tcPr>
            <w:tcW w:w="801"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2.1</w:t>
            </w:r>
          </w:p>
        </w:tc>
        <w:tc>
          <w:tcPr>
            <w:tcW w:w="7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pPr>
          </w:p>
        </w:tc>
        <w:tc>
          <w:tcPr>
            <w:tcW w:w="586" w:type="pct"/>
            <w:vMerge w:val="continue"/>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pPr>
          </w:p>
        </w:tc>
        <w:tc>
          <w:tcPr>
            <w:tcW w:w="1478" w:type="pct"/>
            <w:gridSpan w:val="2"/>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ind w:firstLine="0"/>
              <w:jc w:val="cente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稀释剂</w:t>
            </w:r>
          </w:p>
        </w:tc>
        <w:tc>
          <w:tcPr>
            <w:tcW w:w="1037"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7.2</w:t>
            </w:r>
          </w:p>
        </w:tc>
        <w:tc>
          <w:tcPr>
            <w:tcW w:w="80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7.2</w:t>
            </w:r>
          </w:p>
        </w:tc>
        <w:tc>
          <w:tcPr>
            <w:tcW w:w="76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9" w:type="pct"/>
            <w:gridSpan w:val="4"/>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合计</w:t>
            </w:r>
          </w:p>
        </w:tc>
        <w:tc>
          <w:tcPr>
            <w:tcW w:w="1037"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157.2</w:t>
            </w:r>
          </w:p>
        </w:tc>
        <w:tc>
          <w:tcPr>
            <w:tcW w:w="1365" w:type="dxa"/>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57.675</w:t>
            </w:r>
          </w:p>
        </w:tc>
        <w:tc>
          <w:tcPr>
            <w:tcW w:w="1297" w:type="dxa"/>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99.525</w:t>
            </w:r>
          </w:p>
        </w:tc>
      </w:tr>
    </w:tbl>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1"/>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②</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灌注</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车间</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A、灌注废气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叶片制备的原料由环氧树脂与固化剂组成，在混胶机中按配比混料，混料过程在封闭条件下进行。项目采用环氧树脂主要成分为双酚A环氧树脂，树脂性质稳定，不挥发，固化剂有一定的挥发性，在操作过程中会产生少量有机废气VOCs</w:t>
      </w:r>
      <w:r>
        <w:rPr>
          <w:rFonts w:hint="default" w:ascii="Times New Roman" w:hAnsi="Times New Roman" w:eastAsia="宋体" w:cs="Times New Roman"/>
          <w:color w:val="000000" w:themeColor="text1"/>
          <w:spacing w:val="-1"/>
          <w:sz w:val="24"/>
          <w:szCs w:val="24"/>
          <w:highlight w:val="none"/>
          <w:u w:val="none" w:color="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叶片成型工艺采取复合材料真空灌注成型工艺，将树脂和固化剂注入模具，模具抽真空，启动电加热装置迅速提高固化速率，双酚A环氧树脂和环氧树脂固化剂发生固化反应，交联生成网状立体分子结构，但不会产生小分子挥发物，项目固化温度80℃，远低于环氧树脂和环氧树脂固化剂组分中各物质的分解温度，不会发生分解反应，但此过程固化剂会有少量的有废气产生，在封闭的模具内不挥发，但在开模过程会有少量废气散发，主要污染物以VOCs计。</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68" w:firstLineChars="200"/>
        <w:jc w:val="both"/>
        <w:textAlignment w:val="baseline"/>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参考《34通用设备制造业行业系数手册》中</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08树脂纤维加工</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，注塑成型过程中挥发性有机物产生量为1.20千克/吨-原料，环氧树脂和环氧树脂固化剂年用量2000</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t，则有机废气产生量约</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2.4</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t/a。</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52" w:firstLineChars="200"/>
        <w:jc w:val="both"/>
        <w:textAlignment w:val="baseline"/>
        <w:rPr>
          <w:rFonts w:hint="default" w:ascii="Times New Roman" w:hAnsi="Times New Roman" w:eastAsia="宋体" w:cs="Times New Roman"/>
          <w:color w:val="000000" w:themeColor="text1"/>
          <w:spacing w:val="-7"/>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4"/>
          <w:szCs w:val="24"/>
          <w:highlight w:val="none"/>
          <w:u w:val="none" w:color="auto"/>
          <w:lang w:val="en-US" w:eastAsia="zh-CN"/>
          <w14:textFill>
            <w14:solidFill>
              <w14:schemeClr w14:val="tx1"/>
            </w14:solidFill>
          </w14:textFill>
        </w:rPr>
        <w:t>B、合模废气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52" w:firstLineChars="200"/>
        <w:jc w:val="both"/>
        <w:textAlignment w:val="baseline"/>
        <w:rPr>
          <w:rFonts w:hint="default" w:ascii="Times New Roman" w:hAnsi="Times New Roman" w:eastAsia="宋体" w:cs="Times New Roman"/>
          <w:color w:val="000000" w:themeColor="text1"/>
          <w:spacing w:val="-5"/>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4"/>
          <w:szCs w:val="24"/>
          <w:highlight w:val="none"/>
          <w:u w:val="none" w:color="auto"/>
          <w14:textFill>
            <w14:solidFill>
              <w14:schemeClr w14:val="tx1"/>
            </w14:solidFill>
          </w14:textFill>
        </w:rPr>
        <w:t>半叶片翻转合模过程中，拼接处使用刮胶板用结构胶进行粘合，结构胶在</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使用过程中有机废气易挥发，</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本项目结构胶</w:t>
      </w:r>
      <w:r>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结构胶固化剂使用量约872t/a</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u w:val="none" w:color="auto"/>
          <w:lang w:val="en-US" w:eastAsia="zh-CN"/>
          <w14:textFill>
            <w14:solidFill>
              <w14:schemeClr w14:val="tx1"/>
            </w14:solidFill>
          </w14:textFill>
        </w:rPr>
        <w:t>根据建设单位提供的结构胶检测报告，VOCs含量值为3g/kg，则</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VOCs产生量</w:t>
      </w:r>
      <w:r>
        <w:rPr>
          <w:rFonts w:hint="default" w:ascii="Times New Roman" w:hAnsi="Times New Roman" w:eastAsia="宋体" w:cs="Times New Roman"/>
          <w:color w:val="000000" w:themeColor="text1"/>
          <w:spacing w:val="-5"/>
          <w:sz w:val="24"/>
          <w:szCs w:val="24"/>
          <w:highlight w:val="none"/>
          <w:u w:val="none" w:color="auto"/>
          <w14:textFill>
            <w14:solidFill>
              <w14:schemeClr w14:val="tx1"/>
            </w14:solidFill>
          </w14:textFill>
        </w:rPr>
        <w:t>为</w:t>
      </w:r>
      <w:r>
        <w:rPr>
          <w:rFonts w:hint="default" w:ascii="Times New Roman" w:hAnsi="Times New Roman" w:eastAsia="宋体" w:cs="Times New Roman"/>
          <w:color w:val="000000" w:themeColor="text1"/>
          <w:spacing w:val="-5"/>
          <w:sz w:val="24"/>
          <w:szCs w:val="24"/>
          <w:highlight w:val="none"/>
          <w:u w:val="none" w:color="auto"/>
          <w:lang w:val="en-US" w:eastAsia="zh-CN"/>
          <w14:textFill>
            <w14:solidFill>
              <w14:schemeClr w14:val="tx1"/>
            </w14:solidFill>
          </w14:textFill>
        </w:rPr>
        <w:t>2.616</w:t>
      </w:r>
      <w:r>
        <w:rPr>
          <w:rFonts w:hint="default" w:ascii="Times New Roman" w:hAnsi="Times New Roman" w:eastAsia="宋体" w:cs="Times New Roman"/>
          <w:color w:val="000000" w:themeColor="text1"/>
          <w:spacing w:val="-5"/>
          <w:sz w:val="24"/>
          <w:szCs w:val="24"/>
          <w:highlight w:val="none"/>
          <w:u w:val="none" w:color="auto"/>
          <w14:textFill>
            <w14:solidFill>
              <w14:schemeClr w14:val="tx1"/>
            </w14:solidFill>
          </w14:textFill>
        </w:rPr>
        <w:t>t/a，</w:t>
      </w:r>
    </w:p>
    <w:p>
      <w:pPr>
        <w:keepNext w:val="0"/>
        <w:keepLines w:val="0"/>
        <w:pageBreakBefore w:val="0"/>
        <w:widowControl/>
        <w:kinsoku/>
        <w:wordWrap/>
        <w:overflowPunct w:val="0"/>
        <w:topLinePunct w:val="0"/>
        <w:autoSpaceDE w:val="0"/>
        <w:autoSpaceDN w:val="0"/>
        <w:bidi w:val="0"/>
        <w:adjustRightInd/>
        <w:snapToGrid/>
        <w:spacing w:line="360" w:lineRule="auto"/>
        <w:ind w:firstLine="470" w:firstLineChars="200"/>
        <w:jc w:val="both"/>
        <w:textAlignment w:val="baseline"/>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470" w:firstLineChars="200"/>
        <w:jc w:val="both"/>
        <w:textAlignment w:val="baseline"/>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有机废气处理措施：</w:t>
      </w:r>
    </w:p>
    <w:p>
      <w:pPr>
        <w:keepNext w:val="0"/>
        <w:keepLines w:val="0"/>
        <w:pageBreakBefore w:val="0"/>
        <w:widowControl/>
        <w:kinsoku/>
        <w:wordWrap/>
        <w:overflowPunct w:val="0"/>
        <w:topLinePunct w:val="0"/>
        <w:autoSpaceDE w:val="0"/>
        <w:autoSpaceDN w:val="0"/>
        <w:bidi w:val="0"/>
        <w:adjustRightInd/>
        <w:snapToGrid/>
        <w:spacing w:line="360" w:lineRule="auto"/>
        <w:ind w:firstLine="468" w:firstLineChars="200"/>
        <w:jc w:val="both"/>
        <w:textAlignment w:val="baseline"/>
        <w:rPr>
          <w:rFonts w:hint="default" w:ascii="Times New Roman" w:hAnsi="Times New Roman" w:eastAsia="宋体" w:cs="Times New Roman"/>
          <w:color w:val="000000" w:themeColor="text1"/>
          <w:spacing w:val="-3"/>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项目辊涂、晾干工序均在密闭辊涂房内，辊涂房保持密闭。项目使用人工辊涂的方式进行上漆，无漆雾产生</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废漆桶上残留的极少量的</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油漆、油漆稀释剂</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约为0.157t/a，调漆后油漆使用量约为157.043t/a，辊涂</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上漆率为98%，剩余的2%中的90%滴落在辊涂房内形成漆渣；10%附着于辊筒</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。附着于辊筒</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上的调和后的油漆量：157.043×（1-98%）×10%=0.314t/a</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，滴落在辊涂房内</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漆渣</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产生量为2.827t/a</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作为危废处理。</w:t>
      </w:r>
    </w:p>
    <w:p>
      <w:pPr>
        <w:keepNext w:val="0"/>
        <w:keepLines w:val="0"/>
        <w:pageBreakBefore w:val="0"/>
        <w:widowControl/>
        <w:kinsoku/>
        <w:wordWrap/>
        <w:overflowPunct w:val="0"/>
        <w:topLinePunct w:val="0"/>
        <w:autoSpaceDE w:val="0"/>
        <w:autoSpaceDN w:val="0"/>
        <w:bidi w:val="0"/>
        <w:adjustRightInd/>
        <w:snapToGrid/>
        <w:spacing w:line="360" w:lineRule="auto"/>
        <w:ind w:firstLine="468" w:firstLineChars="200"/>
        <w:jc w:val="both"/>
        <w:textAlignment w:val="baseline"/>
        <w:rPr>
          <w:rFonts w:hint="default" w:ascii="Times New Roman" w:hAnsi="Times New Roman" w:eastAsia="宋体" w:cs="Times New Roman"/>
          <w:color w:val="000000" w:themeColor="text1"/>
          <w:spacing w:val="-3"/>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灌注</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车间有机废气合计产生量约5.016t/a，涂装车间有机废气合计产生量约57.617t/a，合计有机废气产生量约为62.633t/a。设置</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灌注、</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涂装</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车间为密闭车间，通过上进风+侧面吸风+粗效吸附箱+活性炭吸附/脱附+催化燃烧（热源采用电加热）+风机+</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一根</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27米排气筒，设计处理风量120000m</w:t>
      </w:r>
      <w:r>
        <w:rPr>
          <w:rFonts w:hint="default" w:ascii="Times New Roman" w:hAnsi="Times New Roman" w:eastAsia="宋体" w:cs="Times New Roman"/>
          <w:color w:val="000000" w:themeColor="text1"/>
          <w:spacing w:val="-3"/>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套。</w:t>
      </w:r>
    </w:p>
    <w:p>
      <w:pPr>
        <w:keepNext w:val="0"/>
        <w:keepLines w:val="0"/>
        <w:pageBreakBefore w:val="0"/>
        <w:widowControl/>
        <w:kinsoku/>
        <w:wordWrap/>
        <w:overflowPunct w:val="0"/>
        <w:topLinePunct w:val="0"/>
        <w:autoSpaceDE w:val="0"/>
        <w:autoSpaceDN w:val="0"/>
        <w:bidi w:val="0"/>
        <w:adjustRightInd/>
        <w:snapToGrid/>
        <w:spacing w:line="360" w:lineRule="auto"/>
        <w:ind w:firstLine="468" w:firstLineChars="200"/>
        <w:jc w:val="both"/>
        <w:textAlignment w:val="baseline"/>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VOCs有组织排放量7.366t/a，无组织排放量1.253t/a。</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pacing w:val="-3"/>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highlight w:val="none"/>
          <w:lang w:val="en-US" w:eastAsia="zh-CN"/>
          <w14:textFill>
            <w14:solidFill>
              <w14:schemeClr w14:val="tx1"/>
            </w14:solidFill>
          </w14:textFill>
        </w:rPr>
        <w:t xml:space="preserve">表3.2-3   </w:t>
      </w:r>
      <w:r>
        <w:rPr>
          <w:rFonts w:hint="default" w:ascii="Times New Roman" w:hAnsi="Times New Roman" w:eastAsia="宋体" w:cs="Times New Roman"/>
          <w:b w:val="0"/>
          <w:bCs w:val="0"/>
          <w:color w:val="000000" w:themeColor="text1"/>
          <w:spacing w:val="-3"/>
          <w:sz w:val="21"/>
          <w:szCs w:val="21"/>
          <w:highlight w:val="none"/>
          <w14:textFill>
            <w14:solidFill>
              <w14:schemeClr w14:val="tx1"/>
            </w14:solidFill>
          </w14:textFill>
        </w:rPr>
        <w:t>VOCs</w:t>
      </w:r>
      <w:r>
        <w:rPr>
          <w:rFonts w:hint="default" w:ascii="Times New Roman" w:hAnsi="Times New Roman" w:eastAsia="宋体" w:cs="Times New Roman"/>
          <w:b w:val="0"/>
          <w:bCs w:val="0"/>
          <w:color w:val="000000" w:themeColor="text1"/>
          <w:spacing w:val="-3"/>
          <w:sz w:val="21"/>
          <w:szCs w:val="21"/>
          <w:highlight w:val="none"/>
          <w:lang w:val="en-US" w:eastAsia="zh-CN"/>
          <w14:textFill>
            <w14:solidFill>
              <w14:schemeClr w14:val="tx1"/>
            </w14:solidFill>
          </w14:textFill>
        </w:rPr>
        <w:t>产排一览表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776"/>
        <w:gridCol w:w="841"/>
        <w:gridCol w:w="982"/>
        <w:gridCol w:w="1669"/>
        <w:gridCol w:w="690"/>
        <w:gridCol w:w="873"/>
        <w:gridCol w:w="1064"/>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2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污染</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因子</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产生量t/a</w:t>
            </w:r>
          </w:p>
        </w:tc>
        <w:tc>
          <w:tcPr>
            <w:tcW w:w="49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产生速率kg/h</w:t>
            </w:r>
          </w:p>
        </w:tc>
        <w:tc>
          <w:tcPr>
            <w:tcW w:w="57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产生浓度mg/m</w:t>
            </w:r>
            <w:r>
              <w:rPr>
                <w:rFonts w:hint="default" w:ascii="Times New Roman" w:hAnsi="Times New Roman" w:eastAsia="宋体" w:cs="Times New Roman"/>
                <w:color w:val="000000" w:themeColor="text1"/>
                <w:spacing w:val="-3"/>
                <w:sz w:val="21"/>
                <w:szCs w:val="21"/>
                <w:highlight w:val="none"/>
                <w:vertAlign w:val="superscript"/>
                <w:lang w:val="en-US" w:eastAsia="zh-CN"/>
                <w14:textFill>
                  <w14:solidFill>
                    <w14:schemeClr w14:val="tx1"/>
                  </w14:solidFill>
                </w14:textFill>
              </w:rPr>
              <w:t>3</w:t>
            </w:r>
          </w:p>
        </w:tc>
        <w:tc>
          <w:tcPr>
            <w:tcW w:w="97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处理措施</w:t>
            </w:r>
          </w:p>
        </w:tc>
        <w:tc>
          <w:tcPr>
            <w:tcW w:w="40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排放量t/a</w:t>
            </w:r>
          </w:p>
        </w:tc>
        <w:tc>
          <w:tcPr>
            <w:tcW w:w="51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排放速率kg/h</w:t>
            </w:r>
          </w:p>
        </w:tc>
        <w:tc>
          <w:tcPr>
            <w:tcW w:w="62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排放浓度mg/m</w:t>
            </w:r>
            <w:r>
              <w:rPr>
                <w:rFonts w:hint="default" w:ascii="Times New Roman" w:hAnsi="Times New Roman" w:eastAsia="宋体" w:cs="Times New Roman"/>
                <w:color w:val="000000" w:themeColor="text1"/>
                <w:spacing w:val="-3"/>
                <w:sz w:val="21"/>
                <w:szCs w:val="21"/>
                <w:highlight w:val="none"/>
                <w:vertAlign w:val="superscript"/>
                <w:lang w:val="en-US" w:eastAsia="zh-CN"/>
                <w14:textFill>
                  <w14:solidFill>
                    <w14:schemeClr w14:val="tx1"/>
                  </w14:solidFill>
                </w14:textFill>
              </w:rPr>
              <w:t>3</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455"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62.633</w:t>
            </w:r>
          </w:p>
        </w:tc>
        <w:tc>
          <w:tcPr>
            <w:tcW w:w="494"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30.112</w:t>
            </w:r>
          </w:p>
        </w:tc>
        <w:tc>
          <w:tcPr>
            <w:tcW w:w="576"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250.933</w:t>
            </w:r>
          </w:p>
        </w:tc>
        <w:tc>
          <w:tcPr>
            <w:tcW w:w="97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设置灌注、涂装车间为密闭车间，通过上进风+侧面吸风+粗效吸附箱+活性炭吸附/脱附+催化燃烧（热源采用电加热）+风机+27米排气筒</w:t>
            </w:r>
            <w:r>
              <w:rPr>
                <w:rFonts w:hint="default" w:ascii="Times New Roman" w:hAnsi="Times New Roman" w:eastAsia="宋体" w:cs="Times New Roman"/>
                <w:b w:val="0"/>
                <w:bCs w:val="0"/>
                <w:color w:val="000000" w:themeColor="text1"/>
                <w:spacing w:val="-3"/>
                <w:sz w:val="21"/>
                <w:szCs w:val="21"/>
                <w:highlight w:val="none"/>
                <w:lang w:eastAsia="zh-CN"/>
                <w14:textFill>
                  <w14:solidFill>
                    <w14:schemeClr w14:val="tx1"/>
                  </w14:solidFill>
                </w14:textFill>
              </w:rPr>
              <w:t>，处理效率</w:t>
            </w:r>
            <w:r>
              <w:rPr>
                <w:rFonts w:hint="default" w:ascii="Times New Roman" w:hAnsi="Times New Roman" w:eastAsia="宋体" w:cs="Times New Roman"/>
                <w:b w:val="0"/>
                <w:bCs w:val="0"/>
                <w:color w:val="000000" w:themeColor="text1"/>
                <w:spacing w:val="-3"/>
                <w:sz w:val="21"/>
                <w:szCs w:val="21"/>
                <w:highlight w:val="none"/>
                <w:lang w:val="en-US" w:eastAsia="zh-CN"/>
                <w14:textFill>
                  <w14:solidFill>
                    <w14:schemeClr w14:val="tx1"/>
                  </w14:solidFill>
                </w14:textFill>
              </w:rPr>
              <w:t>88</w:t>
            </w:r>
            <w:r>
              <w:rPr>
                <w:rFonts w:hint="default" w:ascii="Times New Roman" w:hAnsi="Times New Roman" w:eastAsia="宋体" w:cs="Times New Roman"/>
                <w:b w:val="0"/>
                <w:bCs w:val="0"/>
                <w:color w:val="000000" w:themeColor="text1"/>
                <w:spacing w:val="-3"/>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3"/>
                <w:sz w:val="21"/>
                <w:szCs w:val="21"/>
                <w:highlight w:val="none"/>
                <w:lang w:val="en-US" w:eastAsia="zh-CN"/>
                <w14:textFill>
                  <w14:solidFill>
                    <w14:schemeClr w14:val="tx1"/>
                  </w14:solidFill>
                </w14:textFill>
              </w:rPr>
              <w:t>收集效率98%</w:t>
            </w:r>
          </w:p>
        </w:tc>
        <w:tc>
          <w:tcPr>
            <w:tcW w:w="405"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7.366</w:t>
            </w:r>
          </w:p>
        </w:tc>
        <w:tc>
          <w:tcPr>
            <w:tcW w:w="512"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3.541</w:t>
            </w:r>
          </w:p>
        </w:tc>
        <w:tc>
          <w:tcPr>
            <w:tcW w:w="62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29.508</w:t>
            </w:r>
          </w:p>
        </w:tc>
        <w:tc>
          <w:tcPr>
            <w:tcW w:w="523"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p>
        </w:tc>
        <w:tc>
          <w:tcPr>
            <w:tcW w:w="455"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p>
        </w:tc>
        <w:tc>
          <w:tcPr>
            <w:tcW w:w="494"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p>
        </w:tc>
        <w:tc>
          <w:tcPr>
            <w:tcW w:w="576"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p>
        </w:tc>
        <w:tc>
          <w:tcPr>
            <w:tcW w:w="97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405"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1.253</w:t>
            </w:r>
          </w:p>
        </w:tc>
        <w:tc>
          <w:tcPr>
            <w:tcW w:w="512"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0.602</w:t>
            </w:r>
          </w:p>
        </w:tc>
        <w:tc>
          <w:tcPr>
            <w:tcW w:w="62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523"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无组织</w:t>
            </w:r>
          </w:p>
        </w:tc>
      </w:tr>
    </w:tbl>
    <w:p>
      <w:pPr>
        <w:pageBreakBefore w:val="0"/>
        <w:kinsoku/>
        <w:overflowPunct w:val="0"/>
        <w:bidi w:val="0"/>
        <w:spacing w:line="93" w:lineRule="auto"/>
        <w:rPr>
          <w:rFonts w:hint="default" w:ascii="Times New Roman" w:hAnsi="Times New Roman" w:eastAsia="宋体" w:cs="Times New Roman"/>
          <w:color w:val="000000" w:themeColor="text1"/>
          <w:sz w:val="2"/>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物料MSDS，油性漆VOCs中甲苯占比约0.5%，二甲苯占比约5%，其他均认定为非甲烷总烃94.5%，涂装车间有机废气有组织排放量约为6.776t/a，无组织排放量约为1.152t/a，涂装车间甲苯、二甲苯、非甲烷总烃排污情况如下表。</w:t>
      </w: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表3.2-4   甲苯、二甲苯、非甲烷总烃排污情况汇总一览表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366"/>
        <w:gridCol w:w="968"/>
        <w:gridCol w:w="1037"/>
        <w:gridCol w:w="1364"/>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工序</w:t>
            </w: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污染</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因子</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排放量t/a</w:t>
            </w:r>
          </w:p>
        </w:tc>
        <w:tc>
          <w:tcPr>
            <w:tcW w:w="60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排放速率kg/h</w:t>
            </w:r>
          </w:p>
        </w:tc>
        <w:tc>
          <w:tcPr>
            <w:tcW w:w="80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排放浓度mg/m</w:t>
            </w:r>
            <w:r>
              <w:rPr>
                <w:rFonts w:hint="default" w:ascii="Times New Roman" w:hAnsi="Times New Roman" w:eastAsia="宋体" w:cs="Times New Roman"/>
                <w:color w:val="000000" w:themeColor="text1"/>
                <w:spacing w:val="-3"/>
                <w:sz w:val="21"/>
                <w:szCs w:val="21"/>
                <w:highlight w:val="none"/>
                <w:vertAlign w:val="superscript"/>
                <w:lang w:val="en-US" w:eastAsia="zh-CN"/>
                <w14:textFill>
                  <w14:solidFill>
                    <w14:schemeClr w14:val="tx1"/>
                  </w14:solidFill>
                </w14:textFill>
              </w:rPr>
              <w:t>3</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标准</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mg/m</w:t>
            </w:r>
            <w:r>
              <w:rPr>
                <w:rFonts w:hint="default" w:ascii="Times New Roman" w:hAnsi="Times New Roman" w:eastAsia="宋体" w:cs="Times New Roman"/>
                <w:color w:val="000000" w:themeColor="text1"/>
                <w:spacing w:val="-3"/>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VOCS</w:t>
            </w:r>
            <w:r>
              <w:rPr>
                <w:rFonts w:hint="default" w:ascii="Times New Roman" w:hAnsi="Times New Roman" w:eastAsia="宋体" w:cs="Times New Roman"/>
                <w:color w:val="000000" w:themeColor="text1"/>
                <w:lang w:val="en-US" w:eastAsia="zh-CN"/>
                <w14:textFill>
                  <w14:solidFill>
                    <w14:schemeClr w14:val="tx1"/>
                  </w14:solidFill>
                </w14:textFill>
              </w:rPr>
              <w:t>有组织</w:t>
            </w:r>
            <w:r>
              <w:rPr>
                <w:rFonts w:hint="default" w:ascii="Times New Roman" w:hAnsi="Times New Roman" w:eastAsia="宋体" w:cs="Times New Roman"/>
                <w:color w:val="000000" w:themeColor="text1"/>
                <w14:textFill>
                  <w14:solidFill>
                    <w14:schemeClr w14:val="tx1"/>
                  </w14:solidFill>
                </w14:textFill>
              </w:rPr>
              <w:t>挥发</w:t>
            </w: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甲苯</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0.034</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0.016</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0.133</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40（排气筒高度20m：5.2kg/h）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二甲苯</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0.339</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0.163</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1.358</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70（排气筒高度20m：1.7kg/h）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非甲烷总烃</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6.403</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3.078</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25.6</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120（排气筒高度20m：17kg/h）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VOCS</w:t>
            </w: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无组织</w:t>
            </w: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挥发</w:t>
            </w: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甲苯</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0.006</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0.003</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周界外浓度最高点2.4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二甲苯</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0.058</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0.028</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周界外浓度最高点1.2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非甲烷总烃</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1.088</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0.523</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周界外浓度最高点4.0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合计</w:t>
            </w: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甲苯</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0.04</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0.019</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二甲苯</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0.397</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0.191</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p>
        </w:tc>
        <w:tc>
          <w:tcPr>
            <w:tcW w:w="8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非甲烷总烃</w:t>
            </w:r>
          </w:p>
        </w:tc>
        <w:tc>
          <w:tcPr>
            <w:tcW w:w="56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7.491</w:t>
            </w:r>
          </w:p>
        </w:tc>
        <w:tc>
          <w:tcPr>
            <w:tcW w:w="608"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3.601</w:t>
            </w:r>
          </w:p>
        </w:tc>
        <w:tc>
          <w:tcPr>
            <w:tcW w:w="80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c>
          <w:tcPr>
            <w:tcW w:w="153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w:t>
            </w:r>
          </w:p>
        </w:tc>
      </w:tr>
    </w:tbl>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2）颗粒物</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①修型</w:t>
      </w:r>
      <w:r>
        <w:rPr>
          <w:rFonts w:hint="default" w:ascii="Times New Roman" w:hAnsi="Times New Roman" w:eastAsia="宋体" w:cs="Times New Roman"/>
          <w:color w:val="000000" w:themeColor="text1"/>
          <w:sz w:val="24"/>
          <w:szCs w:val="24"/>
          <w:highlight w:val="none"/>
          <w14:textFill>
            <w14:solidFill>
              <w14:schemeClr w14:val="tx1"/>
            </w14:solidFill>
          </w14:textFill>
        </w:rPr>
        <w:t>粉尘</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50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u w:val="none" w:color="auto"/>
          <w14:textFill>
            <w14:solidFill>
              <w14:schemeClr w14:val="tx1"/>
            </w14:solidFill>
          </w14:textFill>
        </w:rPr>
        <w:t>根据《排放源统计调查产排污核算方法</w:t>
      </w:r>
      <w:r>
        <w:rPr>
          <w:rFonts w:hint="default" w:ascii="Times New Roman" w:hAnsi="Times New Roman" w:eastAsia="宋体" w:cs="Times New Roman"/>
          <w:color w:val="000000" w:themeColor="text1"/>
          <w:spacing w:val="-5"/>
          <w:sz w:val="24"/>
          <w:szCs w:val="24"/>
          <w:highlight w:val="none"/>
          <w:u w:val="none" w:color="auto"/>
          <w14:textFill>
            <w14:solidFill>
              <w14:schemeClr w14:val="tx1"/>
            </w14:solidFill>
          </w14:textFill>
        </w:rPr>
        <w:t>和系数手册》（生态环境部办公厅2021年6月11日印发）中38电气机械和器</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材制造业行业系数手册，切割、钻孔过程中颗粒物产生量为0.4351克/千克</w:t>
      </w:r>
      <w:r>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原</w:t>
      </w:r>
      <w:r>
        <w:rPr>
          <w:rFonts w:hint="default" w:ascii="Times New Roman" w:hAnsi="Times New Roman" w:eastAsia="宋体" w:cs="Times New Roman"/>
          <w:color w:val="000000" w:themeColor="text1"/>
          <w:spacing w:val="17"/>
          <w:sz w:val="24"/>
          <w:szCs w:val="24"/>
          <w:highlight w:val="none"/>
          <w:u w:val="none" w:color="auto"/>
          <w14:textFill>
            <w14:solidFill>
              <w14:schemeClr w14:val="tx1"/>
            </w14:solidFill>
          </w14:textFill>
        </w:rPr>
        <w:t>料，本项目使用量</w:t>
      </w:r>
      <w:r>
        <w:rPr>
          <w:rFonts w:hint="default" w:ascii="Times New Roman" w:hAnsi="Times New Roman" w:eastAsia="宋体" w:cs="Times New Roman"/>
          <w:color w:val="000000" w:themeColor="text1"/>
          <w:spacing w:val="17"/>
          <w:sz w:val="24"/>
          <w:szCs w:val="24"/>
          <w:highlight w:val="none"/>
          <w:u w:val="none" w:color="auto"/>
          <w:lang w:val="en-US" w:eastAsia="zh-CN"/>
          <w14:textFill>
            <w14:solidFill>
              <w14:schemeClr w14:val="tx1"/>
            </w14:solidFill>
          </w14:textFill>
        </w:rPr>
        <w:t>约为</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4000t</w:t>
      </w:r>
      <w:r>
        <w:rPr>
          <w:rFonts w:hint="default" w:ascii="Times New Roman" w:hAnsi="Times New Roman" w:eastAsia="宋体" w:cs="Times New Roman"/>
          <w:color w:val="000000" w:themeColor="text1"/>
          <w:spacing w:val="-3"/>
          <w:sz w:val="24"/>
          <w:szCs w:val="24"/>
          <w:highlight w:val="none"/>
          <w:u w:val="none" w:color="auto"/>
          <w14:textFill>
            <w14:solidFill>
              <w14:schemeClr w14:val="tx1"/>
            </w14:solidFill>
          </w14:textFill>
        </w:rPr>
        <w:t>，因此粉尘产生量为</w:t>
      </w:r>
      <w:r>
        <w:rPr>
          <w:rFonts w:hint="default" w:ascii="Times New Roman" w:hAnsi="Times New Roman" w:eastAsia="宋体" w:cs="Times New Roman"/>
          <w:color w:val="000000" w:themeColor="text1"/>
          <w:spacing w:val="-3"/>
          <w:sz w:val="24"/>
          <w:szCs w:val="24"/>
          <w:highlight w:val="none"/>
          <w:u w:val="none" w:color="auto"/>
          <w:lang w:val="en-US" w:eastAsia="zh-CN"/>
          <w14:textFill>
            <w14:solidFill>
              <w14:schemeClr w14:val="tx1"/>
            </w14:solidFill>
          </w14:textFill>
        </w:rPr>
        <w:t>1.74</w:t>
      </w:r>
      <w:r>
        <w:rPr>
          <w:rFonts w:hint="default" w:ascii="Times New Roman" w:hAnsi="Times New Roman" w:eastAsia="宋体" w:cs="Times New Roman"/>
          <w:color w:val="000000" w:themeColor="text1"/>
          <w:spacing w:val="-3"/>
          <w:sz w:val="24"/>
          <w:szCs w:val="24"/>
          <w:highlight w:val="none"/>
          <w:u w:val="none" w:color="auto"/>
          <w14:textFill>
            <w14:solidFill>
              <w14:schemeClr w14:val="tx1"/>
            </w14:solidFill>
          </w14:textFill>
        </w:rPr>
        <w:t>t/a</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8" w:firstLineChars="200"/>
        <w:jc w:val="both"/>
        <w:textAlignment w:val="baseline"/>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项目</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设计</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采用集气罩</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收集通过</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布袋除尘</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器处理后高空</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排放，收集效率9</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%，布袋除尘对颗粒物的去除效率是99%，则车间未收集的</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0.174</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t/a粉尘在车间内无组织排放</w:t>
      </w:r>
      <w:r>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收集粉尘为</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1.566</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t/a，作业时间约</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30</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00h，</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产生</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速率</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0.522</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kg/h，收集后粉尘经</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m排气筒高空排放，除尘系统处理效率为99%</w:t>
      </w:r>
      <w:r>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风量3000m</w:t>
      </w:r>
      <w:r>
        <w:rPr>
          <w:rFonts w:hint="default" w:ascii="Times New Roman" w:hAnsi="Times New Roman" w:eastAsia="宋体" w:cs="Times New Roman"/>
          <w:color w:val="000000" w:themeColor="text1"/>
          <w:spacing w:val="2"/>
          <w:sz w:val="24"/>
          <w:szCs w:val="24"/>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，则有组织排放量为</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0.016</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t/a（</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0.005</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kg/h）</w:t>
      </w:r>
      <w:r>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64"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腻子打磨粉尘</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8" w:firstLineChars="200"/>
        <w:jc w:val="both"/>
        <w:textAlignment w:val="baseline"/>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项目刮腻子后需对叶片表面进行打磨处理，该过程中会产生大量的粉尘。项目以打磨机为主。</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参考《排放源统计调查产排污核算方法和系数手册》（生态环境部办公厅2021年6月11日印发）中34通用设备制造业行业系数手册里14涂装</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，颗粒物产污系数为166千克/吨-原料计算，腻子主剂、腻子固化剂腻子使用量24.5t/a则打磨粉尘的总产生量为</w:t>
      </w:r>
      <w:r>
        <w:rPr>
          <w:rFonts w:hint="default" w:ascii="Times New Roman" w:hAnsi="Times New Roman" w:eastAsia="宋体" w:cs="Times New Roman"/>
          <w:color w:val="000000" w:themeColor="text1"/>
          <w:spacing w:val="2"/>
          <w:sz w:val="24"/>
          <w:szCs w:val="24"/>
          <w:highlight w:val="none"/>
          <w:u w:val="none" w:color="auto"/>
          <w:lang w:val="en-US" w:eastAsia="zh-CN"/>
          <w14:textFill>
            <w14:solidFill>
              <w14:schemeClr w14:val="tx1"/>
            </w14:solidFill>
          </w14:textFill>
        </w:rPr>
        <w:t>4.067</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t/a。</w:t>
      </w:r>
    </w:p>
    <w:p>
      <w:pPr>
        <w:keepNext w:val="0"/>
        <w:keepLines w:val="0"/>
        <w:pageBreakBefore w:val="0"/>
        <w:widowControl/>
        <w:tabs>
          <w:tab w:val="left" w:pos="135"/>
        </w:tabs>
        <w:kinsoku/>
        <w:wordWrap/>
        <w:overflowPunct w:val="0"/>
        <w:topLinePunct w:val="0"/>
        <w:autoSpaceDE w:val="0"/>
        <w:autoSpaceDN w:val="0"/>
        <w:bidi w:val="0"/>
        <w:adjustRightInd/>
        <w:snapToGrid/>
        <w:spacing w:line="360" w:lineRule="auto"/>
        <w:ind w:left="0" w:right="0" w:firstLine="496" w:firstLineChars="200"/>
        <w:jc w:val="both"/>
        <w:textAlignment w:val="baseline"/>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u w:val="none" w:color="auto"/>
          <w14:textFill>
            <w14:solidFill>
              <w14:schemeClr w14:val="tx1"/>
            </w14:solidFill>
          </w14:textFill>
        </w:rPr>
        <w:t>项目采用“Nederman高负压除尘系统+打磨/清扫套件”工艺对粉尘进行收</w:t>
      </w:r>
      <w:r>
        <w:rPr>
          <w:rFonts w:hint="default" w:ascii="Times New Roman" w:hAnsi="Times New Roman" w:eastAsia="宋体" w:cs="Times New Roman"/>
          <w:color w:val="000000" w:themeColor="text1"/>
          <w:spacing w:val="-7"/>
          <w:sz w:val="24"/>
          <w:szCs w:val="24"/>
          <w:highlight w:val="none"/>
          <w:u w:val="none" w:color="auto"/>
          <w14:textFill>
            <w14:solidFill>
              <w14:schemeClr w14:val="tx1"/>
            </w14:solidFill>
          </w14:textFill>
        </w:rPr>
        <w:t>集，即设备源头采用套件形式包裹打磨工具，使得粉尘在产生的瞬间在工具处</w:t>
      </w:r>
      <w:r>
        <w:rPr>
          <w:rFonts w:hint="default" w:ascii="Times New Roman" w:hAnsi="Times New Roman" w:eastAsia="宋体" w:cs="Times New Roman"/>
          <w:color w:val="000000" w:themeColor="text1"/>
          <w:spacing w:val="-4"/>
          <w:sz w:val="24"/>
          <w:szCs w:val="24"/>
          <w:highlight w:val="none"/>
          <w:u w:val="none" w:color="auto"/>
          <w14:textFill>
            <w14:solidFill>
              <w14:schemeClr w14:val="tx1"/>
            </w14:solidFill>
          </w14:textFill>
        </w:rPr>
        <w:t>即刻被捕捉，收集效率高达9</w:t>
      </w:r>
      <w:r>
        <w:rPr>
          <w:rFonts w:hint="default" w:ascii="Times New Roman" w:hAnsi="Times New Roman" w:eastAsia="宋体" w:cs="Times New Roman"/>
          <w:color w:val="000000" w:themeColor="text1"/>
          <w:spacing w:val="-4"/>
          <w:sz w:val="24"/>
          <w:szCs w:val="24"/>
          <w:highlight w:val="none"/>
          <w:u w:val="none" w:color="auto"/>
          <w:lang w:val="en-US" w:eastAsia="zh-CN"/>
          <w14:textFill>
            <w14:solidFill>
              <w14:schemeClr w14:val="tx1"/>
            </w14:solidFill>
          </w14:textFill>
        </w:rPr>
        <w:t>0</w:t>
      </w:r>
      <w:r>
        <w:rPr>
          <w:rFonts w:hint="default" w:ascii="Times New Roman" w:hAnsi="Times New Roman" w:eastAsia="宋体" w:cs="Times New Roman"/>
          <w:color w:val="000000" w:themeColor="text1"/>
          <w:spacing w:val="-4"/>
          <w:sz w:val="24"/>
          <w:szCs w:val="24"/>
          <w:highlight w:val="none"/>
          <w:u w:val="none" w:color="auto"/>
          <w14:textFill>
            <w14:solidFill>
              <w14:schemeClr w14:val="tx1"/>
            </w14:solidFill>
          </w14:textFill>
        </w:rPr>
        <w:t>%及以上，收集的粉尘颗粒经中央集尘装置集中</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收集后采用圆筒形滤筒除尘器处理</w:t>
      </w:r>
      <w:r>
        <w:rPr>
          <w:rFonts w:hint="default" w:ascii="Times New Roman" w:hAnsi="Times New Roman" w:eastAsia="宋体" w:cs="Times New Roman"/>
          <w:color w:val="000000" w:themeColor="text1"/>
          <w:spacing w:val="-6"/>
          <w:sz w:val="24"/>
          <w:szCs w:val="24"/>
          <w:highlight w:val="none"/>
          <w:u w:val="none" w:color="auto"/>
          <w:lang w:val="en-US" w:eastAsia="zh-CN"/>
          <w14:textFill>
            <w14:solidFill>
              <w14:schemeClr w14:val="tx1"/>
            </w14:solidFill>
          </w14:textFill>
        </w:rPr>
        <w:t>后高空排放</w:t>
      </w:r>
      <w:r>
        <w:rPr>
          <w:rFonts w:hint="default" w:ascii="Times New Roman" w:hAnsi="Times New Roman" w:eastAsia="宋体" w:cs="Times New Roman"/>
          <w:color w:val="000000" w:themeColor="text1"/>
          <w:spacing w:val="-6"/>
          <w:sz w:val="24"/>
          <w:szCs w:val="24"/>
          <w:highlight w:val="none"/>
          <w:u w:val="none" w:color="auto"/>
          <w:lang w:eastAsia="zh-CN"/>
          <w14:textFill>
            <w14:solidFill>
              <w14:schemeClr w14:val="tx1"/>
            </w14:solidFill>
          </w14:textFill>
        </w:rPr>
        <w:t>。作业时间约</w:t>
      </w:r>
      <w:r>
        <w:rPr>
          <w:rFonts w:hint="default" w:ascii="Times New Roman" w:hAnsi="Times New Roman" w:eastAsia="宋体" w:cs="Times New Roman"/>
          <w:color w:val="000000" w:themeColor="text1"/>
          <w:spacing w:val="-6"/>
          <w:sz w:val="24"/>
          <w:szCs w:val="24"/>
          <w:highlight w:val="none"/>
          <w:u w:val="none" w:color="auto"/>
          <w:lang w:val="en-US" w:eastAsia="zh-CN"/>
          <w14:textFill>
            <w14:solidFill>
              <w14:schemeClr w14:val="tx1"/>
            </w14:solidFill>
          </w14:textFill>
        </w:rPr>
        <w:t>30</w:t>
      </w:r>
      <w:r>
        <w:rPr>
          <w:rFonts w:hint="default" w:ascii="Times New Roman" w:hAnsi="Times New Roman" w:eastAsia="宋体" w:cs="Times New Roman"/>
          <w:color w:val="000000" w:themeColor="text1"/>
          <w:spacing w:val="-6"/>
          <w:sz w:val="24"/>
          <w:szCs w:val="24"/>
          <w:highlight w:val="none"/>
          <w:u w:val="none" w:color="auto"/>
          <w:lang w:eastAsia="zh-CN"/>
          <w14:textFill>
            <w14:solidFill>
              <w14:schemeClr w14:val="tx1"/>
            </w14:solidFill>
          </w14:textFill>
        </w:rPr>
        <w:t>00h，</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则车间未收集的</w:t>
      </w:r>
      <w:r>
        <w:rPr>
          <w:rFonts w:hint="default" w:ascii="Times New Roman" w:hAnsi="Times New Roman" w:eastAsia="宋体" w:cs="Times New Roman"/>
          <w:color w:val="000000" w:themeColor="text1"/>
          <w:spacing w:val="-6"/>
          <w:sz w:val="24"/>
          <w:szCs w:val="24"/>
          <w:highlight w:val="none"/>
          <w:u w:val="none" w:color="auto"/>
          <w:lang w:val="en-US" w:eastAsia="zh-CN"/>
          <w14:textFill>
            <w14:solidFill>
              <w14:schemeClr w14:val="tx1"/>
            </w14:solidFill>
          </w14:textFill>
        </w:rPr>
        <w:t>0.407</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t/a粉尘在车间内无组</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织排放，排放速率（</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0.136</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kg/h</w:t>
      </w:r>
      <w:r>
        <w:rPr>
          <w:rFonts w:hint="default" w:ascii="Times New Roman" w:hAnsi="Times New Roman" w:eastAsia="宋体" w:cs="Times New Roman"/>
          <w:color w:val="000000" w:themeColor="text1"/>
          <w:spacing w:val="2"/>
          <w:sz w:val="24"/>
          <w:szCs w:val="24"/>
          <w:highlight w:val="none"/>
          <w:u w:val="none" w:color="auto"/>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收集粉尘为</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3.660</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t/a，</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高负压除尘系统处理效率为99%，</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收集后粉尘经</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15</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m排气筒</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高空排放，则有组织排放量为</w:t>
      </w:r>
      <w:r>
        <w:rPr>
          <w:rFonts w:hint="default" w:ascii="Times New Roman" w:hAnsi="Times New Roman" w:eastAsia="宋体" w:cs="Times New Roman"/>
          <w:color w:val="000000" w:themeColor="text1"/>
          <w:spacing w:val="6"/>
          <w:sz w:val="24"/>
          <w:szCs w:val="24"/>
          <w:highlight w:val="none"/>
          <w:u w:val="none" w:color="auto"/>
          <w:lang w:val="en-US" w:eastAsia="zh-CN"/>
          <w14:textFill>
            <w14:solidFill>
              <w14:schemeClr w14:val="tx1"/>
            </w14:solidFill>
          </w14:textFill>
        </w:rPr>
        <w:t>0.037</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t/a</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u w:val="none" w:color="auto"/>
          <w:lang w:val="en-US" w:eastAsia="zh-CN"/>
          <w14:textFill>
            <w14:solidFill>
              <w14:schemeClr w14:val="tx1"/>
            </w14:solidFill>
          </w14:textFill>
        </w:rPr>
        <w:t>0.012</w:t>
      </w: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kg/h</w:t>
      </w:r>
      <w:r>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color="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食堂油烟废气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项目设有员工食堂，为员工提供工作餐。根据业主提供的资料，食堂就餐人数按</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1000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人/天计，食堂食用平均耗油系数以20g/人计，因此每天耗油量为</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kg/d。油的挥发量平均约占总耗油量的3%，则油烟的产生量为</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0.156</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t/a。除油烟机每天工作时间以7h计，厨房油烟净化器废气总设计风量为</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10000m</w:t>
      </w:r>
      <w:r>
        <w:rPr>
          <w:rFonts w:hint="default" w:ascii="Times New Roman" w:hAnsi="Times New Roman" w:eastAsia="宋体" w:cs="Times New Roman"/>
          <w:color w:val="000000" w:themeColor="text1"/>
          <w:spacing w:val="-2"/>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/h。本项目厨房油烟废气均经过油烟净化</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器</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处理后排放，项目油烟去除</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效率为80%，则最终油烟排放量为</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0.031</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t/a，排放浓度为</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1.72</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mg/m</w:t>
      </w:r>
      <w:r>
        <w:rPr>
          <w:rFonts w:hint="default" w:ascii="Times New Roman" w:hAnsi="Times New Roman" w:eastAsia="宋体" w:cs="Times New Roman"/>
          <w:color w:val="000000" w:themeColor="text1"/>
          <w:spacing w:val="-4"/>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，小于</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饮食业油烟排放标准</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》（GB18483-2001）中2.0mg/m</w:t>
      </w:r>
      <w:r>
        <w:rPr>
          <w:rFonts w:hint="default" w:ascii="Times New Roman" w:hAnsi="Times New Roman" w:eastAsia="宋体" w:cs="Times New Roman"/>
          <w:color w:val="000000" w:themeColor="text1"/>
          <w:spacing w:val="-5"/>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的限值。本项</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目食堂油烟净化处理后通过烟道经高于楼顶1m排气筒（DA00</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）排放。</w: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表3.</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食用油消耗和油烟废气产生情况</w:t>
      </w:r>
    </w:p>
    <w:tbl>
      <w:tblPr>
        <w:tblStyle w:val="3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75"/>
        <w:gridCol w:w="1659"/>
        <w:gridCol w:w="1659"/>
        <w:gridCol w:w="1659"/>
        <w:gridCol w:w="16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06" w:type="pct"/>
            <w:tcBorders>
              <w:top w:val="single" w:color="000000" w:sz="8" w:space="0"/>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油烟产生量（t/a）</w:t>
            </w:r>
          </w:p>
        </w:tc>
        <w:tc>
          <w:tcPr>
            <w:tcW w:w="996"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油烟产生浓度</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mg/m</w:t>
            </w:r>
            <w:r>
              <w:rPr>
                <w:rFonts w:hint="default" w:ascii="Times New Roman" w:hAnsi="Times New Roman" w:eastAsia="宋体" w:cs="Times New Roman"/>
                <w:color w:val="000000" w:themeColor="text1"/>
                <w:spacing w:val="-4"/>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t>
            </w:r>
          </w:p>
        </w:tc>
        <w:tc>
          <w:tcPr>
            <w:tcW w:w="996"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处理率</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t>
            </w:r>
          </w:p>
        </w:tc>
        <w:tc>
          <w:tcPr>
            <w:tcW w:w="996"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油烟排放量（t/a）</w:t>
            </w:r>
          </w:p>
        </w:tc>
        <w:tc>
          <w:tcPr>
            <w:tcW w:w="1003" w:type="pct"/>
            <w:tcBorders>
              <w:top w:val="single" w:color="000000" w:sz="8" w:space="0"/>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排放浓度</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mg/m</w:t>
            </w:r>
            <w:r>
              <w:rPr>
                <w:rFonts w:hint="default" w:ascii="Times New Roman" w:hAnsi="Times New Roman" w:eastAsia="宋体" w:cs="Times New Roman"/>
                <w:color w:val="000000" w:themeColor="text1"/>
                <w:spacing w:val="-4"/>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006" w:type="pct"/>
            <w:tcBorders>
              <w:left w:val="single" w:color="000000" w:sz="8" w:space="0"/>
              <w:bottom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0.156</w:t>
            </w:r>
          </w:p>
        </w:tc>
        <w:tc>
          <w:tcPr>
            <w:tcW w:w="996" w:type="pct"/>
            <w:tcBorders>
              <w:bottom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8.6</w:t>
            </w:r>
          </w:p>
        </w:tc>
        <w:tc>
          <w:tcPr>
            <w:tcW w:w="996" w:type="pct"/>
            <w:tcBorders>
              <w:bottom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80%</w:t>
            </w:r>
          </w:p>
        </w:tc>
        <w:tc>
          <w:tcPr>
            <w:tcW w:w="996" w:type="pct"/>
            <w:tcBorders>
              <w:bottom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0.031</w:t>
            </w:r>
          </w:p>
        </w:tc>
        <w:tc>
          <w:tcPr>
            <w:tcW w:w="1003" w:type="pct"/>
            <w:tcBorders>
              <w:bottom w:val="single" w:color="000000" w:sz="8" w:space="0"/>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1.72</w:t>
            </w:r>
          </w:p>
        </w:tc>
      </w:tr>
    </w:tbl>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（2）无组织废气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①</w:t>
      </w:r>
      <w:r>
        <w:rPr>
          <w:rFonts w:hint="default" w:ascii="Times New Roman" w:hAnsi="Times New Roman" w:eastAsia="宋体" w:cs="Times New Roman"/>
          <w:color w:val="000000" w:themeColor="text1"/>
          <w:spacing w:val="-1"/>
          <w:sz w:val="24"/>
          <w:szCs w:val="24"/>
          <w:highlight w:val="none"/>
          <w:u w:val="none" w:color="auto"/>
          <w14:textFill>
            <w14:solidFill>
              <w14:schemeClr w14:val="tx1"/>
            </w14:solidFill>
          </w14:textFill>
        </w:rPr>
        <w:t>腻子使用过程中产生少量的有机废气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56" w:firstLineChars="200"/>
        <w:jc w:val="both"/>
        <w:textAlignment w:val="baseline"/>
        <w:rPr>
          <w:rFonts w:hint="default" w:ascii="Times New Roman" w:hAnsi="Times New Roman" w:eastAsia="宋体" w:cs="Times New Roman"/>
          <w:color w:val="000000" w:themeColor="text1"/>
          <w:spacing w:val="-7"/>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u w:val="none" w:color="auto"/>
          <w14:textFill>
            <w14:solidFill>
              <w14:schemeClr w14:val="tx1"/>
            </w14:solidFill>
          </w14:textFill>
        </w:rPr>
        <w:t>为使叶片表面光滑平整，腻子在使用过程中挥发性有机</w:t>
      </w:r>
      <w:r>
        <w:rPr>
          <w:rFonts w:hint="default" w:ascii="Times New Roman" w:hAnsi="Times New Roman" w:eastAsia="宋体" w:cs="Times New Roman"/>
          <w:color w:val="000000" w:themeColor="text1"/>
          <w:spacing w:val="15"/>
          <w:sz w:val="24"/>
          <w:szCs w:val="24"/>
          <w:highlight w:val="none"/>
          <w:u w:val="none" w:color="auto"/>
          <w14:textFill>
            <w14:solidFill>
              <w14:schemeClr w14:val="tx1"/>
            </w14:solidFill>
          </w14:textFill>
        </w:rPr>
        <w:t>物挥发。</w:t>
      </w:r>
      <w:r>
        <w:rPr>
          <w:rFonts w:hint="default" w:ascii="Times New Roman" w:hAnsi="Times New Roman" w:eastAsia="宋体" w:cs="Times New Roman"/>
          <w:color w:val="000000" w:themeColor="text1"/>
          <w:spacing w:val="15"/>
          <w:sz w:val="24"/>
          <w:szCs w:val="24"/>
          <w:highlight w:val="none"/>
          <w:u w:val="none" w:color="auto"/>
          <w:lang w:val="en-US" w:eastAsia="zh-CN"/>
          <w14:textFill>
            <w14:solidFill>
              <w14:schemeClr w14:val="tx1"/>
            </w14:solidFill>
          </w14:textFill>
        </w:rPr>
        <w:t>参考《排放源统计调查产排污核算方法和系数手册》中2641 涂料制造行业系数手册，</w:t>
      </w:r>
      <w:r>
        <w:rPr>
          <w:rFonts w:hint="default" w:ascii="Times New Roman" w:hAnsi="Times New Roman" w:eastAsia="宋体" w:cs="Times New Roman"/>
          <w:color w:val="000000" w:themeColor="text1"/>
          <w:spacing w:val="-1"/>
          <w:sz w:val="24"/>
          <w:szCs w:val="24"/>
          <w:highlight w:val="none"/>
          <w:u w:val="none" w:color="auto"/>
          <w:lang w:val="en-US" w:eastAsia="zh-CN"/>
          <w14:textFill>
            <w14:solidFill>
              <w14:schemeClr w14:val="tx1"/>
            </w14:solidFill>
          </w14:textFill>
        </w:rPr>
        <w:t>挥发性有机物产生量为3.26千克/吨-产品</w:t>
      </w:r>
      <w:r>
        <w:rPr>
          <w:rFonts w:hint="default" w:ascii="Times New Roman" w:hAnsi="Times New Roman" w:eastAsia="宋体" w:cs="Times New Roman"/>
          <w:color w:val="000000" w:themeColor="text1"/>
          <w:spacing w:val="15"/>
          <w:sz w:val="24"/>
          <w:szCs w:val="24"/>
          <w:highlight w:val="none"/>
          <w:u w:val="none" w:color="auto"/>
          <w14:textFill>
            <w14:solidFill>
              <w14:schemeClr w14:val="tx1"/>
            </w14:solidFill>
          </w14:textFill>
        </w:rPr>
        <w:t>，腻子主剂</w:t>
      </w:r>
      <w:r>
        <w:rPr>
          <w:rFonts w:hint="default" w:ascii="Times New Roman" w:hAnsi="Times New Roman" w:eastAsia="宋体" w:cs="Times New Roman"/>
          <w:color w:val="000000" w:themeColor="text1"/>
          <w:spacing w:val="15"/>
          <w:sz w:val="24"/>
          <w:szCs w:val="24"/>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15"/>
          <w:sz w:val="24"/>
          <w:szCs w:val="24"/>
          <w:highlight w:val="none"/>
          <w:u w:val="none" w:color="auto"/>
          <w14:textFill>
            <w14:solidFill>
              <w14:schemeClr w14:val="tx1"/>
            </w14:solidFill>
          </w14:textFill>
        </w:rPr>
        <w:t>腻子固化剂腻子使用量</w:t>
      </w:r>
      <w:r>
        <w:rPr>
          <w:rFonts w:hint="default" w:ascii="Times New Roman" w:hAnsi="Times New Roman" w:eastAsia="宋体" w:cs="Times New Roman"/>
          <w:color w:val="000000" w:themeColor="text1"/>
          <w:spacing w:val="15"/>
          <w:sz w:val="24"/>
          <w:szCs w:val="24"/>
          <w:highlight w:val="none"/>
          <w:u w:val="none" w:color="auto"/>
          <w:lang w:val="en-US" w:eastAsia="zh-CN"/>
          <w14:textFill>
            <w14:solidFill>
              <w14:schemeClr w14:val="tx1"/>
            </w14:solidFill>
          </w14:textFill>
        </w:rPr>
        <w:t>24.5</w:t>
      </w:r>
      <w:r>
        <w:rPr>
          <w:rFonts w:hint="default" w:ascii="Times New Roman" w:hAnsi="Times New Roman" w:eastAsia="宋体" w:cs="Times New Roman"/>
          <w:color w:val="000000" w:themeColor="text1"/>
          <w:spacing w:val="15"/>
          <w:sz w:val="24"/>
          <w:szCs w:val="24"/>
          <w:highlight w:val="none"/>
          <w:u w:val="none" w:color="auto"/>
          <w14:textFill>
            <w14:solidFill>
              <w14:schemeClr w14:val="tx1"/>
            </w14:solidFill>
          </w14:textFill>
        </w:rPr>
        <w:t>t/a，故项目刮腻子阶段挥发的有机废气量约</w:t>
      </w:r>
      <w:r>
        <w:rPr>
          <w:rFonts w:hint="default" w:ascii="Times New Roman" w:hAnsi="Times New Roman" w:eastAsia="宋体" w:cs="Times New Roman"/>
          <w:color w:val="000000" w:themeColor="text1"/>
          <w:spacing w:val="15"/>
          <w:sz w:val="24"/>
          <w:szCs w:val="24"/>
          <w:highlight w:val="none"/>
          <w:u w:val="none" w:color="auto"/>
          <w:lang w:val="en-US" w:eastAsia="zh-CN"/>
          <w14:textFill>
            <w14:solidFill>
              <w14:schemeClr w14:val="tx1"/>
            </w14:solidFill>
          </w14:textFill>
        </w:rPr>
        <w:t>0.08</w:t>
      </w:r>
      <w:r>
        <w:rPr>
          <w:rFonts w:hint="default" w:ascii="Times New Roman" w:hAnsi="Times New Roman" w:eastAsia="宋体" w:cs="Times New Roman"/>
          <w:color w:val="000000" w:themeColor="text1"/>
          <w:spacing w:val="15"/>
          <w:sz w:val="24"/>
          <w:szCs w:val="24"/>
          <w:highlight w:val="none"/>
          <w:u w:val="none" w:color="auto"/>
          <w14:textFill>
            <w14:solidFill>
              <w14:schemeClr w14:val="tx1"/>
            </w14:solidFill>
          </w14:textFill>
        </w:rPr>
        <w:t>t/a</w:t>
      </w:r>
      <w:r>
        <w:rPr>
          <w:rFonts w:hint="default" w:ascii="Times New Roman" w:hAnsi="Times New Roman" w:eastAsia="宋体" w:cs="Times New Roman"/>
          <w:color w:val="000000" w:themeColor="text1"/>
          <w:spacing w:val="15"/>
          <w:sz w:val="24"/>
          <w:szCs w:val="24"/>
          <w:highlight w:val="none"/>
          <w:u w:val="none" w:color="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②危废暂存间</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本项目生产过程中产生的废灌注管（部分沾染未完全固化的树脂料）、废树脂及树脂固化剂（未完全固化）、脱模过程中产生的含未固化沾染性废树脂料</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废腻子及固化剂</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漆渣、</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废辊筒、</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废漆桶该部分废物统一收集后暂存于危废暂存间内，本项目收集漆渣、</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废辊筒</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过滤产生的固废和废油漆需做好密封措施，项目收集的废空压机油、废机油由密闭桶盛装，置于本危险废物暂存间内，暂存期间废气产生量很少，可忽略不计。废气主要为部分含挥发性废气的液体，挥发出来的废气量少，主要为含VOCs的有机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lang w:val="en-US"/>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漆渣、废辊筒全部挥发</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排放的</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有机废气</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已计入涂装车间内，</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本项目废空压机油、废机油最大暂存量为</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1.35</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t/a，废漆桶上残留的极少量的油漆、油漆稀释剂约为0.157t/a</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且</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废漆桶、</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废空压机油、废机油采用密闭油桶暂存，从源头减少有机废气排放。废空压机油、废机油在暂存过程产生的有机废气，参照《散装液态石油产品损耗》（GB11085-1989），除汽油外其他油品在贮存过程中损耗率在0.01%，废空压机油、废机油</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贮存量为1.35</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t/年，则废空压机油、废机油VOCs</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量为</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0.135kg</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/a。废漆桶VOCs</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量为</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0.058t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/a</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。废树脂料、废腻子及固化剂</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贮存量总计4t/a，</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VOCs</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量为</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0.0004t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/a。</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危废暂存间</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VOCs</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产生</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量</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总计</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为</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0.059t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/a</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为了减少挥发性有机废气排放，本项目危险废物暂存间设有封闭门窗全封闭状态，并设置“二级活性炭吸附”装置</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并设置安全照明设施和观察窗口</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废气经活性炭吸附装置吸附无组织排放，</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处理效率按18%计，</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则</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危废暂存间</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VOCs</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排放</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量为</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0.048t</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/a</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根据《挥发性有机物无组织排放控制标准》（GB37822-2019）中无废气收集处理要求。《排污许可证申请与核发技术规范 工业固体废物和危险废物治理》（HJ 1033—2019）附录C废气治理可行技术参考表中，贮存单元污染物治理无可行技术要求。故本项目采用活性炭吸附装置吸附</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处理有机废气</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，产生的少量</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有机废气（以</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非甲烷总烃</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计）</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进行无组织排放</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36" w:firstLineChars="200"/>
        <w:jc w:val="both"/>
        <w:textAlignment w:val="baseline"/>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③各工段未收集废气</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36" w:firstLineChars="200"/>
        <w:jc w:val="both"/>
        <w:textAlignment w:val="baseline"/>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 xml:space="preserve">a </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灌注、</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涂装车间</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36" w:firstLineChars="200"/>
        <w:jc w:val="both"/>
        <w:textAlignment w:val="baseline"/>
        <w:rPr>
          <w:rFonts w:hint="default" w:ascii="Times New Roman" w:hAnsi="Times New Roman" w:eastAsia="宋体" w:cs="Times New Roman"/>
          <w:color w:val="000000" w:themeColor="text1"/>
          <w:spacing w:val="-11"/>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本项目设置</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整个灌注</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车间</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涂装车间为密闭车间，通过上进风+侧面吸风+粗效吸附箱+活性炭吸附/脱附+催化燃烧（热源采用电加热）+风机+一根27米排气筒排放。由于</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涂装</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室保持</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密闭</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关闭状态，</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同时设置顶吸罩及侧吸罩，</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废气收集效率达9</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8</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%，则未收集的</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2%的VOC</w:t>
      </w:r>
      <w:r>
        <w:rPr>
          <w:rFonts w:hint="default" w:ascii="Times New Roman" w:hAnsi="Times New Roman" w:eastAsia="宋体" w:cs="Times New Roman"/>
          <w:color w:val="000000" w:themeColor="text1"/>
          <w:spacing w:val="-11"/>
          <w:sz w:val="24"/>
          <w:szCs w:val="24"/>
          <w:highlight w:val="none"/>
          <w:u w:val="none" w:color="auto"/>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pacing w:val="-11"/>
          <w:sz w:val="24"/>
          <w:szCs w:val="24"/>
          <w:highlight w:val="none"/>
          <w:u w:val="none" w:color="auto"/>
          <w:lang w:val="en-US" w:eastAsia="zh-CN"/>
          <w14:textFill>
            <w14:solidFill>
              <w14:schemeClr w14:val="tx1"/>
            </w14:solidFill>
          </w14:textFill>
        </w:rPr>
        <w:t>（1.253t/a，0.602kg/h）的有机废气</w:t>
      </w:r>
      <w:r>
        <w:rPr>
          <w:rFonts w:hint="default" w:ascii="Times New Roman" w:hAnsi="Times New Roman" w:eastAsia="宋体" w:cs="Times New Roman"/>
          <w:color w:val="000000" w:themeColor="text1"/>
          <w:spacing w:val="-11"/>
          <w:sz w:val="24"/>
          <w:szCs w:val="24"/>
          <w:highlight w:val="none"/>
          <w:u w:val="none" w:color="auto"/>
          <w14:textFill>
            <w14:solidFill>
              <w14:schemeClr w14:val="tx1"/>
            </w14:solidFill>
          </w14:textFill>
        </w:rPr>
        <w:t>在车间内无组织排放</w:t>
      </w:r>
      <w:r>
        <w:rPr>
          <w:rFonts w:hint="default" w:ascii="Times New Roman" w:hAnsi="Times New Roman" w:eastAsia="宋体" w:cs="Times New Roman"/>
          <w:color w:val="000000" w:themeColor="text1"/>
          <w:spacing w:val="-11"/>
          <w:sz w:val="24"/>
          <w:szCs w:val="24"/>
          <w:highlight w:val="none"/>
          <w:u w:val="none" w:color="auto"/>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 xml:space="preserve">b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修型</w:t>
      </w: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工段</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此工段设计采用“Nederman高负压除尘系统+打磨/清扫套件”工艺对粉尘进行收集，即设备源头采用套件形式包裹打磨工具，使得粉尘在产生的瞬间在工具处即刻被捕捉，收集效率高达90%及以上，收集的粉尘颗粒经中央集尘装置集中收集后采用圆筒形滤筒除尘器处理，车间未收集10%的粉尘0.174t/a（0.058kg/h）在车间内无组织排放。</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c 腻子打磨工段</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腻子打磨工段采用“Nederman高负压除尘系统+打磨/清扫套件”工艺对粉尘进行收集，即设备源头采用套件形式包裹打磨工具，使得粉尘在产生的瞬间在工具处即刻被捕捉，收集效率高达90%及以上，收集的粉尘颗粒经中央集尘装置集中收集后采用圆筒形滤筒除尘器处理，车间未收集的10%的粉尘0.407t/a（0.136kg/h）在车间内无组织排放。</w:t>
      </w: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表3.2-6    废气排污情况汇总一览表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491"/>
        <w:gridCol w:w="1445"/>
        <w:gridCol w:w="1210"/>
        <w:gridCol w:w="1210"/>
        <w:gridCol w:w="1603"/>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序号</w:t>
            </w:r>
          </w:p>
        </w:tc>
        <w:tc>
          <w:tcPr>
            <w:tcW w:w="87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工序</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污染因子</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产生量t/a</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排放量t/a</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排放速率kg/h</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46"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1</w:t>
            </w:r>
          </w:p>
        </w:tc>
        <w:tc>
          <w:tcPr>
            <w:tcW w:w="875"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涂装工序</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Merge w:val="restar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57.617</w:t>
            </w:r>
          </w:p>
        </w:tc>
        <w:tc>
          <w:tcPr>
            <w:tcW w:w="71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6.776</w:t>
            </w:r>
          </w:p>
        </w:tc>
        <w:tc>
          <w:tcPr>
            <w:tcW w:w="94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3.258</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46"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7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p>
        </w:tc>
        <w:tc>
          <w:tcPr>
            <w:tcW w:w="71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1.152</w:t>
            </w:r>
          </w:p>
        </w:tc>
        <w:tc>
          <w:tcPr>
            <w:tcW w:w="94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0.554</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2</w:t>
            </w:r>
          </w:p>
        </w:tc>
        <w:tc>
          <w:tcPr>
            <w:tcW w:w="875"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灌注车间</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t>5.016</w:t>
            </w:r>
          </w:p>
        </w:tc>
        <w:tc>
          <w:tcPr>
            <w:tcW w:w="71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0.59</w:t>
            </w:r>
          </w:p>
        </w:tc>
        <w:tc>
          <w:tcPr>
            <w:tcW w:w="94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0.284</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c>
          <w:tcPr>
            <w:tcW w:w="87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p>
        </w:tc>
        <w:tc>
          <w:tcPr>
            <w:tcW w:w="71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0.1</w:t>
            </w:r>
          </w:p>
        </w:tc>
        <w:tc>
          <w:tcPr>
            <w:tcW w:w="94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0.048</w:t>
            </w:r>
          </w:p>
        </w:tc>
        <w:tc>
          <w:tcPr>
            <w:tcW w:w="56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3</w:t>
            </w:r>
          </w:p>
        </w:tc>
        <w:tc>
          <w:tcPr>
            <w:tcW w:w="87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危废暂存间</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t>0.059</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t>0.048</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t>0.008</w:t>
            </w:r>
          </w:p>
        </w:tc>
        <w:tc>
          <w:tcPr>
            <w:tcW w:w="56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6"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4</w:t>
            </w:r>
          </w:p>
        </w:tc>
        <w:tc>
          <w:tcPr>
            <w:tcW w:w="87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刮腻子阶段</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5"/>
                <w:sz w:val="21"/>
                <w:szCs w:val="21"/>
                <w:highlight w:val="none"/>
                <w:u w:val="none" w:color="auto"/>
                <w:lang w:val="en-US" w:eastAsia="zh-CN"/>
                <w14:textFill>
                  <w14:solidFill>
                    <w14:schemeClr w14:val="tx1"/>
                  </w14:solidFill>
                </w14:textFill>
              </w:rPr>
              <w:t>0.08</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5"/>
                <w:sz w:val="21"/>
                <w:szCs w:val="21"/>
                <w:highlight w:val="none"/>
                <w:u w:val="none" w:color="auto"/>
                <w:lang w:val="en-US" w:eastAsia="zh-CN"/>
                <w14:textFill>
                  <w14:solidFill>
                    <w14:schemeClr w14:val="tx1"/>
                  </w14:solidFill>
                </w14:textFill>
              </w:rPr>
              <w:t>0.08</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t>0.013</w:t>
            </w:r>
          </w:p>
        </w:tc>
        <w:tc>
          <w:tcPr>
            <w:tcW w:w="56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5</w:t>
            </w:r>
          </w:p>
        </w:tc>
        <w:tc>
          <w:tcPr>
            <w:tcW w:w="875"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修型工序</w:t>
            </w:r>
          </w:p>
        </w:tc>
        <w:tc>
          <w:tcPr>
            <w:tcW w:w="84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颗粒物</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1.74</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0.016</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0.005</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p>
        </w:tc>
        <w:tc>
          <w:tcPr>
            <w:tcW w:w="87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84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0.174</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0.174</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0.058</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6</w:t>
            </w:r>
          </w:p>
        </w:tc>
        <w:tc>
          <w:tcPr>
            <w:tcW w:w="875"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腻子打磨工序</w:t>
            </w:r>
          </w:p>
        </w:tc>
        <w:tc>
          <w:tcPr>
            <w:tcW w:w="84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颗粒物</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4.067</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0.037</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0.012</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c>
          <w:tcPr>
            <w:tcW w:w="87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84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0.407</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0.407</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0.136</w:t>
            </w:r>
          </w:p>
        </w:tc>
        <w:tc>
          <w:tcPr>
            <w:tcW w:w="56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有组织排放合计</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w:t>
            </w:r>
          </w:p>
        </w:tc>
        <w:tc>
          <w:tcPr>
            <w:tcW w:w="71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7.366</w:t>
            </w:r>
          </w:p>
        </w:tc>
        <w:tc>
          <w:tcPr>
            <w:tcW w:w="94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w:t>
            </w:r>
          </w:p>
        </w:tc>
        <w:tc>
          <w:tcPr>
            <w:tcW w:w="56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颗粒物</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0.053</w:t>
            </w:r>
          </w:p>
        </w:tc>
        <w:tc>
          <w:tcPr>
            <w:tcW w:w="94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w:t>
            </w:r>
          </w:p>
        </w:tc>
        <w:tc>
          <w:tcPr>
            <w:tcW w:w="56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无组织排放合计</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w:t>
            </w:r>
          </w:p>
        </w:tc>
        <w:tc>
          <w:tcPr>
            <w:tcW w:w="71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1.38</w:t>
            </w:r>
          </w:p>
        </w:tc>
        <w:tc>
          <w:tcPr>
            <w:tcW w:w="941"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w:t>
            </w:r>
          </w:p>
        </w:tc>
        <w:tc>
          <w:tcPr>
            <w:tcW w:w="56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颗粒物</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0.581</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w:t>
            </w:r>
          </w:p>
        </w:tc>
        <w:tc>
          <w:tcPr>
            <w:tcW w:w="56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合计</w:t>
            </w: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VOCs</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62.772</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8.746</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w:t>
            </w:r>
          </w:p>
        </w:tc>
        <w:tc>
          <w:tcPr>
            <w:tcW w:w="568"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1" w:type="pct"/>
            <w:gridSpan w:val="2"/>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c>
          <w:tcPr>
            <w:tcW w:w="84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颗粒物</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6.388</w:t>
            </w:r>
          </w:p>
        </w:tc>
        <w:tc>
          <w:tcPr>
            <w:tcW w:w="710"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0.634</w:t>
            </w:r>
          </w:p>
        </w:tc>
        <w:tc>
          <w:tcPr>
            <w:tcW w:w="94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t>/</w:t>
            </w:r>
          </w:p>
        </w:tc>
        <w:tc>
          <w:tcPr>
            <w:tcW w:w="568"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p>
        </w:tc>
      </w:tr>
    </w:tbl>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c">
            <w:drawing>
              <wp:inline distT="0" distB="0" distL="114300" distR="114300">
                <wp:extent cx="5274310" cy="1621155"/>
                <wp:effectExtent l="0" t="0" r="0" b="17145"/>
                <wp:docPr id="112" name="画布 112"/>
                <wp:cNvGraphicFramePr/>
                <a:graphic xmlns:a="http://schemas.openxmlformats.org/drawingml/2006/main">
                  <a:graphicData uri="http://schemas.microsoft.com/office/word/2010/wordprocessingCanvas">
                    <wpc:wpc>
                      <wpc:bg/>
                      <wpc:whole>
                        <a:ln>
                          <a:noFill/>
                        </a:ln>
                      </wpc:whole>
                      <wps:wsp>
                        <wps:cNvPr id="119" name="直接箭头连接符 119"/>
                        <wps:cNvCnPr>
                          <a:stCxn id="124" idx="3"/>
                        </wps:cNvCnPr>
                        <wps:spPr>
                          <a:xfrm>
                            <a:off x="951865" y="386080"/>
                            <a:ext cx="5778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0" name="直接箭头连接符 120"/>
                        <wps:cNvCnPr/>
                        <wps:spPr>
                          <a:xfrm>
                            <a:off x="2369820" y="362585"/>
                            <a:ext cx="6521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1" name="直接箭头连接符 121"/>
                        <wps:cNvCnPr>
                          <a:stCxn id="126" idx="3"/>
                        </wps:cNvCnPr>
                        <wps:spPr>
                          <a:xfrm>
                            <a:off x="964565" y="1403350"/>
                            <a:ext cx="56578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2" name="直接箭头连接符 122"/>
                        <wps:cNvCnPr/>
                        <wps:spPr>
                          <a:xfrm flipV="1">
                            <a:off x="964565" y="855345"/>
                            <a:ext cx="55626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3" name="直接箭头连接符 123"/>
                        <wps:cNvCnPr/>
                        <wps:spPr>
                          <a:xfrm>
                            <a:off x="2380615" y="732155"/>
                            <a:ext cx="6521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24" name="矩形 124"/>
                        <wps:cNvSpPr/>
                        <wps:spPr>
                          <a:xfrm>
                            <a:off x="144780" y="206375"/>
                            <a:ext cx="807085" cy="3594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油漆组分A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25"/>
                        <wps:cNvSpPr/>
                        <wps:spPr>
                          <a:xfrm>
                            <a:off x="157480" y="670560"/>
                            <a:ext cx="807085" cy="3956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油漆组分</w:t>
                              </w:r>
                              <w:r>
                                <w:rPr>
                                  <w:rFonts w:hint="eastAsia" w:ascii="Times New Roman" w:hAnsi="Times New Roman" w:eastAsia="宋体" w:cs="Times New Roman"/>
                                  <w:sz w:val="18"/>
                                  <w:szCs w:val="18"/>
                                  <w:lang w:val="en-US" w:eastAsia="zh-CN"/>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矩形 126"/>
                        <wps:cNvSpPr/>
                        <wps:spPr>
                          <a:xfrm>
                            <a:off x="157480" y="1227455"/>
                            <a:ext cx="807085" cy="3517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油漆稀释剂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1520825" y="165735"/>
                            <a:ext cx="835660" cy="13925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涂装车间</w:t>
                              </w:r>
                            </w:p>
                            <w:p>
                              <w:pPr>
                                <w:pStyle w:val="54"/>
                                <w:spacing w:line="240" w:lineRule="auto"/>
                                <w:rPr>
                                  <w:rFonts w:hint="default"/>
                                  <w:lang w:val="en-US" w:eastAsia="zh-CN"/>
                                </w:rPr>
                              </w:pPr>
                              <w:r>
                                <w:rPr>
                                  <w:rFonts w:hint="eastAsia" w:ascii="Times New Roman" w:hAnsi="Times New Roman" w:eastAsia="宋体" w:cs="Times New Roman"/>
                                  <w:sz w:val="18"/>
                                  <w:szCs w:val="18"/>
                                  <w:lang w:val="en-US" w:eastAsia="zh-CN"/>
                                </w:rPr>
                                <w:t>（调漆、辊涂、自然晾干）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矩形 128"/>
                        <wps:cNvSpPr/>
                        <wps:spPr>
                          <a:xfrm>
                            <a:off x="3037205" y="591185"/>
                            <a:ext cx="923925" cy="2419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4"/>
                                <w:spacing w:line="240" w:lineRule="auto"/>
                                <w:rPr>
                                  <w:rFonts w:hint="default"/>
                                  <w:sz w:val="18"/>
                                  <w:szCs w:val="18"/>
                                  <w:lang w:val="en-US" w:eastAsia="zh-CN"/>
                                </w:rPr>
                              </w:pPr>
                              <w:r>
                                <w:rPr>
                                  <w:rFonts w:hint="eastAsia"/>
                                  <w:sz w:val="18"/>
                                  <w:szCs w:val="18"/>
                                  <w:lang w:val="en-US" w:eastAsia="zh-CN"/>
                                </w:rPr>
                                <w:t>辊涂至叶片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矩形 129"/>
                        <wps:cNvSpPr/>
                        <wps:spPr>
                          <a:xfrm>
                            <a:off x="1014095" y="186055"/>
                            <a:ext cx="462915" cy="22034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130"/>
                        <wps:cNvSpPr/>
                        <wps:spPr>
                          <a:xfrm>
                            <a:off x="2436495" y="919480"/>
                            <a:ext cx="462915" cy="264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4"/>
                                <w:spacing w:line="24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2.827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2508250" y="119380"/>
                            <a:ext cx="462915" cy="264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0.157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矩形 132"/>
                        <wps:cNvSpPr/>
                        <wps:spPr>
                          <a:xfrm>
                            <a:off x="2470785" y="521970"/>
                            <a:ext cx="564515" cy="22034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153.902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133"/>
                        <wps:cNvSpPr/>
                        <wps:spPr>
                          <a:xfrm>
                            <a:off x="1076960" y="1237615"/>
                            <a:ext cx="374650" cy="22733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矩形 134"/>
                        <wps:cNvSpPr/>
                        <wps:spPr>
                          <a:xfrm>
                            <a:off x="994410" y="643255"/>
                            <a:ext cx="462915" cy="20637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135"/>
                        <wps:cNvSpPr/>
                        <wps:spPr>
                          <a:xfrm>
                            <a:off x="2421255" y="1212850"/>
                            <a:ext cx="462915" cy="264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4"/>
                                <w:spacing w:line="24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136"/>
                        <wps:cNvSpPr/>
                        <wps:spPr>
                          <a:xfrm>
                            <a:off x="3022600" y="215900"/>
                            <a:ext cx="923925"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4"/>
                                <w:spacing w:line="240" w:lineRule="auto"/>
                                <w:rPr>
                                  <w:rFonts w:hint="default"/>
                                  <w:sz w:val="18"/>
                                  <w:szCs w:val="18"/>
                                  <w:lang w:val="en-US" w:eastAsia="zh-CN"/>
                                </w:rPr>
                              </w:pPr>
                              <w:r>
                                <w:rPr>
                                  <w:rFonts w:hint="eastAsia"/>
                                  <w:sz w:val="18"/>
                                  <w:szCs w:val="18"/>
                                  <w:lang w:val="en-US" w:eastAsia="zh-CN"/>
                                </w:rPr>
                                <w:t>漆桶损耗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矩形 137"/>
                        <wps:cNvSpPr/>
                        <wps:spPr>
                          <a:xfrm>
                            <a:off x="3044190" y="978535"/>
                            <a:ext cx="923925" cy="2362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4"/>
                                <w:spacing w:line="240" w:lineRule="auto"/>
                                <w:rPr>
                                  <w:rFonts w:hint="default"/>
                                  <w:sz w:val="18"/>
                                  <w:szCs w:val="18"/>
                                  <w:lang w:val="en-US" w:eastAsia="zh-CN"/>
                                </w:rPr>
                              </w:pPr>
                              <w:r>
                                <w:rPr>
                                  <w:rFonts w:hint="eastAsia"/>
                                  <w:sz w:val="18"/>
                                  <w:szCs w:val="18"/>
                                  <w:lang w:val="en-US" w:eastAsia="zh-CN"/>
                                </w:rPr>
                                <w:t>滴落在地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 name="矩形 138"/>
                        <wps:cNvSpPr/>
                        <wps:spPr>
                          <a:xfrm>
                            <a:off x="3051810" y="1322705"/>
                            <a:ext cx="923925" cy="2273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4"/>
                                <w:spacing w:line="240" w:lineRule="auto"/>
                                <w:rPr>
                                  <w:rFonts w:hint="default"/>
                                  <w:sz w:val="18"/>
                                  <w:szCs w:val="18"/>
                                  <w:lang w:val="en-US" w:eastAsia="zh-CN"/>
                                </w:rPr>
                              </w:pPr>
                              <w:r>
                                <w:rPr>
                                  <w:rFonts w:hint="eastAsia"/>
                                  <w:sz w:val="18"/>
                                  <w:szCs w:val="18"/>
                                  <w:lang w:val="en-US" w:eastAsia="zh-CN"/>
                                </w:rPr>
                                <w:t>废辊涂筒损耗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直接箭头连接符 139"/>
                        <wps:cNvCnPr/>
                        <wps:spPr>
                          <a:xfrm>
                            <a:off x="2365375" y="1115060"/>
                            <a:ext cx="65976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1" name="直接箭头连接符 141"/>
                        <wps:cNvCnPr/>
                        <wps:spPr>
                          <a:xfrm>
                            <a:off x="2385060" y="1454150"/>
                            <a:ext cx="65976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27.65pt;width:415.3pt;" coordsize="5274310,1621155" editas="canvas" o:gfxdata="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FCvXgTXAAAABQEAAA8AAAAAAAAAAQAgAAAAIgAAAGRycy9kb3ducmV2LnhtbFBLAQIU&#10;ABQAAAAIAIdO4kDgjaf+2gYAAIA+AAAOAAAAAAAAAAEAIAAAACYBAABkcnMvZTJvRG9jLnhtbFBL&#10;BQYAAAAABgAGAFkBAAByCgAAAAA=&#10;">
                <o:lock v:ext="edit" aspectratio="f"/>
                <v:shape id="_x0000_s1026" o:spid="_x0000_s1026" style="position:absolute;left:0;top:0;height:1621155;width:5274310;" filled="f" stroked="f" coordsize="21600,21600" o:gfxdata="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UK9eBNcAAAAFAQAADwAAAAAAAAABACAAAAAiAAAAZHJzL2Rvd25yZXYueG1sUEsBAhQAFAAA&#10;AAgAh07iQG/ti5idBgAA5j0AAA4AAAAAAAAAAQAgAAAAJgEAAGRycy9lMm9Eb2MueG1sUEsFBgAA&#10;AAAGAAYAWQEAADUKAAAAAA==&#10;">
                  <v:fill on="f" focussize="0,0"/>
                  <v:stroke on="f"/>
                  <v:imagedata o:title=""/>
                  <o:lock v:ext="edit" aspectratio="f"/>
                </v:shape>
                <v:shape id="_x0000_s1026" o:spid="_x0000_s1026" o:spt="32" type="#_x0000_t32" style="position:absolute;left:951865;top:386080;height:0;width:577850;" filled="f" stroked="t" coordsize="21600,21600" o:gfxdata="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ATZw1wAAAAUBAAAPAAAAAAAAAAEAIAAAACIAAABkcnMvZG93bnJldi54bWxQSwECFAAU&#10;AAAACACHTuJA6FYHHisCAAAlBAAADgAAAAAAAAABACAAAAAmAQAAZHJzL2Uyb0RvYy54bWxQSwUG&#10;AAAAAAYABgBZAQAAwwUAAAAA&#10;">
                  <v:fill on="f" focussize="0,0"/>
                  <v:stroke weight="0.5pt" color="#000000 [3200]" miterlimit="8" joinstyle="miter" endarrow="open"/>
                  <v:imagedata o:title=""/>
                  <o:lock v:ext="edit" aspectratio="f"/>
                </v:shape>
                <v:shape id="_x0000_s1026" o:spid="_x0000_s1026" o:spt="32" type="#_x0000_t32" style="position:absolute;left:2369820;top:362585;height:0;width:652145;" filled="f" stroked="t" coordsize="21600,21600" o:gfxdata="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AE2cNcAAAAFAQAA&#10;DwAAAAAAAAABACAAAAAiAAAAZHJzL2Rvd25yZXYueG1sUEsBAhQAFAAAAAgAh07iQASYfikaAgAA&#10;/gMAAA4AAAAAAAAAAQAgAAAAJgEAAGRycy9lMm9Eb2MueG1sUEsFBgAAAAAGAAYAWQEAALIFAAAA&#10;AA==&#10;">
                  <v:fill on="f" focussize="0,0"/>
                  <v:stroke weight="0.5pt" color="#000000 [3200]" miterlimit="8" joinstyle="miter" endarrow="open"/>
                  <v:imagedata o:title=""/>
                  <o:lock v:ext="edit" aspectratio="f"/>
                </v:shape>
                <v:shape id="_x0000_s1026" o:spid="_x0000_s1026" o:spt="32" type="#_x0000_t32" style="position:absolute;left:964565;top:1403350;height:3810;width:565785;" filled="f" stroked="t" coordsize="21600,21600" o:gfxdata="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wBNnDXAAAABQEAAA8AAAAAAAAAAQAgAAAAIgAAAGRycy9kb3ducmV2LnhtbFBLAQIU&#10;ABQAAAAIAIdO4kBPz2BqLQIAACkEAAAOAAAAAAAAAAEAIAAAACYBAABkcnMvZTJvRG9jLnhtbFBL&#10;BQYAAAAABgAGAFkBAADFBQAAAAA=&#10;">
                  <v:fill on="f" focussize="0,0"/>
                  <v:stroke weight="0.5pt" color="#000000 [3200]" miterlimit="8" joinstyle="miter" endarrow="open"/>
                  <v:imagedata o:title=""/>
                  <o:lock v:ext="edit" aspectratio="f"/>
                </v:shape>
                <v:shape id="_x0000_s1026" o:spid="_x0000_s1026" o:spt="32" type="#_x0000_t32" style="position:absolute;left:964565;top:855345;flip:y;height:6350;width:556260;" filled="f" stroked="t" coordsize="21600,21600" o:gfxdata="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gKapfW&#10;AAAABQEAAA8AAAAAAAAAAQAgAAAAIgAAAGRycy9kb3ducmV2LnhtbFBLAQIUABQAAAAIAIdO4kCW&#10;Nq27IgIAAAoEAAAOAAAAAAAAAAEAIAAAACUBAABkcnMvZTJvRG9jLnhtbFBLBQYAAAAABgAGAFkB&#10;AAC5BQAAAAA=&#10;">
                  <v:fill on="f" focussize="0,0"/>
                  <v:stroke weight="0.5pt" color="#000000 [3200]" miterlimit="8" joinstyle="miter" endarrow="open"/>
                  <v:imagedata o:title=""/>
                  <o:lock v:ext="edit" aspectratio="f"/>
                </v:shape>
                <v:shape id="_x0000_s1026" o:spid="_x0000_s1026" o:spt="32" type="#_x0000_t32" style="position:absolute;left:2380615;top:732155;height:0;width:652145;" filled="f" stroked="t" coordsize="21600,21600" o:gfxdata="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ATZw1wAAAAUB&#10;AAAPAAAAAAAAAAEAIAAAACIAAABkcnMvZG93bnJldi54bWxQSwECFAAUAAAACACHTuJAKplS1hwC&#10;AAD+AwAADgAAAAAAAAABACAAAAAmAQAAZHJzL2Uyb0RvYy54bWxQSwUGAAAAAAYABgBZAQAAtAUA&#10;AAAA&#10;">
                  <v:fill on="f" focussize="0,0"/>
                  <v:stroke weight="0.5pt" color="#000000 [3200]" miterlimit="8" joinstyle="miter" endarrow="open"/>
                  <v:imagedata o:title=""/>
                  <o:lock v:ext="edit" aspectratio="f"/>
                </v:shape>
                <v:rect id="_x0000_s1026" o:spid="_x0000_s1026" o:spt="1" style="position:absolute;left:144780;top:206375;height:359410;width:80708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&#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EY/W1QAAAAUBAAAPAAAAAAAAAAEAIAAAACIAAABk&#10;cnMvZG93bnJldi54bWxQSwECFAAUAAAACACHTuJAnniclHsCAADiBAAADgAAAAAAAAABACAAAAAk&#10;AQAAZHJzL2Uyb0RvYy54bWxQSwUGAAAAAAYABgBZAQAAEQYAAAAA&#10;">
                  <v:fill on="f" focussize="0,0"/>
                  <v:stroke weight="0.5pt" color="#000000 [3213]"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油漆组分A</w:t>
                        </w:r>
                      </w:p>
                    </w:txbxContent>
                  </v:textbox>
                </v:rect>
                <v:rect id="_x0000_s1026" o:spid="_x0000_s1026" o:spt="1" style="position:absolute;left:157480;top:670560;height:395605;width:80708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XEY/W1QAAAAUBAAAPAAAAAAAAAAEAIAAAACIAAABkcnMv&#10;ZG93bnJldi54bWxQSwECFAAUAAAACACHTuJAKQOWDngCAADiBAAADgAAAAAAAAABACAAAAAkAQAA&#10;ZHJzL2Uyb0RvYy54bWxQSwUGAAAAAAYABgBZAQAADgYAAAAA&#10;">
                  <v:fill on="f" focussize="0,0"/>
                  <v:stroke weight="0.5pt" color="#000000 [3213]"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油漆组分</w:t>
                        </w:r>
                        <w:r>
                          <w:rPr>
                            <w:rFonts w:hint="eastAsia" w:ascii="Times New Roman" w:hAnsi="Times New Roman" w:eastAsia="宋体" w:cs="Times New Roman"/>
                            <w:sz w:val="18"/>
                            <w:szCs w:val="18"/>
                            <w:lang w:val="en-US" w:eastAsia="zh-CN"/>
                          </w:rPr>
                          <w:t>B</w:t>
                        </w:r>
                      </w:p>
                    </w:txbxContent>
                  </v:textbox>
                </v:rect>
                <v:rect id="_x0000_s1026" o:spid="_x0000_s1026" o:spt="1" style="position:absolute;left:157480;top:1227455;height:351790;width:80708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&#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EY/W1QAAAAUBAAAPAAAAAAAAAAEAIAAAACIAAABk&#10;cnMvZG93bnJldi54bWxQSwECFAAUAAAACACHTuJAGWkLS3sCAADjBAAADgAAAAAAAAABACAAAAAk&#10;AQAAZHJzL2Uyb0RvYy54bWxQSwUGAAAAAAYABgBZAQAAEQYAAAAA&#10;">
                  <v:fill on="f" focussize="0,0"/>
                  <v:stroke weight="0.5pt" color="#000000 [3213]"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油漆稀释剂</w:t>
                        </w:r>
                      </w:p>
                    </w:txbxContent>
                  </v:textbox>
                </v:rect>
                <v:rect id="_x0000_s1026" o:spid="_x0000_s1026" o:spt="1" style="position:absolute;left:1520825;top:165735;height:1392555;width:835660;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xGP1tUAAAAFAQAADwAAAAAAAAABACAAAAAiAAAAZHJz&#10;L2Rvd25yZXYueG1sUEsBAhQAFAAAAAgAh07iQNlt0yJ5AgAA5AQAAA4AAAAAAAAAAQAgAAAAJAEA&#10;AGRycy9lMm9Eb2MueG1sUEsFBgAAAAAGAAYAWQEAAA8GAAAAAA==&#10;">
                  <v:fill on="f" focussize="0,0"/>
                  <v:stroke weight="0.5pt" color="#000000 [3213]" miterlimit="8" joinstyle="miter"/>
                  <v:imagedata o:title=""/>
                  <o:lock v:ext="edit" aspectratio="f"/>
                  <v:textbox>
                    <w:txbxContent>
                      <w:p>
                        <w:pPr>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涂装车间</w:t>
                        </w:r>
                      </w:p>
                      <w:p>
                        <w:pPr>
                          <w:pStyle w:val="54"/>
                          <w:spacing w:line="240" w:lineRule="auto"/>
                          <w:rPr>
                            <w:rFonts w:hint="default"/>
                            <w:lang w:val="en-US" w:eastAsia="zh-CN"/>
                          </w:rPr>
                        </w:pPr>
                        <w:r>
                          <w:rPr>
                            <w:rFonts w:hint="eastAsia" w:ascii="Times New Roman" w:hAnsi="Times New Roman" w:eastAsia="宋体" w:cs="Times New Roman"/>
                            <w:sz w:val="18"/>
                            <w:szCs w:val="18"/>
                            <w:lang w:val="en-US" w:eastAsia="zh-CN"/>
                          </w:rPr>
                          <w:t>（调漆、辊涂、自然晾干）</w:t>
                        </w:r>
                      </w:p>
                    </w:txbxContent>
                  </v:textbox>
                </v:rect>
                <v:rect id="_x0000_s1026" o:spid="_x0000_s1026" o:spt="1" style="position:absolute;left:3037205;top:591185;height:241935;width:92392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&#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xGP1tUAAAAFAQAADwAAAAAAAAABACAAAAAiAAAA&#10;ZHJzL2Rvd25yZXYueG1sUEsBAhQAFAAAAAgAh07iQOj8Iwl8AgAA4wQAAA4AAAAAAAAAAQAgAAAA&#10;JAEAAGRycy9lMm9Eb2MueG1sUEsFBgAAAAAGAAYAWQEAABIGAAAAAA==&#10;">
                  <v:fill on="f" focussize="0,0"/>
                  <v:stroke weight="0.5pt" color="#000000 [3213]" miterlimit="8" joinstyle="miter"/>
                  <v:imagedata o:title=""/>
                  <o:lock v:ext="edit" aspectratio="f"/>
                  <v:textbox>
                    <w:txbxContent>
                      <w:p>
                        <w:pPr>
                          <w:pStyle w:val="54"/>
                          <w:spacing w:line="240" w:lineRule="auto"/>
                          <w:rPr>
                            <w:rFonts w:hint="default"/>
                            <w:sz w:val="18"/>
                            <w:szCs w:val="18"/>
                            <w:lang w:val="en-US" w:eastAsia="zh-CN"/>
                          </w:rPr>
                        </w:pPr>
                        <w:r>
                          <w:rPr>
                            <w:rFonts w:hint="eastAsia"/>
                            <w:sz w:val="18"/>
                            <w:szCs w:val="18"/>
                            <w:lang w:val="en-US" w:eastAsia="zh-CN"/>
                          </w:rPr>
                          <w:t>辊涂至叶片</w:t>
                        </w:r>
                      </w:p>
                    </w:txbxContent>
                  </v:textbox>
                </v:rect>
                <v:rect id="_x0000_s1026" o:spid="_x0000_s1026" o:spt="1" style="position:absolute;left:1014095;top:186055;height:220345;width:462915;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ykeddcAAAAFAQAADwAAAAAAAAABACAAAAAiAAAAZHJzL2Rvd25yZXYueG1s&#10;UEsBAhQAFAAAAAgAh07iQAVPy4xrAgAAugQAAA4AAAAAAAAAAQAgAAAAJgEAAGRycy9lMm9Eb2Mu&#10;eG1sUEsFBgAAAAAGAAYAWQEAAAMGAAAAAA==&#10;">
                  <v:fill on="f" focussize="0,0"/>
                  <v:stroke on="f" weight="0.5pt"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129</w:t>
                        </w:r>
                      </w:p>
                    </w:txbxContent>
                  </v:textbox>
                </v:rect>
                <v:rect id="_x0000_s1026" o:spid="_x0000_s1026" o:spt="1" style="position:absolute;left:2436495;top:919480;height:264160;width:462915;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pHnXXAAAABQEAAA8AAAAAAAAAAQAgAAAAIgAAAGRycy9kb3ducmV2Lnht&#10;bFBLAQIUABQAAAAIAIdO4kAwulEJbAIAALoEAAAOAAAAAAAAAAEAIAAAACYBAABkcnMvZTJvRG9j&#10;LnhtbFBLBQYAAAAABgAGAFkBAAAEBgAAAAA=&#10;">
                  <v:fill on="f" focussize="0,0"/>
                  <v:stroke on="f" weight="0.5pt" miterlimit="8" joinstyle="miter"/>
                  <v:imagedata o:title=""/>
                  <o:lock v:ext="edit" aspectratio="f"/>
                  <v:textbox>
                    <w:txbxContent>
                      <w:p>
                        <w:pPr>
                          <w:pStyle w:val="54"/>
                          <w:spacing w:line="24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2.827</w:t>
                        </w:r>
                      </w:p>
                    </w:txbxContent>
                  </v:textbox>
                </v:rect>
                <v:rect id="_x0000_s1026" o:spid="_x0000_s1026" o:spt="1" style="position:absolute;left:2508250;top:119380;height:264160;width:462915;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KR511wAAAAUBAAAPAAAAAAAAAAEAIAAAACIAAABkcnMvZG93bnJldi54bWxQ&#10;SwECFAAUAAAACACHTuJA4taQH2oCAAC6BAAADgAAAAAAAAABACAAAAAmAQAAZHJzL2Uyb0RvYy54&#10;bWxQSwUGAAAAAAYABgBZAQAAAgYAAAAA&#10;">
                  <v:fill on="f" focussize="0,0"/>
                  <v:stroke on="f" weight="0.5pt"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0.157</w:t>
                        </w:r>
                      </w:p>
                    </w:txbxContent>
                  </v:textbox>
                </v:rect>
                <v:rect id="_x0000_s1026" o:spid="_x0000_s1026" o:spt="1" style="position:absolute;left:2470785;top:521970;height:220345;width:564515;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3KR511wAAAAUBAAAPAAAAAAAAAAEAIAAAACIAAABkcnMvZG93bnJldi54&#10;bWxQSwECFAAUAAAACACHTuJA3EAvhm0CAAC6BAAADgAAAAAAAAABACAAAAAmAQAAZHJzL2Uyb0Rv&#10;Yy54bWxQSwUGAAAAAAYABgBZAQAABQYAAAAA&#10;">
                  <v:fill on="f" focussize="0,0"/>
                  <v:stroke on="f" weight="0.5pt"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153.902</w:t>
                        </w:r>
                      </w:p>
                    </w:txbxContent>
                  </v:textbox>
                </v:rect>
                <v:rect id="_x0000_s1026" o:spid="_x0000_s1026" o:spt="1" style="position:absolute;left:1076960;top:1237615;height:227330;width:374650;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pHnXXAAAABQEAAA8AAAAAAAAAAQAgAAAAIgAAAGRycy9kb3ducmV2Lnht&#10;bFBLAQIUABQAAAAIAIdO4kC3TTKbbAIAALsEAAAOAAAAAAAAAAEAIAAAACYBAABkcnMvZTJvRG9j&#10;LnhtbFBLBQYAAAAABgAGAFkBAAAEBgAAAAA=&#10;">
                  <v:fill on="f" focussize="0,0"/>
                  <v:stroke on="f" weight="0.5pt"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7.2</w:t>
                        </w:r>
                      </w:p>
                    </w:txbxContent>
                  </v:textbox>
                </v:rect>
                <v:rect id="_x0000_s1026" o:spid="_x0000_s1026" o:spt="1" style="position:absolute;left:994410;top:643255;height:206375;width:462915;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pHnXXAAAABQEAAA8AAAAAAAAAAQAgAAAAIgAAAGRycy9kb3ducmV2Lnht&#10;bFBLAQIUABQAAAAIAIdO4kDkBlE2bAIAALkEAAAOAAAAAAAAAAEAIAAAACYBAABkcnMvZTJvRG9j&#10;LnhtbFBLBQYAAAAABgAGAFkBAAAEBgAAAAA=&#10;">
                  <v:fill on="f" focussize="0,0"/>
                  <v:stroke on="f" weight="0.5pt" miterlimit="8" joinstyle="miter"/>
                  <v:imagedata o:title=""/>
                  <o:lock v:ext="edit" aspectratio="f"/>
                  <v:textbox>
                    <w:txbxContent>
                      <w:p>
                        <w:pPr>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21</w:t>
                        </w:r>
                      </w:p>
                    </w:txbxContent>
                  </v:textbox>
                </v:rect>
                <v:rect id="_x0000_s1026" o:spid="_x0000_s1026" o:spt="1" style="position:absolute;left:2421255;top:1212850;height:264160;width:462915;v-text-anchor:middle;" filled="f" stroked="f" coordsize="21600,21600" o:gfxdata="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3KR511wAAAAUBAAAPAAAAAAAAAAEAIAAAACIAAABkcnMvZG93bnJldi54bWxQ&#10;SwECFAAUAAAACACHTuJAMXpHVWoCAAC7BAAADgAAAAAAAAABACAAAAAmAQAAZHJzL2Uyb0RvYy54&#10;bWxQSwUGAAAAAAYABgBZAQAAAgYAAAAA&#10;">
                  <v:fill on="f" focussize="0,0"/>
                  <v:stroke on="f" weight="0.5pt" miterlimit="8" joinstyle="miter"/>
                  <v:imagedata o:title=""/>
                  <o:lock v:ext="edit" aspectratio="f"/>
                  <v:textbox>
                    <w:txbxContent>
                      <w:p>
                        <w:pPr>
                          <w:pStyle w:val="54"/>
                          <w:spacing w:line="240" w:lineRule="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0.314</w:t>
                        </w:r>
                      </w:p>
                    </w:txbxContent>
                  </v:textbox>
                </v:rect>
                <v:rect id="_x0000_s1026" o:spid="_x0000_s1026" o:spt="1" style="position:absolute;left:3022600;top:215900;height:248920;width:92392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cRj9bVAAAABQEAAA8AAAAAAAAAAQAgAAAAIgAAAGRy&#10;cy9kb3ducmV2LnhtbFBLAQIUABQAAAAIAIdO4kBTF5ncegIAAOMEAAAOAAAAAAAAAAEAIAAAACQB&#10;AABkcnMvZTJvRG9jLnhtbFBLBQYAAAAABgAGAFkBAAAQBgAAAAA=&#10;">
                  <v:fill on="f" focussize="0,0"/>
                  <v:stroke weight="0.5pt" color="#000000 [3213]" miterlimit="8" joinstyle="miter"/>
                  <v:imagedata o:title=""/>
                  <o:lock v:ext="edit" aspectratio="f"/>
                  <v:textbox>
                    <w:txbxContent>
                      <w:p>
                        <w:pPr>
                          <w:pStyle w:val="54"/>
                          <w:spacing w:line="240" w:lineRule="auto"/>
                          <w:rPr>
                            <w:rFonts w:hint="default"/>
                            <w:sz w:val="18"/>
                            <w:szCs w:val="18"/>
                            <w:lang w:val="en-US" w:eastAsia="zh-CN"/>
                          </w:rPr>
                        </w:pPr>
                        <w:r>
                          <w:rPr>
                            <w:rFonts w:hint="eastAsia"/>
                            <w:sz w:val="18"/>
                            <w:szCs w:val="18"/>
                            <w:lang w:val="en-US" w:eastAsia="zh-CN"/>
                          </w:rPr>
                          <w:t>漆桶损耗</w:t>
                        </w:r>
                      </w:p>
                    </w:txbxContent>
                  </v:textbox>
                </v:rect>
                <v:rect id="_x0000_s1026" o:spid="_x0000_s1026" o:spt="1" style="position:absolute;left:3044190;top:978535;height:236220;width:92392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xGP1tUAAAAFAQAADwAAAAAAAAABACAAAAAiAAAA&#10;ZHJzL2Rvd25yZXYueG1sUEsBAhQAFAAAAAgAh07iQDrhejd8AgAA4wQAAA4AAAAAAAAAAQAgAAAA&#10;JAEAAGRycy9lMm9Eb2MueG1sUEsFBgAAAAAGAAYAWQEAABIGAAAAAA==&#10;">
                  <v:fill on="f" focussize="0,0"/>
                  <v:stroke weight="0.5pt" color="#000000 [3213]" miterlimit="8" joinstyle="miter"/>
                  <v:imagedata o:title=""/>
                  <o:lock v:ext="edit" aspectratio="f"/>
                  <v:textbox>
                    <w:txbxContent>
                      <w:p>
                        <w:pPr>
                          <w:pStyle w:val="54"/>
                          <w:spacing w:line="240" w:lineRule="auto"/>
                          <w:rPr>
                            <w:rFonts w:hint="default"/>
                            <w:sz w:val="18"/>
                            <w:szCs w:val="18"/>
                            <w:lang w:val="en-US" w:eastAsia="zh-CN"/>
                          </w:rPr>
                        </w:pPr>
                        <w:r>
                          <w:rPr>
                            <w:rFonts w:hint="eastAsia"/>
                            <w:sz w:val="18"/>
                            <w:szCs w:val="18"/>
                            <w:lang w:val="en-US" w:eastAsia="zh-CN"/>
                          </w:rPr>
                          <w:t>滴落在地</w:t>
                        </w:r>
                      </w:p>
                    </w:txbxContent>
                  </v:textbox>
                </v:rect>
                <v:rect id="_x0000_s1026" o:spid="_x0000_s1026" o:spt="1" style="position:absolute;left:3051810;top:1322705;height:227330;width:923925;v-text-anchor:middle;" filled="f" stroked="t" coordsize="21600,21600" o:gfxdata="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EY/W1QAAAAUBAAAPAAAAAAAAAAEAIAAAACIAAABk&#10;cnMvZG93bnJldi54bWxQSwECFAAUAAAACACHTuJAu/eX73sCAADkBAAADgAAAAAAAAABACAAAAAk&#10;AQAAZHJzL2Uyb0RvYy54bWxQSwUGAAAAAAYABgBZAQAAEQYAAAAA&#10;">
                  <v:fill on="f" focussize="0,0"/>
                  <v:stroke weight="0.5pt" color="#000000 [3213]" miterlimit="8" joinstyle="miter"/>
                  <v:imagedata o:title=""/>
                  <o:lock v:ext="edit" aspectratio="f"/>
                  <v:textbox>
                    <w:txbxContent>
                      <w:p>
                        <w:pPr>
                          <w:pStyle w:val="54"/>
                          <w:spacing w:line="240" w:lineRule="auto"/>
                          <w:rPr>
                            <w:rFonts w:hint="default"/>
                            <w:sz w:val="18"/>
                            <w:szCs w:val="18"/>
                            <w:lang w:val="en-US" w:eastAsia="zh-CN"/>
                          </w:rPr>
                        </w:pPr>
                        <w:r>
                          <w:rPr>
                            <w:rFonts w:hint="eastAsia"/>
                            <w:sz w:val="18"/>
                            <w:szCs w:val="18"/>
                            <w:lang w:val="en-US" w:eastAsia="zh-CN"/>
                          </w:rPr>
                          <w:t>废辊涂筒损耗</w:t>
                        </w:r>
                      </w:p>
                    </w:txbxContent>
                  </v:textbox>
                </v:rect>
                <v:shape id="_x0000_s1026" o:spid="_x0000_s1026" o:spt="32" type="#_x0000_t32" style="position:absolute;left:2365375;top:1115060;height:0;width:659765;" filled="f" stroked="t" coordsize="21600,21600" o:gfxdata="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ATZw1wAAAAUB&#10;AAAPAAAAAAAAAAEAIAAAACIAAABkcnMvZG93bnJldi54bWxQSwECFAAUAAAACACHTuJAYMyAmxwC&#10;AAD/AwAADgAAAAAAAAABACAAAAAmAQAAZHJzL2Uyb0RvYy54bWxQSwUGAAAAAAYABgBZAQAAtAUA&#10;AAAA&#10;">
                  <v:fill on="f" focussize="0,0"/>
                  <v:stroke weight="0.5pt" color="#000000 [3200]" miterlimit="8" joinstyle="miter" endarrow="open"/>
                  <v:imagedata o:title=""/>
                  <o:lock v:ext="edit" aspectratio="f"/>
                </v:shape>
                <v:shape id="_x0000_s1026" o:spid="_x0000_s1026" o:spt="32" type="#_x0000_t32" style="position:absolute;left:2385060;top:1454150;height:0;width:659765;" filled="f" stroked="t" coordsize="21600,21600" o:gfxdata="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wBNnDXAAAABQEA&#10;AA8AAAAAAAAAAQAgAAAAIgAAAGRycy9kb3ducmV2LnhtbFBLAQIUABQAAAAIAIdO4kBjCEGsGwIA&#10;AP8DAAAOAAAAAAAAAAEAIAAAACYBAABkcnMvZTJvRG9jLnhtbFBLBQYAAAAABgAGAFkBAACzBQAA&#10;AAA=&#10;">
                  <v:fill on="f" focussize="0,0"/>
                  <v:stroke weight="0.5pt" color="#000000 [3200]" miterlimit="8" joinstyle="miter" endarrow="open"/>
                  <v:imagedata o:title=""/>
                  <o:lock v:ext="edit" aspectratio="f"/>
                </v:shape>
                <w10:wrap type="none"/>
                <w10:anchorlock/>
              </v:group>
            </w:pict>
          </mc:Fallback>
        </mc:AlternateContent>
      </w: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图3.2-4    漆量平衡（单位：t/a）</w:t>
      </w: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c">
            <w:drawing>
              <wp:inline distT="0" distB="0" distL="114300" distR="114300">
                <wp:extent cx="5274310" cy="3364865"/>
                <wp:effectExtent l="0" t="0" r="2540" b="0"/>
                <wp:docPr id="142" name="画布 142"/>
                <wp:cNvGraphicFramePr/>
                <a:graphic xmlns:a="http://schemas.openxmlformats.org/drawingml/2006/main">
                  <a:graphicData uri="http://schemas.microsoft.com/office/word/2010/wordprocessingCanvas">
                    <wpc:wpc>
                      <wpc:bg/>
                      <wpc:whole/>
                      <wps:wsp>
                        <wps:cNvPr id="143" name="直接箭头连接符 143"/>
                        <wps:cNvCnPr>
                          <a:stCxn id="144" idx="3"/>
                        </wps:cNvCnPr>
                        <wps:spPr>
                          <a:xfrm flipV="1">
                            <a:off x="713105" y="368935"/>
                            <a:ext cx="821690"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4" name="矩形 144"/>
                        <wps:cNvSpPr/>
                        <wps:spPr>
                          <a:xfrm>
                            <a:off x="40640" y="259080"/>
                            <a:ext cx="672465"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18"/>
                                  <w:szCs w:val="18"/>
                                  <w:lang w:val="en-US" w:eastAsia="zh-CN"/>
                                </w:rPr>
                              </w:pPr>
                              <w:r>
                                <w:rPr>
                                  <w:rFonts w:hint="eastAsia" w:eastAsia="宋体"/>
                                  <w:sz w:val="18"/>
                                  <w:szCs w:val="18"/>
                                  <w:lang w:val="en-US" w:eastAsia="zh-CN"/>
                                </w:rPr>
                                <w:t>涂装车间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直接箭头连接符 145"/>
                        <wps:cNvCnPr>
                          <a:endCxn id="148" idx="1"/>
                        </wps:cNvCnPr>
                        <wps:spPr>
                          <a:xfrm>
                            <a:off x="1527175" y="705485"/>
                            <a:ext cx="3511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6" name="直接箭头连接符 146"/>
                        <wps:cNvCnPr>
                          <a:endCxn id="147" idx="1"/>
                        </wps:cNvCnPr>
                        <wps:spPr>
                          <a:xfrm>
                            <a:off x="1541780" y="120650"/>
                            <a:ext cx="307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47" name="矩形 147"/>
                        <wps:cNvSpPr/>
                        <wps:spPr>
                          <a:xfrm>
                            <a:off x="1849755" y="18415"/>
                            <a:ext cx="1323340"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val="en-US" w:eastAsia="zh-CN"/>
                                </w:rPr>
                                <w:t>无组织排放</w:t>
                              </w:r>
                              <w:r>
                                <w:rPr>
                                  <w:rFonts w:hint="eastAsia" w:ascii="Times New Roman" w:hAnsi="Times New Roman" w:eastAsia="宋体" w:cs="Times New Roman"/>
                                  <w:sz w:val="18"/>
                                  <w:szCs w:val="18"/>
                                  <w:lang w:val="en-US" w:eastAsia="zh-CN"/>
                                </w:rPr>
                                <w:t>：1.152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8"/>
                        <wps:cNvSpPr/>
                        <wps:spPr>
                          <a:xfrm>
                            <a:off x="1878330" y="595630"/>
                            <a:ext cx="1397000"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98%有组织收集：56.465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矩形 149"/>
                        <wps:cNvSpPr/>
                        <wps:spPr>
                          <a:xfrm>
                            <a:off x="748665" y="176530"/>
                            <a:ext cx="511810" cy="22733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default" w:ascii="Times New Roman" w:hAnsi="Times New Roman" w:cs="Times New Roman"/>
                                  <w:b w:val="0"/>
                                  <w:bCs w:val="0"/>
                                  <w:sz w:val="18"/>
                                  <w:szCs w:val="18"/>
                                  <w:lang w:val="en-US" w:eastAsia="zh-CN"/>
                                </w:rPr>
                                <w:t>57.617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直接连接符 150"/>
                        <wps:cNvCnPr/>
                        <wps:spPr>
                          <a:xfrm>
                            <a:off x="1528445" y="120015"/>
                            <a:ext cx="6985" cy="593090"/>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直接箭头连接符 151"/>
                        <wps:cNvCnPr/>
                        <wps:spPr>
                          <a:xfrm flipV="1">
                            <a:off x="3263900" y="698500"/>
                            <a:ext cx="3003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2" name="直接连接符 152"/>
                        <wps:cNvCnPr/>
                        <wps:spPr>
                          <a:xfrm>
                            <a:off x="3557905" y="377190"/>
                            <a:ext cx="6985" cy="59309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直接箭头连接符 154"/>
                        <wps:cNvCnPr/>
                        <wps:spPr>
                          <a:xfrm flipV="1">
                            <a:off x="3571240" y="383540"/>
                            <a:ext cx="356870"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5" name="直接箭头连接符 155"/>
                        <wps:cNvCnPr/>
                        <wps:spPr>
                          <a:xfrm>
                            <a:off x="3557905" y="963930"/>
                            <a:ext cx="307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6" name="直接箭头连接符 156"/>
                        <wps:cNvCnPr/>
                        <wps:spPr>
                          <a:xfrm>
                            <a:off x="823595" y="1445895"/>
                            <a:ext cx="76263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7" name="矩形 157"/>
                        <wps:cNvSpPr/>
                        <wps:spPr>
                          <a:xfrm>
                            <a:off x="3921760" y="236855"/>
                            <a:ext cx="1301115" cy="41021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w:t>
                              </w:r>
                              <w:r>
                                <w:rPr>
                                  <w:rFonts w:hint="default"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lang w:val="en-US" w:eastAsia="zh-CN"/>
                                </w:rPr>
                                <w:t>—排气筒</w:t>
                              </w:r>
                              <w:r>
                                <w:rPr>
                                  <w:rFonts w:hint="default" w:ascii="Times New Roman" w:hAnsi="Times New Roman" w:eastAsia="宋体" w:cs="Times New Roman"/>
                                  <w:sz w:val="18"/>
                                  <w:szCs w:val="18"/>
                                  <w:lang w:val="en-US" w:eastAsia="zh-CN"/>
                                </w:rPr>
                                <w:t>排放</w:t>
                              </w:r>
                              <w:r>
                                <w:rPr>
                                  <w:rFonts w:hint="eastAsia" w:ascii="Times New Roman" w:hAnsi="Times New Roman" w:eastAsia="宋体" w:cs="Times New Roman"/>
                                  <w:sz w:val="18"/>
                                  <w:szCs w:val="18"/>
                                  <w:lang w:val="en-US" w:eastAsia="zh-CN"/>
                                </w:rPr>
                                <w:t>6.776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矩形 158"/>
                        <wps:cNvSpPr/>
                        <wps:spPr>
                          <a:xfrm>
                            <a:off x="3857625" y="800100"/>
                            <a:ext cx="1323340" cy="40132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88%生成水气：49.689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矩形 159"/>
                        <wps:cNvSpPr/>
                        <wps:spPr>
                          <a:xfrm>
                            <a:off x="22225" y="1286510"/>
                            <a:ext cx="803910" cy="24828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18"/>
                                  <w:szCs w:val="18"/>
                                  <w:lang w:val="en-US" w:eastAsia="zh-CN"/>
                                </w:rPr>
                              </w:pPr>
                              <w:r>
                                <w:rPr>
                                  <w:rFonts w:hint="eastAsia" w:eastAsia="宋体"/>
                                  <w:sz w:val="18"/>
                                  <w:szCs w:val="18"/>
                                  <w:lang w:val="en-US" w:eastAsia="zh-CN"/>
                                </w:rPr>
                                <w:t>危废暂存间间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160"/>
                        <wps:cNvSpPr/>
                        <wps:spPr>
                          <a:xfrm>
                            <a:off x="897890" y="1271905"/>
                            <a:ext cx="511810" cy="22733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0.059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矩形 163"/>
                        <wps:cNvSpPr/>
                        <wps:spPr>
                          <a:xfrm>
                            <a:off x="1945640" y="1520825"/>
                            <a:ext cx="1974850" cy="26416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活性炭吸附处理后排放：0.048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矩形 164"/>
                        <wps:cNvSpPr/>
                        <wps:spPr>
                          <a:xfrm>
                            <a:off x="55245" y="2157095"/>
                            <a:ext cx="949960" cy="24828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18"/>
                                  <w:szCs w:val="18"/>
                                  <w:lang w:val="en-US" w:eastAsia="zh-CN"/>
                                </w:rPr>
                              </w:pPr>
                              <w:r>
                                <w:rPr>
                                  <w:rFonts w:hint="eastAsia" w:eastAsia="宋体"/>
                                  <w:sz w:val="18"/>
                                  <w:szCs w:val="18"/>
                                  <w:lang w:val="en-US" w:eastAsia="zh-CN"/>
                                </w:rPr>
                                <w:t>灌注、合膜车间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直接箭头连接符 165"/>
                        <wps:cNvCnPr>
                          <a:stCxn id="164" idx="3"/>
                        </wps:cNvCnPr>
                        <wps:spPr>
                          <a:xfrm>
                            <a:off x="1005205" y="2281555"/>
                            <a:ext cx="50736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6" name="矩形 166"/>
                        <wps:cNvSpPr/>
                        <wps:spPr>
                          <a:xfrm>
                            <a:off x="1029335" y="2020570"/>
                            <a:ext cx="511810" cy="22733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5.016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直接连接符 167"/>
                        <wps:cNvCnPr/>
                        <wps:spPr>
                          <a:xfrm>
                            <a:off x="1512570" y="2004695"/>
                            <a:ext cx="6985" cy="59309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直接箭头连接符 168"/>
                        <wps:cNvCnPr/>
                        <wps:spPr>
                          <a:xfrm>
                            <a:off x="1513205" y="2019300"/>
                            <a:ext cx="307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69" name="直接箭头连接符 169"/>
                        <wps:cNvCnPr/>
                        <wps:spPr>
                          <a:xfrm>
                            <a:off x="1520825" y="2583180"/>
                            <a:ext cx="307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0" name="矩形 170"/>
                        <wps:cNvSpPr/>
                        <wps:spPr>
                          <a:xfrm>
                            <a:off x="1814195" y="1929765"/>
                            <a:ext cx="1366520"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val="en-US" w:eastAsia="zh-CN"/>
                                </w:rPr>
                                <w:t>无组织排放</w:t>
                              </w:r>
                              <w:r>
                                <w:rPr>
                                  <w:rFonts w:hint="eastAsia" w:ascii="Times New Roman" w:hAnsi="Times New Roman" w:eastAsia="宋体" w:cs="Times New Roman"/>
                                  <w:sz w:val="18"/>
                                  <w:szCs w:val="18"/>
                                  <w:lang w:val="en-US" w:eastAsia="zh-CN"/>
                                </w:rPr>
                                <w:t>：0.1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直接连接符 171"/>
                        <wps:cNvCnPr/>
                        <wps:spPr>
                          <a:xfrm>
                            <a:off x="1593215" y="1204595"/>
                            <a:ext cx="6985" cy="432435"/>
                          </a:xfrm>
                          <a:prstGeom prst="line">
                            <a:avLst/>
                          </a:prstGeom>
                        </wps:spPr>
                        <wps:style>
                          <a:lnRef idx="1">
                            <a:schemeClr val="dk1"/>
                          </a:lnRef>
                          <a:fillRef idx="0">
                            <a:schemeClr val="dk1"/>
                          </a:fillRef>
                          <a:effectRef idx="0">
                            <a:schemeClr val="dk1"/>
                          </a:effectRef>
                          <a:fontRef idx="minor">
                            <a:schemeClr val="tx1"/>
                          </a:fontRef>
                        </wps:style>
                        <wps:bodyPr/>
                      </wps:wsp>
                      <wps:wsp>
                        <wps:cNvPr id="172" name="直接箭头连接符 172"/>
                        <wps:cNvCnPr/>
                        <wps:spPr>
                          <a:xfrm>
                            <a:off x="1601470" y="1205865"/>
                            <a:ext cx="3511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3" name="直接箭头连接符 173"/>
                        <wps:cNvCnPr/>
                        <wps:spPr>
                          <a:xfrm>
                            <a:off x="1591945" y="1644015"/>
                            <a:ext cx="3511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4" name="矩形 174"/>
                        <wps:cNvSpPr/>
                        <wps:spPr>
                          <a:xfrm>
                            <a:off x="1953260" y="1007745"/>
                            <a:ext cx="1352550" cy="38036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吸附在活性炭内：0.011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矩形 175"/>
                        <wps:cNvSpPr/>
                        <wps:spPr>
                          <a:xfrm>
                            <a:off x="1813560" y="2451100"/>
                            <a:ext cx="1397000"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98%有组织收集：4.916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 name="直接箭头连接符 176"/>
                        <wps:cNvCnPr/>
                        <wps:spPr>
                          <a:xfrm flipV="1">
                            <a:off x="3213100" y="2582545"/>
                            <a:ext cx="3003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7" name="直接连接符 177"/>
                        <wps:cNvCnPr/>
                        <wps:spPr>
                          <a:xfrm>
                            <a:off x="3506470" y="2223770"/>
                            <a:ext cx="6985" cy="59309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直接箭头连接符 178"/>
                        <wps:cNvCnPr/>
                        <wps:spPr>
                          <a:xfrm>
                            <a:off x="3505835" y="2238375"/>
                            <a:ext cx="307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9" name="矩形 179"/>
                        <wps:cNvSpPr/>
                        <wps:spPr>
                          <a:xfrm>
                            <a:off x="3818890" y="2076450"/>
                            <a:ext cx="1352550" cy="29337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w:t>
                              </w:r>
                              <w:r>
                                <w:rPr>
                                  <w:rFonts w:hint="default"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lang w:val="en-US" w:eastAsia="zh-CN"/>
                                </w:rPr>
                                <w:t>—排气筒</w:t>
                              </w:r>
                              <w:r>
                                <w:rPr>
                                  <w:rFonts w:hint="default" w:ascii="Times New Roman" w:hAnsi="Times New Roman" w:eastAsia="宋体" w:cs="Times New Roman"/>
                                  <w:sz w:val="18"/>
                                  <w:szCs w:val="18"/>
                                  <w:lang w:val="en-US" w:eastAsia="zh-CN"/>
                                </w:rPr>
                                <w:t>排放</w:t>
                              </w:r>
                              <w:r>
                                <w:rPr>
                                  <w:rFonts w:hint="eastAsia" w:ascii="Times New Roman" w:hAnsi="Times New Roman" w:eastAsia="宋体" w:cs="Times New Roman"/>
                                  <w:sz w:val="18"/>
                                  <w:szCs w:val="18"/>
                                  <w:lang w:val="en-US" w:eastAsia="zh-CN"/>
                                </w:rPr>
                                <w:t>0.59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 name="矩形 180"/>
                        <wps:cNvSpPr/>
                        <wps:spPr>
                          <a:xfrm>
                            <a:off x="3813810" y="2648585"/>
                            <a:ext cx="1323340"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88%生成水气：4.326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1" name="直接箭头连接符 181"/>
                        <wps:cNvCnPr/>
                        <wps:spPr>
                          <a:xfrm>
                            <a:off x="3505835" y="2788285"/>
                            <a:ext cx="307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2" name="矩形 182"/>
                        <wps:cNvSpPr/>
                        <wps:spPr>
                          <a:xfrm>
                            <a:off x="48260" y="3037205"/>
                            <a:ext cx="949960" cy="24828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18"/>
                                  <w:szCs w:val="18"/>
                                  <w:lang w:val="en-US" w:eastAsia="zh-CN"/>
                                </w:rPr>
                              </w:pPr>
                              <w:r>
                                <w:rPr>
                                  <w:rFonts w:hint="eastAsia" w:eastAsia="宋体"/>
                                  <w:sz w:val="18"/>
                                  <w:szCs w:val="18"/>
                                  <w:lang w:val="en-US" w:eastAsia="zh-CN"/>
                                </w:rPr>
                                <w:t>腻子车间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矩形 183"/>
                        <wps:cNvSpPr/>
                        <wps:spPr>
                          <a:xfrm>
                            <a:off x="1007110" y="2964180"/>
                            <a:ext cx="511810" cy="227330"/>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0.08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 name="直接箭头连接符 184"/>
                        <wps:cNvCnPr/>
                        <wps:spPr>
                          <a:xfrm>
                            <a:off x="1000760" y="3190875"/>
                            <a:ext cx="50736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5" name="矩形 185"/>
                        <wps:cNvSpPr/>
                        <wps:spPr>
                          <a:xfrm>
                            <a:off x="1513205" y="3037205"/>
                            <a:ext cx="1366520" cy="22733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无组织排放</w:t>
                              </w:r>
                              <w:r>
                                <w:rPr>
                                  <w:rFonts w:hint="eastAsia" w:ascii="Times New Roman" w:hAnsi="Times New Roman" w:eastAsia="宋体" w:cs="Times New Roman"/>
                                  <w:sz w:val="18"/>
                                  <w:szCs w:val="18"/>
                                  <w:lang w:val="en-US" w:eastAsia="zh-CN"/>
                                </w:rPr>
                                <w:t>：0.08</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64.95pt;width:415.3pt;" coordsize="5274310,3364865" editas="canvas" o:gfxdata="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">
                <o:lock v:ext="edit" aspectratio="f"/>
                <v:shape id="_x0000_s1026" o:spid="_x0000_s1026" style="position:absolute;left:0;top:0;height:3364865;width:5274310;" filled="f" stroked="f" coordsize="21600,21600" o:gfxdata="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1zFDptgAAAAFAQAADwAAAAAAAAABACAAAAAiAAAA&#10;ZHJzL2Rvd25yZXYueG1sUEsBAhQAFAAAAAgAh07iQFGTIOAnCQAAnGcAAA4AAAAAAAAAAQAgAAAA&#10;JwEAAGRycy9lMm9Eb2MueG1sUEsFBgAAAAAGAAYAWQEAAMAMAAAAAA==&#10;">
                  <v:fill on="f" focussize="0,0"/>
                  <v:stroke on="f"/>
                  <v:imagedata o:title=""/>
                  <o:lock v:ext="edit" aspectratio="f"/>
                </v:shape>
                <v:shape id="_x0000_s1026" o:spid="_x0000_s1026" o:spt="32" type="#_x0000_t32" style="position:absolute;left:713105;top:368935;flip:y;height:3810;width:821690;" filled="f" stroked="t" coordsize="21600,21600" o:gfxdata="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zXWAAAABQEAAA8AAAAAAAAAAQAgAAAAIgAAAGRycy9kb3ducmV2Lnht&#10;bFBLAQIUABQAAAAIAIdO4kDHJEQxNAIAADIEAAAOAAAAAAAAAAEAIAAAACUBAABkcnMvZTJvRG9j&#10;LnhtbFBLBQYAAAAABgAGAFkBAADLBQAAAAA=&#10;">
                  <v:fill on="f" focussize="0,0"/>
                  <v:stroke weight="0.5pt" color="#000000 [3200]" miterlimit="8" joinstyle="miter" endarrow="open"/>
                  <v:imagedata o:title=""/>
                  <o:lock v:ext="edit" aspectratio="f"/>
                </v:shape>
                <v:rect id="_x0000_s1026" o:spid="_x0000_s1026" o:spt="1" style="position:absolute;left:40640;top:259080;height:227330;width:672465;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I+SdNQAAAAFAQAADwAAAAAAAAABACAAAAAiAAAAZHJzL2Rv&#10;d25yZXYueG1sUEsBAhQAFAAAAAgAh07iQLBR9SJ3AgAA4QQAAA4AAAAAAAAAAQAgAAAAIwEAAGRy&#10;cy9lMm9Eb2MueG1sUEsFBgAAAAAGAAYAWQEAAAwGAAAAAA==&#10;">
                  <v:fill on="f" focussize="0,0"/>
                  <v:stroke weight="0.5pt" color="#000000 [3213]" miterlimit="8" joinstyle="miter"/>
                  <v:imagedata o:title=""/>
                  <o:lock v:ext="edit" aspectratio="f"/>
                  <v:textbox>
                    <w:txbxContent>
                      <w:p>
                        <w:pPr>
                          <w:jc w:val="center"/>
                          <w:rPr>
                            <w:rFonts w:hint="eastAsia" w:eastAsia="宋体"/>
                            <w:sz w:val="18"/>
                            <w:szCs w:val="18"/>
                            <w:lang w:val="en-US" w:eastAsia="zh-CN"/>
                          </w:rPr>
                        </w:pPr>
                        <w:r>
                          <w:rPr>
                            <w:rFonts w:hint="eastAsia" w:eastAsia="宋体"/>
                            <w:sz w:val="18"/>
                            <w:szCs w:val="18"/>
                            <w:lang w:val="en-US" w:eastAsia="zh-CN"/>
                          </w:rPr>
                          <w:t>涂装车间</w:t>
                        </w:r>
                      </w:p>
                    </w:txbxContent>
                  </v:textbox>
                </v:rect>
                <v:shape id="_x0000_s1026" o:spid="_x0000_s1026" o:spt="32" type="#_x0000_t32" style="position:absolute;left:1527175;top:705485;height:3810;width:35115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8r0tYAAAAFAQAADwAAAAAAAAABACAAAAAiAAAAZHJzL2Rvd25yZXYueG1sUEsB&#10;AhQAFAAAAAgAh07iQEvcaQswAgAAKgQAAA4AAAAAAAAAAQAgAAAAJQEAAGRycy9lMm9Eb2MueG1s&#10;UEsFBgAAAAAGAAYAWQEAAMcFAAAAAA==&#10;">
                  <v:fill on="f" focussize="0,0"/>
                  <v:stroke weight="0.5pt" color="#000000 [3200]" miterlimit="8" joinstyle="miter" endarrow="open"/>
                  <v:imagedata o:title=""/>
                  <o:lock v:ext="edit" aspectratio="f"/>
                </v:shape>
                <v:shape id="_x0000_s1026" o:spid="_x0000_s1026" o:spt="32" type="#_x0000_t32" style="position:absolute;left:1541780;top:120650;height:11430;width:30797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58r0tYAAAAFAQAADwAAAAAAAAABACAAAAAiAAAAZHJzL2Rvd25yZXYueG1sUEsBAhQA&#10;FAAAAAgAh07iQEF/0gItAgAAKwQAAA4AAAAAAAAAAQAgAAAAJQEAAGRycy9lMm9Eb2MueG1sUEsF&#10;BgAAAAAGAAYAWQEAAMQFAAAAAA==&#10;">
                  <v:fill on="f" focussize="0,0"/>
                  <v:stroke weight="0.5pt" color="#000000 [3200]" miterlimit="8" joinstyle="miter" endarrow="open"/>
                  <v:imagedata o:title=""/>
                  <o:lock v:ext="edit" aspectratio="f"/>
                </v:shape>
                <v:rect id="_x0000_s1026" o:spid="_x0000_s1026" o:spt="1" style="position:absolute;left:1849755;top:18415;height:227330;width:132334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I+SdNQAAAAFAQAADwAAAAAAAAABACAAAAAiAAAAZHJzL2Rv&#10;d25yZXYueG1sUEsBAhQAFAAAAAgAh07iQI4wl5B3AgAA4wQAAA4AAAAAAAAAAQAgAAAAIwEAAGRy&#10;cy9lMm9Eb2MueG1sUEsFBgAAAAAGAAYAWQEAAAwGA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val="en-US" w:eastAsia="zh-CN"/>
                          </w:rPr>
                          <w:t>无组织排放</w:t>
                        </w:r>
                        <w:r>
                          <w:rPr>
                            <w:rFonts w:hint="eastAsia" w:ascii="Times New Roman" w:hAnsi="Times New Roman" w:eastAsia="宋体" w:cs="Times New Roman"/>
                            <w:sz w:val="18"/>
                            <w:szCs w:val="18"/>
                            <w:lang w:val="en-US" w:eastAsia="zh-CN"/>
                          </w:rPr>
                          <w:t>：1.152</w:t>
                        </w:r>
                      </w:p>
                    </w:txbxContent>
                  </v:textbox>
                </v:rect>
                <v:rect id="_x0000_s1026" o:spid="_x0000_s1026" o:spt="1" style="position:absolute;left:1878330;top:595630;height:227330;width:139700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CPknTUAAAABQEAAA8AAAAAAAAAAQAgAAAAIgAAAGRycy9kb3du&#10;cmV2LnhtbFBLAQIUABQAAAAIAIdO4kBjr5f8dQIAAOQEAAAOAAAAAAAAAAEAIAAAACMBAABkcnMv&#10;ZTJvRG9jLnhtbFBLBQYAAAAABgAGAFkBAAAKBg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98%有组织收集：56.465</w:t>
                        </w:r>
                      </w:p>
                    </w:txbxContent>
                  </v:textbox>
                </v:rect>
                <v:rect id="_x0000_s1026" o:spid="_x0000_s1026" o:spt="1" style="position:absolute;left:748665;top:176530;height:227330;width:511810;v-text-anchor:middle;" filled="f" stroked="f" coordsize="21600,21600" o:gfxdata="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wtwPX2AAAAAUBAAAPAAAAAAAAAAEAIAAAACIAAABkcnMvZG93bnJldi54bWxQ&#10;SwECFAAUAAAACACHTuJA/Y4gTGkCAAC5BAAADgAAAAAAAAABACAAAAAnAQAAZHJzL2Uyb0RvYy54&#10;bWxQSwUGAAAAAAYABgBZAQAAAgYAAAAA&#10;">
                  <v:fill on="f" focussize="0,0"/>
                  <v:stroke on="f" weight="0.5pt" miterlimit="8" joinstyle="miter"/>
                  <v:imagedata o:title=""/>
                  <o:lock v:ext="edit" aspectratio="f"/>
                  <v:textbox>
                    <w:txbxContent>
                      <w:p>
                        <w:pPr>
                          <w:rPr>
                            <w:rFonts w:hint="default" w:ascii="Times New Roman" w:hAnsi="Times New Roman" w:cs="Times New Roman"/>
                            <w:b w:val="0"/>
                            <w:bCs w:val="0"/>
                            <w:sz w:val="18"/>
                            <w:szCs w:val="18"/>
                            <w:lang w:val="en-US" w:eastAsia="zh-CN"/>
                          </w:rPr>
                        </w:pPr>
                        <w:r>
                          <w:rPr>
                            <w:rFonts w:hint="default" w:ascii="Times New Roman" w:hAnsi="Times New Roman" w:cs="Times New Roman"/>
                            <w:b w:val="0"/>
                            <w:bCs w:val="0"/>
                            <w:sz w:val="18"/>
                            <w:szCs w:val="18"/>
                            <w:lang w:val="en-US" w:eastAsia="zh-CN"/>
                          </w:rPr>
                          <w:t>57.617</w:t>
                        </w:r>
                      </w:p>
                    </w:txbxContent>
                  </v:textbox>
                </v:rect>
                <v:line id="_x0000_s1026" o:spid="_x0000_s1026" o:spt="20" style="position:absolute;left:1528445;top:120015;height:593090;width:6985;" filled="f" stroked="t" coordsize="21600,21600" o:gfxdata="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ockQvVAAAABQEAAA8AAAAAAAAAAQAgAAAAIgAAAGRycy9kb3ducmV2LnhtbFBLAQIUABQAAAAI&#10;AIdO4kCSr9yw8AEAAMIDAAAOAAAAAAAAAAEAIAAAACQBAABkcnMvZTJvRG9jLnhtbFBLBQYAAAAA&#10;BgAGAFkBAACGBQAAAAA=&#10;">
                  <v:fill on="f" focussize="0,0"/>
                  <v:stroke weight="0.5pt" color="#000000 [3200]" miterlimit="8" joinstyle="miter"/>
                  <v:imagedata o:title=""/>
                  <o:lock v:ext="edit" aspectratio="f"/>
                </v:line>
                <v:shape id="_x0000_s1026" o:spid="_x0000_s1026" o:spt="32" type="#_x0000_t32" style="position:absolute;left:3263900;top:698500;flip:y;height:3810;width:300355;" filled="f" stroked="t" coordsize="21600,21600" o:gfxdata="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Hc1&#10;1gAAAAUBAAAPAAAAAAAAAAEAIAAAACIAAABkcnMvZG93bnJldi54bWxQSwECFAAUAAAACACHTuJA&#10;B4mlviMCAAALBAAADgAAAAAAAAABACAAAAAlAQAAZHJzL2Uyb0RvYy54bWxQSwUGAAAAAAYABgBZ&#10;AQAAugUAAAAA&#10;">
                  <v:fill on="f" focussize="0,0"/>
                  <v:stroke weight="0.5pt" color="#000000 [3200]" miterlimit="8" joinstyle="miter" endarrow="open"/>
                  <v:imagedata o:title=""/>
                  <o:lock v:ext="edit" aspectratio="f"/>
                </v:shape>
                <v:line id="_x0000_s1026" o:spid="_x0000_s1026" o:spt="20" style="position:absolute;left:3557905;top:377190;height:593090;width:6985;" filled="f" stroked="t" coordsize="21600,21600" o:gfxdata="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hyRC9UAAAAFAQAADwAAAAAAAAABACAAAAAiAAAAZHJzL2Rvd25yZXYueG1sUEsBAhQAFAAA&#10;AAgAh07iQDFlXsLyAQAAwgMAAA4AAAAAAAAAAQAgAAAAJAEAAGRycy9lMm9Eb2MueG1sUEsFBgAA&#10;AAAGAAYAWQEAAIgFAAAAAA==&#10;">
                  <v:fill on="f" focussize="0,0"/>
                  <v:stroke weight="0.5pt" color="#000000 [3200]" miterlimit="8" joinstyle="miter"/>
                  <v:imagedata o:title=""/>
                  <o:lock v:ext="edit" aspectratio="f"/>
                </v:line>
                <v:shape id="_x0000_s1026" o:spid="_x0000_s1026" o:spt="32" type="#_x0000_t32" style="position:absolute;left:3571240;top:383540;flip:y;height:2540;width:356870;" filled="f" stroked="t" coordsize="21600,21600" o:gfxdata="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dzXWAAAA&#10;BQEAAA8AAAAAAAAAAQAgAAAAIgAAAGRycy9kb3ducmV2LnhtbFBLAQIUABQAAAAIAIdO4kCNbMDK&#10;HwIAAAsEAAAOAAAAAAAAAAEAIAAAACUBAABkcnMvZTJvRG9jLnhtbFBLBQYAAAAABgAGAFkBAAC2&#10;BQAAAAA=&#10;">
                  <v:fill on="f" focussize="0,0"/>
                  <v:stroke weight="0.5pt" color="#000000 [3200]" miterlimit="8" joinstyle="miter" endarrow="open"/>
                  <v:imagedata o:title=""/>
                  <o:lock v:ext="edit" aspectratio="f"/>
                </v:shape>
                <v:shape id="_x0000_s1026" o:spid="_x0000_s1026" o:spt="32" type="#_x0000_t32" style="position:absolute;left:3557905;top:963930;height:11430;width:30797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ufK9LWAAAA&#10;BQEAAA8AAAAAAAAAAQAgAAAAIgAAAGRycy9kb3ducmV2LnhtbFBLAQIUABQAAAAIAIdO4kBRMV72&#10;HwIAAAIEAAAOAAAAAAAAAAEAIAAAACUBAABkcnMvZTJvRG9jLnhtbFBLBQYAAAAABgAGAFkBAAC2&#10;BQAAAAA=&#10;">
                  <v:fill on="f" focussize="0,0"/>
                  <v:stroke weight="0.5pt" color="#000000 [3200]" miterlimit="8" joinstyle="miter" endarrow="open"/>
                  <v:imagedata o:title=""/>
                  <o:lock v:ext="edit" aspectratio="f"/>
                </v:shape>
                <v:shape id="_x0000_s1026" o:spid="_x0000_s1026" o:spt="32" type="#_x0000_t32" style="position:absolute;left:823595;top:1445895;height:635;width:76263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nyvS1gAAAAUBAAAPAAAA&#10;AAAAAAEAIAAAACIAAABkcnMvZG93bnJldi54bWxQSwECFAAUAAAACACHTuJAD5JylhcCAAAABAAA&#10;DgAAAAAAAAABACAAAAAlAQAAZHJzL2Uyb0RvYy54bWxQSwUGAAAAAAYABgBZAQAArgUAAAAA&#10;">
                  <v:fill on="f" focussize="0,0"/>
                  <v:stroke weight="0.5pt" color="#000000 [3200]" miterlimit="8" joinstyle="miter" endarrow="open"/>
                  <v:imagedata o:title=""/>
                  <o:lock v:ext="edit" aspectratio="f"/>
                </v:shape>
                <v:rect id="_x0000_s1026" o:spid="_x0000_s1026" o:spt="1" style="position:absolute;left:3921760;top:236855;height:410210;width:1301115;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&#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I+SdNQAAAAFAQAADwAAAAAAAAABACAAAAAiAAAA&#10;ZHJzL2Rvd25yZXYueG1sUEsBAhQAFAAAAAgAh07iQAZ4Gcl9AgAA5AQAAA4AAAAAAAAAAQAgAAAA&#10;IwEAAGRycy9lMm9Eb2MueG1sUEsFBgAAAAAGAAYAWQEAABIGA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w:t>
                        </w:r>
                        <w:r>
                          <w:rPr>
                            <w:rFonts w:hint="default"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lang w:val="en-US" w:eastAsia="zh-CN"/>
                          </w:rPr>
                          <w:t>—排气筒</w:t>
                        </w:r>
                        <w:r>
                          <w:rPr>
                            <w:rFonts w:hint="default" w:ascii="Times New Roman" w:hAnsi="Times New Roman" w:eastAsia="宋体" w:cs="Times New Roman"/>
                            <w:sz w:val="18"/>
                            <w:szCs w:val="18"/>
                            <w:lang w:val="en-US" w:eastAsia="zh-CN"/>
                          </w:rPr>
                          <w:t>排放</w:t>
                        </w:r>
                        <w:r>
                          <w:rPr>
                            <w:rFonts w:hint="eastAsia" w:ascii="Times New Roman" w:hAnsi="Times New Roman" w:eastAsia="宋体" w:cs="Times New Roman"/>
                            <w:sz w:val="18"/>
                            <w:szCs w:val="18"/>
                            <w:lang w:val="en-US" w:eastAsia="zh-CN"/>
                          </w:rPr>
                          <w:t>6.776</w:t>
                        </w:r>
                      </w:p>
                    </w:txbxContent>
                  </v:textbox>
                </v:rect>
                <v:rect id="_x0000_s1026" o:spid="_x0000_s1026" o:spt="1" style="position:absolute;left:3857625;top:800100;height:401320;width:132334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j5J01AAAAAUBAAAPAAAAAAAAAAEAIAAAACIAAABkcnMv&#10;ZG93bnJldi54bWxQSwECFAAUAAAACACHTuJANHiPj3kCAADkBAAADgAAAAAAAAABACAAAAAjAQAA&#10;ZHJzL2Uyb0RvYy54bWxQSwUGAAAAAAYABgBZAQAADgY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88%生成水气：49.689</w:t>
                        </w:r>
                      </w:p>
                    </w:txbxContent>
                  </v:textbox>
                </v:rect>
                <v:rect id="_x0000_s1026" o:spid="_x0000_s1026" o:spt="1" style="position:absolute;left:22225;top:1286510;height:248285;width:80391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CPknTUAAAABQEAAA8AAAAAAAAAAQAgAAAAIgAAAGRycy9k&#10;b3ducmV2LnhtbFBLAQIUABQAAAAIAIdO4kBxlS9beAIAAOIEAAAOAAAAAAAAAAEAIAAAACMBAABk&#10;cnMvZTJvRG9jLnhtbFBLBQYAAAAABgAGAFkBAAANBgAAAAA=&#10;">
                  <v:fill on="f" focussize="0,0"/>
                  <v:stroke weight="0.5pt" color="#000000 [3213]" miterlimit="8" joinstyle="miter"/>
                  <v:imagedata o:title=""/>
                  <o:lock v:ext="edit" aspectratio="f"/>
                  <v:textbox>
                    <w:txbxContent>
                      <w:p>
                        <w:pPr>
                          <w:jc w:val="center"/>
                          <w:rPr>
                            <w:rFonts w:hint="eastAsia" w:eastAsia="宋体"/>
                            <w:sz w:val="18"/>
                            <w:szCs w:val="18"/>
                            <w:lang w:val="en-US" w:eastAsia="zh-CN"/>
                          </w:rPr>
                        </w:pPr>
                        <w:r>
                          <w:rPr>
                            <w:rFonts w:hint="eastAsia" w:eastAsia="宋体"/>
                            <w:sz w:val="18"/>
                            <w:szCs w:val="18"/>
                            <w:lang w:val="en-US" w:eastAsia="zh-CN"/>
                          </w:rPr>
                          <w:t>危废暂存间间</w:t>
                        </w:r>
                      </w:p>
                    </w:txbxContent>
                  </v:textbox>
                </v:rect>
                <v:rect id="_x0000_s1026" o:spid="_x0000_s1026" o:spt="1" style="position:absolute;left:897890;top:1271905;height:227330;width:511810;v-text-anchor:middle;" filled="f" stroked="f" coordsize="21600,21600" o:gfxdata="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3A9fYAAAABQEAAA8AAAAAAAAAAQAgAAAAIgAAAGRycy9kb3ducmV2Lnht&#10;bFBLAQIUABQAAAAIAIdO4kD1neE3awIAALoEAAAOAAAAAAAAAAEAIAAAACcBAABkcnMvZTJvRG9j&#10;LnhtbFBLBQYAAAAABgAGAFkBAAAEBgAAAAA=&#10;">
                  <v:fill on="f" focussize="0,0"/>
                  <v:stroke on="f" weight="0.5pt" miterlimit="8" joinstyle="miter"/>
                  <v:imagedata o:title=""/>
                  <o:lock v:ext="edit" aspectratio="f"/>
                  <v:textbo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0.059</w:t>
                        </w:r>
                      </w:p>
                    </w:txbxContent>
                  </v:textbox>
                </v:rect>
                <v:rect id="_x0000_s1026" o:spid="_x0000_s1026" o:spt="1" style="position:absolute;left:1945640;top:1520825;height:264160;width:197485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j5J01AAAAAUBAAAPAAAAAAAAAAEAIAAAACIAAABkcnMv&#10;ZG93bnJldi54bWxQSwECFAAUAAAACACHTuJAuowa8nkCAADlBAAADgAAAAAAAAABACAAAAAjAQAA&#10;ZHJzL2Uyb0RvYy54bWxQSwUGAAAAAAYABgBZAQAADgY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活性炭吸附处理后排放：0.048</w:t>
                        </w:r>
                      </w:p>
                    </w:txbxContent>
                  </v:textbox>
                </v:rect>
                <v:rect id="_x0000_s1026" o:spid="_x0000_s1026" o:spt="1" style="position:absolute;left:55245;top:2157095;height:248285;width:94996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I+SdNQAAAAFAQAADwAAAAAAAAABACAAAAAiAAAAZHJz&#10;L2Rvd25yZXYueG1sUEsBAhQAFAAAAAgAh07iQCjWre96AgAA4gQAAA4AAAAAAAAAAQAgAAAAIwEA&#10;AGRycy9lMm9Eb2MueG1sUEsFBgAAAAAGAAYAWQEAAA8GAAAAAA==&#10;">
                  <v:fill on="f" focussize="0,0"/>
                  <v:stroke weight="0.5pt" color="#000000 [3213]" miterlimit="8" joinstyle="miter"/>
                  <v:imagedata o:title=""/>
                  <o:lock v:ext="edit" aspectratio="f"/>
                  <v:textbox>
                    <w:txbxContent>
                      <w:p>
                        <w:pPr>
                          <w:jc w:val="center"/>
                          <w:rPr>
                            <w:rFonts w:hint="eastAsia" w:eastAsia="宋体"/>
                            <w:sz w:val="18"/>
                            <w:szCs w:val="18"/>
                            <w:lang w:val="en-US" w:eastAsia="zh-CN"/>
                          </w:rPr>
                        </w:pPr>
                        <w:r>
                          <w:rPr>
                            <w:rFonts w:hint="eastAsia" w:eastAsia="宋体"/>
                            <w:sz w:val="18"/>
                            <w:szCs w:val="18"/>
                            <w:lang w:val="en-US" w:eastAsia="zh-CN"/>
                          </w:rPr>
                          <w:t>灌注、合膜车间</w:t>
                        </w:r>
                      </w:p>
                    </w:txbxContent>
                  </v:textbox>
                </v:rect>
                <v:shape id="_x0000_s1026" o:spid="_x0000_s1026" o:spt="32" type="#_x0000_t32" style="position:absolute;left:1005205;top:2281555;height:3810;width:50736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58r0tYAAAAFAQAADwAAAAAAAAABACAAAAAiAAAAZHJzL2Rvd25yZXYueG1sUEsB&#10;AhQAFAAAAAgAh07iQJc1/L8wAgAAKgQAAA4AAAAAAAAAAQAgAAAAJQEAAGRycy9lMm9Eb2MueG1s&#10;UEsFBgAAAAAGAAYAWQEAAMcFAAAAAA==&#10;">
                  <v:fill on="f" focussize="0,0"/>
                  <v:stroke weight="0.5pt" color="#000000 [3200]" miterlimit="8" joinstyle="miter" endarrow="open"/>
                  <v:imagedata o:title=""/>
                  <o:lock v:ext="edit" aspectratio="f"/>
                </v:shape>
                <v:rect id="_x0000_s1026" o:spid="_x0000_s1026" o:spt="1" style="position:absolute;left:1029335;top:2020570;height:227330;width:511810;v-text-anchor:middle;" filled="f" stroked="f" coordsize="21600,21600" o:gfxdata="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twPX2AAAAAUBAAAPAAAAAAAAAAEAIAAAACIAAABkcnMvZG93bnJldi54&#10;bWxQSwECFAAUAAAACACHTuJAeQWLLmwCAAC7BAAADgAAAAAAAAABACAAAAAnAQAAZHJzL2Uyb0Rv&#10;Yy54bWxQSwUGAAAAAAYABgBZAQAABQYAAAAA&#10;">
                  <v:fill on="f" focussize="0,0"/>
                  <v:stroke on="f" weight="0.5pt" miterlimit="8" joinstyle="miter"/>
                  <v:imagedata o:title=""/>
                  <o:lock v:ext="edit" aspectratio="f"/>
                  <v:textbo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5.016</w:t>
                        </w:r>
                      </w:p>
                    </w:txbxContent>
                  </v:textbox>
                </v:rect>
                <v:line id="_x0000_s1026" o:spid="_x0000_s1026" o:spt="20" style="position:absolute;left:1512570;top:2004695;height:593090;width:6985;" filled="f" stroked="t" coordsize="21600,21600" o:gfxdata="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HJEL1QAAAAUBAAAPAAAAAAAAAAEAIAAAACIAAABkcnMvZG93bnJldi54bWxQSwECFAAU&#10;AAAACACHTuJAYOrt8fQBAADDAwAADgAAAAAAAAABACAAAAAkAQAAZHJzL2Uyb0RvYy54bWxQSwUG&#10;AAAAAAYABgBZAQAAigUAAAAA&#10;">
                  <v:fill on="f" focussize="0,0"/>
                  <v:stroke weight="0.5pt" color="#000000 [3200]" miterlimit="8" joinstyle="miter"/>
                  <v:imagedata o:title=""/>
                  <o:lock v:ext="edit" aspectratio="f"/>
                </v:line>
                <v:shape id="_x0000_s1026" o:spid="_x0000_s1026" o:spt="32" type="#_x0000_t32" style="position:absolute;left:1513205;top:2019300;height:11430;width:30797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yvS1gAA&#10;AAUBAAAPAAAAAAAAAAEAIAAAACIAAABkcnMvZG93bnJldi54bWxQSwECFAAUAAAACACHTuJACEOR&#10;xSACAAADBAAADgAAAAAAAAABACAAAAAlAQAAZHJzL2Uyb0RvYy54bWxQSwUGAAAAAAYABgBZAQAA&#10;twUAAAAA&#10;">
                  <v:fill on="f" focussize="0,0"/>
                  <v:stroke weight="0.5pt" color="#000000 [3200]" miterlimit="8" joinstyle="miter" endarrow="open"/>
                  <v:imagedata o:title=""/>
                  <o:lock v:ext="edit" aspectratio="f"/>
                </v:shape>
                <v:shape id="_x0000_s1026" o:spid="_x0000_s1026" o:spt="32" type="#_x0000_t32" style="position:absolute;left:1520825;top:2583180;height:11430;width:30797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58r0tYA&#10;AAAFAQAADwAAAAAAAAABACAAAAAiAAAAZHJzL2Rvd25yZXYueG1sUEsBAhQAFAAAAAgAh07iQCdI&#10;BsEhAgAAAwQAAA4AAAAAAAAAAQAgAAAAJQEAAGRycy9lMm9Eb2MueG1sUEsFBgAAAAAGAAYAWQEA&#10;ALgFAAAAAA==&#10;">
                  <v:fill on="f" focussize="0,0"/>
                  <v:stroke weight="0.5pt" color="#000000 [3200]" miterlimit="8" joinstyle="miter" endarrow="open"/>
                  <v:imagedata o:title=""/>
                  <o:lock v:ext="edit" aspectratio="f"/>
                </v:shape>
                <v:rect id="_x0000_s1026" o:spid="_x0000_s1026" o:spt="1" style="position:absolute;left:1814195;top:1929765;height:227330;width:136652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I+SdNQAAAAFAQAADwAAAAAAAAABACAAAAAiAAAAZHJz&#10;L2Rvd25yZXYueG1sUEsBAhQAFAAAAAgAh07iQLovwYR6AgAA5QQAAA4AAAAAAAAAAQAgAAAAIwEA&#10;AGRycy9lMm9Eb2MueG1sUEsFBgAAAAAGAAYAWQEAAA8GA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lang w:val="en-US" w:eastAsia="zh-CN"/>
                          </w:rPr>
                          <w:t>无组织排放</w:t>
                        </w:r>
                        <w:r>
                          <w:rPr>
                            <w:rFonts w:hint="eastAsia" w:ascii="Times New Roman" w:hAnsi="Times New Roman" w:eastAsia="宋体" w:cs="Times New Roman"/>
                            <w:sz w:val="18"/>
                            <w:szCs w:val="18"/>
                            <w:lang w:val="en-US" w:eastAsia="zh-CN"/>
                          </w:rPr>
                          <w:t>：0.1</w:t>
                        </w:r>
                      </w:p>
                    </w:txbxContent>
                  </v:textbox>
                </v:rect>
                <v:line id="_x0000_s1026" o:spid="_x0000_s1026" o:spt="20" style="position:absolute;left:1593215;top:1204595;height:432435;width:6985;" filled="f" stroked="t" coordsize="21600,21600" o:gfxdata="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HJEL1QAAAAUBAAAPAAAAAAAAAAEAIAAAACIAAABkcnMvZG93bnJldi54bWxQSwECFAAU&#10;AAAACACHTuJA7Zr+sfQBAADDAwAADgAAAAAAAAABACAAAAAkAQAAZHJzL2Uyb0RvYy54bWxQSwUG&#10;AAAAAAYABgBZAQAAigUAAAAA&#10;">
                  <v:fill on="f" focussize="0,0"/>
                  <v:stroke weight="0.5pt" color="#000000 [3200]" miterlimit="8" joinstyle="miter"/>
                  <v:imagedata o:title=""/>
                  <o:lock v:ext="edit" aspectratio="f"/>
                </v:line>
                <v:shape id="_x0000_s1026" o:spid="_x0000_s1026" o:spt="32" type="#_x0000_t32" style="position:absolute;left:1601470;top:1205865;height:3810;width:35115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ufK9LWAAAA&#10;BQEAAA8AAAAAAAAAAQAgAAAAIgAAAGRycy9kb3ducmV2LnhtbFBLAQIUABQAAAAIAIdO4kCplQgk&#10;HwIAAAIEAAAOAAAAAAAAAAEAIAAAACUBAABkcnMvZTJvRG9jLnhtbFBLBQYAAAAABgAGAFkBAAC2&#10;BQAAAAA=&#10;">
                  <v:fill on="f" focussize="0,0"/>
                  <v:stroke weight="0.5pt" color="#000000 [3200]" miterlimit="8" joinstyle="miter" endarrow="open"/>
                  <v:imagedata o:title=""/>
                  <o:lock v:ext="edit" aspectratio="f"/>
                </v:shape>
                <v:shape id="_x0000_s1026" o:spid="_x0000_s1026" o:spt="32" type="#_x0000_t32" style="position:absolute;left:1591945;top:1644015;height:3810;width:35115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yvS1gAA&#10;AAUBAAAPAAAAAAAAAAEAIAAAACIAAABkcnMvZG93bnJldi54bWxQSwECFAAUAAAACACHTuJArBGc&#10;ySACAAACBAAADgAAAAAAAAABACAAAAAlAQAAZHJzL2Uyb0RvYy54bWxQSwUGAAAAAAYABgBZAQAA&#10;twUAAAAA&#10;">
                  <v:fill on="f" focussize="0,0"/>
                  <v:stroke weight="0.5pt" color="#000000 [3200]" miterlimit="8" joinstyle="miter" endarrow="open"/>
                  <v:imagedata o:title=""/>
                  <o:lock v:ext="edit" aspectratio="f"/>
                </v:shape>
                <v:rect id="_x0000_s1026" o:spid="_x0000_s1026" o:spt="1" style="position:absolute;left:1953260;top:1007745;height:380365;width:135255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j5J01AAAAAUBAAAPAAAAAAAAAAEAIAAAACIAAABkcnMv&#10;ZG93bnJldi54bWxQSwECFAAUAAAACACHTuJAqhYS9nkCAADlBAAADgAAAAAAAAABACAAAAAjAQAA&#10;ZHJzL2Uyb0RvYy54bWxQSwUGAAAAAAYABgBZAQAADgY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吸附在活性炭内：0.011</w:t>
                        </w:r>
                      </w:p>
                    </w:txbxContent>
                  </v:textbox>
                </v:rect>
                <v:rect id="_x0000_s1026" o:spid="_x0000_s1026" o:spt="1" style="position:absolute;left:1813560;top:2451100;height:227330;width:139700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j5J01AAAAAUBAAAPAAAAAAAAAAEAIAAAACIAAABkcnMv&#10;ZG93bnJldi54bWxQSwECFAAUAAAACACHTuJA/7WMM3kCAADlBAAADgAAAAAAAAABACAAAAAjAQAA&#10;ZHJzL2Uyb0RvYy54bWxQSwUGAAAAAAYABgBZAQAADgY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98%有组织收集：4.916</w:t>
                        </w:r>
                      </w:p>
                    </w:txbxContent>
                  </v:textbox>
                </v:rect>
                <v:shape id="_x0000_s1026" o:spid="_x0000_s1026" o:spt="32" type="#_x0000_t32" style="position:absolute;left:3213100;top:2582545;flip:y;height:3810;width:300355;" filled="f" stroked="t" coordsize="21600,21600" o:gfxdata="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0;lHc11gAAAAUBAAAPAAAAAAAAAAEAIAAAACIAAABkcnMvZG93bnJldi54bWxQSwECFAAUAAAACACH&#10;TuJAX2MLmSYCAAAMBAAADgAAAAAAAAABACAAAAAlAQAAZHJzL2Uyb0RvYy54bWxQSwUGAAAAAAYA&#10;BgBZAQAAvQUAAAAA&#10;">
                  <v:fill on="f" focussize="0,0"/>
                  <v:stroke weight="0.5pt" color="#000000 [3200]" miterlimit="8" joinstyle="miter" endarrow="open"/>
                  <v:imagedata o:title=""/>
                  <o:lock v:ext="edit" aspectratio="f"/>
                </v:shape>
                <v:line id="_x0000_s1026" o:spid="_x0000_s1026" o:spt="20" style="position:absolute;left:3506470;top:2223770;height:593090;width:6985;" filled="f" stroked="t" coordsize="21600,21600" o:gfxdata="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ockQvVAAAABQEAAA8AAAAAAAAAAQAgAAAAIgAAAGRycy9kb3ducmV2LnhtbFBLAQIUABQA&#10;AAAIAIdO4kB2Z5Nu8wEAAMMDAAAOAAAAAAAAAAEAIAAAACQBAABkcnMvZTJvRG9jLnhtbFBLBQYA&#10;AAAABgAGAFkBAACJBQAAAAA=&#10;">
                  <v:fill on="f" focussize="0,0"/>
                  <v:stroke weight="0.5pt" color="#000000 [3200]" miterlimit="8" joinstyle="miter"/>
                  <v:imagedata o:title=""/>
                  <o:lock v:ext="edit" aspectratio="f"/>
                </v:line>
                <v:shape id="_x0000_s1026" o:spid="_x0000_s1026" o:spt="32" type="#_x0000_t32" style="position:absolute;left:3505835;top:2238375;height:11430;width:30797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yvS1gAA&#10;AAUBAAAPAAAAAAAAAAEAIAAAACIAAABkcnMvZG93bnJldi54bWxQSwECFAAUAAAACACHTuJAcdFf&#10;bCACAAADBAAADgAAAAAAAAABACAAAAAlAQAAZHJzL2Uyb0RvYy54bWxQSwUGAAAAAAYABgBZAQAA&#10;twUAAAAA&#10;">
                  <v:fill on="f" focussize="0,0"/>
                  <v:stroke weight="0.5pt" color="#000000 [3200]" miterlimit="8" joinstyle="miter" endarrow="open"/>
                  <v:imagedata o:title=""/>
                  <o:lock v:ext="edit" aspectratio="f"/>
                </v:shape>
                <v:rect id="_x0000_s1026" o:spid="_x0000_s1026" o:spt="1" style="position:absolute;left:3818890;top:2076450;height:293370;width:135255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I+SdNQAAAAFAQAADwAAAAAAAAABACAAAAAiAAAAZHJz&#10;L2Rvd25yZXYueG1sUEsBAhQAFAAAAAgAh07iQPrfpmh6AgAA5QQAAA4AAAAAAAAAAQAgAAAAIwEA&#10;AGRycy9lMm9Eb2MueG1sUEsFBgAAAAAGAAYAWQEAAA8GA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w:t>
                        </w:r>
                        <w:r>
                          <w:rPr>
                            <w:rFonts w:hint="default"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lang w:val="en-US" w:eastAsia="zh-CN"/>
                          </w:rPr>
                          <w:t>—排气筒</w:t>
                        </w:r>
                        <w:r>
                          <w:rPr>
                            <w:rFonts w:hint="default" w:ascii="Times New Roman" w:hAnsi="Times New Roman" w:eastAsia="宋体" w:cs="Times New Roman"/>
                            <w:sz w:val="18"/>
                            <w:szCs w:val="18"/>
                            <w:lang w:val="en-US" w:eastAsia="zh-CN"/>
                          </w:rPr>
                          <w:t>排放</w:t>
                        </w:r>
                        <w:r>
                          <w:rPr>
                            <w:rFonts w:hint="eastAsia" w:ascii="Times New Roman" w:hAnsi="Times New Roman" w:eastAsia="宋体" w:cs="Times New Roman"/>
                            <w:sz w:val="18"/>
                            <w:szCs w:val="18"/>
                            <w:lang w:val="en-US" w:eastAsia="zh-CN"/>
                          </w:rPr>
                          <w:t>0.59</w:t>
                        </w:r>
                      </w:p>
                    </w:txbxContent>
                  </v:textbox>
                </v:rect>
                <v:rect id="_x0000_s1026" o:spid="_x0000_s1026" o:spt="1" style="position:absolute;left:3813810;top:2648585;height:227330;width:132334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CPknTUAAAABQEAAA8AAAAAAAAAAQAgAAAAIgAAAGRy&#10;cy9kb3ducmV2LnhtbFBLAQIUABQAAAAIAIdO4kBID641ewIAAOUEAAAOAAAAAAAAAAEAIAAAACMB&#10;AABkcnMvZTJvRG9jLnhtbFBLBQYAAAAABgAGAFkBAAAQBg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88%生成水气：4.326</w:t>
                        </w:r>
                      </w:p>
                    </w:txbxContent>
                  </v:textbox>
                </v:rect>
                <v:shape id="_x0000_s1026" o:spid="_x0000_s1026" o:spt="32" type="#_x0000_t32" style="position:absolute;left:3505835;top:2788285;height:11430;width:30797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yvS1gAA&#10;AAUBAAAPAAAAAAAAAAEAIAAAACIAAABkcnMvZG93bnJldi54bWxQSwECFAAUAAAACACHTuJAfbqh&#10;PCACAAADBAAADgAAAAAAAAABACAAAAAlAQAAZHJzL2Uyb0RvYy54bWxQSwUGAAAAAAYABgBZAQAA&#10;twUAAAAA&#10;">
                  <v:fill on="f" focussize="0,0"/>
                  <v:stroke weight="0.5pt" color="#000000 [3200]" miterlimit="8" joinstyle="miter" endarrow="open"/>
                  <v:imagedata o:title=""/>
                  <o:lock v:ext="edit" aspectratio="f"/>
                </v:shape>
                <v:rect id="_x0000_s1026" o:spid="_x0000_s1026" o:spt="1" style="position:absolute;left:48260;top:3037205;height:248285;width:94996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CPknTUAAAABQEAAA8AAAAAAAAAAQAgAAAAIgAAAGRycy9k&#10;b3ducmV2LnhtbFBLAQIUABQAAAAIAIdO4kDONS8UeAIAAOIEAAAOAAAAAAAAAAEAIAAAACMBAABk&#10;cnMvZTJvRG9jLnhtbFBLBQYAAAAABgAGAFkBAAANBgAAAAA=&#10;">
                  <v:fill on="f" focussize="0,0"/>
                  <v:stroke weight="0.5pt" color="#000000 [3213]" miterlimit="8" joinstyle="miter"/>
                  <v:imagedata o:title=""/>
                  <o:lock v:ext="edit" aspectratio="f"/>
                  <v:textbox>
                    <w:txbxContent>
                      <w:p>
                        <w:pPr>
                          <w:jc w:val="center"/>
                          <w:rPr>
                            <w:rFonts w:hint="default" w:eastAsia="宋体"/>
                            <w:sz w:val="18"/>
                            <w:szCs w:val="18"/>
                            <w:lang w:val="en-US" w:eastAsia="zh-CN"/>
                          </w:rPr>
                        </w:pPr>
                        <w:r>
                          <w:rPr>
                            <w:rFonts w:hint="eastAsia" w:eastAsia="宋体"/>
                            <w:sz w:val="18"/>
                            <w:szCs w:val="18"/>
                            <w:lang w:val="en-US" w:eastAsia="zh-CN"/>
                          </w:rPr>
                          <w:t>腻子车间</w:t>
                        </w:r>
                      </w:p>
                    </w:txbxContent>
                  </v:textbox>
                </v:rect>
                <v:rect id="_x0000_s1026" o:spid="_x0000_s1026" o:spt="1" style="position:absolute;left:1007110;top:2964180;height:227330;width:511810;v-text-anchor:middle;" filled="f" stroked="f" coordsize="21600,21600" o:gfxdata="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3A9fYAAAABQEAAA8AAAAAAAAAAQAgAAAAIgAAAGRycy9kb3ducmV2Lnht&#10;bFBLAQIUABQAAAAIAIdO4kDn57dNawIAALsEAAAOAAAAAAAAAAEAIAAAACcBAABkcnMvZTJvRG9j&#10;LnhtbFBLBQYAAAAABgAGAFkBAAAEBgAAAAA=&#10;">
                  <v:fill on="f" focussize="0,0"/>
                  <v:stroke on="f" weight="0.5pt" miterlimit="8" joinstyle="miter"/>
                  <v:imagedata o:title=""/>
                  <o:lock v:ext="edit" aspectratio="f"/>
                  <v:textbox>
                    <w:txbxContent>
                      <w:p>
                        <w:pPr>
                          <w:rPr>
                            <w:rFonts w:hint="default" w:ascii="Times New Roman" w:hAnsi="Times New Roman" w:cs="Times New Roman"/>
                            <w:b w:val="0"/>
                            <w:bCs w:val="0"/>
                            <w:sz w:val="18"/>
                            <w:szCs w:val="18"/>
                            <w:lang w:val="en-US" w:eastAsia="zh-CN"/>
                          </w:rPr>
                        </w:pPr>
                        <w:r>
                          <w:rPr>
                            <w:rFonts w:hint="eastAsia" w:ascii="Times New Roman" w:hAnsi="Times New Roman" w:cs="Times New Roman"/>
                            <w:b w:val="0"/>
                            <w:bCs w:val="0"/>
                            <w:sz w:val="18"/>
                            <w:szCs w:val="18"/>
                            <w:lang w:val="en-US" w:eastAsia="zh-CN"/>
                          </w:rPr>
                          <w:t>0.08</w:t>
                        </w:r>
                      </w:p>
                    </w:txbxContent>
                  </v:textbox>
                </v:rect>
                <v:shape id="_x0000_s1026" o:spid="_x0000_s1026" o:spt="32" type="#_x0000_t32" style="position:absolute;left:1000760;top:3190875;height:3810;width:507365;" filled="f" stroked="t" coordsize="21600,21600" o:gfxdata="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yvS1gAA&#10;AAUBAAAPAAAAAAAAAAEAIAAAACIAAABkcnMvZG93bnJldi54bWxQSwECFAAUAAAACACHTuJASeiW&#10;0iACAAACBAAADgAAAAAAAAABACAAAAAlAQAAZHJzL2Uyb0RvYy54bWxQSwUGAAAAAAYABgBZAQAA&#10;twUAAAAA&#10;">
                  <v:fill on="f" focussize="0,0"/>
                  <v:stroke weight="0.5pt" color="#000000 [3200]" miterlimit="8" joinstyle="miter" endarrow="open"/>
                  <v:imagedata o:title=""/>
                  <o:lock v:ext="edit" aspectratio="f"/>
                </v:shape>
                <v:rect id="_x0000_s1026" o:spid="_x0000_s1026" o:spt="1" style="position:absolute;left:1513205;top:3037205;height:227330;width:1366520;v-text-anchor:middle;" filled="f" stroked="t" coordsize="21600,21600" o:gfxdata="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Qj5J01AAAAAUBAAAPAAAAAAAAAAEAIAAAACIAAABkcnMv&#10;ZG93bnJldi54bWxQSwECFAAUAAAACACHTuJAFceMfXkCAADlBAAADgAAAAAAAAABACAAAAAjAQAA&#10;ZHJzL2Uyb0RvYy54bWxQSwUGAAAAAAYABgBZAQAADgYAAAAA&#10;">
                  <v:fill on="f" focussize="0,0"/>
                  <v:stroke weight="0.5pt" color="#000000 [3213]" miterlimit="8" joinstyle="miter"/>
                  <v:imagedata o:title=""/>
                  <o:lock v:ext="edit" aspectratio="f"/>
                  <v:textbox>
                    <w:txbxContent>
                      <w:p>
                        <w:pP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无组织排放</w:t>
                        </w:r>
                        <w:r>
                          <w:rPr>
                            <w:rFonts w:hint="eastAsia" w:ascii="Times New Roman" w:hAnsi="Times New Roman" w:eastAsia="宋体" w:cs="Times New Roman"/>
                            <w:sz w:val="18"/>
                            <w:szCs w:val="18"/>
                            <w:lang w:val="en-US" w:eastAsia="zh-CN"/>
                          </w:rPr>
                          <w:t>：0.08</w:t>
                        </w:r>
                      </w:p>
                    </w:txbxContent>
                  </v:textbox>
                </v:rect>
                <w10:wrap type="none"/>
                <w10:anchorlock/>
              </v:group>
            </w:pict>
          </mc:Fallback>
        </mc:AlternateContent>
      </w:r>
    </w:p>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color="auto"/>
          <w:lang w:val="en-US" w:eastAsia="zh-CN"/>
          <w14:textFill>
            <w14:solidFill>
              <w14:schemeClr w14:val="tx1"/>
            </w14:solidFill>
          </w14:textFill>
        </w:rPr>
        <w:t>图3.2-5    VOCs物料平衡（单位：t/a）</w:t>
      </w:r>
    </w:p>
    <w:p>
      <w:pPr>
        <w:keepNext w:val="0"/>
        <w:keepLines w:val="0"/>
        <w:pageBreakBefore w:val="0"/>
        <w:widowControl/>
        <w:suppressLineNumbers w:val="0"/>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（3）非正常工况</w:t>
      </w:r>
    </w:p>
    <w:p>
      <w:pPr>
        <w:keepNext w:val="0"/>
        <w:keepLines w:val="0"/>
        <w:pageBreakBefore w:val="0"/>
        <w:widowControl/>
        <w:suppressLineNumbers w:val="0"/>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非正常工况（废气处理设施处理效率为0），污染物直接导入高空排放，最长持续时间为1h，则排放源强见下表。</w:t>
      </w:r>
    </w:p>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3.2-7  </w:t>
      </w: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非正常工况废气污染物排放表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689"/>
        <w:gridCol w:w="1013"/>
        <w:gridCol w:w="924"/>
        <w:gridCol w:w="774"/>
        <w:gridCol w:w="849"/>
        <w:gridCol w:w="105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编号</w:t>
            </w:r>
          </w:p>
        </w:tc>
        <w:tc>
          <w:tcPr>
            <w:tcW w:w="991"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594"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年排放小时数/h</w:t>
            </w:r>
          </w:p>
        </w:tc>
        <w:tc>
          <w:tcPr>
            <w:tcW w:w="542"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年发生频次</w:t>
            </w:r>
          </w:p>
        </w:tc>
        <w:tc>
          <w:tcPr>
            <w:tcW w:w="454"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排放工况</w:t>
            </w:r>
          </w:p>
        </w:tc>
        <w:tc>
          <w:tcPr>
            <w:tcW w:w="1115"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污染物排放速率（kg/h）</w:t>
            </w:r>
          </w:p>
        </w:tc>
        <w:tc>
          <w:tcPr>
            <w:tcW w:w="686"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1"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2"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8"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617"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p>
        </w:tc>
        <w:tc>
          <w:tcPr>
            <w:tcW w:w="68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p>
        </w:tc>
        <w:tc>
          <w:tcPr>
            <w:tcW w:w="9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灌注、涂装车间排气筒</w:t>
            </w:r>
          </w:p>
        </w:tc>
        <w:tc>
          <w:tcPr>
            <w:tcW w:w="594"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542"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54"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非正常工况</w:t>
            </w:r>
          </w:p>
        </w:tc>
        <w:tc>
          <w:tcPr>
            <w:tcW w:w="498"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17" w:type="pct"/>
            <w:vAlign w:val="center"/>
          </w:tcPr>
          <w:p>
            <w:pPr>
              <w:keepNext w:val="0"/>
              <w:keepLines w:val="0"/>
              <w:pageBreakBefore w:val="0"/>
              <w:widowControl/>
              <w:wordWrap/>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29.51</w:t>
            </w:r>
          </w:p>
        </w:tc>
        <w:tc>
          <w:tcPr>
            <w:tcW w:w="686" w:type="pct"/>
            <w:vMerge w:val="restart"/>
            <w:vAlign w:val="center"/>
          </w:tcPr>
          <w:p>
            <w:pPr>
              <w:keepNext w:val="0"/>
              <w:keepLines w:val="0"/>
              <w:pageBreakBefore w:val="0"/>
              <w:widowControl/>
              <w:wordWrap/>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加强设备检修、污染治理设施正常运行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p>
        </w:tc>
        <w:tc>
          <w:tcPr>
            <w:tcW w:w="9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修型</w:t>
            </w:r>
            <w:r>
              <w:rPr>
                <w:rFonts w:hint="default" w:ascii="Times New Roman" w:hAnsi="Times New Roman" w:eastAsia="宋体" w:cs="Times New Roman"/>
                <w:color w:val="000000" w:themeColor="text1"/>
                <w:sz w:val="21"/>
                <w:szCs w:val="21"/>
                <w:highlight w:val="none"/>
                <w14:textFill>
                  <w14:solidFill>
                    <w14:schemeClr w14:val="tx1"/>
                  </w14:solidFill>
                </w14:textFill>
              </w:rPr>
              <w:t>工序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594"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542"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5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8" w:type="pct"/>
            <w:vAlign w:val="center"/>
          </w:tcPr>
          <w:p>
            <w:pPr>
              <w:keepNext w:val="0"/>
              <w:keepLines w:val="0"/>
              <w:pageBreakBefore w:val="0"/>
              <w:widowControl/>
              <w:wordWrap/>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0.279</w:t>
            </w:r>
          </w:p>
        </w:tc>
        <w:tc>
          <w:tcPr>
            <w:tcW w:w="617"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8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p>
        </w:tc>
        <w:tc>
          <w:tcPr>
            <w:tcW w:w="991"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腻子打磨工序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排气筒</w:t>
            </w:r>
          </w:p>
        </w:tc>
        <w:tc>
          <w:tcPr>
            <w:tcW w:w="594"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542"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54"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8" w:type="pct"/>
            <w:vAlign w:val="center"/>
          </w:tcPr>
          <w:p>
            <w:pPr>
              <w:keepNext w:val="0"/>
              <w:keepLines w:val="0"/>
              <w:pageBreakBefore w:val="0"/>
              <w:widowControl/>
              <w:wordWrap/>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0.652</w:t>
            </w:r>
          </w:p>
        </w:tc>
        <w:tc>
          <w:tcPr>
            <w:tcW w:w="617" w:type="pct"/>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8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企业应加强环保设施的运行管理与维护，减少和避免事故排放，出现事故时要在最短的时间内将影响降到最低。</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3.2.3.2废水</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本项目产生的废水主要为生活污水。</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516"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生活总用水量为</w:t>
      </w:r>
      <w:r>
        <w:rPr>
          <w:rFonts w:hint="default" w:ascii="Times New Roman" w:hAnsi="Times New Roman" w:eastAsia="宋体" w:cs="Times New Roman"/>
          <w:color w:val="000000" w:themeColor="text1"/>
          <w:spacing w:val="9"/>
          <w:sz w:val="24"/>
          <w:szCs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9"/>
          <w:position w:val="7"/>
          <w:sz w:val="16"/>
          <w:szCs w:val="16"/>
          <w:highlight w:val="none"/>
          <w14:textFill>
            <w14:solidFill>
              <w14:schemeClr w14:val="tx1"/>
            </w14:solidFill>
          </w14:textFill>
        </w:rPr>
        <w:t>3</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/d（26000m</w:t>
      </w:r>
      <w:r>
        <w:rPr>
          <w:rFonts w:hint="default" w:ascii="Times New Roman" w:hAnsi="Times New Roman" w:eastAsia="宋体" w:cs="Times New Roman"/>
          <w:color w:val="000000" w:themeColor="text1"/>
          <w:spacing w:val="9"/>
          <w:position w:val="7"/>
          <w:sz w:val="16"/>
          <w:szCs w:val="16"/>
          <w:highlight w:val="none"/>
          <w14:textFill>
            <w14:solidFill>
              <w14:schemeClr w14:val="tx1"/>
            </w14:solidFill>
          </w14:textFill>
        </w:rPr>
        <w:t>3</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/a</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排放系数按</w:t>
      </w:r>
      <w:r>
        <w:rPr>
          <w:rFonts w:hint="default" w:ascii="Times New Roman" w:hAnsi="Times New Roman" w:eastAsia="宋体" w:cs="Times New Roman"/>
          <w:color w:val="000000" w:themeColor="text1"/>
          <w:spacing w:val="-7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照0.8计</w:t>
      </w:r>
      <w:r>
        <w:rPr>
          <w:rFonts w:hint="default" w:ascii="Times New Roman" w:hAnsi="Times New Roman" w:eastAsia="宋体" w:cs="Times New Roman"/>
          <w:color w:val="000000" w:themeColor="text1"/>
          <w:spacing w:val="9"/>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排水量为</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1"/>
          <w:position w:val="7"/>
          <w:sz w:val="16"/>
          <w:szCs w:val="16"/>
          <w:highlight w:val="none"/>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/d（</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20800</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1"/>
          <w:position w:val="7"/>
          <w:sz w:val="16"/>
          <w:szCs w:val="16"/>
          <w:highlight w:val="none"/>
          <w14:textFill>
            <w14:solidFill>
              <w14:schemeClr w14:val="tx1"/>
            </w14:solidFill>
          </w14:textFill>
        </w:rPr>
        <w:t>3</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/a）。项目食堂废水经隔油池处理后和生活污水一并进入厂区</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自建化粪池处理达到《污水综合排放标准》（GB</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-1996）表4的三级标准</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后排入</w:t>
      </w:r>
      <w:r>
        <w:rPr>
          <w:rFonts w:hint="default" w:ascii="Times New Roman" w:hAnsi="Times New Roman" w:eastAsia="宋体" w:cs="Times New Roman"/>
          <w:color w:val="000000" w:themeColor="text1"/>
          <w:spacing w:val="8"/>
          <w:sz w:val="24"/>
          <w:szCs w:val="24"/>
          <w:highlight w:val="none"/>
          <w:lang w:val="en-US" w:eastAsia="zh-CN"/>
          <w14:textFill>
            <w14:solidFill>
              <w14:schemeClr w14:val="tx1"/>
            </w14:solidFill>
          </w14:textFill>
        </w:rPr>
        <w:t>园区</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污水处理</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厂</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表</w:t>
      </w:r>
      <w:r>
        <w:rPr>
          <w:rFonts w:hint="default" w:ascii="Times New Roman" w:hAnsi="Times New Roman" w:eastAsia="宋体" w:cs="Times New Roman"/>
          <w:color w:val="000000" w:themeColor="text1"/>
          <w:spacing w:val="-25"/>
          <w:sz w:val="21"/>
          <w:szCs w:val="21"/>
          <w:highlight w:val="none"/>
          <w:lang w:val="en-US" w:eastAsia="zh-CN"/>
          <w14:textFill>
            <w14:solidFill>
              <w14:schemeClr w14:val="tx1"/>
            </w14:solidFill>
          </w14:textFill>
        </w:rPr>
        <w:t xml:space="preserve">3.2-8    </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污水污染物产生及排放情况</w:t>
      </w:r>
    </w:p>
    <w:tbl>
      <w:tblPr>
        <w:tblStyle w:val="3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29"/>
        <w:gridCol w:w="1547"/>
        <w:gridCol w:w="2110"/>
        <w:gridCol w:w="39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38" w:type="pct"/>
            <w:tcBorders>
              <w:top w:val="single" w:color="000000" w:sz="8" w:space="0"/>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序号</w:t>
            </w:r>
          </w:p>
        </w:tc>
        <w:tc>
          <w:tcPr>
            <w:tcW w:w="929"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用水环节</w:t>
            </w:r>
          </w:p>
        </w:tc>
        <w:tc>
          <w:tcPr>
            <w:tcW w:w="1267"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用水量</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3"/>
                <w:position w:val="6"/>
                <w:sz w:val="14"/>
                <w:szCs w:val="14"/>
                <w:highlight w:val="none"/>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w:t>
            </w:r>
          </w:p>
        </w:tc>
        <w:tc>
          <w:tcPr>
            <w:tcW w:w="2364" w:type="pct"/>
            <w:tcBorders>
              <w:top w:val="single" w:color="000000" w:sz="8" w:space="0"/>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排放量</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3"/>
                <w:position w:val="6"/>
                <w:sz w:val="14"/>
                <w:szCs w:val="14"/>
                <w:highlight w:val="none"/>
                <w14:textFill>
                  <w14:solidFill>
                    <w14:schemeClr w14:val="tx1"/>
                  </w14:solidFill>
                </w14:textFill>
              </w:rPr>
              <w:t>3</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438"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1</w:t>
            </w:r>
          </w:p>
        </w:tc>
        <w:tc>
          <w:tcPr>
            <w:tcW w:w="929"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2"/>
                <w:szCs w:val="22"/>
                <w:highlight w:val="none"/>
                <w14:textFill>
                  <w14:solidFill>
                    <w14:schemeClr w14:val="tx1"/>
                  </w14:solidFill>
                </w14:textFill>
              </w:rPr>
            </w:pPr>
            <w:r>
              <w:rPr>
                <w:rFonts w:hint="default" w:ascii="Times New Roman" w:hAnsi="Times New Roman" w:eastAsia="宋体" w:cs="Times New Roman"/>
                <w:color w:val="000000" w:themeColor="text1"/>
                <w:sz w:val="22"/>
                <w:szCs w:val="22"/>
                <w:highlight w:val="none"/>
                <w14:textFill>
                  <w14:solidFill>
                    <w14:schemeClr w14:val="tx1"/>
                  </w14:solidFill>
                </w14:textFill>
              </w:rPr>
              <w:t>生活用水</w:t>
            </w:r>
          </w:p>
        </w:tc>
        <w:tc>
          <w:tcPr>
            <w:tcW w:w="1267"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26000</w:t>
            </w:r>
          </w:p>
        </w:tc>
        <w:tc>
          <w:tcPr>
            <w:tcW w:w="2364" w:type="pct"/>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val="en-US" w:eastAsia="zh-CN"/>
                <w14:textFill>
                  <w14:solidFill>
                    <w14:schemeClr w14:val="tx1"/>
                  </w14:solidFill>
                </w14:textFill>
              </w:rPr>
              <w:t>20800</w:t>
            </w:r>
          </w:p>
        </w:tc>
      </w:tr>
    </w:tbl>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表3.</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2-9</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 xml:space="preserve">   项目废水产生及排放情况汇总</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757"/>
        <w:gridCol w:w="598"/>
        <w:gridCol w:w="762"/>
        <w:gridCol w:w="704"/>
        <w:gridCol w:w="815"/>
        <w:gridCol w:w="612"/>
        <w:gridCol w:w="731"/>
        <w:gridCol w:w="719"/>
        <w:gridCol w:w="1008"/>
        <w:gridCol w:w="663"/>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0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编号</w:t>
            </w:r>
          </w:p>
        </w:tc>
        <w:tc>
          <w:tcPr>
            <w:tcW w:w="444"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污水来源</w:t>
            </w:r>
          </w:p>
        </w:tc>
        <w:tc>
          <w:tcPr>
            <w:tcW w:w="35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排放</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方式</w:t>
            </w:r>
          </w:p>
        </w:tc>
        <w:tc>
          <w:tcPr>
            <w:tcW w:w="447"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污染物名称</w:t>
            </w:r>
          </w:p>
        </w:tc>
        <w:tc>
          <w:tcPr>
            <w:tcW w:w="891" w:type="pct"/>
            <w:gridSpan w:val="2"/>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污染物产生量</w:t>
            </w:r>
          </w:p>
        </w:tc>
        <w:tc>
          <w:tcPr>
            <w:tcW w:w="35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治理措施</w:t>
            </w:r>
          </w:p>
        </w:tc>
        <w:tc>
          <w:tcPr>
            <w:tcW w:w="42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废水排放量t/a</w:t>
            </w:r>
          </w:p>
        </w:tc>
        <w:tc>
          <w:tcPr>
            <w:tcW w:w="1013" w:type="pct"/>
            <w:gridSpan w:val="2"/>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污染物排放量</w:t>
            </w:r>
          </w:p>
        </w:tc>
        <w:tc>
          <w:tcPr>
            <w:tcW w:w="38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标准浓度限值mg/L</w:t>
            </w:r>
          </w:p>
        </w:tc>
        <w:tc>
          <w:tcPr>
            <w:tcW w:w="372"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排放方式与去向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44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3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447"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41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浓度mg/L</w:t>
            </w:r>
          </w:p>
        </w:tc>
        <w:tc>
          <w:tcPr>
            <w:tcW w:w="478"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产生量t/a</w:t>
            </w:r>
          </w:p>
        </w:tc>
        <w:tc>
          <w:tcPr>
            <w:tcW w:w="35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42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42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浓度mg/L</w:t>
            </w:r>
          </w:p>
        </w:tc>
        <w:tc>
          <w:tcPr>
            <w:tcW w:w="5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排放量t/a</w:t>
            </w:r>
          </w:p>
        </w:tc>
        <w:tc>
          <w:tcPr>
            <w:tcW w:w="3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c>
          <w:tcPr>
            <w:tcW w:w="37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W1</w:t>
            </w:r>
          </w:p>
        </w:tc>
        <w:tc>
          <w:tcPr>
            <w:tcW w:w="444"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职工生活污水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20800</w:t>
            </w:r>
          </w:p>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35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间歇</w:t>
            </w:r>
          </w:p>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排放</w:t>
            </w:r>
          </w:p>
        </w:tc>
        <w:tc>
          <w:tcPr>
            <w:tcW w:w="447"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COD</w:t>
            </w:r>
          </w:p>
        </w:tc>
        <w:tc>
          <w:tcPr>
            <w:tcW w:w="41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00</w:t>
            </w:r>
          </w:p>
        </w:tc>
        <w:tc>
          <w:tcPr>
            <w:tcW w:w="478"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8.32</w:t>
            </w:r>
          </w:p>
        </w:tc>
        <w:tc>
          <w:tcPr>
            <w:tcW w:w="35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隔油+化粪</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池处理</w:t>
            </w:r>
          </w:p>
        </w:tc>
        <w:tc>
          <w:tcPr>
            <w:tcW w:w="42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20800</w:t>
            </w:r>
          </w:p>
        </w:tc>
        <w:tc>
          <w:tcPr>
            <w:tcW w:w="42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210</w:t>
            </w:r>
          </w:p>
        </w:tc>
        <w:tc>
          <w:tcPr>
            <w:tcW w:w="59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4.368</w:t>
            </w:r>
          </w:p>
        </w:tc>
        <w:tc>
          <w:tcPr>
            <w:tcW w:w="3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500</w:t>
            </w:r>
          </w:p>
        </w:tc>
        <w:tc>
          <w:tcPr>
            <w:tcW w:w="372"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t>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3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7"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BOD</w:t>
            </w:r>
            <w:r>
              <w:rPr>
                <w:rFonts w:hint="default" w:ascii="Times New Roman" w:hAnsi="Times New Roman" w:eastAsia="宋体" w:cs="Times New Roman"/>
                <w:color w:val="000000" w:themeColor="text1"/>
                <w:spacing w:val="-2"/>
                <w:position w:val="-1"/>
                <w:sz w:val="21"/>
                <w:szCs w:val="21"/>
                <w:highlight w:val="none"/>
                <w:vertAlign w:val="subscript"/>
                <w14:textFill>
                  <w14:solidFill>
                    <w14:schemeClr w14:val="tx1"/>
                  </w14:solidFill>
                </w14:textFill>
              </w:rPr>
              <w:t>5</w:t>
            </w:r>
          </w:p>
        </w:tc>
        <w:tc>
          <w:tcPr>
            <w:tcW w:w="41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200</w:t>
            </w:r>
          </w:p>
        </w:tc>
        <w:tc>
          <w:tcPr>
            <w:tcW w:w="478"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4.16</w:t>
            </w:r>
          </w:p>
        </w:tc>
        <w:tc>
          <w:tcPr>
            <w:tcW w:w="35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170</w:t>
            </w:r>
          </w:p>
        </w:tc>
        <w:tc>
          <w:tcPr>
            <w:tcW w:w="59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3.536</w:t>
            </w:r>
          </w:p>
        </w:tc>
        <w:tc>
          <w:tcPr>
            <w:tcW w:w="3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300</w:t>
            </w:r>
          </w:p>
        </w:tc>
        <w:tc>
          <w:tcPr>
            <w:tcW w:w="37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3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7"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SS</w:t>
            </w:r>
          </w:p>
        </w:tc>
        <w:tc>
          <w:tcPr>
            <w:tcW w:w="41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2</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0</w:t>
            </w:r>
          </w:p>
        </w:tc>
        <w:tc>
          <w:tcPr>
            <w:tcW w:w="478"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4.576</w:t>
            </w:r>
          </w:p>
        </w:tc>
        <w:tc>
          <w:tcPr>
            <w:tcW w:w="35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40</w:t>
            </w:r>
          </w:p>
        </w:tc>
        <w:tc>
          <w:tcPr>
            <w:tcW w:w="59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0.832</w:t>
            </w:r>
          </w:p>
        </w:tc>
        <w:tc>
          <w:tcPr>
            <w:tcW w:w="3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400</w:t>
            </w:r>
          </w:p>
        </w:tc>
        <w:tc>
          <w:tcPr>
            <w:tcW w:w="37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3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7"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氨氮</w:t>
            </w:r>
          </w:p>
        </w:tc>
        <w:tc>
          <w:tcPr>
            <w:tcW w:w="41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20</w:t>
            </w:r>
          </w:p>
        </w:tc>
        <w:tc>
          <w:tcPr>
            <w:tcW w:w="478"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0.416</w:t>
            </w:r>
          </w:p>
        </w:tc>
        <w:tc>
          <w:tcPr>
            <w:tcW w:w="35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w w:val="98"/>
                <w:sz w:val="21"/>
                <w:szCs w:val="21"/>
                <w:highlight w:val="none"/>
                <w14:textFill>
                  <w14:solidFill>
                    <w14:schemeClr w14:val="tx1"/>
                  </w14:solidFill>
                </w14:textFill>
              </w:rPr>
              <w:t>19.4</w:t>
            </w:r>
          </w:p>
        </w:tc>
        <w:tc>
          <w:tcPr>
            <w:tcW w:w="59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0.40352</w:t>
            </w:r>
          </w:p>
        </w:tc>
        <w:tc>
          <w:tcPr>
            <w:tcW w:w="3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w:t>
            </w:r>
          </w:p>
        </w:tc>
        <w:tc>
          <w:tcPr>
            <w:tcW w:w="37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4"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35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47"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总磷</w:t>
            </w:r>
          </w:p>
        </w:tc>
        <w:tc>
          <w:tcPr>
            <w:tcW w:w="41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478"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0.0832</w:t>
            </w:r>
          </w:p>
        </w:tc>
        <w:tc>
          <w:tcPr>
            <w:tcW w:w="35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c>
          <w:tcPr>
            <w:tcW w:w="42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3.64</w:t>
            </w:r>
          </w:p>
        </w:tc>
        <w:tc>
          <w:tcPr>
            <w:tcW w:w="591" w:type="pct"/>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0.075712</w:t>
            </w:r>
          </w:p>
        </w:tc>
        <w:tc>
          <w:tcPr>
            <w:tcW w:w="3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w:t>
            </w:r>
          </w:p>
        </w:tc>
        <w:tc>
          <w:tcPr>
            <w:tcW w:w="37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14:textFill>
                  <w14:solidFill>
                    <w14:schemeClr w14:val="tx1"/>
                  </w14:solidFill>
                </w14:textFill>
              </w:rPr>
            </w:pPr>
          </w:p>
        </w:tc>
      </w:tr>
    </w:tbl>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c">
            <w:drawing>
              <wp:inline distT="0" distB="0" distL="114300" distR="114300">
                <wp:extent cx="5274310" cy="986790"/>
                <wp:effectExtent l="0" t="0" r="2540" b="0"/>
                <wp:docPr id="99" name="画布 99"/>
                <wp:cNvGraphicFramePr/>
                <a:graphic xmlns:a="http://schemas.openxmlformats.org/drawingml/2006/main">
                  <a:graphicData uri="http://schemas.microsoft.com/office/word/2010/wordprocessingCanvas">
                    <wpc:wpc>
                      <wpc:bg/>
                      <wpc:whole/>
                      <wps:wsp>
                        <wps:cNvPr id="100" name="直接箭头连接符 100"/>
                        <wps:cNvCnPr/>
                        <wps:spPr>
                          <a:xfrm flipV="1">
                            <a:off x="259715" y="716915"/>
                            <a:ext cx="75247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01" name="矩形 101"/>
                        <wps:cNvSpPr/>
                        <wps:spPr>
                          <a:xfrm>
                            <a:off x="1028065" y="572135"/>
                            <a:ext cx="93345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矩形 107"/>
                        <wps:cNvSpPr/>
                        <wps:spPr>
                          <a:xfrm>
                            <a:off x="149225" y="683260"/>
                            <a:ext cx="9048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总用水量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矩形 108"/>
                        <wps:cNvSpPr/>
                        <wps:spPr>
                          <a:xfrm>
                            <a:off x="290830" y="417830"/>
                            <a:ext cx="5905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26000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矩形 110"/>
                        <wps:cNvSpPr/>
                        <wps:spPr>
                          <a:xfrm>
                            <a:off x="2052955" y="471805"/>
                            <a:ext cx="5905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20800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矩形 113"/>
                        <wps:cNvSpPr/>
                        <wps:spPr>
                          <a:xfrm>
                            <a:off x="4225925" y="574675"/>
                            <a:ext cx="104140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园区下水管网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4" name="矩形 114"/>
                        <wps:cNvSpPr/>
                        <wps:spPr>
                          <a:xfrm>
                            <a:off x="2644140" y="575310"/>
                            <a:ext cx="1151890"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eastAsia="宋体"/>
                                  <w:lang w:val="en-US" w:eastAsia="zh-CN"/>
                                </w:rPr>
                                <w:t>隔油池、化粪池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矩形 115"/>
                        <wps:cNvSpPr/>
                        <wps:spPr>
                          <a:xfrm>
                            <a:off x="1130935" y="0"/>
                            <a:ext cx="1000125" cy="352425"/>
                          </a:xfrm>
                          <a:prstGeom prst="rect">
                            <a:avLst/>
                          </a:prstGeom>
                          <a:noFill/>
                          <a:ln>
                            <a:solidFill>
                              <a:srgbClr val="FF0000">
                                <a:alpha val="0"/>
                              </a:srgb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消耗5200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直接箭头连接符 116"/>
                        <wps:cNvCnPr>
                          <a:stCxn id="101" idx="0"/>
                          <a:endCxn id="115" idx="2"/>
                        </wps:cNvCnPr>
                        <wps:spPr>
                          <a:xfrm flipV="1">
                            <a:off x="1494790" y="352425"/>
                            <a:ext cx="136525" cy="2197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7" name="直接箭头连接符 117"/>
                        <wps:cNvCnPr>
                          <a:stCxn id="101" idx="3"/>
                          <a:endCxn id="114" idx="1"/>
                        </wps:cNvCnPr>
                        <wps:spPr>
                          <a:xfrm>
                            <a:off x="1961515" y="748665"/>
                            <a:ext cx="68262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8" name="直接箭头连接符 118"/>
                        <wps:cNvCnPr>
                          <a:stCxn id="114" idx="3"/>
                          <a:endCxn id="113" idx="1"/>
                        </wps:cNvCnPr>
                        <wps:spPr>
                          <a:xfrm flipV="1">
                            <a:off x="3796030" y="751205"/>
                            <a:ext cx="42989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77.7pt;width:415.3pt;" coordsize="5274310,986790" editas="canvas" o:gfxdata="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BbiRh31wAAAAUBAAAPAAAAAAAAAAEAIAAAACIAAABkcnMvZG93&#10;bnJldi54bWxQSwECFAAUAAAACACHTuJATre3IpEFAABPIQAADgAAAAAAAAABACAAAAAmAQAAZHJz&#10;L2Uyb0RvYy54bWxQSwUGAAAAAAYABgBZAQAAKQkAAAAA&#10;">
                <o:lock v:ext="edit" aspectratio="f"/>
                <v:shape id="_x0000_s1026" o:spid="_x0000_s1026" style="position:absolute;left:0;top:0;height:986790;width:5274310;" filled="f" stroked="f" coordsize="21600,21600" o:gfxdata="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">
                  <v:fill on="f" focussize="0,0"/>
                  <v:stroke on="f"/>
                  <v:imagedata o:title=""/>
                  <o:lock v:ext="edit" aspectratio="f"/>
                </v:shape>
                <v:shape id="_x0000_s1026" o:spid="_x0000_s1026" o:spt="32" type="#_x0000_t32" style="position:absolute;left:259715;top:716915;flip:y;height:9525;width:752475;" filled="f" stroked="t" coordsize="21600,21600" o:gfxdata="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LCzk&#10;1gAAAAUBAAAPAAAAAAAAAAEAIAAAACIAAABkcnMvZG93bnJldi54bWxQSwECFAAUAAAACACHTuJA&#10;PFZXCiMCAAAKBAAADgAAAAAAAAABACAAAAAlAQAAZHJzL2Uyb0RvYy54bWxQSwUGAAAAAAYABgBZ&#10;AQAAugUAAAAA&#10;">
                  <v:fill on="f" focussize="0,0"/>
                  <v:stroke weight="0.5pt" color="#000000 [3200]" miterlimit="8" joinstyle="miter" endarrow="open"/>
                  <v:imagedata o:title=""/>
                  <o:lock v:ext="edit" aspectratio="f"/>
                </v:shape>
                <v:rect id="_x0000_s1026" o:spid="_x0000_s1026" o:spt="1" style="position:absolute;left:1028065;top:572135;height:352425;width:933450;v-text-anchor:middle;" filled="f" stroked="t" coordsize="21600,21600" o:gfxdata="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0PqZh1QAAAAUBAAAPAAAAAAAAAAEAIAAAACIAAABkcnMv&#10;ZG93bnJldi54bWxQSwECFAAUAAAACACHTuJAkluKeHgCAADkBAAADgAAAAAAAAABACAAAAAkAQAA&#10;ZHJzL2Uyb0RvYy54bWxQSwUGAAAAAAYABgBZAQAADg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生活用水</w:t>
                        </w:r>
                      </w:p>
                    </w:txbxContent>
                  </v:textbox>
                </v:rect>
                <v:rect id="_x0000_s1026" o:spid="_x0000_s1026" o:spt="1" style="position:absolute;left:149225;top:683260;height:295275;width:904875;v-text-anchor:middle;" filled="f" stroked="f" coordsize="21600,21600" o:gfxdata="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3Ln0+1AAAAAUBAAAPAAAAAAAAAAEAIAAAACIAAABkcnMvZG93bnJldi54bWxQSwEC&#10;FAAUAAAACACHTuJAa2K9xGoCAAC6BAAADgAAAAAAAAABACAAAAAjAQAAZHJzL2Uyb0RvYy54bWxQ&#10;SwUGAAAAAAYABgBZAQAA/wU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总用水量</w:t>
                        </w:r>
                      </w:p>
                    </w:txbxContent>
                  </v:textbox>
                </v:rect>
                <v:rect id="_x0000_s1026" o:spid="_x0000_s1026" o:spt="1" style="position:absolute;left:290830;top:417830;height:295275;width:590550;v-text-anchor:middle;" filled="f" stroked="f" coordsize="21600,21600" o:gfxdata="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3Ln0+1AAAAAUBAAAPAAAAAAAAAAEAIAAAACIAAABkcnMvZG93bnJldi54bWxQSwECFAAU&#10;AAAACACHTuJAfZxHP2cCAAC6BAAADgAAAAAAAAABACAAAAAjAQAAZHJzL2Uyb0RvYy54bWxQSwUG&#10;AAAAAAYABgBZAQAA/AU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26000</w:t>
                        </w:r>
                      </w:p>
                    </w:txbxContent>
                  </v:textbox>
                </v:rect>
                <v:rect id="_x0000_s1026" o:spid="_x0000_s1026" o:spt="1" style="position:absolute;left:2052955;top:471805;height:295275;width:590550;v-text-anchor:middle;" filled="f" stroked="f" coordsize="21600,21600" o:gfxdata="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3Ln0+1AAAAAUBAAAPAAAAAAAAAAEAIAAAACIAAABkcnMvZG93bnJldi54bWxQSwEC&#10;FAAUAAAACACHTuJAnuTJgmoCAAC7BAAADgAAAAAAAAABACAAAAAjAQAAZHJzL2Uyb0RvYy54bWxQ&#10;SwUGAAAAAAYABgBZAQAA/wU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20800</w:t>
                        </w:r>
                      </w:p>
                    </w:txbxContent>
                  </v:textbox>
                </v:rect>
                <v:rect id="_x0000_s1026" o:spid="_x0000_s1026" o:spt="1" style="position:absolute;left:4225925;top:574675;height:352425;width:1041400;v-text-anchor:middle;" filled="f" stroked="t" coordsize="21600,21600" o:gfxdata="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&#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0PqZh1QAAAAUBAAAPAAAAAAAAAAEAIAAAACIAAABk&#10;cnMvZG93bnJldi54bWxQSwECFAAUAAAACACHTuJAaGDIpXsCAADlBAAADgAAAAAAAAABACAAAAAk&#10;AQAAZHJzL2Uyb0RvYy54bWxQSwUGAAAAAAYABgBZAQAAEQ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园区下水管网</w:t>
                        </w:r>
                      </w:p>
                    </w:txbxContent>
                  </v:textbox>
                </v:rect>
                <v:rect id="_x0000_s1026" o:spid="_x0000_s1026" o:spt="1" style="position:absolute;left:2644140;top:575310;height:352425;width:1151890;v-text-anchor:middle;" filled="f" stroked="t" coordsize="21600,21600" o:gfxdata="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Q+pmHVAAAABQEAAA8AAAAAAAAAAQAgAAAAIgAAAGRy&#10;cy9kb3ducmV2LnhtbFBLAQIUABQAAAAIAIdO4kBSEQmjegIAAOUEAAAOAAAAAAAAAAEAIAAAACQB&#10;AABkcnMvZTJvRG9jLnhtbFBLBQYAAAAABgAGAFkBAAAQ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隔油池、化粪池</w:t>
                        </w:r>
                      </w:p>
                    </w:txbxContent>
                  </v:textbox>
                </v:rect>
                <v:rect id="_x0000_s1026" o:spid="_x0000_s1026" o:spt="1" style="position:absolute;left:1130935;top:0;height:352425;width:1000125;v-text-anchor:middle;" filled="f" stroked="t" coordsize="21600,21600" o:gfxdata="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GnuDdUAAAAFAQAADwAAAAAAAAAB&#10;ACAAAAAiAAAAZHJzL2Rvd25yZXYueG1sUEsBAhQAFAAAAAgAh07iQI0piqCFAgAA/wQAAA4AAAAA&#10;AAAAAQAgAAAAJAEAAGRycy9lMm9Eb2MueG1sUEsFBgAAAAAGAAYAWQEAABsGAAAAAA==&#10;">
                  <v:fill on="f" focussize="0,0"/>
                  <v:stroke weight="1pt" color="#FF0000 [3204]" opacity="0f" miterlimit="8" joinstyle="miter" dashstyle="dashDot"/>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消耗5200</w:t>
                        </w:r>
                      </w:p>
                    </w:txbxContent>
                  </v:textbox>
                </v:rect>
                <v:shape id="_x0000_s1026" o:spid="_x0000_s1026" o:spt="32" type="#_x0000_t32" style="position:absolute;left:1494790;top:352425;flip:y;height:219710;width:136525;" filled="f" stroked="t" coordsize="21600,21600" o:gfxdata="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MsLOTWAAAABQEAAA8AAAAAAAAAAQAgAAAAIgAAAGRy&#10;cy9kb3ducmV2LnhtbFBLAQIUABQAAAAIAIdO4kDnCJNrQAIAAFEEAAAOAAAAAAAAAAEAIAAAACUB&#10;AABkcnMvZTJvRG9jLnhtbFBLBQYAAAAABgAGAFkBAADXBQAAAAA=&#10;">
                  <v:fill on="f" focussize="0,0"/>
                  <v:stroke weight="0.5pt" color="#000000 [3200]" miterlimit="8" joinstyle="miter" endarrow="open"/>
                  <v:imagedata o:title=""/>
                  <o:lock v:ext="edit" aspectratio="f"/>
                </v:shape>
                <v:shape id="_x0000_s1026" o:spid="_x0000_s1026" o:spt="32" type="#_x0000_t32" style="position:absolute;left:1961515;top:748665;height:3175;width:682625;" filled="f" stroked="t" coordsize="21600,21600" o:gfxdata="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ydwA9YAAAAFAQAADwAAAAAAAAABACAAAAAiAAAAZHJzL2Rvd25y&#10;ZXYueG1sUEsBAhQAFAAAAAgAh07iQJpRBDs5AgAARQQAAA4AAAAAAAAAAQAgAAAAJQEAAGRycy9l&#10;Mm9Eb2MueG1sUEsFBgAAAAAGAAYAWQEAANAFAAAAAA==&#10;">
                  <v:fill on="f" focussize="0,0"/>
                  <v:stroke weight="0.5pt" color="#000000 [3200]" miterlimit="8" joinstyle="miter" endarrow="open"/>
                  <v:imagedata o:title=""/>
                  <o:lock v:ext="edit" aspectratio="f"/>
                </v:shape>
                <v:shape id="_x0000_s1026" o:spid="_x0000_s1026" o:spt="32" type="#_x0000_t32" style="position:absolute;left:3796030;top:751205;flip:y;height:635;width:429895;" filled="f" stroked="t" coordsize="21600,21600" o:gfxdata="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yws5NYAAAAFAQAADwAAAAAAAAABACAAAAAiAAAAZHJzL2Rv&#10;d25yZXYueG1sUEsBAhQAFAAAAAgAh07iQIiRDRw8AgAATgQAAA4AAAAAAAAAAQAgAAAAJQEAAGRy&#10;cy9lMm9Eb2MueG1sUEsFBgAAAAAGAAYAWQEAANMFAAAAAA==&#10;">
                  <v:fill on="f" focussize="0,0"/>
                  <v:stroke weight="0.5pt" color="#000000 [3200]" miterlimit="8" joinstyle="miter" endarrow="open"/>
                  <v:imagedata o:title=""/>
                  <o:lock v:ext="edit" aspectratio="f"/>
                </v:shape>
                <w10:wrap type="none"/>
                <w10:anchorlock/>
              </v:group>
            </w:pict>
          </mc:Fallback>
        </mc:AlternateContent>
      </w:r>
    </w:p>
    <w:p>
      <w:pPr>
        <w:keepNext w:val="0"/>
        <w:keepLines w:val="0"/>
        <w:pageBreakBefore w:val="0"/>
        <w:kinsoku/>
        <w:wordWrap/>
        <w:bidi w:val="0"/>
        <w:spacing w:line="360" w:lineRule="auto"/>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图</w:t>
      </w:r>
      <w:r>
        <w:rPr>
          <w:rFonts w:hint="default" w:ascii="Times New Roman" w:hAnsi="Times New Roman" w:eastAsia="宋体" w:cs="Times New Roman"/>
          <w:b/>
          <w:bCs w:val="0"/>
          <w:color w:val="000000" w:themeColor="text1"/>
          <w:szCs w:val="21"/>
          <w:highlight w:val="none"/>
          <w:lang w:eastAsia="zh-CN"/>
          <w14:textFill>
            <w14:solidFill>
              <w14:schemeClr w14:val="tx1"/>
            </w14:solidFill>
          </w14:textFill>
        </w:rPr>
        <w:t>3.2</w:t>
      </w:r>
      <w:r>
        <w:rPr>
          <w:rFonts w:hint="default" w:ascii="Times New Roman" w:hAnsi="Times New Roman" w:eastAsia="宋体" w:cs="Times New Roman"/>
          <w:b/>
          <w:bCs w:val="0"/>
          <w:color w:val="000000" w:themeColor="text1"/>
          <w:szCs w:val="21"/>
          <w:highlight w:val="none"/>
          <w14:textFill>
            <w14:solidFill>
              <w14:schemeClr w14:val="tx1"/>
            </w14:solidFill>
          </w14:textFill>
        </w:rPr>
        <w:t>-</w:t>
      </w:r>
      <w:r>
        <w:rPr>
          <w:rFonts w:hint="default" w:ascii="Times New Roman" w:hAnsi="Times New Roman" w:eastAsia="宋体" w:cs="Times New Roman"/>
          <w:b/>
          <w:bCs w:val="0"/>
          <w:color w:val="000000" w:themeColor="text1"/>
          <w:szCs w:val="21"/>
          <w:highlight w:val="none"/>
          <w:lang w:val="en-US" w:eastAsia="zh-CN"/>
          <w14:textFill>
            <w14:solidFill>
              <w14:schemeClr w14:val="tx1"/>
            </w14:solidFill>
          </w14:textFill>
        </w:rPr>
        <w:t>6</w:t>
      </w:r>
      <w:r>
        <w:rPr>
          <w:rFonts w:hint="default" w:ascii="Times New Roman" w:hAnsi="Times New Roman" w:eastAsia="宋体" w:cs="Times New Roman"/>
          <w:b/>
          <w:bCs w:val="0"/>
          <w:color w:val="000000" w:themeColor="text1"/>
          <w:szCs w:val="21"/>
          <w:highlight w:val="none"/>
          <w14:textFill>
            <w14:solidFill>
              <w14:schemeClr w14:val="tx1"/>
            </w14:solidFill>
          </w14:textFill>
        </w:rPr>
        <w:t xml:space="preserve">  本项目水平衡图（m</w:t>
      </w:r>
      <w:r>
        <w:rPr>
          <w:rFonts w:hint="default" w:ascii="Times New Roman" w:hAnsi="Times New Roman" w:eastAsia="宋体" w:cs="Times New Roman"/>
          <w:b/>
          <w:bCs w:val="0"/>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Cs w:val="21"/>
          <w:highlight w:val="none"/>
          <w14:textFill>
            <w14:solidFill>
              <w14:schemeClr w14:val="tx1"/>
            </w14:solidFill>
          </w14:textFill>
        </w:rPr>
        <w:t>/a）</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3.2.3.3噪声</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本项目噪声污染主要来自各类机械设备运行时产生的噪声，噪声值范围在 65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4"/>
          <w:szCs w:val="24"/>
          <w:highlight w:val="none"/>
          <w14:textFill>
            <w14:solidFill>
              <w14:schemeClr w14:val="tx1"/>
            </w14:solidFill>
          </w14:textFill>
        </w:rPr>
        <w:t>dB(A)，主要噪声源及其噪声值见下表。</w: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表3.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 xml:space="preserve">2-10   </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主要噪声源及其源强一览表</w:t>
      </w:r>
    </w:p>
    <w:tbl>
      <w:tblPr>
        <w:tblStyle w:val="30"/>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94"/>
        <w:gridCol w:w="3455"/>
        <w:gridCol w:w="854"/>
        <w:gridCol w:w="1607"/>
        <w:gridCol w:w="1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top w:val="single" w:color="000000" w:sz="8" w:space="0"/>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t>序号</w:t>
            </w:r>
          </w:p>
        </w:tc>
        <w:tc>
          <w:tcPr>
            <w:tcW w:w="2075"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设备名称</w:t>
            </w:r>
          </w:p>
        </w:tc>
        <w:tc>
          <w:tcPr>
            <w:tcW w:w="513"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数量</w:t>
            </w:r>
          </w:p>
        </w:tc>
        <w:tc>
          <w:tcPr>
            <w:tcW w:w="965" w:type="pct"/>
            <w:tcBorders>
              <w:top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u w:val="none" w:color="auto"/>
                <w14:textFill>
                  <w14:solidFill>
                    <w14:schemeClr w14:val="tx1"/>
                  </w14:solidFill>
                </w14:textFill>
              </w:rPr>
              <w:t>源强dB(A)</w:t>
            </w:r>
          </w:p>
        </w:tc>
        <w:tc>
          <w:tcPr>
            <w:tcW w:w="968" w:type="pct"/>
            <w:tcBorders>
              <w:top w:val="single" w:color="000000" w:sz="8" w:space="0"/>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1</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t>混胶机</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6</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75</w:t>
            </w:r>
          </w:p>
        </w:tc>
        <w:tc>
          <w:tcPr>
            <w:tcW w:w="968" w:type="pct"/>
            <w:vMerge w:val="restart"/>
            <w:tcBorders>
              <w:bottom w:val="nil"/>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t>厂房隔声、加</w:t>
            </w:r>
            <w:r>
              <w:rPr>
                <w:rFonts w:hint="default" w:ascii="Times New Roman" w:hAnsi="Times New Roman" w:eastAsia="宋体" w:cs="Times New Roman"/>
                <w:color w:val="000000" w:themeColor="text1"/>
                <w:spacing w:val="-4"/>
                <w:sz w:val="21"/>
                <w:szCs w:val="21"/>
                <w:highlight w:val="none"/>
                <w:u w:val="none" w:color="auto"/>
                <w14:textFill>
                  <w14:solidFill>
                    <w14:schemeClr w14:val="tx1"/>
                  </w14:solidFill>
                </w14:textFill>
              </w:rPr>
              <w:t>设隔音设施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2</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t>粘接机</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4</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75</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3</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喷砂机</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1</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70-80</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4</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打磨机</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6</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t>65~85</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5</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切割机</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6</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65~85</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6</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翻转机</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8</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t>65~75</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7</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水泵</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14:textFill>
                  <w14:solidFill>
                    <w14:schemeClr w14:val="tx1"/>
                  </w14:solidFill>
                </w14:textFill>
              </w:rPr>
              <w:t>6</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70-85</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77" w:type="pct"/>
            <w:tcBorders>
              <w:lef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8</w:t>
            </w:r>
          </w:p>
        </w:tc>
        <w:tc>
          <w:tcPr>
            <w:tcW w:w="2075"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t>电动叉车</w:t>
            </w:r>
          </w:p>
        </w:tc>
        <w:tc>
          <w:tcPr>
            <w:tcW w:w="513" w:type="pct"/>
            <w:noWrap w:val="0"/>
            <w:vAlign w:val="center"/>
          </w:tcPr>
          <w:p>
            <w:pPr>
              <w:keepNext w:val="0"/>
              <w:keepLines w:val="0"/>
              <w:pageBreakBefore w:val="0"/>
              <w:widowControl/>
              <w:suppressLineNumbers w:val="0"/>
              <w:kinsoku/>
              <w:wordWrap/>
              <w:overflowPunct w:val="0"/>
              <w:topLinePunct w:val="0"/>
              <w:autoSpaceDE w:val="0"/>
              <w:autoSpaceDN w:val="0"/>
              <w:bidi w:val="0"/>
              <w:adjustRightInd/>
              <w:snapToGrid/>
              <w:spacing w:line="240" w:lineRule="auto"/>
              <w:ind w:left="0" w:right="0" w:firstLine="0"/>
              <w:jc w:val="center"/>
              <w:textAlignment w:val="bottom"/>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14:textFill>
                  <w14:solidFill>
                    <w14:schemeClr w14:val="tx1"/>
                  </w14:solidFill>
                </w14:textFill>
              </w:rPr>
              <w:t>4</w:t>
            </w:r>
          </w:p>
        </w:tc>
        <w:tc>
          <w:tcPr>
            <w:tcW w:w="965"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14:textFill>
                  <w14:solidFill>
                    <w14:schemeClr w14:val="tx1"/>
                  </w14:solidFill>
                </w14:textFill>
              </w:rPr>
              <w:t>65~75</w:t>
            </w:r>
          </w:p>
        </w:tc>
        <w:tc>
          <w:tcPr>
            <w:tcW w:w="968" w:type="pct"/>
            <w:vMerge w:val="continue"/>
            <w:tcBorders>
              <w:right w:val="single" w:color="000000" w:sz="8"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jc w:val="center"/>
              <w:rPr>
                <w:rFonts w:hint="default" w:ascii="Times New Roman" w:hAnsi="Times New Roman" w:eastAsia="宋体" w:cs="Times New Roman"/>
                <w:color w:val="000000" w:themeColor="text1"/>
                <w:spacing w:val="-3"/>
                <w:sz w:val="21"/>
                <w:szCs w:val="21"/>
                <w:highlight w:val="none"/>
                <w:u w:val="none" w:color="auto"/>
                <w14:textFill>
                  <w14:solidFill>
                    <w14:schemeClr w14:val="tx1"/>
                  </w14:solidFill>
                </w14:textFill>
              </w:rPr>
            </w:pP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highlight w:val="none"/>
          <w:lang w:val="en-US" w:eastAsia="zh-CN"/>
          <w14:textFill>
            <w14:solidFill>
              <w14:schemeClr w14:val="tx1"/>
            </w14:solidFill>
          </w14:textFill>
        </w:rPr>
        <w:t>3.2.3.4固体废物</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56"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（1）生活垃圾</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524"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本项目员工人数为</w:t>
      </w:r>
      <w:r>
        <w:rPr>
          <w:rFonts w:hint="default" w:ascii="Times New Roman" w:hAnsi="Times New Roman" w:eastAsia="宋体" w:cs="Times New Roman"/>
          <w:color w:val="000000" w:themeColor="text1"/>
          <w:spacing w:val="1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00人，生活垃圾产生量按1.0kg/d•人计，则产生量为</w:t>
      </w:r>
      <w:r>
        <w:rPr>
          <w:rFonts w:hint="default" w:ascii="Times New Roman" w:hAnsi="Times New Roman" w:eastAsia="宋体" w:cs="Times New Roman"/>
          <w:color w:val="000000" w:themeColor="text1"/>
          <w:spacing w:val="24"/>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t/d（</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260</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t/a</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统一交由环卫部门处置。</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52" w:firstLineChars="200"/>
        <w:jc w:val="both"/>
        <w:textAlignment w:val="baseline"/>
        <w:outlineLvl w:val="9"/>
        <w:rPr>
          <w:rFonts w:hint="default" w:ascii="Times New Roman" w:hAnsi="Times New Roman" w:eastAsia="宋体" w:cs="Times New Roman"/>
          <w:color w:val="000000" w:themeColor="text1"/>
          <w:spacing w:val="-7"/>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）边角废料</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96" w:firstLineChars="200"/>
        <w:jc w:val="both"/>
        <w:textAlignment w:val="baseline"/>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项目在生产过程中玻璃纤维布剪裁、碳梁加工、铺放密封胶条、脱模布、玻璃纤维布、脱模布、</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修型工序切割废料产生边角料、</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带孔隔离膜</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过程，根据</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建设单位生产经验边角废料年产生量约500t/a，</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切割、</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打磨工序除尘器收集的粉尘</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产生量约</w:t>
      </w:r>
      <w:r>
        <w:rPr>
          <w:rFonts w:hint="default" w:ascii="Times New Roman" w:hAnsi="Times New Roman" w:eastAsia="宋体" w:cs="Times New Roman"/>
          <w:color w:val="000000" w:themeColor="text1"/>
          <w:spacing w:val="7"/>
          <w:sz w:val="24"/>
          <w:szCs w:val="24"/>
          <w:highlight w:val="none"/>
          <w:lang w:val="en-US" w:eastAsia="zh-CN"/>
          <w14:textFill>
            <w14:solidFill>
              <w14:schemeClr w14:val="tx1"/>
            </w14:solidFill>
          </w14:textFill>
        </w:rPr>
        <w:t>5.173</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t/a</w:t>
      </w:r>
      <w:r>
        <w:rPr>
          <w:rFonts w:hint="default" w:ascii="Times New Roman" w:hAnsi="Times New Roman" w:eastAsia="宋体" w:cs="Times New Roman"/>
          <w:color w:val="000000" w:themeColor="text1"/>
          <w:spacing w:val="7"/>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根据《一般固体废物分类与代</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码》（GB/T39198-2020</w:t>
      </w:r>
      <w:r>
        <w:rPr>
          <w:rFonts w:hint="default" w:ascii="Times New Roman" w:hAnsi="Times New Roman" w:eastAsia="宋体" w:cs="Times New Roman"/>
          <w:color w:val="000000" w:themeColor="text1"/>
          <w:spacing w:val="-33"/>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废边角废料（</w:t>
      </w:r>
      <w:r>
        <w:rPr>
          <w:rFonts w:hint="default" w:ascii="Times New Roman" w:hAnsi="Times New Roman" w:eastAsia="宋体" w:cs="Times New Roman"/>
          <w:color w:val="000000" w:themeColor="text1"/>
          <w:spacing w:val="-68"/>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381-001-99</w:t>
      </w:r>
      <w:r>
        <w:rPr>
          <w:rFonts w:hint="default" w:ascii="Times New Roman" w:hAnsi="Times New Roman" w:eastAsia="宋体" w:cs="Times New Roman"/>
          <w:color w:val="000000" w:themeColor="text1"/>
          <w:spacing w:val="-33"/>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分类回收后综合利用</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outlineLvl w:val="9"/>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灌注和固化和脱模过程中完全固化后的边角废料，根据建设单位生产经验</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提供资料，产生量约为300.0t/a，根据《一般固体废物分类与代码》（</w:t>
      </w:r>
      <w:r>
        <w:rPr>
          <w:rFonts w:hint="default" w:ascii="Times New Roman" w:hAnsi="Times New Roman" w:eastAsia="宋体" w:cs="Times New Roman"/>
          <w:color w:val="000000" w:themeColor="text1"/>
          <w:spacing w:val="-55"/>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GB/T</w:t>
      </w:r>
      <w:r>
        <w:rPr>
          <w:rFonts w:hint="default" w:ascii="Times New Roman" w:hAnsi="Times New Roman" w:eastAsia="宋体" w:cs="Times New Roman"/>
          <w:color w:val="000000" w:themeColor="text1"/>
          <w:sz w:val="24"/>
          <w:szCs w:val="24"/>
          <w:highlight w:val="none"/>
          <w14:textFill>
            <w14:solidFill>
              <w14:schemeClr w14:val="tx1"/>
            </w14:solidFill>
          </w14:textFill>
        </w:rPr>
        <w:t>39198-2020</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废料代码（381-001-99</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1"/>
          <w:sz w:val="24"/>
          <w:szCs w:val="24"/>
          <w:highlight w:val="none"/>
          <w:lang w:val="en-US" w:eastAsia="zh-CN"/>
          <w14:textFill>
            <w14:solidFill>
              <w14:schemeClr w14:val="tx1"/>
            </w14:solidFill>
          </w14:textFill>
        </w:rPr>
        <w:t>对一般工业固废均综合利用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按《</w:t>
      </w:r>
      <w:r>
        <w:rPr>
          <w:rFonts w:hint="default" w:ascii="Times New Roman" w:hAnsi="Times New Roman" w:eastAsia="宋体" w:cs="Times New Roman"/>
          <w:color w:val="000000" w:themeColor="text1"/>
          <w:spacing w:val="11"/>
          <w:sz w:val="24"/>
          <w:szCs w:val="24"/>
          <w:highlight w:val="none"/>
          <w:lang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1"/>
          <w:sz w:val="24"/>
          <w:szCs w:val="24"/>
          <w:highlight w:val="none"/>
          <w:lang w:eastAsia="zh-CN"/>
          <w14:textFill>
            <w14:solidFill>
              <w14:schemeClr w14:val="tx1"/>
            </w14:solidFill>
          </w14:textFill>
        </w:rPr>
        <w:t>（GB 18599-2020）</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求在厂区设置固体废物临时储存区，防雨淋，扬尘，地面采用混凝土硬化。</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（4）灌注和固化和脱模过程中产生的固废</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500"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废灌注管（部分沾染未完全固化的树脂料）、废树脂及树脂固化剂（未完</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全固化）、脱模过程中产生的含未固化沾染性废树脂料，根据建设单位生产经</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验提供资料，产生量约为2.0t/a，按《国家危险废物名录》（2021版</w:t>
      </w:r>
      <w:r>
        <w:rPr>
          <w:rFonts w:hint="default" w:ascii="Times New Roman" w:hAnsi="Times New Roman" w:eastAsia="宋体" w:cs="Times New Roman"/>
          <w:color w:val="000000" w:themeColor="text1"/>
          <w:spacing w:val="-74"/>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属危险</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废物HW13有机树脂类废物，废物代码为265-101-13（危险特性T）。经收集后</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暂存于危险废物暂存间，最终交由具有相应资质类别的危险废物处置单位处</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置。</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64"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（5）刮腻子过程中产生的固废</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96"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根据企业提供资料，叶片废腻子及固化剂产生量约2.0t/a；</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砂纸</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产生量约1.35t/a，按《国家危险废物名录》（</w:t>
      </w:r>
      <w:r>
        <w:rPr>
          <w:rFonts w:hint="default" w:ascii="Times New Roman" w:hAnsi="Times New Roman" w:eastAsia="宋体" w:cs="Times New Roman"/>
          <w:color w:val="000000" w:themeColor="text1"/>
          <w:spacing w:val="-68"/>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2021版</w:t>
      </w:r>
      <w:r>
        <w:rPr>
          <w:rFonts w:hint="default" w:ascii="Times New Roman" w:hAnsi="Times New Roman" w:eastAsia="宋体" w:cs="Times New Roman"/>
          <w:color w:val="000000" w:themeColor="text1"/>
          <w:spacing w:val="-6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属危险废物</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HW12染料、涂料废物，废物代码为900-299-12（危险特性T）。经收集后暂存</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于危险废物暂存间，最终交由具有相应资质类别的危险废物处置单位处置。</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6"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（6）辊涂漆、调漆过程</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产生的废</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漆、废漆桶等固废</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504"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根据原辅料使用量及包装规格，本项目沾染性废漆包装桶产生量约60t/a</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（含沾染油漆、油漆稀释剂、油漆固化剂等化学品包装桶量</w:t>
      </w:r>
      <w:r>
        <w:rPr>
          <w:rFonts w:hint="default" w:ascii="Times New Roman" w:hAnsi="Times New Roman" w:eastAsia="宋体" w:cs="Times New Roman"/>
          <w:color w:val="000000" w:themeColor="text1"/>
          <w:spacing w:val="-37"/>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按《国家危险</w:t>
      </w:r>
      <w:r>
        <w:rPr>
          <w:rFonts w:hint="default" w:ascii="Times New Roman" w:hAnsi="Times New Roman" w:eastAsia="宋体" w:cs="Times New Roman"/>
          <w:color w:val="000000" w:themeColor="text1"/>
          <w:sz w:val="24"/>
          <w:szCs w:val="24"/>
          <w:highlight w:val="none"/>
          <w14:textFill>
            <w14:solidFill>
              <w14:schemeClr w14:val="tx1"/>
            </w14:solidFill>
          </w14:textFill>
        </w:rPr>
        <w:t>废物名录》（</w:t>
      </w:r>
      <w:r>
        <w:rPr>
          <w:rFonts w:hint="default" w:ascii="Times New Roman" w:hAnsi="Times New Roman" w:eastAsia="宋体" w:cs="Times New Roman"/>
          <w:color w:val="000000" w:themeColor="text1"/>
          <w:spacing w:val="-6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2021版</w:t>
      </w:r>
      <w:r>
        <w:rPr>
          <w:rFonts w:hint="default" w:ascii="Times New Roman" w:hAnsi="Times New Roman" w:eastAsia="宋体" w:cs="Times New Roman"/>
          <w:color w:val="000000" w:themeColor="text1"/>
          <w:spacing w:val="-48"/>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属危险废物HW49其他废物，废物代码为900-041-49</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（危险特性T/In）。经收集后暂存于危险废物暂存间，最终交由具有相应资质类</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别的危险废物处置单位处置。</w:t>
      </w:r>
    </w:p>
    <w:p>
      <w:pPr>
        <w:keepNext w:val="0"/>
        <w:keepLines w:val="0"/>
        <w:pageBreakBefore w:val="0"/>
        <w:kinsoku/>
        <w:wordWrap/>
        <w:overflowPunct w:val="0"/>
        <w:topLinePunct w:val="0"/>
        <w:bidi w:val="0"/>
        <w:adjustRightInd/>
        <w:snapToGrid/>
        <w:spacing w:line="360" w:lineRule="auto"/>
        <w:ind w:left="0" w:right="0" w:firstLine="476" w:firstLineChars="200"/>
        <w:jc w:val="both"/>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（7）废空压机油、废机油</w:t>
      </w:r>
    </w:p>
    <w:p>
      <w:pPr>
        <w:keepNext w:val="0"/>
        <w:keepLines w:val="0"/>
        <w:pageBreakBefore w:val="0"/>
        <w:kinsoku/>
        <w:wordWrap/>
        <w:overflowPunct w:val="0"/>
        <w:topLinePunct w:val="0"/>
        <w:bidi w:val="0"/>
        <w:adjustRightInd/>
        <w:snapToGrid/>
        <w:spacing w:line="360" w:lineRule="auto"/>
        <w:ind w:left="0" w:right="0" w:firstLine="560" w:firstLineChars="200"/>
        <w:jc w:val="both"/>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0"/>
          <w:sz w:val="24"/>
          <w:szCs w:val="24"/>
          <w:highlight w:val="none"/>
          <w14:textFill>
            <w14:solidFill>
              <w14:schemeClr w14:val="tx1"/>
            </w14:solidFill>
          </w14:textFill>
        </w:rPr>
        <w:t>项目设备使用过程中更换少量的废空压油和机油</w:t>
      </w:r>
      <w:r>
        <w:rPr>
          <w:rFonts w:hint="default" w:ascii="Times New Roman" w:hAnsi="Times New Roman" w:eastAsia="宋体" w:cs="Times New Roman"/>
          <w:color w:val="000000" w:themeColor="text1"/>
          <w:spacing w:val="2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0"/>
          <w:sz w:val="24"/>
          <w:szCs w:val="24"/>
          <w:highlight w:val="none"/>
          <w:lang w:val="en-US" w:eastAsia="zh-CN"/>
          <w14:textFill>
            <w14:solidFill>
              <w14:schemeClr w14:val="tx1"/>
            </w14:solidFill>
          </w14:textFill>
        </w:rPr>
        <w:t>年用量</w:t>
      </w:r>
      <w:r>
        <w:rPr>
          <w:rFonts w:hint="default" w:ascii="Times New Roman" w:hAnsi="Times New Roman" w:eastAsia="宋体" w:cs="Times New Roman"/>
          <w:color w:val="000000" w:themeColor="text1"/>
          <w:spacing w:val="20"/>
          <w:sz w:val="24"/>
          <w:szCs w:val="24"/>
          <w:highlight w:val="none"/>
          <w14:textFill>
            <w14:solidFill>
              <w14:schemeClr w14:val="tx1"/>
            </w14:solidFill>
          </w14:textFill>
        </w:rPr>
        <w:t>为</w:t>
      </w:r>
      <w:r>
        <w:rPr>
          <w:rFonts w:hint="default" w:ascii="Times New Roman" w:hAnsi="Times New Roman" w:eastAsia="宋体" w:cs="Times New Roman"/>
          <w:color w:val="000000" w:themeColor="text1"/>
          <w:spacing w:val="2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.5t/a，根据业主提供资料及同类型行业参考可知，废油产生量</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以</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年用量</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最大量</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%，则废空压机和废机油产生量约为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1.35</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t/a，对照</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《国家危险废物名录》（</w:t>
      </w:r>
      <w:r>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2021</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版</w:t>
      </w:r>
      <w:r>
        <w:rPr>
          <w:rFonts w:hint="default" w:ascii="Times New Roman" w:hAnsi="Times New Roman" w:eastAsia="宋体" w:cs="Times New Roman"/>
          <w:color w:val="000000" w:themeColor="text1"/>
          <w:spacing w:val="-5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属危险废物HW08废矿物油与含矿物油废</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物，废物代码为900-214-08（危险特性T，I）。经收集后暂存于危险废物暂存</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间，最终交由具有相应资质类别的危险废物处置单位处置。</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废活性炭</w:t>
      </w:r>
    </w:p>
    <w:p>
      <w:pPr>
        <w:pStyle w:val="52"/>
        <w:keepNext w:val="0"/>
        <w:keepLines w:val="0"/>
        <w:pageBreakBefore w:val="0"/>
        <w:kinsoku/>
        <w:wordWrap/>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废活性炭属于《国家危险废物名录（2021版）》中HW49其他废物（900-039-49）烟气、VOCs治理过程（不包括餐饮行业油烟治理过程）产生的废活性炭。</w:t>
      </w:r>
    </w:p>
    <w:p>
      <w:pPr>
        <w:pStyle w:val="52"/>
        <w:keepNext w:val="0"/>
        <w:keepLines w:val="0"/>
        <w:pageBreakBefore w:val="0"/>
        <w:kinsoku/>
        <w:wordWrap/>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本项目活性炭吸附后经脱附继续循环使用，活性炭使用寿命2000到2500小时，每1年更换一次即可。700碘值的活性炭约310千克/立方，装置活性炭装填量约11.9m</w:t>
      </w:r>
      <w:r>
        <w:rPr>
          <w:rFonts w:hint="default" w:ascii="Times New Roman" w:hAnsi="Times New Roman" w:eastAsia="宋体" w:cs="Times New Roman"/>
          <w:snapToGrid/>
          <w:color w:val="000000" w:themeColor="text1"/>
          <w:kern w:val="2"/>
          <w:sz w:val="24"/>
          <w:szCs w:val="22"/>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（3.689t），则废活性炭产生量约为3.689t/a。</w:t>
      </w:r>
    </w:p>
    <w:p>
      <w:pPr>
        <w:pStyle w:val="52"/>
        <w:keepNext w:val="0"/>
        <w:keepLines w:val="0"/>
        <w:pageBreakBefore w:val="0"/>
        <w:kinsoku/>
        <w:wordWrap/>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危废暂存间有机废气处理过程中产生的废活性炭根据《简明通风设计手册》中活性炭吸附量经验值0.4kg/kg活性炭来估算，危废间活性炭吸附装置去除有机废气量为0.059×18%=0.011t/a，本项目预计年需要使用活性炭为27.5kg/a，则本项目产生废活性炭约为0.039t/a（含吸附的有机废气量11kg/a）。</w:t>
      </w:r>
    </w:p>
    <w:p>
      <w:pPr>
        <w:pStyle w:val="52"/>
        <w:keepNext w:val="0"/>
        <w:keepLines w:val="0"/>
        <w:pageBreakBefore w:val="0"/>
        <w:kinsoku/>
        <w:wordWrap/>
        <w:topLinePunct w:val="0"/>
        <w:autoSpaceDE/>
        <w:autoSpaceDN/>
        <w:bidi w:val="0"/>
        <w:adjustRightInd/>
        <w:snapToGrid/>
        <w:spacing w:line="360" w:lineRule="auto"/>
        <w:ind w:left="0" w:right="0" w:firstLine="480" w:firstLineChars="200"/>
        <w:jc w:val="both"/>
        <w:textAlignment w:val="auto"/>
        <w:outlineLvl w:val="9"/>
        <w:rPr>
          <w:rFonts w:hint="default" w:ascii="Times New Roman" w:hAnsi="Times New Roman" w:eastAsia="宋体" w:cs="Times New Roman"/>
          <w:color w:val="000000" w:themeColor="text1"/>
          <w:sz w:val="24"/>
          <w:szCs w:val="24"/>
          <w:highlight w:val="none"/>
          <w:u w:val="none" w:color="auto"/>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本项目废活性炭产生量合计为3.728t/a，</w:t>
      </w:r>
      <w:r>
        <w:rPr>
          <w:rFonts w:hint="default" w:ascii="Times New Roman" w:hAnsi="Times New Roman" w:eastAsia="宋体" w:cs="Times New Roman"/>
          <w:color w:val="000000" w:themeColor="text1"/>
          <w:spacing w:val="-3"/>
          <w:sz w:val="24"/>
          <w:szCs w:val="24"/>
          <w:highlight w:val="none"/>
          <w:u w:val="none" w:color="auto"/>
          <w14:textFill>
            <w14:solidFill>
              <w14:schemeClr w14:val="tx1"/>
            </w14:solidFill>
          </w14:textFill>
        </w:rPr>
        <w:t>经收集后暂存于危险废物暂存间，最终交由具有相</w:t>
      </w:r>
      <w:r>
        <w:rPr>
          <w:rFonts w:hint="default" w:ascii="Times New Roman" w:hAnsi="Times New Roman" w:eastAsia="宋体" w:cs="Times New Roman"/>
          <w:color w:val="000000" w:themeColor="text1"/>
          <w:spacing w:val="-10"/>
          <w:sz w:val="24"/>
          <w:szCs w:val="24"/>
          <w:highlight w:val="none"/>
          <w:u w:val="none" w:color="auto"/>
          <w14:textFill>
            <w14:solidFill>
              <w14:schemeClr w14:val="tx1"/>
            </w14:solidFill>
          </w14:textFill>
        </w:rPr>
        <w:t>应资质类别的危险废物处置单位处置。</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（9）废铅蓄电池</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电力叉车在使用过程总更换铅蓄电池，更换后的废铅蓄电池属于危险废物，重约2.0t。对照《国家危险废物名录》（2021版），属危险废物HW31含铅废物，废物代码为900-052-</w:t>
      </w: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31（危险特性T，C）。经收集后暂存于危险废物暂存间，最终交由具有相应资质类别的危险废物处置单位处置。</w:t>
      </w:r>
    </w:p>
    <w:p>
      <w:pPr>
        <w:keepNext w:val="0"/>
        <w:keepLines w:val="0"/>
        <w:pageBreakBefore w:val="0"/>
        <w:kinsoku/>
        <w:wordWrap/>
        <w:overflowPunct w:val="0"/>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（10）包装废料</w:t>
      </w:r>
    </w:p>
    <w:p>
      <w:pPr>
        <w:keepNext w:val="0"/>
        <w:keepLines w:val="0"/>
        <w:pageBreakBefore w:val="0"/>
        <w:kinsoku/>
        <w:wordWrap/>
        <w:overflowPunct w:val="0"/>
        <w:topLinePunct w:val="0"/>
        <w:bidi w:val="0"/>
        <w:adjustRightInd/>
        <w:snapToGrid/>
        <w:spacing w:line="360" w:lineRule="auto"/>
        <w:ind w:left="0" w:right="0" w:firstLine="480" w:firstLineChars="200"/>
        <w:jc w:val="both"/>
        <w:outlineLvl w:val="9"/>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bidi="ar-SA"/>
          <w14:textFill>
            <w14:solidFill>
              <w14:schemeClr w14:val="tx1"/>
            </w14:solidFill>
          </w14:textFill>
        </w:rPr>
        <w:t>项目在生产过程中产生包装废料，根据建设单位生产经验包装废料年产生量约100t/a，根据《一般固体废物分类与代码》（GB/T39198-2020），固废代码为（381-001-07），分类回收后综合利用。</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（11）废催化剂</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废气治理工艺中用于催化燃烧的催化剂以贵金属Pt、Pd作为载体的催化剂，催化剂使用寿命8000小时到8500，每4年更换一次即可。更换后的废催化剂属于危险废物，重约0.3m</w:t>
      </w:r>
      <w:r>
        <w:rPr>
          <w:rFonts w:hint="default" w:ascii="Times New Roman" w:hAnsi="Times New Roman" w:eastAsia="宋体" w:cs="Times New Roman"/>
          <w:snapToGrid/>
          <w:color w:val="000000" w:themeColor="text1"/>
          <w:kern w:val="2"/>
          <w:sz w:val="24"/>
          <w:szCs w:val="22"/>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snapToGrid/>
          <w:color w:val="000000" w:themeColor="text1"/>
          <w:kern w:val="2"/>
          <w:sz w:val="24"/>
          <w:szCs w:val="22"/>
          <w:highlight w:val="none"/>
          <w:vertAlign w:val="baseline"/>
          <w:lang w:val="en-US" w:eastAsia="zh-CN" w:bidi="ar-SA"/>
          <w14:textFill>
            <w14:solidFill>
              <w14:schemeClr w14:val="tx1"/>
            </w14:solidFill>
          </w14:textFill>
        </w:rPr>
        <w:t>/4a</w:t>
      </w: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对照《国家危险废物名录》（2021版），属危险废物HW49其他废物，环境事件及其处理过程中产生的沾染危险化学品、危险废物的废物，废物代码为900-042-49（危险特性T/C/I/R/In）。经收集后暂存于危险废物暂存间，最终交由具有相应资质类别的危险废物处置单位处置。</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outlineLvl w:val="9"/>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4"/>
          <w:szCs w:val="22"/>
          <w:highlight w:val="none"/>
          <w:lang w:val="en-US" w:eastAsia="zh-CN" w:bidi="ar-SA"/>
          <w14:textFill>
            <w14:solidFill>
              <w14:schemeClr w14:val="tx1"/>
            </w14:solidFill>
          </w14:textFill>
        </w:rPr>
        <w:t>本项目固体废物产排情况具体见下表。</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表3.2-11   项目固体废物产生与处置情况</w:t>
      </w:r>
    </w:p>
    <w:tbl>
      <w:tblPr>
        <w:tblStyle w:val="30"/>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2640"/>
        <w:gridCol w:w="615"/>
        <w:gridCol w:w="480"/>
        <w:gridCol w:w="630"/>
        <w:gridCol w:w="1185"/>
        <w:gridCol w:w="870"/>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性质</w:t>
            </w: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固废名称</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产生工序</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形态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类别</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代码</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产生量t/a</w:t>
            </w:r>
          </w:p>
        </w:tc>
        <w:tc>
          <w:tcPr>
            <w:tcW w:w="131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垃圾</w:t>
            </w: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员工</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260</w:t>
            </w:r>
          </w:p>
        </w:tc>
        <w:tc>
          <w:tcPr>
            <w:tcW w:w="131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交由市政环卫部门处置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一般工业固废</w:t>
            </w: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收集尘</w:t>
            </w:r>
          </w:p>
        </w:tc>
        <w:tc>
          <w:tcPr>
            <w:tcW w:w="615"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过程</w:t>
            </w:r>
          </w:p>
        </w:tc>
        <w:tc>
          <w:tcPr>
            <w:tcW w:w="480"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-66</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5.173</w:t>
            </w:r>
          </w:p>
        </w:tc>
        <w:tc>
          <w:tcPr>
            <w:tcW w:w="1313"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w:t>
            </w:r>
            <w:r>
              <w:rPr>
                <w:rFonts w:hint="default" w:ascii="Times New Roman" w:hAnsi="Times New Roman" w:eastAsia="宋体" w:cs="Times New Roman"/>
                <w:color w:val="000000" w:themeColor="text1"/>
                <w:sz w:val="21"/>
                <w:szCs w:val="21"/>
                <w:highlight w:val="none"/>
                <w14:textFill>
                  <w14:solidFill>
                    <w14:schemeClr w14:val="tx1"/>
                  </w14:solidFill>
                </w14:textFill>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边角废料</w:t>
            </w:r>
          </w:p>
        </w:tc>
        <w:tc>
          <w:tcPr>
            <w:tcW w:w="61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0"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0"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99</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800</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包装废料</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生产过程</w:t>
            </w:r>
          </w:p>
        </w:tc>
        <w:tc>
          <w:tcPr>
            <w:tcW w:w="480"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630"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w:t>
            </w: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废灌注管（部分沾染未完全固化的树脂料）、废树脂及树脂固化剂（未完全固化）、脱模过程中产生的含未固化沾染性废树脂料</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生产过程</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HW13</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265-101-13</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313"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分类</w:t>
            </w:r>
            <w:r>
              <w:rPr>
                <w:rFonts w:hint="default" w:ascii="Times New Roman" w:hAnsi="Times New Roman" w:eastAsia="宋体" w:cs="Times New Roman"/>
                <w:color w:val="000000" w:themeColor="text1"/>
                <w:sz w:val="21"/>
                <w:szCs w:val="21"/>
                <w:highlight w:val="none"/>
                <w14:textFill>
                  <w14:solidFill>
                    <w14:schemeClr w14:val="tx1"/>
                  </w14:solidFill>
                </w14:textFill>
              </w:rPr>
              <w:t>收集后交由有资质的单位处理处置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废腻子及固化剂</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过程</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HW12</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900-299- 12</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砂纸</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过程</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HW12</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900-299- 12</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1.35</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废漆、废辊筒、</w:t>
            </w:r>
            <w:r>
              <w:rPr>
                <w:rFonts w:hint="default" w:ascii="Times New Roman" w:hAnsi="Times New Roman" w:eastAsia="宋体" w:cs="Times New Roman"/>
                <w:color w:val="000000" w:themeColor="text1"/>
                <w:sz w:val="21"/>
                <w:szCs w:val="21"/>
                <w:highlight w:val="none"/>
                <w14:textFill>
                  <w14:solidFill>
                    <w14:schemeClr w14:val="tx1"/>
                  </w14:solidFill>
                </w14:textFill>
              </w:rPr>
              <w:t>废漆桶</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过程</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900-041-49</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废空压油、废机油</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过程</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液态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HW08</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900-214-08</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废铅蓄电池</w:t>
            </w:r>
          </w:p>
        </w:tc>
        <w:tc>
          <w:tcPr>
            <w:tcW w:w="61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过程</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HW31</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900-052-31</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615"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废气治理</w:t>
            </w: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900-039-49</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3.728</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44"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4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p>
        </w:tc>
        <w:tc>
          <w:tcPr>
            <w:tcW w:w="61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3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11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900-042-49</w:t>
            </w:r>
          </w:p>
        </w:tc>
        <w:tc>
          <w:tcPr>
            <w:tcW w:w="87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/4a</w:t>
            </w:r>
          </w:p>
        </w:tc>
        <w:tc>
          <w:tcPr>
            <w:tcW w:w="131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16" w:name="_Toc22833"/>
      <w:bookmarkStart w:id="117" w:name="_Toc20604"/>
      <w:bookmarkStart w:id="118" w:name="_Toc28794"/>
      <w:bookmarkStart w:id="119" w:name="_Toc5025"/>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3.3总量控制</w:t>
      </w:r>
      <w:bookmarkEnd w:id="116"/>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t>本项目生活污水排入园区下水管网。结合本工程污染特征因子，确定出总量控制因子：VOCs、颗粒物。</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t>根据污染源强计算结果，VOCs</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排放量为：8.746t/a，颗粒物排放量为：0.634t/a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t>本工程总量指标由建设单位向当地生态环境主管部门申请。总量指标由当地总量指标中调剂解决，本项目总量控制指标替代来源可满足。</w:t>
      </w:r>
    </w:p>
    <w:bookmarkEnd w:id="117"/>
    <w:bookmarkEnd w:id="118"/>
    <w:bookmarkEnd w:id="119"/>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120" w:name="_Toc24012"/>
      <w:bookmarkStart w:id="121" w:name="_Toc2173"/>
      <w:bookmarkStart w:id="122" w:name="_Toc22900"/>
      <w:bookmarkStart w:id="123" w:name="_Toc21189"/>
      <w:r>
        <w:rPr>
          <w:rFonts w:hint="default" w:ascii="Times New Roman" w:hAnsi="Times New Roman" w:eastAsia="宋体" w:cs="Times New Roman"/>
          <w:color w:val="000000" w:themeColor="text1"/>
          <w:sz w:val="30"/>
          <w:szCs w:val="30"/>
          <w:highlight w:val="none"/>
          <w14:textFill>
            <w14:solidFill>
              <w14:schemeClr w14:val="tx1"/>
            </w14:solidFill>
          </w14:textFill>
        </w:rPr>
        <w:t>4  环境现状调查与评价</w:t>
      </w:r>
      <w:bookmarkEnd w:id="120"/>
      <w:bookmarkEnd w:id="121"/>
      <w:bookmarkEnd w:id="122"/>
      <w:bookmarkEnd w:id="123"/>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24" w:name="_Toc3848"/>
      <w:bookmarkStart w:id="125" w:name="_Toc29544"/>
      <w:bookmarkStart w:id="126" w:name="_Toc3821"/>
      <w:bookmarkStart w:id="127" w:name="_Toc28385"/>
      <w:bookmarkStart w:id="128" w:name="_Toc14135"/>
      <w:r>
        <w:rPr>
          <w:rFonts w:hint="default" w:ascii="Times New Roman" w:hAnsi="Times New Roman" w:eastAsia="宋体" w:cs="Times New Roman"/>
          <w:color w:val="000000" w:themeColor="text1"/>
          <w:sz w:val="24"/>
          <w:szCs w:val="24"/>
          <w:highlight w:val="none"/>
          <w14:textFill>
            <w14:solidFill>
              <w14:schemeClr w14:val="tx1"/>
            </w14:solidFill>
          </w14:textFill>
        </w:rPr>
        <w:t>4.1自然环境现状调查与评价</w:t>
      </w:r>
      <w:bookmarkEnd w:id="124"/>
      <w:bookmarkEnd w:id="125"/>
      <w:bookmarkEnd w:id="126"/>
      <w:bookmarkEnd w:id="127"/>
      <w:bookmarkEnd w:id="128"/>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4.1.1地理位置</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哈萨克自治县，位于新疆维吾尔自治区首府乌鲁木齐市东270千米处，地处天山东段北麓，准格尔盆地东南缘，跨东经89°56′～92°16′，北纬43°14′～45°16′，东与巴里坤哈萨克自治县、哈密市为邻，西与奇台毗邻，南与鄯善县隔山相望，北与蒙古国接壤，国界线长约150公里。南北最大长度为198公里，东西最大宽度为138公里，总面积为22171平方公里。</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2013年，木垒哈萨克自治县辖3个镇（木垒镇、西吉尔镇、东城镇），7个乡（英格堡乡、照壁山乡、新户乡、雀仁乡、白杨河乡、大石头乡、博斯坦乡），1个民族乡（大南沟乌孜别克族乡）。境内有：良种繁育场、克热克库都克牧场。县人民政府驻木垒镇。</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4.1.2地形、地貌</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哈萨克自治县地处阿尔泰构造带，博格达构造带和准噶尔地块交汇处，在不同构造的作用下，形成了山地、山前丘陵、平原戈壁和沙漠等地貌类型。木垒哈萨克自治县在与巴里坤县之间有240公里的荒漠地带，人烟稀少，基本无人为耕种，是天然的病虫传播屏障，木垒县三面环山，南部博格达山海拔2500～5000米，北部北塔山和大小哈甫提克山海拔1500～2000米，东部蒙罗克山和青居吕山海拔1500～2000米，中部是霍景湟期辛沙漠海拔700～1000米，成为南北东三面高，中部低的半壁盆地，山势由西向东逐渐降低，盆地由东向西倾斜，在地貌上可分为山地、丘、平原、沙漠四个不同单元。</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水资源</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木垒县境内水资源较为丰富。主要有六条河流：英格堡、水磨河、东城河、木垒河、博斯坦河。均属山溪性河流，发源于天山山脉博格达北坡。另有16条泉水沟。</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截至2014年5月，木垒哈萨克自治县河流地面水年径流量1.342万立方米，地下水动储量为4515立方米。全县水资源总量为16790.68万立方米，全县有6条河流、17条泉水沟、127眼泉眼。地表水总径流量为10342万立方米，其中：6条河流年径流量为8562.3万立方米，16条泉水沟年径流量约为1224万立方米，127个泉眼年径流量995.8万立方米。多年平均引水量为5622.3万立方米，平原区地下水补给量为9254.16万立方米/a，可开采量6448.68万立方米/a。全县地下水总资源量为4515万立方米，年均开采量2786万立方米，人均实际可利用水资源1170 立方米。全县拥有9座拦蓄水库，其中：中型水库1座，即龙王庙水库；小（I）型水库6座，即：英格堡水库、西吉尔水库、东城水库、博斯坦水库、白杨河水库、大石头水库；小（II）型水库2座，即：七个城子水库、乌宗布拉克水库，总设计蓄水库容3383万立方米。全县共有各类渠道2102千米，已防渗1414千米。其中：干渠总长195千米，支渠总长353千米，斗渠总长509千米，农渠总长1045千米。全县有蓄水塘坝23座，坎儿井19道，配套井423眼。</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4.1.4气候与气象</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哈萨克自治县地处北疆温带荒漠，具有明显的干旱大陆性气候特征，年平均气温5～6℃，大于10℃有效积温2600℃，气温的日较差较大，年较差较小。年均降294.9毫米，降水的年际变幅和月际变幅较大，最高年份达571毫米，最低年份158毫米，降水主要集中在冬春季，往往在作物生长的关键期6月下旬出现严重的“卡脖子”旱，年日照时数3037小时，年蒸发量2207.6毫米，无霜期139天，在气候表现为冬季长而偏暖，夏季短而偏凉。有效积温偏低，无霜期偏短，光照充足的特点。</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4.1.5</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土地</w:t>
      </w:r>
      <w:r>
        <w:rPr>
          <w:rFonts w:hint="default" w:ascii="Times New Roman" w:hAnsi="Times New Roman" w:eastAsia="宋体" w:cs="Times New Roman"/>
          <w:b/>
          <w:color w:val="000000" w:themeColor="text1"/>
          <w:sz w:val="24"/>
          <w:szCs w:val="24"/>
          <w:highlight w:val="none"/>
          <w14:textFill>
            <w14:solidFill>
              <w14:schemeClr w14:val="tx1"/>
            </w14:solidFill>
          </w14:textFill>
        </w:rPr>
        <w:t>资源</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截至2014年5月，木垒哈萨克自治县土地总面积1330086.3公顷，全县各类土地中，农业用地1246054.36公顷，其中耕地52229.2公顷，园地345.4公顷，林地36792.1公顷，牧草地1156212.6公顷，水面262.6公顷，建设用地8764.9公顷，其中农村居民点及工矿用地4795.4公顷，交通用地1678.2公顷，水利设施用地2291.3公顷，未利用土地75266.7公顷。</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6生物</w:t>
      </w:r>
      <w:r>
        <w:rPr>
          <w:rFonts w:hint="default" w:ascii="Times New Roman" w:hAnsi="Times New Roman" w:eastAsia="宋体" w:cs="Times New Roman"/>
          <w:b/>
          <w:color w:val="000000" w:themeColor="text1"/>
          <w:sz w:val="24"/>
          <w:szCs w:val="24"/>
          <w:highlight w:val="none"/>
          <w14:textFill>
            <w14:solidFill>
              <w14:schemeClr w14:val="tx1"/>
            </w14:solidFill>
          </w14:textFill>
        </w:rPr>
        <w:t>资源</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森林资源</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截至2014年5月，木垒哈萨克自治县林地总面积为117761.3公顷（不包括山区林场28433公顷），其中有林地面积为1632.71公顷（用材林27.97公顷，防护林1242.44公顷，特用林49.35公顷，经济林303.95公顷），疏林地303.95公顷，灌木林地36334.96公顷，未成林造林地8830.14公顷，宜林地70856.4公顷，苗圃地32公顷，四旁植树441.8公顷。全县人工林总面积1576.59（不包括未成林）公顷，全县活立木总蓄积74897.3立方米。全县退耕地还林面积3400公顷，四荒地造林4600公顷。</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动物资源</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截至2014年5月，木垒哈萨克自治县主要分布各类脊椎动物26目，55科，178种；鸟类16目，36科，127种；兽类6目，12科，38种。国家一级保护动物5种，国家二级保护动物19种。其中鸟类一级有金雕、玉带海雕、波斑鸨等三种，二级15种，主要为隼形目和鸮形目的种类；兽类一级有雪豹、北山羊等2种，二级有石貂、猞猁、盘羊、鹅喉羚等4种。 [6] </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14:textFill>
            <w14:solidFill>
              <w14:schemeClr w14:val="tx1"/>
            </w14:solidFill>
          </w14:textFill>
        </w:rPr>
        <w:t>矿产资源</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哈萨克自治县境内矿产资源主要有煤、铜、金、石灰石、菱铁矿、湖盐、沸石、辉绿岩、方解石、云母、石棉矿、石墨、黄铁矿、辉铜矿、滑石、石英矿、砂页岩、磁铁矿、赤铁矿、铅锌矿、钾盐等三十多种。</w:t>
      </w:r>
    </w:p>
    <w:p>
      <w:pPr>
        <w:pageBreakBefore w:val="0"/>
        <w:kinsoku/>
        <w:overflowPunct w:val="0"/>
        <w:bidi w:val="0"/>
        <w:snapToGrid w:val="0"/>
        <w:spacing w:line="360" w:lineRule="auto"/>
        <w:jc w:val="both"/>
        <w:outlineLvl w:val="1"/>
        <w:rPr>
          <w:rFonts w:hint="default" w:ascii="Times New Roman" w:hAnsi="Times New Roman" w:eastAsia="宋体" w:cs="Times New Roman"/>
          <w:b/>
          <w:color w:val="000000" w:themeColor="text1"/>
          <w:sz w:val="24"/>
          <w:szCs w:val="24"/>
          <w:highlight w:val="none"/>
          <w14:textFill>
            <w14:solidFill>
              <w14:schemeClr w14:val="tx1"/>
            </w14:solidFill>
          </w14:textFill>
        </w:rPr>
      </w:pPr>
      <w:bookmarkStart w:id="129" w:name="_Toc16450"/>
      <w:bookmarkStart w:id="130" w:name="_Toc36119866"/>
      <w:r>
        <w:rPr>
          <w:rFonts w:hint="default" w:ascii="Times New Roman" w:hAnsi="Times New Roman" w:eastAsia="宋体" w:cs="Times New Roman"/>
          <w:b/>
          <w:color w:val="000000" w:themeColor="text1"/>
          <w:sz w:val="24"/>
          <w:szCs w:val="24"/>
          <w:highlight w:val="none"/>
          <w14:textFill>
            <w14:solidFill>
              <w14:schemeClr w14:val="tx1"/>
            </w14:solidFill>
          </w14:textFill>
        </w:rPr>
        <w:t>4.2木垒民生工业园简介</w:t>
      </w:r>
      <w:bookmarkEnd w:id="129"/>
      <w:bookmarkEnd w:id="130"/>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4.2.1 园区概况</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木垒县为加快特色农牧产品资源开发步伐，培育壮大特色农牧产品加工产业，实现优势资源就地转化增值，于2004年在木垒县城东侧设置了特色农牧产品加工园区。为能使特色农牧产品加工园区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更好地推进</w:t>
      </w:r>
      <w:r>
        <w:rPr>
          <w:rFonts w:hint="default" w:ascii="Times New Roman" w:hAnsi="Times New Roman" w:eastAsia="宋体" w:cs="Times New Roman"/>
          <w:color w:val="000000" w:themeColor="text1"/>
          <w:sz w:val="24"/>
          <w:szCs w:val="24"/>
          <w:highlight w:val="none"/>
          <w14:textFill>
            <w14:solidFill>
              <w14:schemeClr w14:val="tx1"/>
            </w14:solidFill>
          </w14:textFill>
        </w:rPr>
        <w:t>富民产业的发展，扩大劳动就业，并能为入驻大中型农牧及民俗特色产品企业提供良好的发展空间，2011年在原特色农牧产业加工园区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一区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的基础上建设新疆木垒特色农产品加工园区，在白杨河乡新增二区，木垒特色农产品加工园区规划面积525.56hm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，其中一区规划用地面积120.11hm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，二区规划面积405.47hm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2011年园区管委会委托新疆生态与地理研究所承担完成了园区规划环境影响评价工作，该环评报告书于2011年9月通过新疆维吾尔自治区环保厅的审查并出具审查意见新环评价函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835号。由于木垒农产品加工园区二区占地多为耕地，后续规划对二区占地范围进行了调整，由405.47hm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调整为232.20hm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，并将规划园区名称由新疆木垒特色农产品加工园区改为新疆木垒民生工业园区。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该园区于2012年9月17日由自治区人民政府《关于同意设立木垒县民生工业园区为自治区级园区的批复》新政函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234号文批准为自治区级园区，该规划用地调整后未进行规划环境影响评价工作。为能使特色农牧产品加工园区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更好地推进</w:t>
      </w:r>
      <w:r>
        <w:rPr>
          <w:rFonts w:hint="default" w:ascii="Times New Roman" w:hAnsi="Times New Roman" w:eastAsia="宋体" w:cs="Times New Roman"/>
          <w:color w:val="000000" w:themeColor="text1"/>
          <w:sz w:val="24"/>
          <w:szCs w:val="24"/>
          <w:highlight w:val="none"/>
          <w14:textFill>
            <w14:solidFill>
              <w14:schemeClr w14:val="tx1"/>
            </w14:solidFill>
          </w14:textFill>
        </w:rPr>
        <w:t>富民产业的发展，扩大劳动就业，为入驻大中型农牧及民俗特色产品企业提供良好的发展空间，同时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更好地利用</w:t>
      </w:r>
      <w:r>
        <w:rPr>
          <w:rFonts w:hint="default" w:ascii="Times New Roman" w:hAnsi="Times New Roman" w:eastAsia="宋体" w:cs="Times New Roman"/>
          <w:color w:val="000000" w:themeColor="text1"/>
          <w:sz w:val="24"/>
          <w:szCs w:val="24"/>
          <w:highlight w:val="none"/>
          <w14:textFill>
            <w14:solidFill>
              <w14:schemeClr w14:val="tx1"/>
            </w14:solidFill>
          </w14:textFill>
        </w:rPr>
        <w:t>木垒县的石材资源，抓住准东新能源基地的机遇，木垒县民生工业园区管委会委托新疆城乡建设工程设计有限公司编制了《新疆木垒县民生工业园区总体规划》（2014~2030年），对原有规划中的一区、二区范围及功能分区进行了调整，新增了矿产资源综合利用加工及物流园区和新型产业及轻工业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2016年4月，木垒县民生工业园区管理委员会委托新疆鼎耀工程咨询有限公司承担《新疆木垒县民生工业园区总体规划》（2014~2030年）的环境影响评价工作，该规划环评报告书于2017年7月通过新疆维吾尔自治区环保厅的审查并出具审查意见新环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1169号。</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4.2.2 园区规划</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新疆木垒县民生工业园区位于新疆木垒县，规划建设用地面积9.6144km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，共分为四个区，分别为农副产品加工及民族特色旅游产业区（一区）、农畜产品及食品加工区（二区）、矿产资源综合利用加工及物流园区（三区）、新型产业及轻工业区（四区）。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一区位于木垒县城东侧，南临解放东路，最北至花园东路，西侧至民族刺绣产业园，东至纵一路。</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二区位于县城东侧约10km，白杨河乡乡政府以南，木巴公路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S303省道</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两侧。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三区位于县城东侧约50km，大石头乡与博斯坦乡接壤处的大浪沙，西邻S241省道。</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四区位于县城北侧约10km，南邻奇木高速，X192县道两侧。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4.2.3 产业发展定位</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农副产品加工及民族特色旅游产业区形成以木垒县为中心的民族特色旅游产业园，引进大企业大集团做大做强新疆特色农副产品；鹰嘴豆、天山白豌豆、阿魏菇、有机蔬菜、有机牛羊肉、小杂粮、驼奶等农副产品精、深加工，延伸产业长度、提升产业价值及产品的附加值，并且符合县城生态化、特色化发展的理念，也有利于增强县城旅游服务功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（2）农畜产品及食品加工区利用木垒县得天独厚的绿色农作物种植及畜牧养殖条件，形成以农牧业产品及食品加工为主，可使木垒农畜产业从粗放型向经营型转变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从单一的经济目标向社会、经济、文化、生态综合功能目标转变。使优势资源从单一开发转向综合性开发、纵深开发、联动开发</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实现产业与产业之间的共生循环，对于促进木垒县农畜产业提质增效和可持续发展意义重大。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矿产资源综合利用加工及物流园区地处东西与南北交通线汇集区，与主要工业园区联系方便，用地条件好，对县城干扰少。北部通道与木善公路、铁路的建设，该区将成为兰新与北通道的交汇点，成为北疆沟通中国北方与内地的门户。矿产资源综合利用加工及物流园区附近初步勘探石材、石材等矿产资源储量巨大，开采前景广阔，优先发展产业为矿产资源加工、生产、销售、物流仓储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（4）新型产业及轻工业区可利以用木垒及周边地区的光伏、风电项目，建设开发装备制造加工产业及轻工业产品加工制造。</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本项目位于木垒县民生工业园新型产业及轻工业区，本项目是建设开发新能源装备制造加工产业，符合木垒民生工业园的产业定位。</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4.2.4 园区配套设施规划</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4.2.4.1 给水规划</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（1）水源</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农副产品加工及民族特色旅游产业区及新型产业及轻工业区由木垒县净水厂供给，根据《木垒县城总体规划2013～2030年修编》规划利用三眼泉水库，建设独立的输水管道至现状水厂，三眼泉水库作为木垒县城今后居民生活的主要水源，保留现有的龙王庙水库三眼泉渠作为备用水源，设计供水量约2万t/d。农畜产品及食品加工区由木垒县白杨河水厂供给，水厂规模500t/d，根据企业入驻情况及用水情况考虑扩大水厂规模。木垒县大浪沙水库作为矿产资源综合利用加工及物流园区水源地。</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（2）用水量</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民生工业园区2030年最高用水量约为1.44万m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/d。其中农副产品加工及民族特色旅游产业区2030年最高用水量约0.15万m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/d，农畜产品及食品加工区2030年最高用水量约0.29万m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/d，矿产资源综合利用加工及物流园区2030年最高用水量约0.32万m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/d，新型产业及轻工业区2030年最高用水量约0.68万m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4.2.4.2 排水规划（新型产业及轻工业区）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根据用水量预测，新型产业及轻工业区总用水量为0.68万m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/d，排水率为0.80，总污水量为0.54万m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采用不完全分流制的排水体制。污水统一收集后，集中汇入县城东北侧在建的民生工业园区污水处理厂。对接入排水管的工业污废水，要对其排污企业行业性质、用排水情况、污染物排放类别、性质、数量进行认真调查、甄别，接入污水处理厂之前，所有排污企业必须自行处理达到接管标准或者与污水处理厂运营单位签订排放浓度、数量，防止影响县城污水处理厂的正常运行。对不适宜接入污水处理厂的工业污水，必须自行处理达标后再利用或排入受纳水体。排水管网采用枝状形式，管材采用钢筋混凝土圆管，园区的主干管管径为500mm，支管管径为300mm。</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4.2.4.3 供热规划（新型产业及轻工业区）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型产业及轻工业区建筑采暖热负荷为217.84MW，供热采用集中供给，热源采用电采暖锅炉，位于园区东部。供热管网采用枝状形式，管网尽量埋设在非机动车道或人行道下，管材采用焊接钢管，采用直埋保温工艺，埋设深度必须保证在冻土以下。</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4.2.4.4 燃气工程规划（新型产业及轻工业区）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考虑到工业企业用气量与其生产规模、生产班制和生产工艺等有关，很难对工业用户的用气量进行精确计算，工业用气量大的工业用户可自行产气，因此，仅考虑居民生活用气供给方案，选取居民用气定额为2301.8MJ/人•y</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55万大卡/人•y</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其他用气量约为居民用气量的80%，人均年用气量为621MJ，天然气的低热值为36.5MJ/m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。气化率达到100%。</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新型产业及轻工业区工业用气按照8000Nm³/d•km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估算，则工业用气量为2.06万Nm³/d；人口规模按照4000人进行预测，则生活综合用气量约为0.04万Nm³/日。新型产业及轻工业区纳入木垒县城市燃气系统统一供给，燃气管线沿X192县道接入，园区内燃气管网采用枝状形式，管网尽量埋设在非机动车道或人行道下，管材采用焊接钢管，采用直埋保温工艺，埋设深度必须保证在冻土以下。</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4.2.4.5 供电工程规划（新型产业及轻工业区）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新型产业及轻工业区规划用电负荷9.50万kW，纳入木垒县城市供电系统统一供给，接规划区南侧现状电力管线。规划以10kV与220V/380V为主要供电电压。</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木垒县城总体规划在木垒县城东侧三畦村附近新建110kV三畦变，主变容量为2×50MVA，同时规划远期将现有的木垒110kV变电站扩容改造，扩容为2×40MVA。规划远期由两座变电站为木垒县及农副产品加工及民族特色旅游产业区、新型产业及轻工业区提供电源。新型产业及轻工业区内各企业用电可采用变配电室，变配电室可利用建筑物底层设置或独立设置，建筑面积为150～200m2，建筑层高不小于4.2m。新建及改造扩容的变压器应采用S11及以上类型的变压器。</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31" w:name="_Toc15588"/>
      <w:bookmarkStart w:id="132" w:name="_Toc2121"/>
      <w:bookmarkStart w:id="133" w:name="_Toc2243"/>
      <w:bookmarkStart w:id="134" w:name="_Toc7726"/>
      <w:bookmarkStart w:id="135" w:name="_Toc32485"/>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环境质量现状与评价</w:t>
      </w:r>
      <w:bookmarkEnd w:id="131"/>
      <w:bookmarkEnd w:id="132"/>
      <w:bookmarkEnd w:id="133"/>
      <w:bookmarkEnd w:id="134"/>
      <w:bookmarkEnd w:id="135"/>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水</w:t>
      </w:r>
      <w:r>
        <w:rPr>
          <w:rFonts w:hint="default" w:ascii="Times New Roman" w:hAnsi="Times New Roman" w:eastAsia="宋体" w:cs="Times New Roman"/>
          <w:b/>
          <w:color w:val="000000" w:themeColor="text1"/>
          <w:sz w:val="24"/>
          <w:szCs w:val="24"/>
          <w:highlight w:val="none"/>
          <w14:textFill>
            <w14:solidFill>
              <w14:schemeClr w14:val="tx1"/>
            </w14:solidFill>
          </w14:textFill>
        </w:rPr>
        <w:t>环境现状与评价</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本项目与地表水无水利联系，故可不进行地表水环境现状调查。</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  地下水环境》（HJ610-2016）要求：“根据建设项目对地下水影响的程度，结合《建设项目环境影响评价分类管理名录》，将建设项目分为四类，I类、II类、III类建设项目的地下水环境影响评价应执行该标准，IV类建设项目不开展地下水环境影响评价。”通过查询《建设项目环境影响评价分类管理名录》，项目地下水评价等级为“三级”，需对项目区域地下水环境进行环境现状评价。</w:t>
      </w:r>
    </w:p>
    <w:p>
      <w:pPr>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本次地下水质量现状监测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的地下水监测数据，</w:t>
      </w:r>
      <w:r>
        <w:rPr>
          <w:rFonts w:hint="default" w:ascii="Times New Roman" w:hAnsi="Times New Roman" w:eastAsia="宋体" w:cs="Times New Roman"/>
          <w:color w:val="000000" w:themeColor="text1"/>
          <w:sz w:val="24"/>
          <w:szCs w:val="24"/>
          <w:highlight w:val="none"/>
          <w:lang w:val="de-DE" w:eastAsia="zh-CN"/>
          <w14:textFill>
            <w14:solidFill>
              <w14:schemeClr w14:val="tx1"/>
            </w14:solidFill>
          </w14:textFill>
        </w:rPr>
        <w:t>委托</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新疆锡水金山环境科技有限公司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2022年3月25日对该</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及下游的地下水井</w:t>
      </w:r>
      <w:r>
        <w:rPr>
          <w:rFonts w:hint="default" w:ascii="Times New Roman" w:hAnsi="Times New Roman" w:eastAsia="宋体" w:cs="Times New Roman"/>
          <w:color w:val="000000" w:themeColor="text1"/>
          <w:sz w:val="24"/>
          <w:szCs w:val="24"/>
          <w:highlight w:val="none"/>
          <w14:textFill>
            <w14:solidFill>
              <w14:schemeClr w14:val="tx1"/>
            </w14:solidFill>
          </w14:textFill>
        </w:rPr>
        <w:t>进行监测。</w:t>
      </w:r>
    </w:p>
    <w:p>
      <w:pPr>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1）监测时间和监测布点</w:t>
      </w:r>
    </w:p>
    <w:p>
      <w:pPr>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地下水环境（HJ610-2016）》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，地下水监测应结合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评价区地下水流向特点，地下水监测采用控制性布点与功能性布点相结合的布设原则，并根据当地实际情况，应在项目所在区域分别各布设3个地下水监测点。</w:t>
      </w:r>
    </w:p>
    <w:p>
      <w:pPr>
        <w:pStyle w:val="14"/>
        <w:pageBreakBefore w:val="0"/>
        <w:kinsoku/>
        <w:overflowPunct w:val="0"/>
        <w:bidi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地下水环境质量监测点见下表。</w:t>
      </w:r>
    </w:p>
    <w:p>
      <w:pPr>
        <w:pStyle w:val="47"/>
        <w:pageBreakBefore w:val="0"/>
        <w:kinsoku/>
        <w:overflowPunct w:val="0"/>
        <w:bidi w:val="0"/>
        <w:jc w:val="center"/>
        <w:rPr>
          <w:rFonts w:hint="default" w:ascii="Times New Roman" w:hAnsi="Times New Roman" w:eastAsia="宋体" w:cs="Times New Roman"/>
          <w:b/>
          <w:color w:val="000000" w:themeColor="text1"/>
          <w:highlight w:val="none"/>
          <w:lang w:val="zh-CN" w:eastAsia="zh-CN"/>
          <w14:textFill>
            <w14:solidFill>
              <w14:schemeClr w14:val="tx1"/>
            </w14:solidFill>
          </w14:textFill>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4.3-1</w:t>
      </w:r>
      <w:r>
        <w:rPr>
          <w:rFonts w:hint="default" w:ascii="Times New Roman" w:hAnsi="Times New Roman" w:eastAsia="宋体" w:cs="Times New Roman"/>
          <w:color w:val="000000" w:themeColor="text1"/>
          <w:highlight w:val="none"/>
          <w:lang w:val="zh-CN" w:eastAsia="zh-CN"/>
          <w14:textFill>
            <w14:solidFill>
              <w14:schemeClr w14:val="tx1"/>
            </w14:solidFill>
          </w14:textFill>
        </w:rPr>
        <w:t xml:space="preserve">    地下水监测点与厂址相对位置</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39" w:type="dxa"/>
            <w:tcBorders>
              <w:tl2br w:val="nil"/>
              <w:tr2bl w:val="nil"/>
            </w:tcBorders>
            <w:noWrap w:val="0"/>
            <w:vAlign w:val="center"/>
          </w:tcPr>
          <w:p>
            <w:pPr>
              <w:pStyle w:val="4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项目建设地点</w:t>
            </w:r>
          </w:p>
        </w:tc>
        <w:tc>
          <w:tcPr>
            <w:tcW w:w="6977" w:type="dxa"/>
            <w:tcBorders>
              <w:tl2br w:val="nil"/>
              <w:tr2bl w:val="nil"/>
            </w:tcBorders>
            <w:noWrap w:val="0"/>
            <w:vAlign w:val="center"/>
          </w:tcPr>
          <w:p>
            <w:pPr>
              <w:pStyle w:val="4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39" w:type="dxa"/>
            <w:tcBorders>
              <w:tl2br w:val="nil"/>
              <w:tr2bl w:val="nil"/>
            </w:tcBorders>
            <w:noWrap w:val="0"/>
            <w:vAlign w:val="center"/>
          </w:tcPr>
          <w:p>
            <w:pPr>
              <w:pStyle w:val="4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697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项目区上游1#（90°20′40.78″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r>
              <w:rPr>
                <w:rFonts w:hint="default" w:ascii="Times New Roman" w:hAnsi="Times New Roman" w:eastAsia="宋体" w:cs="Times New Roman"/>
                <w:color w:val="000000" w:themeColor="text1"/>
                <w:sz w:val="21"/>
                <w:szCs w:val="21"/>
                <w:highlight w:val="none"/>
                <w14:textFill>
                  <w14:solidFill>
                    <w14:schemeClr w14:val="tx1"/>
                  </w14:solidFill>
                </w14:textFill>
              </w:rPr>
              <w:t>，43°56′41.67″N）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39" w:type="dxa"/>
            <w:tcBorders>
              <w:tl2br w:val="nil"/>
              <w:tr2bl w:val="nil"/>
            </w:tcBorders>
            <w:noWrap w:val="0"/>
            <w:vAlign w:val="center"/>
          </w:tcPr>
          <w:p>
            <w:pPr>
              <w:pStyle w:val="4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697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项目区附近2#（90°20′41.32″E</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43°57′17.15″N）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539" w:type="dxa"/>
            <w:tcBorders>
              <w:tl2br w:val="nil"/>
              <w:tr2bl w:val="nil"/>
            </w:tcBorders>
            <w:noWrap w:val="0"/>
            <w:vAlign w:val="center"/>
          </w:tcPr>
          <w:p>
            <w:pPr>
              <w:pStyle w:val="45"/>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6977" w:type="dxa"/>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项目区下游3#（90°20′53.05″E</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43°57′28.04″N）</w:t>
            </w:r>
          </w:p>
        </w:tc>
      </w:tr>
    </w:tbl>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2）监测项目及分析方法</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pH、氨氮、硝酸盐、亚硝酸盐、挥发酚、氰化物、砷、汞、六价铬、总硬度、铅、镉、溶解性总固体、高锰酸盐指数、氯化物、硫酸盐、石油类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，共</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17项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进行监测。</w:t>
      </w:r>
    </w:p>
    <w:p>
      <w:pPr>
        <w:keepNext w:val="0"/>
        <w:keepLines w:val="0"/>
        <w:pageBreakBefore w:val="0"/>
        <w:widowControl w:val="0"/>
        <w:kinsoku/>
        <w:wordWrap/>
        <w:overflowPunct w:val="0"/>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本次环评水质现状监测项目及分析方法依照国家环保局颁布的《环境水质监测质量保证手册》与《水和废水监测分析方法》的规定进行。</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3）评价标准及评价方法</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1）评价标准</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执行《地下水质量标准》（GB/T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14848-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2017</w:t>
      </w:r>
      <w:r>
        <w:rPr>
          <w:rFonts w:hint="default" w:ascii="Times New Roman" w:hAnsi="Times New Roman" w:eastAsia="宋体" w:cs="Times New Roman"/>
          <w:color w:val="000000" w:themeColor="text1"/>
          <w:sz w:val="24"/>
          <w:szCs w:val="24"/>
          <w:highlight w:val="none"/>
          <w14:textFill>
            <w14:solidFill>
              <w14:schemeClr w14:val="tx1"/>
            </w14:solidFill>
          </w14:textFill>
        </w:rPr>
        <w:t>）Ⅲ类水体标准。</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2）评价方法</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采用单项标准指数法对地下水进行评价。</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jc w:val="center"/>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P</w:t>
      </w:r>
      <w:r>
        <w:rPr>
          <w:rFonts w:hint="default" w:ascii="Times New Roman" w:hAnsi="Times New Roman" w:eastAsia="宋体" w:cs="Times New Roman"/>
          <w:color w:val="000000" w:themeColor="text1"/>
          <w:spacing w:val="4"/>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=C</w:t>
      </w:r>
      <w:r>
        <w:rPr>
          <w:rFonts w:hint="default" w:ascii="Times New Roman" w:hAnsi="Times New Roman" w:eastAsia="宋体" w:cs="Times New Roman"/>
          <w:color w:val="000000" w:themeColor="text1"/>
          <w:spacing w:val="4"/>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/C</w:t>
      </w:r>
      <w:r>
        <w:rPr>
          <w:rFonts w:hint="default" w:ascii="Times New Roman" w:hAnsi="Times New Roman" w:eastAsia="宋体" w:cs="Times New Roman"/>
          <w:color w:val="000000" w:themeColor="text1"/>
          <w:spacing w:val="4"/>
          <w:sz w:val="24"/>
          <w:szCs w:val="24"/>
          <w:highlight w:val="none"/>
          <w:vertAlign w:val="subscript"/>
          <w14:textFill>
            <w14:solidFill>
              <w14:schemeClr w14:val="tx1"/>
            </w14:solidFill>
          </w14:textFill>
        </w:rPr>
        <w:t>si</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式中：P</w:t>
      </w:r>
      <w:r>
        <w:rPr>
          <w:rFonts w:hint="default" w:ascii="Times New Roman" w:hAnsi="Times New Roman" w:eastAsia="宋体" w:cs="Times New Roman"/>
          <w:color w:val="000000" w:themeColor="text1"/>
          <w:spacing w:val="4"/>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——水质单项标准指数；</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C</w:t>
      </w:r>
      <w:r>
        <w:rPr>
          <w:rFonts w:hint="default" w:ascii="Times New Roman" w:hAnsi="Times New Roman" w:eastAsia="宋体" w:cs="Times New Roman"/>
          <w:color w:val="000000" w:themeColor="text1"/>
          <w:spacing w:val="4"/>
          <w:sz w:val="24"/>
          <w:szCs w:val="24"/>
          <w:highlight w:val="none"/>
          <w:vertAlign w:val="subscript"/>
          <w14:textFill>
            <w14:solidFill>
              <w14:schemeClr w14:val="tx1"/>
            </w14:solidFill>
          </w14:textFill>
        </w:rPr>
        <w:t>i,j</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——水质评价因子i在第j取样点的浓度，mg/L；</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C</w:t>
      </w:r>
      <w:r>
        <w:rPr>
          <w:rFonts w:hint="default" w:ascii="Times New Roman" w:hAnsi="Times New Roman" w:eastAsia="宋体" w:cs="Times New Roman"/>
          <w:color w:val="000000" w:themeColor="text1"/>
          <w:spacing w:val="4"/>
          <w:sz w:val="24"/>
          <w:szCs w:val="24"/>
          <w:highlight w:val="none"/>
          <w:vertAlign w:val="subscript"/>
          <w14:textFill>
            <w14:solidFill>
              <w14:schemeClr w14:val="tx1"/>
            </w14:solidFill>
          </w14:textFill>
        </w:rPr>
        <w:t>si</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——i因子的评价标准，mg/L；</w:t>
      </w:r>
    </w:p>
    <w:p>
      <w:pPr>
        <w:keepNext w:val="0"/>
        <w:keepLines w:val="0"/>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pH的单项标准指数表达式为：</w:t>
      </w:r>
    </w:p>
    <w:p>
      <w:pPr>
        <w:pageBreakBefore w:val="0"/>
        <w:widowControl w:val="0"/>
        <w:kinsoku/>
        <w:wordWrap/>
        <w:overflowPunct w:val="0"/>
        <w:topLinePunct w:val="0"/>
        <w:autoSpaceDE/>
        <w:autoSpaceDN/>
        <w:bidi w:val="0"/>
        <w:adjustRightInd w:val="0"/>
        <w:snapToGrid w:val="0"/>
        <w:spacing w:line="360" w:lineRule="auto"/>
        <w:ind w:firstLine="496" w:firstLineChars="200"/>
        <w:jc w:val="center"/>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pH</w:t>
      </w:r>
      <w:r>
        <w:rPr>
          <w:rFonts w:hint="default" w:ascii="Times New Roman" w:hAnsi="Times New Roman" w:eastAsia="宋体" w:cs="Times New Roman"/>
          <w:color w:val="000000" w:themeColor="text1"/>
          <w:spacing w:val="4"/>
          <w:sz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pacing w:val="4"/>
          <w:sz w:val="24"/>
          <w:highlight w:val="none"/>
          <w14:textFill>
            <w14:solidFill>
              <w14:schemeClr w14:val="tx1"/>
            </w14:solidFill>
          </w14:textFill>
        </w:rPr>
        <w:t xml:space="preserve">≤7.0时；  </w:t>
      </w:r>
      <w:r>
        <w:rPr>
          <w:rFonts w:hint="default" w:ascii="Times New Roman" w:hAnsi="Times New Roman" w:eastAsia="宋体" w:cs="Times New Roman"/>
          <w:color w:val="000000" w:themeColor="text1"/>
          <w:spacing w:val="4"/>
          <w:position w:val="-30"/>
          <w:sz w:val="24"/>
          <w:highlight w:val="none"/>
          <w14:textFill>
            <w14:solidFill>
              <w14:schemeClr w14:val="tx1"/>
            </w14:solidFill>
          </w14:textFill>
        </w:rPr>
        <w:drawing>
          <wp:inline distT="0" distB="0" distL="114300" distR="114300">
            <wp:extent cx="1216660" cy="461010"/>
            <wp:effectExtent l="0" t="0" r="0" b="1587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5"/>
                    <a:stretch>
                      <a:fillRect/>
                    </a:stretch>
                  </pic:blipFill>
                  <pic:spPr>
                    <a:xfrm>
                      <a:off x="0" y="0"/>
                      <a:ext cx="1216660" cy="461010"/>
                    </a:xfrm>
                    <a:prstGeom prst="rect">
                      <a:avLst/>
                    </a:prstGeom>
                    <a:noFill/>
                    <a:ln>
                      <a:noFill/>
                    </a:ln>
                  </pic:spPr>
                </pic:pic>
              </a:graphicData>
            </a:graphic>
          </wp:inline>
        </w:drawing>
      </w:r>
    </w:p>
    <w:p>
      <w:pPr>
        <w:pageBreakBefore w:val="0"/>
        <w:widowControl w:val="0"/>
        <w:kinsoku/>
        <w:wordWrap/>
        <w:overflowPunct w:val="0"/>
        <w:topLinePunct w:val="0"/>
        <w:autoSpaceDE/>
        <w:autoSpaceDN/>
        <w:bidi w:val="0"/>
        <w:adjustRightInd w:val="0"/>
        <w:snapToGrid w:val="0"/>
        <w:spacing w:line="360" w:lineRule="auto"/>
        <w:ind w:firstLine="496" w:firstLineChars="200"/>
        <w:jc w:val="center"/>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pH</w:t>
      </w:r>
      <w:r>
        <w:rPr>
          <w:rFonts w:hint="default" w:ascii="Times New Roman" w:hAnsi="Times New Roman" w:eastAsia="宋体" w:cs="Times New Roman"/>
          <w:color w:val="000000" w:themeColor="text1"/>
          <w:spacing w:val="4"/>
          <w:sz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pacing w:val="4"/>
          <w:sz w:val="24"/>
          <w:highlight w:val="none"/>
          <w14:textFill>
            <w14:solidFill>
              <w14:schemeClr w14:val="tx1"/>
            </w14:solidFill>
          </w14:textFill>
        </w:rPr>
        <w:t xml:space="preserve">＞7.0时；  </w:t>
      </w:r>
      <w:r>
        <w:rPr>
          <w:rFonts w:hint="default" w:ascii="Times New Roman" w:hAnsi="Times New Roman" w:eastAsia="宋体" w:cs="Times New Roman"/>
          <w:color w:val="000000" w:themeColor="text1"/>
          <w:spacing w:val="4"/>
          <w:position w:val="-30"/>
          <w:sz w:val="24"/>
          <w:highlight w:val="none"/>
          <w14:textFill>
            <w14:solidFill>
              <w14:schemeClr w14:val="tx1"/>
            </w14:solidFill>
          </w14:textFill>
        </w:rPr>
        <w:drawing>
          <wp:inline distT="0" distB="0" distL="114300" distR="114300">
            <wp:extent cx="1216660" cy="461010"/>
            <wp:effectExtent l="0" t="0" r="2540" b="1587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6"/>
                    <a:stretch>
                      <a:fillRect/>
                    </a:stretch>
                  </pic:blipFill>
                  <pic:spPr>
                    <a:xfrm>
                      <a:off x="0" y="0"/>
                      <a:ext cx="1216660" cy="461010"/>
                    </a:xfrm>
                    <a:prstGeom prst="rect">
                      <a:avLst/>
                    </a:prstGeom>
                    <a:noFill/>
                    <a:ln>
                      <a:noFill/>
                    </a:ln>
                  </pic:spPr>
                </pic:pic>
              </a:graphicData>
            </a:graphic>
          </wp:inline>
        </w:drawing>
      </w:r>
    </w:p>
    <w:p>
      <w:pPr>
        <w:pageBreakBefore w:val="0"/>
        <w:widowControl w:val="0"/>
        <w:kinsoku/>
        <w:wordWrap/>
        <w:overflowPunct w:val="0"/>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式中：S</w:t>
      </w:r>
      <w:r>
        <w:rPr>
          <w:rFonts w:hint="default" w:ascii="Times New Roman" w:hAnsi="Times New Roman" w:eastAsia="宋体" w:cs="Times New Roman"/>
          <w:color w:val="000000" w:themeColor="text1"/>
          <w:spacing w:val="4"/>
          <w:sz w:val="24"/>
          <w:highlight w:val="none"/>
          <w:vertAlign w:val="subscript"/>
          <w14:textFill>
            <w14:solidFill>
              <w14:schemeClr w14:val="tx1"/>
            </w14:solidFill>
          </w14:textFill>
        </w:rPr>
        <w:t>pH,j</w:t>
      </w:r>
      <w:r>
        <w:rPr>
          <w:rFonts w:hint="default" w:ascii="Times New Roman" w:hAnsi="Times New Roman" w:eastAsia="宋体" w:cs="Times New Roman"/>
          <w:color w:val="000000" w:themeColor="text1"/>
          <w:spacing w:val="4"/>
          <w:sz w:val="24"/>
          <w:highlight w:val="none"/>
          <w14:textFill>
            <w14:solidFill>
              <w14:schemeClr w14:val="tx1"/>
            </w14:solidFill>
          </w14:textFill>
        </w:rPr>
        <w:t>—pH标准指数；</w:t>
      </w:r>
    </w:p>
    <w:p>
      <w:pPr>
        <w:pageBreakBefore w:val="0"/>
        <w:widowControl w:val="0"/>
        <w:kinsoku/>
        <w:wordWrap/>
        <w:overflowPunct w:val="0"/>
        <w:topLinePunct w:val="0"/>
        <w:autoSpaceDE/>
        <w:autoSpaceDN/>
        <w:bidi w:val="0"/>
        <w:adjustRightInd w:val="0"/>
        <w:snapToGrid w:val="0"/>
        <w:spacing w:line="360" w:lineRule="auto"/>
        <w:ind w:firstLine="1240" w:firstLineChars="500"/>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pH</w:t>
      </w:r>
      <w:r>
        <w:rPr>
          <w:rFonts w:hint="default" w:ascii="Times New Roman" w:hAnsi="Times New Roman" w:eastAsia="宋体" w:cs="Times New Roman"/>
          <w:color w:val="000000" w:themeColor="text1"/>
          <w:spacing w:val="4"/>
          <w:sz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pacing w:val="4"/>
          <w:sz w:val="24"/>
          <w:highlight w:val="none"/>
          <w14:textFill>
            <w14:solidFill>
              <w14:schemeClr w14:val="tx1"/>
            </w14:solidFill>
          </w14:textFill>
        </w:rPr>
        <w:t>—j点实测pH值；</w:t>
      </w:r>
    </w:p>
    <w:p>
      <w:pPr>
        <w:pageBreakBefore w:val="0"/>
        <w:widowControl w:val="0"/>
        <w:kinsoku/>
        <w:wordWrap/>
        <w:overflowPunct w:val="0"/>
        <w:topLinePunct w:val="0"/>
        <w:autoSpaceDE/>
        <w:autoSpaceDN/>
        <w:bidi w:val="0"/>
        <w:adjustRightInd w:val="0"/>
        <w:snapToGrid w:val="0"/>
        <w:spacing w:line="360" w:lineRule="auto"/>
        <w:ind w:firstLine="1240" w:firstLineChars="500"/>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pH</w:t>
      </w:r>
      <w:r>
        <w:rPr>
          <w:rFonts w:hint="default" w:ascii="Times New Roman" w:hAnsi="Times New Roman" w:eastAsia="宋体" w:cs="Times New Roman"/>
          <w:color w:val="000000" w:themeColor="text1"/>
          <w:spacing w:val="4"/>
          <w:sz w:val="24"/>
          <w:highlight w:val="none"/>
          <w:vertAlign w:val="subscript"/>
          <w14:textFill>
            <w14:solidFill>
              <w14:schemeClr w14:val="tx1"/>
            </w14:solidFill>
          </w14:textFill>
        </w:rPr>
        <w:t>sd</w:t>
      </w:r>
      <w:r>
        <w:rPr>
          <w:rFonts w:hint="default" w:ascii="Times New Roman" w:hAnsi="Times New Roman" w:eastAsia="宋体" w:cs="Times New Roman"/>
          <w:color w:val="000000" w:themeColor="text1"/>
          <w:spacing w:val="4"/>
          <w:sz w:val="24"/>
          <w:highlight w:val="none"/>
          <w14:textFill>
            <w14:solidFill>
              <w14:schemeClr w14:val="tx1"/>
            </w14:solidFill>
          </w14:textFill>
        </w:rPr>
        <w:t>—标准中的pH值的下限值；</w:t>
      </w:r>
    </w:p>
    <w:p>
      <w:pPr>
        <w:pageBreakBefore w:val="0"/>
        <w:widowControl w:val="0"/>
        <w:kinsoku/>
        <w:wordWrap/>
        <w:overflowPunct w:val="0"/>
        <w:topLinePunct w:val="0"/>
        <w:autoSpaceDE/>
        <w:autoSpaceDN/>
        <w:bidi w:val="0"/>
        <w:adjustRightInd w:val="0"/>
        <w:snapToGrid w:val="0"/>
        <w:spacing w:line="360" w:lineRule="auto"/>
        <w:ind w:firstLine="1240" w:firstLineChars="500"/>
        <w:textAlignment w:val="auto"/>
        <w:rPr>
          <w:rFonts w:hint="default" w:ascii="Times New Roman" w:hAnsi="Times New Roman" w:eastAsia="宋体" w:cs="Times New Roman"/>
          <w:color w:val="000000" w:themeColor="text1"/>
          <w:spacing w:val="4"/>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highlight w:val="none"/>
          <w14:textFill>
            <w14:solidFill>
              <w14:schemeClr w14:val="tx1"/>
            </w14:solidFill>
          </w14:textFill>
        </w:rPr>
        <w:t>pH</w:t>
      </w:r>
      <w:r>
        <w:rPr>
          <w:rFonts w:hint="default" w:ascii="Times New Roman" w:hAnsi="Times New Roman" w:eastAsia="宋体" w:cs="Times New Roman"/>
          <w:color w:val="000000" w:themeColor="text1"/>
          <w:spacing w:val="4"/>
          <w:sz w:val="24"/>
          <w:highlight w:val="none"/>
          <w:vertAlign w:val="subscript"/>
          <w14:textFill>
            <w14:solidFill>
              <w14:schemeClr w14:val="tx1"/>
            </w14:solidFill>
          </w14:textFill>
        </w:rPr>
        <w:t>SU</w:t>
      </w:r>
      <w:r>
        <w:rPr>
          <w:rFonts w:hint="default" w:ascii="Times New Roman" w:hAnsi="Times New Roman" w:eastAsia="宋体" w:cs="Times New Roman"/>
          <w:color w:val="000000" w:themeColor="text1"/>
          <w:spacing w:val="4"/>
          <w:sz w:val="24"/>
          <w:highlight w:val="none"/>
          <w14:textFill>
            <w14:solidFill>
              <w14:schemeClr w14:val="tx1"/>
            </w14:solidFill>
          </w14:textFill>
        </w:rPr>
        <w:t>—标准中的pH值的上限值。</w:t>
      </w:r>
    </w:p>
    <w:p>
      <w:pPr>
        <w:keepNext w:val="0"/>
        <w:keepLines w:val="0"/>
        <w:pageBreakBefore w:val="0"/>
        <w:widowControl w:val="0"/>
        <w:kinsoku/>
        <w:wordWrap/>
        <w:overflowPunct w:val="0"/>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4）监测结果</w:t>
      </w:r>
    </w:p>
    <w:p>
      <w:pPr>
        <w:pStyle w:val="46"/>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地下水现状监测结果见下表。</w:t>
      </w:r>
    </w:p>
    <w:p>
      <w:pPr>
        <w:pStyle w:val="47"/>
        <w:pageBreakBefore w:val="0"/>
        <w:kinsoku/>
        <w:overflowPunct w:val="0"/>
        <w:bidi w:val="0"/>
        <w:jc w:val="center"/>
        <w:rPr>
          <w:rFonts w:hint="default" w:ascii="Times New Roman" w:hAnsi="Times New Roman" w:eastAsia="宋体" w:cs="Times New Roman"/>
          <w:b/>
          <w:color w:val="000000" w:themeColor="text1"/>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表</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4.3-2</w:t>
      </w:r>
      <w:r>
        <w:rPr>
          <w:rFonts w:hint="default" w:ascii="Times New Roman" w:hAnsi="Times New Roman" w:eastAsia="宋体" w:cs="Times New Roman"/>
          <w:b/>
          <w:bCs/>
          <w:color w:val="000000" w:themeColor="text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t>地下水</w:t>
      </w:r>
      <w:r>
        <w:rPr>
          <w:rFonts w:hint="default" w:ascii="Times New Roman" w:hAnsi="Times New Roman" w:eastAsia="宋体" w:cs="Times New Roman"/>
          <w:b/>
          <w:bCs/>
          <w:color w:val="000000" w:themeColor="text1"/>
          <w:highlight w:val="none"/>
          <w:lang w:val="zh-CN" w:eastAsia="zh-CN"/>
          <w14:textFill>
            <w14:solidFill>
              <w14:schemeClr w14:val="tx1"/>
            </w14:solidFill>
          </w14:textFill>
        </w:rPr>
        <w:t>监测</w:t>
      </w:r>
      <w:r>
        <w:rPr>
          <w:rFonts w:hint="default" w:ascii="Times New Roman" w:hAnsi="Times New Roman" w:eastAsia="宋体" w:cs="Times New Roman"/>
          <w:color w:val="000000" w:themeColor="text1"/>
          <w:highlight w:val="none"/>
          <w:lang w:val="zh-CN" w:eastAsia="zh-CN"/>
          <w14:textFill>
            <w14:solidFill>
              <w14:schemeClr w14:val="tx1"/>
            </w14:solidFill>
          </w14:textFill>
        </w:rPr>
        <w:t>结果统计一览表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10"/>
        <w:gridCol w:w="1320"/>
        <w:gridCol w:w="1065"/>
        <w:gridCol w:w="809"/>
        <w:gridCol w:w="1111"/>
        <w:gridCol w:w="763"/>
        <w:gridCol w:w="1067"/>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0" w:type="pct"/>
            <w:gridSpan w:val="3"/>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样品编号</w:t>
            </w:r>
          </w:p>
        </w:tc>
        <w:tc>
          <w:tcPr>
            <w:tcW w:w="1099" w:type="pct"/>
            <w:gridSpan w:val="2"/>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地下水监测点</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1#</w:t>
            </w:r>
          </w:p>
        </w:tc>
        <w:tc>
          <w:tcPr>
            <w:tcW w:w="1099" w:type="pct"/>
            <w:gridSpan w:val="2"/>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地下水监测点2</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w:t>
            </w:r>
          </w:p>
        </w:tc>
        <w:tc>
          <w:tcPr>
            <w:tcW w:w="1099" w:type="pct"/>
            <w:gridSpan w:val="2"/>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地下水监测点3#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检测项目</w:t>
            </w:r>
          </w:p>
        </w:tc>
        <w:tc>
          <w:tcPr>
            <w:tcW w:w="475"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单位</w:t>
            </w:r>
          </w:p>
        </w:tc>
        <w:tc>
          <w:tcPr>
            <w:tcW w:w="774"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标准</w:t>
            </w:r>
          </w:p>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限值</w:t>
            </w:r>
          </w:p>
        </w:tc>
        <w:tc>
          <w:tcPr>
            <w:tcW w:w="625"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监测值</w:t>
            </w:r>
          </w:p>
        </w:tc>
        <w:tc>
          <w:tcPr>
            <w:tcW w:w="474"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评价结果</w:t>
            </w:r>
          </w:p>
        </w:tc>
        <w:tc>
          <w:tcPr>
            <w:tcW w:w="652"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监测值</w:t>
            </w:r>
          </w:p>
        </w:tc>
        <w:tc>
          <w:tcPr>
            <w:tcW w:w="447"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评价结果</w:t>
            </w:r>
          </w:p>
        </w:tc>
        <w:tc>
          <w:tcPr>
            <w:tcW w:w="626"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监测值</w:t>
            </w:r>
          </w:p>
        </w:tc>
        <w:tc>
          <w:tcPr>
            <w:tcW w:w="473"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pH</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无量纲</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6.5~8.5</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7.0</w:t>
            </w:r>
          </w:p>
        </w:tc>
        <w:tc>
          <w:tcPr>
            <w:tcW w:w="4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t>0</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7.1</w:t>
            </w:r>
          </w:p>
        </w:tc>
        <w:tc>
          <w:tcPr>
            <w:tcW w:w="447"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0.67</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7.2</w:t>
            </w:r>
          </w:p>
        </w:tc>
        <w:tc>
          <w:tcPr>
            <w:tcW w:w="473"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总硬度</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≤450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290</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0.644</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492</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1.093</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317</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jc w:val="center"/>
              <w:textAlignment w:val="auto"/>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耗氧量（</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高锰酸盐指数</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1.3</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0.433</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1.1</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0.367</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1.2</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氯化物</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≤250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100</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0.4</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248</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0.992</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80</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溶解性总固体</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≤1000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534</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0.534</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1302</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1.302</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560</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氨氮</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≤0.50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0.196</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0.392</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0.209</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0.418</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0.186</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硝酸盐</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≤20.0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1.98</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0.099</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5.51</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0.278</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4.64</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亚</w:t>
            </w: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硝酸盐</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0.004</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0.004</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0.009</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0.009</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0.007</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14:textFill>
                  <w14:solidFill>
                    <w14:schemeClr w14:val="tx1"/>
                  </w14:solidFill>
                </w14:textFill>
              </w:rPr>
              <w:t>硫酸盐</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≤250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198</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0.792</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500</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2</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224</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六价铬</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≤0.05</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0.006</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0.12</w:t>
            </w:r>
          </w:p>
        </w:tc>
        <w:tc>
          <w:tcPr>
            <w:tcW w:w="652"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0.004</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0.08</w:t>
            </w:r>
          </w:p>
        </w:tc>
        <w:tc>
          <w:tcPr>
            <w:tcW w:w="626"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0.008</w:t>
            </w:r>
          </w:p>
        </w:tc>
        <w:tc>
          <w:tcPr>
            <w:tcW w:w="807" w:type="dxa"/>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挥发酚</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≤0.002</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0.0003</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0.15</w:t>
            </w:r>
          </w:p>
        </w:tc>
        <w:tc>
          <w:tcPr>
            <w:tcW w:w="652"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0.0003</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0.15</w:t>
            </w:r>
          </w:p>
        </w:tc>
        <w:tc>
          <w:tcPr>
            <w:tcW w:w="626"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0.0003</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镉</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μ</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≤0.005</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0.2</w:t>
            </w:r>
          </w:p>
        </w:tc>
        <w:tc>
          <w:tcPr>
            <w:tcW w:w="652"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0.2</w:t>
            </w:r>
          </w:p>
        </w:tc>
        <w:tc>
          <w:tcPr>
            <w:tcW w:w="626"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砷</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μ</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0.3</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0.03</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0.3</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0.03</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0.3</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汞</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μ</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≤0.001</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0.04</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0.04</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0.04</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0.04</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0.04</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石油类</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0.03</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0.03</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0.03</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铅</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μ</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≤0.01</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10</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10</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1</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10</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eastAsia="zh-CN"/>
                <w14:textFill>
                  <w14:solidFill>
                    <w14:schemeClr w14:val="tx1"/>
                  </w14:solidFill>
                </w14:textFill>
              </w:rPr>
              <w:t>氰化物</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≤0.05</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0.004</w:t>
            </w:r>
          </w:p>
        </w:tc>
        <w:tc>
          <w:tcPr>
            <w:tcW w:w="474"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0.08</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0.004</w:t>
            </w:r>
          </w:p>
        </w:tc>
        <w:tc>
          <w:tcPr>
            <w:tcW w:w="447"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0.08</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0.004</w:t>
            </w:r>
          </w:p>
        </w:tc>
        <w:tc>
          <w:tcPr>
            <w:tcW w:w="473" w:type="pct"/>
            <w:noWrap w:val="0"/>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&lt;</w:t>
            </w: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碳酸根离子</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w:t>
            </w:r>
          </w:p>
        </w:tc>
        <w:tc>
          <w:tcPr>
            <w:tcW w:w="4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t>/</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w:t>
            </w:r>
          </w:p>
        </w:tc>
        <w:tc>
          <w:tcPr>
            <w:tcW w:w="447"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t>/</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0.00</w:t>
            </w:r>
          </w:p>
        </w:tc>
        <w:tc>
          <w:tcPr>
            <w:tcW w:w="473"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碳酸氢根离子</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50.0</w:t>
            </w:r>
          </w:p>
        </w:tc>
        <w:tc>
          <w:tcPr>
            <w:tcW w:w="4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t>/</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100</w:t>
            </w:r>
          </w:p>
        </w:tc>
        <w:tc>
          <w:tcPr>
            <w:tcW w:w="447"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t>/</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55.0</w:t>
            </w:r>
          </w:p>
        </w:tc>
        <w:tc>
          <w:tcPr>
            <w:tcW w:w="473"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i w:val="0"/>
                <w:iCs w:val="0"/>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noWrap w:val="0"/>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钾</w:t>
            </w: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离子</w:t>
            </w:r>
          </w:p>
        </w:tc>
        <w:tc>
          <w:tcPr>
            <w:tcW w:w="47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5"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2.10</w:t>
            </w:r>
          </w:p>
        </w:tc>
        <w:tc>
          <w:tcPr>
            <w:tcW w:w="474"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t>/</w:t>
            </w:r>
          </w:p>
        </w:tc>
        <w:tc>
          <w:tcPr>
            <w:tcW w:w="652"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2.73</w:t>
            </w:r>
          </w:p>
        </w:tc>
        <w:tc>
          <w:tcPr>
            <w:tcW w:w="447"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6" w:type="pct"/>
            <w:noWrap w:val="0"/>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2.46</w:t>
            </w:r>
          </w:p>
        </w:tc>
        <w:tc>
          <w:tcPr>
            <w:tcW w:w="473" w:type="pct"/>
            <w:noWrap w:val="0"/>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钙</w:t>
            </w: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离子</w:t>
            </w:r>
          </w:p>
        </w:tc>
        <w:tc>
          <w:tcPr>
            <w:tcW w:w="475"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5"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85.7</w:t>
            </w:r>
          </w:p>
        </w:tc>
        <w:tc>
          <w:tcPr>
            <w:tcW w:w="474"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t>/</w:t>
            </w:r>
          </w:p>
        </w:tc>
        <w:tc>
          <w:tcPr>
            <w:tcW w:w="652"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139</w:t>
            </w:r>
          </w:p>
        </w:tc>
        <w:tc>
          <w:tcPr>
            <w:tcW w:w="447" w:type="pct"/>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6"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92.8</w:t>
            </w:r>
          </w:p>
        </w:tc>
        <w:tc>
          <w:tcPr>
            <w:tcW w:w="473" w:type="pct"/>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钠</w:t>
            </w: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离子</w:t>
            </w:r>
          </w:p>
        </w:tc>
        <w:tc>
          <w:tcPr>
            <w:tcW w:w="475"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≤200</w:t>
            </w: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625"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60.1</w:t>
            </w:r>
          </w:p>
        </w:tc>
        <w:tc>
          <w:tcPr>
            <w:tcW w:w="474" w:type="pct"/>
            <w:vAlign w:val="center"/>
          </w:tcPr>
          <w:p>
            <w:pPr>
              <w:keepNext w:val="0"/>
              <w:keepLines w:val="0"/>
              <w:pageBreakBefore w:val="0"/>
              <w:widowControl/>
              <w:suppressLineNumbers w:val="0"/>
              <w:wordWrap/>
              <w:topLinePunct w:val="0"/>
              <w:bidi w:val="0"/>
              <w:adjustRightInd/>
              <w:snapToGrid/>
              <w:spacing w:line="240" w:lineRule="auto"/>
              <w:ind w:left="0"/>
              <w:jc w:val="center"/>
              <w:textAlignment w:val="cente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0.301</w:t>
            </w:r>
          </w:p>
        </w:tc>
        <w:tc>
          <w:tcPr>
            <w:tcW w:w="652"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278</w:t>
            </w:r>
          </w:p>
        </w:tc>
        <w:tc>
          <w:tcPr>
            <w:tcW w:w="447" w:type="pct"/>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6"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65.6</w:t>
            </w:r>
          </w:p>
        </w:tc>
        <w:tc>
          <w:tcPr>
            <w:tcW w:w="473" w:type="pct"/>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0" w:type="pct"/>
            <w:vAlign w:val="center"/>
          </w:tcPr>
          <w:p>
            <w:pPr>
              <w:keepNext w:val="0"/>
              <w:keepLines w:val="0"/>
              <w:pageBreakBefore w:val="0"/>
              <w:wordWrap/>
              <w:topLinePunct w:val="0"/>
              <w:bidi w:val="0"/>
              <w:adjustRightInd/>
              <w:snapToGrid/>
              <w:spacing w:line="240" w:lineRule="auto"/>
              <w:ind w:left="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14:textFill>
                  <w14:solidFill>
                    <w14:schemeClr w14:val="tx1"/>
                  </w14:solidFill>
                </w14:textFill>
              </w:rPr>
              <w:t>镁</w:t>
            </w:r>
            <w:r>
              <w:rPr>
                <w:rFonts w:hint="default" w:ascii="Times New Roman" w:hAnsi="Times New Roman" w:eastAsia="宋体" w:cs="Times New Roman"/>
                <w:b w:val="0"/>
                <w:bCs/>
                <w:i w:val="0"/>
                <w:iCs w:val="0"/>
                <w:color w:val="000000" w:themeColor="text1"/>
                <w:sz w:val="21"/>
                <w:szCs w:val="21"/>
                <w:highlight w:val="none"/>
                <w:lang w:eastAsia="zh-CN"/>
                <w14:textFill>
                  <w14:solidFill>
                    <w14:schemeClr w14:val="tx1"/>
                  </w14:solidFill>
                </w14:textFill>
              </w:rPr>
              <w:t>离子</w:t>
            </w:r>
          </w:p>
        </w:tc>
        <w:tc>
          <w:tcPr>
            <w:tcW w:w="475"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mg/L</w:t>
            </w:r>
          </w:p>
        </w:tc>
        <w:tc>
          <w:tcPr>
            <w:tcW w:w="774"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5"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18.4</w:t>
            </w:r>
          </w:p>
        </w:tc>
        <w:tc>
          <w:tcPr>
            <w:tcW w:w="474"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t>/</w:t>
            </w:r>
          </w:p>
        </w:tc>
        <w:tc>
          <w:tcPr>
            <w:tcW w:w="652"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highlight w:val="none"/>
                <w:lang w:val="en-US" w:eastAsia="zh-CN" w:bidi="ar-SA"/>
                <w14:textFill>
                  <w14:solidFill>
                    <w14:schemeClr w14:val="tx1"/>
                  </w14:solidFill>
                </w14:textFill>
              </w:rPr>
              <w:t>34.6</w:t>
            </w:r>
          </w:p>
        </w:tc>
        <w:tc>
          <w:tcPr>
            <w:tcW w:w="447" w:type="pct"/>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c>
          <w:tcPr>
            <w:tcW w:w="626" w:type="pct"/>
            <w:vAlign w:val="center"/>
          </w:tcPr>
          <w:p>
            <w:pPr>
              <w:keepNext w:val="0"/>
              <w:keepLines w:val="0"/>
              <w:pageBreakBefore w:val="0"/>
              <w:wordWrap/>
              <w:topLinePunct w:val="0"/>
              <w:bidi w:val="0"/>
              <w:adjustRightInd/>
              <w:snapToGrid/>
              <w:spacing w:line="240" w:lineRule="auto"/>
              <w:ind w:left="0" w:leftChars="0"/>
              <w:jc w:val="center"/>
              <w:rPr>
                <w:rFonts w:hint="default" w:ascii="Times New Roman" w:hAnsi="Times New Roman" w:eastAsia="宋体" w:cs="Times New Roman"/>
                <w:b w:val="0"/>
                <w:bCs/>
                <w:i w:val="0"/>
                <w:i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20.4</w:t>
            </w:r>
          </w:p>
        </w:tc>
        <w:tc>
          <w:tcPr>
            <w:tcW w:w="473" w:type="pct"/>
            <w:vAlign w:val="center"/>
          </w:tcPr>
          <w:p>
            <w:pPr>
              <w:pStyle w:val="45"/>
              <w:keepNext w:val="0"/>
              <w:keepLines w:val="0"/>
              <w:pageBreakBefore w:val="0"/>
              <w:widowControl w:val="0"/>
              <w:kinsoku/>
              <w:wordWrap/>
              <w:overflowPunct w:val="0"/>
              <w:topLinePunct w:val="0"/>
              <w:autoSpaceDE/>
              <w:autoSpaceDN/>
              <w:bidi w:val="0"/>
              <w:adjustRightInd/>
              <w:snapToGrid/>
              <w:spacing w:beforeLines="0" w:beforeAutospacing="0" w:afterLines="0" w:afterAutospacing="0" w:line="240" w:lineRule="auto"/>
              <w:ind w:left="0" w:firstLine="0" w:firstLineChars="0"/>
              <w:textAlignment w:val="auto"/>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由上表监测</w:t>
      </w:r>
      <w:r>
        <w:rPr>
          <w:rFonts w:hint="default" w:ascii="Times New Roman" w:hAnsi="Times New Roman" w:eastAsia="宋体" w:cs="Times New Roman"/>
          <w:color w:val="000000" w:themeColor="text1"/>
          <w:sz w:val="24"/>
          <w:szCs w:val="24"/>
          <w:highlight w:val="none"/>
          <w14:textFill>
            <w14:solidFill>
              <w14:schemeClr w14:val="tx1"/>
            </w14:solidFill>
          </w14:textFill>
        </w:rPr>
        <w:t>分析结果可知，项目区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及下游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监测点的各项监测项目中，项目区附近2#（90°20′41.32″E43°57′17.15″N）地下水监测点位的总硬度、硫酸盐监测数据超标，超标原因主要是项目区地下水矿化度较高，由原生地质环境造成。其余监测指标均符合《地下水质量标准》（GB/T 14848-2017）Ⅲ类标准。</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4.</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.2环境空气质量现状与评价</w:t>
      </w:r>
    </w:p>
    <w:p>
      <w:pPr>
        <w:pStyle w:val="29"/>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根据《环境影响评价技术导则  大气环境》（HJ2.2-2018）中关于环境空气质量现状调查与评价的要求，本次应调查项目所在区域环境质量达标情况以及评价范围内有环境质量标准的评价因子的环境质量监测数据。</w:t>
      </w:r>
    </w:p>
    <w:p>
      <w:pPr>
        <w:keepNext w:val="0"/>
        <w:keepLines w:val="0"/>
        <w:pageBreakBefore w:val="0"/>
        <w:kinsoku/>
        <w:wordWrap/>
        <w:overflowPunct w:val="0"/>
        <w:topLinePunct w:val="0"/>
        <w:autoSpaceDE w:val="0"/>
        <w:autoSpaceDN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（1）区域空气质量达标判定</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lang w:val="en-US"/>
          <w14:textFill>
            <w14:solidFill>
              <w14:schemeClr w14:val="tx1"/>
            </w14:solidFill>
          </w14:textFill>
        </w:rPr>
      </w:pPr>
      <w:bookmarkStart w:id="136" w:name="_Hlk534188780"/>
      <w:r>
        <w:rPr>
          <w:rFonts w:hint="default" w:ascii="Times New Roman" w:hAnsi="Times New Roman" w:eastAsia="宋体" w:cs="Times New Roman"/>
          <w:color w:val="000000" w:themeColor="text1"/>
          <w:kern w:val="2"/>
          <w:highlight w:val="none"/>
          <w:lang w:val="en-US"/>
          <w14:textFill>
            <w14:solidFill>
              <w14:schemeClr w14:val="tx1"/>
            </w14:solidFill>
          </w14:textFill>
        </w:rPr>
        <w:t>根据《新疆维吾尔自治区环境质量报告</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highlight w:val="none"/>
          <w:lang w:val="en-US"/>
          <w14:textFill>
            <w14:solidFill>
              <w14:schemeClr w14:val="tx1"/>
            </w14:solidFill>
          </w14:textFill>
        </w:rPr>
        <w:t>20</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kern w:val="2"/>
          <w:highlight w:val="none"/>
          <w:lang w:val="en-US"/>
          <w14:textFill>
            <w14:solidFill>
              <w14:schemeClr w14:val="tx1"/>
            </w14:solidFill>
          </w14:textFill>
        </w:rPr>
        <w:t>年</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highlight w:val="none"/>
          <w:lang w:val="en-US"/>
          <w14:textFill>
            <w14:solidFill>
              <w14:schemeClr w14:val="tx1"/>
            </w14:solidFill>
          </w14:textFill>
        </w:rPr>
        <w:t>》，项目所在地木垒县环境空气质量满足《环境空气质量标准》（GB3095-2012）二级标准，区域环境质量达标。</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lang w:val="en-US"/>
          <w14:textFill>
            <w14:solidFill>
              <w14:schemeClr w14:val="tx1"/>
            </w14:solidFill>
          </w14:textFill>
        </w:rPr>
      </w:pPr>
      <w:r>
        <w:rPr>
          <w:rFonts w:hint="default" w:ascii="Times New Roman" w:hAnsi="Times New Roman" w:eastAsia="宋体" w:cs="Times New Roman"/>
          <w:color w:val="000000" w:themeColor="text1"/>
          <w:kern w:val="2"/>
          <w:highlight w:val="none"/>
          <w:lang w:val="en-US"/>
          <w14:textFill>
            <w14:solidFill>
              <w14:schemeClr w14:val="tx1"/>
            </w14:solidFill>
          </w14:textFill>
        </w:rPr>
        <w:t>（2）环境质量现状评价</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lang w:val="en-US"/>
          <w14:textFill>
            <w14:solidFill>
              <w14:schemeClr w14:val="tx1"/>
            </w14:solidFill>
          </w14:textFill>
        </w:rPr>
      </w:pPr>
      <w:r>
        <w:rPr>
          <w:rFonts w:hint="default" w:ascii="Times New Roman" w:hAnsi="Times New Roman" w:eastAsia="宋体" w:cs="Times New Roman"/>
          <w:color w:val="000000" w:themeColor="text1"/>
          <w:kern w:val="2"/>
          <w:highlight w:val="none"/>
          <w:lang w:val="en-US"/>
          <w14:textFill>
            <w14:solidFill>
              <w14:schemeClr w14:val="tx1"/>
            </w14:solidFill>
          </w14:textFill>
        </w:rPr>
        <w:t>①数据来源</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lang w:val="en-US"/>
          <w14:textFill>
            <w14:solidFill>
              <w14:schemeClr w14:val="tx1"/>
            </w14:solidFill>
          </w14:textFill>
        </w:rPr>
      </w:pPr>
      <w:r>
        <w:rPr>
          <w:rFonts w:hint="default" w:ascii="Times New Roman" w:hAnsi="Times New Roman" w:eastAsia="宋体" w:cs="Times New Roman"/>
          <w:color w:val="000000" w:themeColor="text1"/>
          <w:kern w:val="2"/>
          <w:highlight w:val="none"/>
          <w:lang w:val="en-US"/>
          <w14:textFill>
            <w14:solidFill>
              <w14:schemeClr w14:val="tx1"/>
            </w14:solidFill>
          </w14:textFill>
        </w:rPr>
        <w:t>基本污染物：收集了《新疆维吾尔自治区环境质量报告</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highlight w:val="none"/>
          <w:lang w:val="en-US"/>
          <w14:textFill>
            <w14:solidFill>
              <w14:schemeClr w14:val="tx1"/>
            </w14:solidFill>
          </w14:textFill>
        </w:rPr>
        <w:t>20</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kern w:val="2"/>
          <w:highlight w:val="none"/>
          <w:lang w:val="en-US"/>
          <w14:textFill>
            <w14:solidFill>
              <w14:schemeClr w14:val="tx1"/>
            </w14:solidFill>
          </w14:textFill>
        </w:rPr>
        <w:t>年</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highlight w:val="none"/>
          <w:lang w:val="en-US"/>
          <w14:textFill>
            <w14:solidFill>
              <w14:schemeClr w14:val="tx1"/>
            </w14:solidFill>
          </w14:textFill>
        </w:rPr>
        <w:t>》中的数据。</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lang w:val="en-US"/>
          <w14:textFill>
            <w14:solidFill>
              <w14:schemeClr w14:val="tx1"/>
            </w14:solidFill>
          </w14:textFill>
        </w:rPr>
        <w:t>②</w:t>
      </w:r>
      <w:r>
        <w:rPr>
          <w:rFonts w:hint="default" w:ascii="Times New Roman" w:hAnsi="Times New Roman" w:eastAsia="宋体" w:cs="Times New Roman"/>
          <w:color w:val="000000" w:themeColor="text1"/>
          <w:kern w:val="2"/>
          <w:highlight w:val="none"/>
          <w14:textFill>
            <w14:solidFill>
              <w14:schemeClr w14:val="tx1"/>
            </w14:solidFill>
          </w14:textFill>
        </w:rPr>
        <w:t>评价标准</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常规污染物SO</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2"/>
          <w:highlight w:val="none"/>
          <w14:textFill>
            <w14:solidFill>
              <w14:schemeClr w14:val="tx1"/>
            </w14:solidFill>
          </w14:textFill>
        </w:rPr>
        <w:t>、NO</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2"/>
          <w:highlight w:val="none"/>
          <w14:textFill>
            <w14:solidFill>
              <w14:schemeClr w14:val="tx1"/>
            </w14:solidFill>
          </w14:textFill>
        </w:rPr>
        <w:t>、PM</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2"/>
          <w:highlight w:val="none"/>
          <w14:textFill>
            <w14:solidFill>
              <w14:schemeClr w14:val="tx1"/>
            </w14:solidFill>
          </w14:textFill>
        </w:rPr>
        <w:t>、PM</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2.5</w:t>
      </w:r>
      <w:r>
        <w:rPr>
          <w:rFonts w:hint="default" w:ascii="Times New Roman" w:hAnsi="Times New Roman" w:eastAsia="宋体" w:cs="Times New Roman"/>
          <w:color w:val="000000" w:themeColor="text1"/>
          <w:kern w:val="2"/>
          <w:highlight w:val="none"/>
          <w14:textFill>
            <w14:solidFill>
              <w14:schemeClr w14:val="tx1"/>
            </w14:solidFill>
          </w14:textFill>
        </w:rPr>
        <w:t>、CO、O</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2"/>
          <w:highlight w:val="none"/>
          <w14:textFill>
            <w14:solidFill>
              <w14:schemeClr w14:val="tx1"/>
            </w14:solidFill>
          </w14:textFill>
        </w:rPr>
        <w:t xml:space="preserve">执行《环境空气质量标准》（GB3095-2012）二级。 </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lang w:val="en-US"/>
          <w14:textFill>
            <w14:solidFill>
              <w14:schemeClr w14:val="tx1"/>
            </w14:solidFill>
          </w14:textFill>
        </w:rPr>
      </w:pPr>
      <w:r>
        <w:rPr>
          <w:rFonts w:hint="default" w:ascii="Times New Roman" w:hAnsi="Times New Roman" w:eastAsia="宋体" w:cs="Times New Roman"/>
          <w:color w:val="000000" w:themeColor="text1"/>
          <w:kern w:val="2"/>
          <w:highlight w:val="none"/>
          <w:lang w:val="en-US"/>
          <w14:textFill>
            <w14:solidFill>
              <w14:schemeClr w14:val="tx1"/>
            </w14:solidFill>
          </w14:textFill>
        </w:rPr>
        <w:t>③评价方法</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采用标准指数法：</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                  Pi=Ci/Coi</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其中：Pi——污染物i的标准指数；</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      Ci——常规污染物i的年评价浓度（SO</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2"/>
          <w:highlight w:val="none"/>
          <w14:textFill>
            <w14:solidFill>
              <w14:schemeClr w14:val="tx1"/>
            </w14:solidFill>
          </w14:textFill>
        </w:rPr>
        <w:t>、NO</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2"/>
          <w:highlight w:val="none"/>
          <w14:textFill>
            <w14:solidFill>
              <w14:schemeClr w14:val="tx1"/>
            </w14:solidFill>
          </w14:textFill>
        </w:rPr>
        <w:t>、PM</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10</w:t>
      </w:r>
      <w:r>
        <w:rPr>
          <w:rFonts w:hint="default" w:ascii="Times New Roman" w:hAnsi="Times New Roman" w:eastAsia="宋体" w:cs="Times New Roman"/>
          <w:color w:val="000000" w:themeColor="text1"/>
          <w:kern w:val="2"/>
          <w:highlight w:val="none"/>
          <w14:textFill>
            <w14:solidFill>
              <w14:schemeClr w14:val="tx1"/>
            </w14:solidFill>
          </w14:textFill>
        </w:rPr>
        <w:t>、PM</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2.5</w:t>
      </w:r>
      <w:r>
        <w:rPr>
          <w:rFonts w:hint="default" w:ascii="Times New Roman" w:hAnsi="Times New Roman" w:eastAsia="宋体" w:cs="Times New Roman"/>
          <w:color w:val="000000" w:themeColor="text1"/>
          <w:kern w:val="2"/>
          <w:highlight w:val="none"/>
          <w14:textFill>
            <w14:solidFill>
              <w14:schemeClr w14:val="tx1"/>
            </w14:solidFill>
          </w14:textFill>
        </w:rPr>
        <w:t>年平均浓度，CO取24小时平均第95百分位数浓度，O</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3</w:t>
      </w:r>
      <w:r>
        <w:rPr>
          <w:rFonts w:hint="default" w:ascii="Times New Roman" w:hAnsi="Times New Roman" w:eastAsia="宋体" w:cs="Times New Roman"/>
          <w:color w:val="000000" w:themeColor="text1"/>
          <w:kern w:val="2"/>
          <w:highlight w:val="none"/>
          <w14:textFill>
            <w14:solidFill>
              <w14:schemeClr w14:val="tx1"/>
            </w14:solidFill>
          </w14:textFill>
        </w:rPr>
        <w:t>取日最大8小时平均第90百分位数浓度），特征污染物i的实测浓度，</w:t>
      </w:r>
      <w:r>
        <w:rPr>
          <w:rFonts w:hint="default" w:ascii="Times New Roman" w:hAnsi="Times New Roman" w:eastAsia="宋体" w:cs="Times New Roman"/>
          <w:color w:val="000000" w:themeColor="text1"/>
          <w:kern w:val="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2"/>
          <w:highlight w:val="none"/>
          <w14:textFill>
            <w14:solidFill>
              <w14:schemeClr w14:val="tx1"/>
            </w14:solidFill>
          </w14:textFill>
        </w:rPr>
        <w:t>；</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C0i——污染物i的评价标准，</w:t>
      </w:r>
      <w:r>
        <w:rPr>
          <w:rFonts w:hint="default" w:ascii="Times New Roman" w:hAnsi="Times New Roman" w:eastAsia="宋体" w:cs="Times New Roman"/>
          <w:color w:val="000000" w:themeColor="text1"/>
          <w:kern w:val="2"/>
          <w:highlight w:val="none"/>
          <w:lang w:val="zh-CN"/>
          <w14:textFill>
            <w14:solidFill>
              <w14:schemeClr w14:val="tx1"/>
            </w14:solidFill>
          </w14:textFill>
        </w:rPr>
        <w:t>μg/m</w:t>
      </w:r>
      <w:r>
        <w:rPr>
          <w:rFonts w:hint="default" w:ascii="Times New Roman" w:hAnsi="Times New Roman" w:eastAsia="宋体" w:cs="Times New Roman"/>
          <w:color w:val="000000" w:themeColor="text1"/>
          <w:kern w:val="2"/>
          <w:highlight w:val="none"/>
          <w:vertAlign w:val="superscript"/>
          <w:lang w:val="zh-CN"/>
          <w14:textFill>
            <w14:solidFill>
              <w14:schemeClr w14:val="tx1"/>
            </w14:solidFill>
          </w14:textFill>
        </w:rPr>
        <w:t>3</w:t>
      </w:r>
      <w:r>
        <w:rPr>
          <w:rFonts w:hint="default" w:ascii="Times New Roman" w:hAnsi="Times New Roman" w:eastAsia="宋体" w:cs="Times New Roman"/>
          <w:color w:val="000000" w:themeColor="text1"/>
          <w:kern w:val="2"/>
          <w:highlight w:val="none"/>
          <w14:textFill>
            <w14:solidFill>
              <w14:schemeClr w14:val="tx1"/>
            </w14:solidFill>
          </w14:textFill>
        </w:rPr>
        <w:t>；</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lang w:eastAsia="zh-CN"/>
          <w14:textFill>
            <w14:solidFill>
              <w14:schemeClr w14:val="tx1"/>
            </w14:solidFill>
          </w14:textFill>
        </w:rPr>
        <w:t>④</w:t>
      </w:r>
      <w:r>
        <w:rPr>
          <w:rFonts w:hint="default" w:ascii="Times New Roman" w:hAnsi="Times New Roman" w:eastAsia="宋体" w:cs="Times New Roman"/>
          <w:color w:val="000000" w:themeColor="text1"/>
          <w:kern w:val="2"/>
          <w:highlight w:val="none"/>
          <w14:textFill>
            <w14:solidFill>
              <w14:schemeClr w14:val="tx1"/>
            </w14:solidFill>
          </w14:textFill>
        </w:rPr>
        <w:t>评价结果</w:t>
      </w:r>
    </w:p>
    <w:p>
      <w:pPr>
        <w:pStyle w:val="29"/>
        <w:keepNext w:val="0"/>
        <w:keepLines w:val="0"/>
        <w:pageBreakBefore w:val="0"/>
        <w:widowControl w:val="0"/>
        <w:kinsoku/>
        <w:wordWrap/>
        <w:overflowPunct w:val="0"/>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区域空气质量现状评价表，见表</w:t>
      </w:r>
      <w:r>
        <w:rPr>
          <w:rFonts w:hint="default" w:ascii="Times New Roman" w:hAnsi="Times New Roman" w:eastAsia="宋体" w:cs="Times New Roman"/>
          <w:color w:val="000000" w:themeColor="text1"/>
          <w:kern w:val="2"/>
          <w:highlight w:val="none"/>
          <w:lang w:eastAsia="zh-CN"/>
          <w14:textFill>
            <w14:solidFill>
              <w14:schemeClr w14:val="tx1"/>
            </w14:solidFill>
          </w14:textFill>
        </w:rPr>
        <w:t>4</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.3-3</w:t>
      </w:r>
      <w:r>
        <w:rPr>
          <w:rFonts w:hint="default" w:ascii="Times New Roman" w:hAnsi="Times New Roman" w:eastAsia="宋体" w:cs="Times New Roman"/>
          <w:color w:val="000000" w:themeColor="text1"/>
          <w:kern w:val="2"/>
          <w:highlight w:val="none"/>
          <w14:textFill>
            <w14:solidFill>
              <w14:schemeClr w14:val="tx1"/>
            </w14:solidFill>
          </w14:textFill>
        </w:rPr>
        <w:t>；基本污染物环境质量现状表，见表</w:t>
      </w:r>
      <w:r>
        <w:rPr>
          <w:rFonts w:hint="default" w:ascii="Times New Roman" w:hAnsi="Times New Roman" w:eastAsia="宋体" w:cs="Times New Roman"/>
          <w:color w:val="000000" w:themeColor="text1"/>
          <w:kern w:val="2"/>
          <w:highlight w:val="none"/>
          <w:lang w:eastAsia="zh-CN"/>
          <w14:textFill>
            <w14:solidFill>
              <w14:schemeClr w14:val="tx1"/>
            </w14:solidFill>
          </w14:textFill>
        </w:rPr>
        <w:t>4</w:t>
      </w: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kern w:val="2"/>
          <w:highlight w:val="none"/>
          <w:lang w:eastAsia="zh-CN"/>
          <w14:textFill>
            <w14:solidFill>
              <w14:schemeClr w14:val="tx1"/>
            </w14:solidFill>
          </w14:textFill>
        </w:rPr>
        <w:t>。</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表</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 xml:space="preserve">           区域空气质量现状评价表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45"/>
        <w:gridCol w:w="1429"/>
        <w:gridCol w:w="1429"/>
        <w:gridCol w:w="1429"/>
        <w:gridCol w:w="1272"/>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点位名称</w:t>
            </w:r>
          </w:p>
        </w:tc>
        <w:tc>
          <w:tcPr>
            <w:tcW w:w="613"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污染物</w:t>
            </w:r>
          </w:p>
        </w:tc>
        <w:tc>
          <w:tcPr>
            <w:tcW w:w="838"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年评价</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指标</w:t>
            </w:r>
          </w:p>
        </w:tc>
        <w:tc>
          <w:tcPr>
            <w:tcW w:w="838"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评价标准</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（μg/m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838"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现状浓度</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（μg/m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746"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占标率（%）</w:t>
            </w:r>
          </w:p>
        </w:tc>
        <w:tc>
          <w:tcPr>
            <w:tcW w:w="651"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达标</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p>
        </w:tc>
        <w:tc>
          <w:tcPr>
            <w:tcW w:w="61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p>
        </w:tc>
        <w:tc>
          <w:tcPr>
            <w:tcW w:w="838"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38"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38"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746"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p>
        </w:tc>
        <w:tc>
          <w:tcPr>
            <w:tcW w:w="651"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vMerge w:val="restar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木垒县</w:t>
            </w:r>
          </w:p>
        </w:tc>
        <w:tc>
          <w:tcPr>
            <w:tcW w:w="613"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2</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年平均值</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60</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6</w:t>
            </w:r>
          </w:p>
        </w:tc>
        <w:tc>
          <w:tcPr>
            <w:tcW w:w="746"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10</w:t>
            </w:r>
          </w:p>
        </w:tc>
        <w:tc>
          <w:tcPr>
            <w:tcW w:w="651"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13"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NO</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2</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年平均值</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40</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11</w:t>
            </w:r>
          </w:p>
        </w:tc>
        <w:tc>
          <w:tcPr>
            <w:tcW w:w="746"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27.5</w:t>
            </w:r>
          </w:p>
        </w:tc>
        <w:tc>
          <w:tcPr>
            <w:tcW w:w="651"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13"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10</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年平均值</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70</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36</w:t>
            </w:r>
          </w:p>
        </w:tc>
        <w:tc>
          <w:tcPr>
            <w:tcW w:w="746"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51.4</w:t>
            </w:r>
          </w:p>
        </w:tc>
        <w:tc>
          <w:tcPr>
            <w:tcW w:w="651"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13"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2.5</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年平均值</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35</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16</w:t>
            </w:r>
          </w:p>
        </w:tc>
        <w:tc>
          <w:tcPr>
            <w:tcW w:w="746"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45.7</w:t>
            </w:r>
          </w:p>
        </w:tc>
        <w:tc>
          <w:tcPr>
            <w:tcW w:w="651"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13"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CO</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24小时平均第95百分位数</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（mg/m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0.8</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（mg/m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746"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20</w:t>
            </w:r>
          </w:p>
        </w:tc>
        <w:tc>
          <w:tcPr>
            <w:tcW w:w="651"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pct"/>
            <w:vMerge w:val="continue"/>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613"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O</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3</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最大8小时平均第90百分位数</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160</w:t>
            </w:r>
          </w:p>
        </w:tc>
        <w:tc>
          <w:tcPr>
            <w:tcW w:w="838"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64</w:t>
            </w:r>
          </w:p>
        </w:tc>
        <w:tc>
          <w:tcPr>
            <w:tcW w:w="746"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40</w:t>
            </w:r>
          </w:p>
        </w:tc>
        <w:tc>
          <w:tcPr>
            <w:tcW w:w="651" w:type="pct"/>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bl>
    <w:p>
      <w:pPr>
        <w:pStyle w:val="29"/>
        <w:keepNext w:val="0"/>
        <w:keepLines w:val="0"/>
        <w:pageBreakBefore w:val="0"/>
        <w:widowControl w:val="0"/>
        <w:kinsoku/>
        <w:wordWrap/>
        <w:overflowPunct w:val="0"/>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            </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14:textFill>
            <w14:solidFill>
              <w14:schemeClr w14:val="tx1"/>
            </w14:solidFill>
          </w14:textFill>
        </w:rPr>
        <w:t>4.3-4</w:t>
      </w:r>
      <w:r>
        <w:rPr>
          <w:rFonts w:hint="default" w:ascii="Times New Roman" w:hAnsi="Times New Roman" w:eastAsia="宋体" w:cs="Times New Roman"/>
          <w:b w:val="0"/>
          <w:bCs w:val="0"/>
          <w:color w:val="000000" w:themeColor="text1"/>
          <w:kern w:val="2"/>
          <w:sz w:val="21"/>
          <w:szCs w:val="21"/>
          <w:highlight w:val="none"/>
          <w14:textFill>
            <w14:solidFill>
              <w14:schemeClr w14:val="tx1"/>
            </w14:solidFill>
          </w14:textFill>
        </w:rPr>
        <w:t xml:space="preserve">      基本污染物环境质量现状</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8"/>
        <w:gridCol w:w="621"/>
        <w:gridCol w:w="912"/>
        <w:gridCol w:w="1445"/>
        <w:gridCol w:w="802"/>
        <w:gridCol w:w="1170"/>
        <w:gridCol w:w="974"/>
        <w:gridCol w:w="854"/>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727" w:type="pct"/>
            <w:gridSpan w:val="2"/>
            <w:tcBorders>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监测点坐标/m</w:t>
            </w:r>
          </w:p>
        </w:tc>
        <w:tc>
          <w:tcPr>
            <w:tcW w:w="548" w:type="pct"/>
            <w:vMerge w:val="restart"/>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污染物</w:t>
            </w:r>
          </w:p>
        </w:tc>
        <w:tc>
          <w:tcPr>
            <w:tcW w:w="868" w:type="pct"/>
            <w:vMerge w:val="restart"/>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年评价指标</w:t>
            </w:r>
          </w:p>
        </w:tc>
        <w:tc>
          <w:tcPr>
            <w:tcW w:w="482" w:type="pct"/>
            <w:vMerge w:val="restart"/>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评价标准</w:t>
            </w:r>
          </w:p>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(μg/m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703" w:type="pct"/>
            <w:vMerge w:val="restart"/>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现状浓度/(μg/m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585" w:type="pct"/>
            <w:vMerge w:val="restart"/>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最大占标率/%</w:t>
            </w:r>
          </w:p>
        </w:tc>
        <w:tc>
          <w:tcPr>
            <w:tcW w:w="513" w:type="pct"/>
            <w:vMerge w:val="restart"/>
            <w:tcBorders>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超标率/%</w:t>
            </w:r>
          </w:p>
        </w:tc>
        <w:tc>
          <w:tcPr>
            <w:tcW w:w="569" w:type="pct"/>
            <w:vMerge w:val="restart"/>
            <w:tcBorders>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354" w:type="pct"/>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X</w:t>
            </w:r>
          </w:p>
        </w:tc>
        <w:tc>
          <w:tcPr>
            <w:tcW w:w="37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zh-CN"/>
                <w14:textFill>
                  <w14:solidFill>
                    <w14:schemeClr w14:val="tx1"/>
                  </w14:solidFill>
                </w14:textFill>
              </w:rPr>
              <w:t>Y</w:t>
            </w:r>
          </w:p>
        </w:tc>
        <w:tc>
          <w:tcPr>
            <w:tcW w:w="54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6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48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70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1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69" w:type="pct"/>
            <w:vMerge w:val="continue"/>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restart"/>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-1616</w:t>
            </w:r>
          </w:p>
        </w:tc>
        <w:tc>
          <w:tcPr>
            <w:tcW w:w="373"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-307</w:t>
            </w:r>
          </w:p>
        </w:tc>
        <w:tc>
          <w:tcPr>
            <w:tcW w:w="54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2</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24h平均第98百分位数</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150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28</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18.7</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6</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10</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NO</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2</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24h平均第98百分位数</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80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52</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65</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11</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27.5</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CO</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24h平均第95百分位数</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4000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800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20</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臭氧O</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3</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日最大8h滑动平均值的第90百分位数</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160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64</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40</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2.5</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24h平均第95百分位数</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75</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53</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70.7</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35</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16</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45.7</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restar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10</w:t>
            </w:r>
          </w:p>
        </w:tc>
        <w:tc>
          <w:tcPr>
            <w:tcW w:w="868"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24h平均第95百分位数</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150</w:t>
            </w:r>
          </w:p>
        </w:tc>
        <w:tc>
          <w:tcPr>
            <w:tcW w:w="70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90</w:t>
            </w:r>
          </w:p>
        </w:tc>
        <w:tc>
          <w:tcPr>
            <w:tcW w:w="585"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60</w:t>
            </w:r>
          </w:p>
        </w:tc>
        <w:tc>
          <w:tcPr>
            <w:tcW w:w="513" w:type="pct"/>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p>
        </w:tc>
        <w:tc>
          <w:tcPr>
            <w:tcW w:w="569" w:type="pct"/>
            <w:tcBorders>
              <w:top w:val="single" w:color="auto" w:sz="4" w:space="0"/>
              <w:left w:val="single" w:color="auto" w:sz="4" w:space="0"/>
              <w:bottom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54" w:type="pct"/>
            <w:vMerge w:val="continue"/>
            <w:tcBorders>
              <w:top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373" w:type="pct"/>
            <w:vMerge w:val="continue"/>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8" w:type="pct"/>
            <w:vMerge w:val="continue"/>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68" w:type="pc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年平均</w:t>
            </w:r>
          </w:p>
        </w:tc>
        <w:tc>
          <w:tcPr>
            <w:tcW w:w="482" w:type="pc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70</w:t>
            </w:r>
          </w:p>
        </w:tc>
        <w:tc>
          <w:tcPr>
            <w:tcW w:w="703" w:type="pc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36</w:t>
            </w:r>
          </w:p>
        </w:tc>
        <w:tc>
          <w:tcPr>
            <w:tcW w:w="585" w:type="pc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51.4</w:t>
            </w:r>
          </w:p>
        </w:tc>
        <w:tc>
          <w:tcPr>
            <w:tcW w:w="513" w:type="pct"/>
            <w:tcBorders>
              <w:top w:val="single" w:color="auto" w:sz="4" w:space="0"/>
              <w:left w:val="single" w:color="auto" w:sz="4" w:space="0"/>
              <w:righ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569" w:type="pct"/>
            <w:tcBorders>
              <w:top w:val="single" w:color="auto" w:sz="4" w:space="0"/>
              <w:left w:val="single" w:color="auto" w:sz="4" w:space="0"/>
            </w:tcBorders>
            <w:noWrap w:val="0"/>
            <w:vAlign w:val="center"/>
          </w:tcPr>
          <w:p>
            <w:pPr>
              <w:pStyle w:val="29"/>
              <w:keepNext w:val="0"/>
              <w:keepLines w:val="0"/>
              <w:pageBreakBefore w:val="0"/>
              <w:widowControl w:val="0"/>
              <w:kinsoku/>
              <w:wordWrap/>
              <w:overflowPunct w:val="0"/>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bl>
    <w:p>
      <w:pPr>
        <w:pStyle w:val="29"/>
        <w:keepNext w:val="0"/>
        <w:keepLines w:val="0"/>
        <w:pageBreakBefore w:val="0"/>
        <w:widowControl w:val="0"/>
        <w:kinsoku/>
        <w:wordWrap/>
        <w:overflowPunct w:val="0"/>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由</w:t>
      </w:r>
      <w:r>
        <w:rPr>
          <w:rFonts w:hint="default" w:ascii="Times New Roman" w:hAnsi="Times New Roman" w:eastAsia="宋体" w:cs="Times New Roman"/>
          <w:color w:val="000000" w:themeColor="text1"/>
          <w:kern w:val="2"/>
          <w:highlight w:val="none"/>
          <w:lang w:eastAsia="zh-CN"/>
          <w14:textFill>
            <w14:solidFill>
              <w14:schemeClr w14:val="tx1"/>
            </w14:solidFill>
          </w14:textFill>
        </w:rPr>
        <w:t>上</w:t>
      </w:r>
      <w:r>
        <w:rPr>
          <w:rFonts w:hint="default" w:ascii="Times New Roman" w:hAnsi="Times New Roman" w:eastAsia="宋体" w:cs="Times New Roman"/>
          <w:color w:val="000000" w:themeColor="text1"/>
          <w:kern w:val="2"/>
          <w:highlight w:val="none"/>
          <w14:textFill>
            <w14:solidFill>
              <w14:schemeClr w14:val="tx1"/>
            </w14:solidFill>
          </w14:textFill>
        </w:rPr>
        <w:t>表可知，各监测因子均满足</w:t>
      </w:r>
      <w:r>
        <w:rPr>
          <w:rFonts w:hint="default" w:ascii="Times New Roman" w:hAnsi="Times New Roman" w:eastAsia="宋体" w:cs="Times New Roman"/>
          <w:color w:val="000000" w:themeColor="text1"/>
          <w:kern w:val="2"/>
          <w:highlight w:val="none"/>
          <w:lang w:val="en-US"/>
          <w14:textFill>
            <w14:solidFill>
              <w14:schemeClr w14:val="tx1"/>
            </w14:solidFill>
          </w14:textFill>
        </w:rPr>
        <w:t>《环境空气质量标准》（GB3095-2012）二级标准</w:t>
      </w:r>
      <w:r>
        <w:rPr>
          <w:rFonts w:hint="default" w:ascii="Times New Roman" w:hAnsi="Times New Roman" w:eastAsia="宋体" w:cs="Times New Roman"/>
          <w:color w:val="000000" w:themeColor="text1"/>
          <w:kern w:val="2"/>
          <w:highlight w:val="none"/>
          <w14:textFill>
            <w14:solidFill>
              <w14:schemeClr w14:val="tx1"/>
            </w14:solidFill>
          </w14:textFill>
        </w:rPr>
        <w:t>。</w:t>
      </w:r>
      <w:bookmarkEnd w:id="136"/>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（2）评价范围污染物环境质量现状补充监测</w:t>
      </w:r>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shd w:val="cle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空气环境质量现状补充监测委</w:t>
      </w: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托</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新疆锡水金山环境科技有限公司</w:t>
      </w: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完成，在评价范围内共布设</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2个</w:t>
      </w: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监测点。</w:t>
      </w:r>
    </w:p>
    <w:p>
      <w:pPr>
        <w:pStyle w:val="29"/>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 xml:space="preserve"> ①监测项目及频率 </w:t>
      </w:r>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常规污染物监测项目：甲苯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二甲苯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TSP监测日均值。监测时间为202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highlight w:val="none"/>
          <w14:textFill>
            <w14:solidFill>
              <w14:schemeClr w14:val="tx1"/>
            </w14:solidFill>
          </w14:textFill>
        </w:rPr>
        <w:t>日，连续监测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天，TSP每天至少采样时间18小时，监测日均值。</w:t>
      </w:r>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②监测方法：按国家《环境监测技术规范（大气部分）》的规定执行；分析方法按《空气和废气监测分析方法》的有关规定和要求执行。</w:t>
      </w:r>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③评价标准</w:t>
      </w:r>
    </w:p>
    <w:p>
      <w:pPr>
        <w:pageBreakBefore w:val="0"/>
        <w:kinsoku/>
        <w:overflow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参照执行《环境影响评价技术导则 大气环境》（HJ2.2-2018）附录D中其他污染物空气质量浓度参考限值，TSP浓度执行《环境空气质量标准》（GB3095-2012）二级标准限值要求（日均值：0.3mg/m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29"/>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kern w:val="2"/>
          <w:highlight w:val="none"/>
          <w14:textFill>
            <w14:solidFill>
              <w14:schemeClr w14:val="tx1"/>
            </w14:solidFill>
          </w14:textFill>
        </w:rPr>
        <w:t>评价方法：本次大气环境质量现状评价采用单项标准指数法。标准指数Pi计算表达式：</w:t>
      </w:r>
    </w:p>
    <w:p>
      <w:pPr>
        <w:pStyle w:val="29"/>
        <w:pageBreakBefore w:val="0"/>
        <w:kinsoku/>
        <w:overflowPunct w:val="0"/>
        <w:bidi w:val="0"/>
        <w:snapToGrid w:val="0"/>
        <w:spacing w:line="360" w:lineRule="auto"/>
        <w:jc w:val="center"/>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P</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2"/>
          <w:highlight w:val="none"/>
          <w14:textFill>
            <w14:solidFill>
              <w14:schemeClr w14:val="tx1"/>
            </w14:solidFill>
          </w14:textFill>
        </w:rPr>
        <w:t>=C</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2"/>
          <w:highlight w:val="none"/>
          <w14:textFill>
            <w14:solidFill>
              <w14:schemeClr w14:val="tx1"/>
            </w14:solidFill>
          </w14:textFill>
        </w:rPr>
        <w:t>/C</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0i</w:t>
      </w:r>
    </w:p>
    <w:p>
      <w:pPr>
        <w:pStyle w:val="29"/>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式中：P</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2"/>
          <w:highlight w:val="none"/>
          <w14:textFill>
            <w14:solidFill>
              <w14:schemeClr w14:val="tx1"/>
            </w14:solidFill>
          </w14:textFill>
        </w:rPr>
        <w:t>——第i种污染物标准指数值；</w:t>
      </w:r>
    </w:p>
    <w:p>
      <w:pPr>
        <w:pStyle w:val="29"/>
        <w:pageBreakBefore w:val="0"/>
        <w:kinsoku/>
        <w:overflowPunct w:val="0"/>
        <w:bidi w:val="0"/>
        <w:snapToGrid w:val="0"/>
        <w:spacing w:line="360" w:lineRule="auto"/>
        <w:ind w:firstLine="1200" w:firstLineChars="5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C</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i</w:t>
      </w:r>
      <w:r>
        <w:rPr>
          <w:rFonts w:hint="default" w:ascii="Times New Roman" w:hAnsi="Times New Roman" w:eastAsia="宋体" w:cs="Times New Roman"/>
          <w:color w:val="000000" w:themeColor="text1"/>
          <w:kern w:val="2"/>
          <w:highlight w:val="none"/>
          <w14:textFill>
            <w14:solidFill>
              <w14:schemeClr w14:val="tx1"/>
            </w14:solidFill>
          </w14:textFill>
        </w:rPr>
        <w:t>——第i种污染物实测浓度值，mg/m</w:t>
      </w:r>
      <w:r>
        <w:rPr>
          <w:rFonts w:hint="default" w:ascii="Times New Roman" w:hAnsi="Times New Roman" w:eastAsia="宋体" w:cs="Times New Roman"/>
          <w:color w:val="000000" w:themeColor="text1"/>
          <w:kern w:val="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highlight w:val="none"/>
          <w14:textFill>
            <w14:solidFill>
              <w14:schemeClr w14:val="tx1"/>
            </w14:solidFill>
          </w14:textFill>
        </w:rPr>
        <w:t>；</w:t>
      </w:r>
    </w:p>
    <w:p>
      <w:pPr>
        <w:pStyle w:val="29"/>
        <w:pageBreakBefore w:val="0"/>
        <w:kinsoku/>
        <w:overflowPunct w:val="0"/>
        <w:bidi w:val="0"/>
        <w:snapToGrid w:val="0"/>
        <w:spacing w:line="360" w:lineRule="auto"/>
        <w:ind w:firstLine="1200" w:firstLineChars="500"/>
        <w:jc w:val="both"/>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highlight w:val="none"/>
          <w14:textFill>
            <w14:solidFill>
              <w14:schemeClr w14:val="tx1"/>
            </w14:solidFill>
          </w14:textFill>
        </w:rPr>
        <w:t>C</w:t>
      </w:r>
      <w:r>
        <w:rPr>
          <w:rFonts w:hint="default" w:ascii="Times New Roman" w:hAnsi="Times New Roman" w:eastAsia="宋体" w:cs="Times New Roman"/>
          <w:color w:val="000000" w:themeColor="text1"/>
          <w:kern w:val="2"/>
          <w:highlight w:val="none"/>
          <w:vertAlign w:val="subscript"/>
          <w14:textFill>
            <w14:solidFill>
              <w14:schemeClr w14:val="tx1"/>
            </w14:solidFill>
          </w14:textFill>
        </w:rPr>
        <w:t>0i</w:t>
      </w:r>
      <w:r>
        <w:rPr>
          <w:rFonts w:hint="default" w:ascii="Times New Roman" w:hAnsi="Times New Roman" w:eastAsia="宋体" w:cs="Times New Roman"/>
          <w:color w:val="000000" w:themeColor="text1"/>
          <w:kern w:val="2"/>
          <w:highlight w:val="none"/>
          <w14:textFill>
            <w14:solidFill>
              <w14:schemeClr w14:val="tx1"/>
            </w14:solidFill>
          </w14:textFill>
        </w:rPr>
        <w:t>——第i种污染物标准浓度值，mg/m</w:t>
      </w:r>
      <w:r>
        <w:rPr>
          <w:rFonts w:hint="default" w:ascii="Times New Roman" w:hAnsi="Times New Roman" w:eastAsia="宋体" w:cs="Times New Roman"/>
          <w:color w:val="000000" w:themeColor="text1"/>
          <w:kern w:val="2"/>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2"/>
          <w:highlight w:val="none"/>
          <w14:textFill>
            <w14:solidFill>
              <w14:schemeClr w14:val="tx1"/>
            </w14:solidFill>
          </w14:textFill>
        </w:rPr>
        <w:t>。</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当Pi值大于1.0时，表明大气环境已受到该项评价因子所表征的污染物的污染，Pi值越大，受污染程度越重。</w:t>
      </w:r>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⑤特征因子</w:t>
      </w:r>
      <w:r>
        <w:rPr>
          <w:rFonts w:hint="default" w:ascii="Times New Roman" w:hAnsi="Times New Roman" w:eastAsia="宋体" w:cs="Times New Roman"/>
          <w:color w:val="000000" w:themeColor="text1"/>
          <w:sz w:val="24"/>
          <w:szCs w:val="24"/>
          <w:highlight w:val="none"/>
          <w14:textFill>
            <w14:solidFill>
              <w14:schemeClr w14:val="tx1"/>
            </w14:solidFill>
          </w14:textFill>
        </w:rPr>
        <w:t>监测结果</w:t>
      </w:r>
    </w:p>
    <w:p>
      <w:pPr>
        <w:pageBreakBefore w:val="0"/>
        <w:kinsoku/>
        <w:overflowPunct w:val="0"/>
        <w:autoSpaceDE w:val="0"/>
        <w:autoSpaceDN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本次监测结果及分析见表4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w:t>
      </w:r>
      <w:r>
        <w:rPr>
          <w:rFonts w:hint="default" w:ascii="Times New Roman" w:hAnsi="Times New Roman" w:eastAsia="宋体" w:cs="Times New Roman"/>
          <w:bCs/>
          <w:color w:val="000000" w:themeColor="text1"/>
          <w:kern w:val="0"/>
          <w:szCs w:val="21"/>
          <w:highlight w:val="none"/>
          <w14:textFill>
            <w14:solidFill>
              <w14:schemeClr w14:val="tx1"/>
            </w14:solidFill>
          </w14:textFill>
        </w:rPr>
        <w:t>4.</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 xml:space="preserve">3-5 </w:t>
      </w:r>
      <w:r>
        <w:rPr>
          <w:rFonts w:hint="default" w:ascii="Times New Roman" w:hAnsi="Times New Roman" w:eastAsia="宋体" w:cs="Times New Roman"/>
          <w:bCs/>
          <w:color w:val="000000" w:themeColor="text1"/>
          <w:kern w:val="0"/>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14:textFill>
            <w14:solidFill>
              <w14:schemeClr w14:val="tx1"/>
            </w14:solidFill>
          </w14:textFill>
        </w:rPr>
        <w:t>监测及评价结果</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14:textFill>
            <w14:solidFill>
              <w14:schemeClr w14:val="tx1"/>
            </w14:solidFill>
          </w14:textFill>
        </w:rPr>
        <w:t>单位：</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kern w:val="0"/>
          <w:szCs w:val="21"/>
          <w:highlight w:val="none"/>
          <w14:textFill>
            <w14:solidFill>
              <w14:schemeClr w14:val="tx1"/>
            </w14:solidFill>
          </w14:textFill>
        </w:rPr>
        <w:t>g/m</w:t>
      </w:r>
      <w:r>
        <w:rPr>
          <w:rFonts w:hint="default" w:ascii="Times New Roman" w:hAnsi="Times New Roman" w:eastAsia="宋体" w:cs="Times New Roman"/>
          <w:bCs/>
          <w:color w:val="000000" w:themeColor="text1"/>
          <w:kern w:val="0"/>
          <w:szCs w:val="21"/>
          <w:highlight w:val="none"/>
          <w:vertAlign w:val="superscript"/>
          <w14:textFill>
            <w14:solidFill>
              <w14:schemeClr w14:val="tx1"/>
            </w14:solidFill>
          </w14:textFill>
        </w:rPr>
        <w:t>3</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
        <w:gridCol w:w="1755"/>
        <w:gridCol w:w="1950"/>
        <w:gridCol w:w="1515"/>
        <w:gridCol w:w="946"/>
        <w:gridCol w:w="1379"/>
        <w:gridCol w:w="972"/>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监测时间</w:t>
            </w:r>
          </w:p>
        </w:tc>
        <w:tc>
          <w:tcPr>
            <w:tcW w:w="2824" w:type="pct"/>
            <w:gridSpan w:val="5"/>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44" w:type="pct"/>
            <w:gridSpan w:val="2"/>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苯系物</w:t>
            </w:r>
          </w:p>
        </w:tc>
        <w:tc>
          <w:tcPr>
            <w:tcW w:w="1380" w:type="pct"/>
            <w:gridSpan w:val="3"/>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监测值</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Pi</w:t>
            </w:r>
          </w:p>
        </w:tc>
        <w:tc>
          <w:tcPr>
            <w:tcW w:w="809"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监测值</w:t>
            </w:r>
          </w:p>
        </w:tc>
        <w:tc>
          <w:tcPr>
            <w:tcW w:w="571" w:type="pct"/>
            <w:gridSpan w:val="2"/>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项目区内1#（90°21′12.44″E，43°56′59.81″N）</w:t>
            </w: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2022年3月25日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0.75</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2022年3月26日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0.90</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0.92</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2022年3月27日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0.88</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0.90</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0.91</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0.90</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2022年3月28日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0.77</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0.77</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0.79</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0.79</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2022年3月29日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0.82</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0.82</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0.83</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0.83</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2022年3月30日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0.95</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0.94</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0.95</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2022年3月31日</w:t>
            </w: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0.92</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0.88</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0.92</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 w:type="pct"/>
          <w:trHeight w:val="23" w:hRule="atLeast"/>
          <w:jc w:val="center"/>
        </w:trPr>
        <w:tc>
          <w:tcPr>
            <w:tcW w:w="1029"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0.93</w:t>
            </w:r>
          </w:p>
        </w:tc>
        <w:tc>
          <w:tcPr>
            <w:tcW w:w="974" w:type="dxa"/>
            <w:gridSpan w:val="2"/>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项目区下风向2#（90°21′59.48″E，43°56′40.19″N）</w:t>
            </w: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2022年3月25日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0.43</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0.43</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0.43</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2022年3月26日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0.43</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0.45</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0.45</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2022年3月27日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0.57</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0.57</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0.57</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0.57</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2022年3月28日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0.44</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0.45</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2022年3月29日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0.36</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0.39</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0.39</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0.37</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2022年3月30日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0.52</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0.55</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0.55</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0.53</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restar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2022年3月31日</w:t>
            </w: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0.38</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0.39</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0.41</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1030" w:type="pct"/>
            <w:gridSpan w:val="2"/>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4" w:type="pct"/>
            <w:vMerge w:val="continue"/>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88"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55" w:type="pct"/>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0.0075</w:t>
            </w: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0.39</w:t>
            </w:r>
          </w:p>
        </w:tc>
        <w:tc>
          <w:tcPr>
            <w:tcW w:w="972" w:type="dxa"/>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2175" w:type="pct"/>
            <w:gridSpan w:val="3"/>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w:t>
            </w:r>
          </w:p>
        </w:tc>
        <w:tc>
          <w:tcPr>
            <w:tcW w:w="1444" w:type="pct"/>
            <w:gridSpan w:val="2"/>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甲苯：</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μ</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二甲苯：</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μ</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1379" w:type="pct"/>
            <w:gridSpan w:val="2"/>
            <w:vAlign w:val="center"/>
          </w:tcPr>
          <w:p>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g/</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jc w:val="center"/>
        </w:trPr>
        <w:tc>
          <w:tcPr>
            <w:tcW w:w="2175" w:type="pct"/>
            <w:gridSpan w:val="3"/>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超标率</w:t>
            </w:r>
          </w:p>
        </w:tc>
        <w:tc>
          <w:tcPr>
            <w:tcW w:w="1444" w:type="pct"/>
            <w:gridSpan w:val="2"/>
            <w:vAlign w:val="center"/>
          </w:tcPr>
          <w:p>
            <w:pPr>
              <w:keepNext w:val="0"/>
              <w:keepLines w:val="0"/>
              <w:pageBreakBefore w:val="0"/>
              <w:widowControl/>
              <w:kinsoku/>
              <w:wordWrap/>
              <w:overflowPunct w:val="0"/>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70" w:type="pct"/>
            <w:vAlign w:val="center"/>
          </w:tcPr>
          <w:p>
            <w:pPr>
              <w:keepNext w:val="0"/>
              <w:keepLines w:val="0"/>
              <w:pageBreakBefore w:val="0"/>
              <w:widowControl/>
              <w:suppressLineNumbers w:val="0"/>
              <w:kinsoku/>
              <w:wordWrap/>
              <w:overflowPunct w:val="0"/>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ageBreakBefore w:val="0"/>
        <w:kinsoku/>
        <w:overflowPunct w:val="0"/>
        <w:bidi w:val="0"/>
        <w:snapToGrid w:val="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w:t>
      </w:r>
      <w:r>
        <w:rPr>
          <w:rFonts w:hint="default" w:ascii="Times New Roman" w:hAnsi="Times New Roman" w:eastAsia="宋体" w:cs="Times New Roman"/>
          <w:bCs/>
          <w:color w:val="000000" w:themeColor="text1"/>
          <w:kern w:val="0"/>
          <w:szCs w:val="21"/>
          <w:highlight w:val="none"/>
          <w14:textFill>
            <w14:solidFill>
              <w14:schemeClr w14:val="tx1"/>
            </w14:solidFill>
          </w14:textFill>
        </w:rPr>
        <w:t>4.</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3-6</w:t>
      </w:r>
      <w:r>
        <w:rPr>
          <w:rFonts w:hint="default" w:ascii="Times New Roman" w:hAnsi="Times New Roman" w:eastAsia="宋体" w:cs="Times New Roman"/>
          <w:bCs/>
          <w:color w:val="000000" w:themeColor="text1"/>
          <w:kern w:val="0"/>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14:textFill>
            <w14:solidFill>
              <w14:schemeClr w14:val="tx1"/>
            </w14:solidFill>
          </w14:textFill>
        </w:rPr>
        <w:t>监测及评价结果</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14:textFill>
            <w14:solidFill>
              <w14:schemeClr w14:val="tx1"/>
            </w14:solidFill>
          </w14:textFill>
        </w:rPr>
        <w:t>单位：</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kern w:val="0"/>
          <w:szCs w:val="21"/>
          <w:highlight w:val="none"/>
          <w14:textFill>
            <w14:solidFill>
              <w14:schemeClr w14:val="tx1"/>
            </w14:solidFill>
          </w14:textFill>
        </w:rPr>
        <w:t>g/m</w:t>
      </w:r>
      <w:r>
        <w:rPr>
          <w:rFonts w:hint="default" w:ascii="Times New Roman" w:hAnsi="Times New Roman" w:eastAsia="宋体" w:cs="Times New Roman"/>
          <w:bCs/>
          <w:color w:val="000000" w:themeColor="text1"/>
          <w:kern w:val="0"/>
          <w:szCs w:val="21"/>
          <w:highlight w:val="none"/>
          <w:vertAlign w:val="superscript"/>
          <w14:textFill>
            <w14:solidFill>
              <w14:schemeClr w14:val="tx1"/>
            </w14:solidFill>
          </w14:textFill>
        </w:rPr>
        <w:t>3</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2534"/>
        <w:gridCol w:w="205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1496"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监测时间</w:t>
            </w:r>
          </w:p>
        </w:tc>
        <w:tc>
          <w:tcPr>
            <w:tcW w:w="2428"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28"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11" w:type="pc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监测值</w:t>
            </w:r>
          </w:p>
        </w:tc>
        <w:tc>
          <w:tcPr>
            <w:tcW w:w="1217" w:type="pc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项目区内1#</w:t>
            </w:r>
          </w:p>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（90°21′12.44″E，43°56′59.81″N）</w:t>
            </w: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2022年3月25日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0.103</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2022年3月26日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0.110</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2022年3月27日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0.115</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2022年3月28日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0.117</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2022年3月29日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0.113</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2022年3月30日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0.110</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2022年3月31日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0.107</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restart"/>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项目区下风向2#（90°21′59.48″E，43°56′40.19″N）</w:t>
            </w: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2022年3月25日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0.122</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2022年3月26日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0.126</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2022年3月27日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0.124</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2022年3月28日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0.128</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2022年3月29日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0.127</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2022年3月30日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0.124</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5" w:type="pct"/>
            <w:vMerge w:val="continue"/>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96"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2022年3月31日</w:t>
            </w:r>
          </w:p>
        </w:tc>
        <w:tc>
          <w:tcPr>
            <w:tcW w:w="1211"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0.121</w:t>
            </w:r>
          </w:p>
        </w:tc>
        <w:tc>
          <w:tcPr>
            <w:tcW w:w="1217"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t>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1"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w:t>
            </w:r>
          </w:p>
        </w:tc>
        <w:tc>
          <w:tcPr>
            <w:tcW w:w="2428"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71"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超标率</w:t>
            </w:r>
          </w:p>
        </w:tc>
        <w:tc>
          <w:tcPr>
            <w:tcW w:w="2428" w:type="pct"/>
            <w:gridSpan w:val="2"/>
            <w:vAlign w:val="center"/>
          </w:tcPr>
          <w:p>
            <w:pPr>
              <w:keepNext w:val="0"/>
              <w:keepLines w:val="0"/>
              <w:pageBreakBefore w:val="0"/>
              <w:widowControl/>
              <w:kinsoku/>
              <w:wordWrap/>
              <w:overflowPunct w:val="0"/>
              <w:topLinePunct w:val="0"/>
              <w:autoSpaceDE w:val="0"/>
              <w:autoSpaceDN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bl>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sz w:val="24"/>
          <w:szCs w:val="24"/>
          <w:highlight w:val="none"/>
          <w14:textFill>
            <w14:solidFill>
              <w14:schemeClr w14:val="tx1"/>
            </w14:solidFill>
          </w14:textFill>
        </w:rPr>
        <w:t>评价结果</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由上表可知，项目区甲苯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二甲苯浓度能够满足《</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环境影响评价技术导则 大气环境</w:t>
      </w:r>
      <w:r>
        <w:rPr>
          <w:rFonts w:hint="default" w:ascii="Times New Roman" w:hAnsi="Times New Roman" w:eastAsia="宋体" w:cs="Times New Roman"/>
          <w:color w:val="000000" w:themeColor="text1"/>
          <w:sz w:val="24"/>
          <w:szCs w:val="24"/>
          <w:highlight w:val="none"/>
          <w14:textFill>
            <w14:solidFill>
              <w14:schemeClr w14:val="tx1"/>
            </w14:solidFill>
          </w14:textFill>
        </w:rPr>
        <w:t>》（HJ2.2-2018）附录D中其他污染物空气质量浓度参考限值；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非甲烷总烃小时值满足《大气污染物综合排放标准详解》中浓度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限值；</w:t>
      </w:r>
      <w:r>
        <w:rPr>
          <w:rFonts w:hint="default" w:ascii="Times New Roman" w:hAnsi="Times New Roman" w:eastAsia="宋体" w:cs="Times New Roman"/>
          <w:color w:val="000000" w:themeColor="text1"/>
          <w:sz w:val="24"/>
          <w:szCs w:val="24"/>
          <w:highlight w:val="none"/>
          <w14:textFill>
            <w14:solidFill>
              <w14:schemeClr w14:val="tx1"/>
            </w14:solidFill>
          </w14:textFill>
        </w:rPr>
        <w:t>TSP浓度能满足《环境空气质量标准》（GB3095-2012）二级标准限值要求。</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.3 </w:t>
      </w:r>
      <w:r>
        <w:rPr>
          <w:rFonts w:hint="default" w:ascii="Times New Roman" w:hAnsi="Times New Roman" w:eastAsia="宋体" w:cs="Times New Roman"/>
          <w:b/>
          <w:color w:val="000000" w:themeColor="text1"/>
          <w:sz w:val="24"/>
          <w:szCs w:val="24"/>
          <w:highlight w:val="none"/>
          <w14:textFill>
            <w14:solidFill>
              <w14:schemeClr w14:val="tx1"/>
            </w14:solidFill>
          </w14:textFill>
        </w:rPr>
        <w:t>声环境质量现状评价</w:t>
      </w:r>
    </w:p>
    <w:p>
      <w:pPr>
        <w:pageBreakBefore w:val="0"/>
        <w:kinsoku/>
        <w:overflowPunct w:val="0"/>
        <w:topLinePunct/>
        <w:bidi w:val="0"/>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依照《声环境质量标准》（GB3096-2008）进行噪声监测，监测仪器使用AWA568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型噪声统计分析仪，监测前用声级校准器进行校准，测量时传声器距地面1.2m，传声器戴风罩。</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根据本项目所在位置、所在区域声环境功能及当地气象、地形等因素，</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声环境质量现状监测委托</w:t>
      </w:r>
      <w:r>
        <w:rPr>
          <w:rFonts w:hint="default" w:ascii="Times New Roman" w:hAnsi="Times New Roman" w:eastAsia="宋体" w:cs="Times New Roman"/>
          <w:color w:val="000000" w:themeColor="text1"/>
          <w:sz w:val="24"/>
          <w:szCs w:val="24"/>
          <w:highlight w:val="none"/>
          <w14:textFill>
            <w14:solidFill>
              <w14:schemeClr w14:val="tx1"/>
            </w14:solidFill>
          </w14:textFill>
        </w:rPr>
        <w:t>新疆锡水金山环境科技有限公司</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于</w:t>
      </w: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25-26</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对项目区四周</w:t>
      </w:r>
      <w:r>
        <w:rPr>
          <w:rFonts w:hint="default" w:ascii="Times New Roman" w:hAnsi="Times New Roman" w:eastAsia="宋体" w:cs="Times New Roman"/>
          <w:color w:val="000000" w:themeColor="text1"/>
          <w:sz w:val="24"/>
          <w:szCs w:val="24"/>
          <w:highlight w:val="none"/>
          <w14:textFill>
            <w14:solidFill>
              <w14:schemeClr w14:val="tx1"/>
            </w14:solidFill>
          </w14:textFill>
        </w:rPr>
        <w:t>分昼夜两时段监测。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（1）监测项目</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等效连续A声级。</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（2）监测时间</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25-26</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昼、夜各1次。</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（3）监测点位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根据本项目平面布置及厂址周边情况，在四周厂界分别布设1个声环境质量现状监测点，共4个监测点位。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（4）评价方法</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按照《声环境质量标准》（GB3096-2008）中规定的方法进行。</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）监测结果及评价</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噪声现状监测结果评价结果见表4.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ind w:firstLine="48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噪声监测结果 单位：dB（A）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775"/>
        <w:gridCol w:w="1560"/>
        <w:gridCol w:w="1562"/>
        <w:gridCol w:w="992"/>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监测时间</w:t>
            </w:r>
          </w:p>
        </w:tc>
        <w:tc>
          <w:tcPr>
            <w:tcW w:w="1041" w:type="pct"/>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监测点位</w:t>
            </w:r>
          </w:p>
        </w:tc>
        <w:tc>
          <w:tcPr>
            <w:tcW w:w="1831" w:type="pct"/>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监测结果</w:t>
            </w:r>
          </w:p>
        </w:tc>
        <w:tc>
          <w:tcPr>
            <w:tcW w:w="1192" w:type="pct"/>
            <w:gridSpan w:val="2"/>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915" w:type="pc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昼间</w:t>
            </w:r>
          </w:p>
        </w:tc>
        <w:tc>
          <w:tcPr>
            <w:tcW w:w="916" w:type="pc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夜间</w:t>
            </w:r>
          </w:p>
        </w:tc>
        <w:tc>
          <w:tcPr>
            <w:tcW w:w="582" w:type="pc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昼间</w:t>
            </w:r>
          </w:p>
        </w:tc>
        <w:tc>
          <w:tcPr>
            <w:tcW w:w="610" w:type="pc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restar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2022年3月25日</w:t>
            </w: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项目区东侧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582" w:type="pct"/>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610" w:type="pct"/>
            <w:vMerge w:val="restart"/>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项目区南侧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项目区西侧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项目区北侧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restar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2022年3月</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26</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日</w:t>
            </w: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项目区东侧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项目区南侧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项目区西侧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4"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4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 xml:space="preserve">项目区北侧 </w:t>
            </w:r>
          </w:p>
        </w:tc>
        <w:tc>
          <w:tcPr>
            <w:tcW w:w="915"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916" w:type="pct"/>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c>
          <w:tcPr>
            <w:tcW w:w="582"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10" w:type="pct"/>
            <w:vMerge w:val="continue"/>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bl>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本项目各监测点均满足《声环境质量标准》（GB3096-2008）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类标准要求，项目所在地声环境质量良好。</w:t>
      </w:r>
    </w:p>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.4土壤环境质量现状</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新疆锡水金山环境科技有限公司于20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4"/>
          <w:szCs w:val="24"/>
          <w:highlight w:val="none"/>
          <w14:textFill>
            <w14:solidFill>
              <w14:schemeClr w14:val="tx1"/>
            </w14:solidFill>
          </w14:textFill>
        </w:rPr>
        <w:t>日对本项目评价区域进行了土壤环境质量现状监测。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（1）监测因子</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pH值、铬（六价）、镉、铜、铅、砷、汞、镍、四氯化碳、氯仿、氯甲烷、1,1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二氯乙烷、1,2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二氯乙烷、1,1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二氯乙烯、顺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二氯乙烯、反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二氯乙烯、二氯甲烷、1,2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二氯丙烷、1,1,1,2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四氯乙烷、1,1,2,2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四氯乙烷、四氯乙烯、1,1,1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三氯乙烷、1,1,2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三氯乙烷、三氯乙烯、1,2,3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三氯丙烷、氯乙烯、苯、氯苯、1,2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二氯苯、1,4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二氯苯、乙苯、苯乙烯、甲苯、间二甲苯+对二甲苯、领二甲苯硝基苯、苯胺、2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氯酚、苯并[a]蒽、苯并[a]芘、苯并[b]荧蒽、苯并[k]荧蒽、䓛、二苯并[a,h]蒽、茚并[1,2,3-cd]芘、萘类。</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（2）监测点位及要求</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 土壤环境（试行）》（HJ 964-2018）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 w:val="24"/>
          <w:szCs w:val="24"/>
          <w:highlight w:val="none"/>
          <w14:textFill>
            <w14:solidFill>
              <w14:schemeClr w14:val="tx1"/>
            </w14:solidFill>
          </w14:textFill>
        </w:rPr>
        <w:t>场地中心取3个柱状样点（0-0.5m，0.5-1.5m，1.5-3m分别取样）；②场区内取1个表层土样（0-0.2m）；③场区外200m 范围内取2个表层土样（0-0.2m）。监测点位置见表4.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土壤环境质量现状监测点位</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730"/>
        <w:gridCol w:w="5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973" w:type="dxa"/>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监测点位</w:t>
            </w:r>
          </w:p>
        </w:tc>
        <w:tc>
          <w:tcPr>
            <w:tcW w:w="554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场地中心</w:t>
            </w:r>
          </w:p>
        </w:tc>
        <w:tc>
          <w:tcPr>
            <w:tcW w:w="173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T-4#-1-300</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T-5#-1-300</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柱状样点</w:t>
            </w:r>
          </w:p>
        </w:tc>
        <w:tc>
          <w:tcPr>
            <w:tcW w:w="5549"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苯、乙苯、甲苯、间二甲苯+对二甲苯、邻二甲苯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73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T-6#-1-300</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柱状样点</w:t>
            </w:r>
          </w:p>
        </w:tc>
        <w:tc>
          <w:tcPr>
            <w:tcW w:w="5549"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pH值、铬（六价）、镉、铜、铅、砷、汞、镍、四氯化碳、氯仿、氯甲烷、1,1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二氯乙烷、1,2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二氯乙烷、1,1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二氯乙烯、顺</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二氯乙烯、反</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二氯乙烯、二氯甲烷、1,2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二氯丙烷、1,1,1,2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四氯乙烷、1,1,2,2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四氯乙烷、四氯乙烯、1,1,1</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三氯乙烷、1,1,2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三氯乙烷、三氯乙烯、1,2,3</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三氯丙烷、氯乙烯、苯、氯苯、1,2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二氯苯、1,4</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二氯苯、乙苯、苯乙烯、甲苯、间二甲苯+对二甲苯、领二甲苯硝基苯、苯胺、2</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氯酚、苯并[a]蒽、苯并[a]芘、苯并[b]荧蒽、苯并[k]荧蒽、䓛、二苯并[a,h]蒽、茚并[1,2,3-cd]芘、萘类。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场区内</w:t>
            </w:r>
          </w:p>
        </w:tc>
        <w:tc>
          <w:tcPr>
            <w:tcW w:w="173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T-1</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表层土样</w:t>
            </w:r>
          </w:p>
        </w:tc>
        <w:tc>
          <w:tcPr>
            <w:tcW w:w="554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场区外200m范围内</w:t>
            </w:r>
          </w:p>
        </w:tc>
        <w:tc>
          <w:tcPr>
            <w:tcW w:w="173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T-2#-1-20；</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T-3#-1-20；</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表层土样</w:t>
            </w:r>
          </w:p>
        </w:tc>
        <w:tc>
          <w:tcPr>
            <w:tcW w:w="5549"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bl>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（3）评价标准</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评价区内建设用地土壤环境执行《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土壤环境质量 建设用地土壤污染风险管控标准（试行）</w:t>
      </w:r>
      <w:r>
        <w:rPr>
          <w:rFonts w:hint="default" w:ascii="Times New Roman" w:hAnsi="Times New Roman" w:eastAsia="宋体" w:cs="Times New Roman"/>
          <w:color w:val="000000" w:themeColor="text1"/>
          <w:sz w:val="24"/>
          <w:szCs w:val="24"/>
          <w:highlight w:val="none"/>
          <w14:textFill>
            <w14:solidFill>
              <w14:schemeClr w14:val="tx1"/>
            </w14:solidFill>
          </w14:textFill>
        </w:rPr>
        <w:t>》（GB36600-2018）表1风险筛选值（基本项目）。</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（4）监测结果 </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土壤环境质量现状监测结果见表4.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w:t>
      </w:r>
      <w:r>
        <w:rPr>
          <w:rFonts w:hint="default" w:ascii="Times New Roman" w:hAnsi="Times New Roman" w:eastAsia="宋体" w:cs="Times New Roman"/>
          <w:bCs/>
          <w:color w:val="000000" w:themeColor="text1"/>
          <w:szCs w:val="21"/>
          <w:highlight w:val="none"/>
          <w14:textFill>
            <w14:solidFill>
              <w14:schemeClr w14:val="tx1"/>
            </w14:solidFill>
          </w14:textFill>
        </w:rPr>
        <w:t>4.</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 xml:space="preserve">3-9 </w:t>
      </w:r>
      <w:r>
        <w:rPr>
          <w:rFonts w:hint="default" w:ascii="Times New Roman" w:hAnsi="Times New Roman" w:eastAsia="宋体" w:cs="Times New Roman"/>
          <w:bCs/>
          <w:color w:val="000000" w:themeColor="text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土地现状监测结果</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24"/>
        <w:gridCol w:w="1016"/>
        <w:gridCol w:w="569"/>
        <w:gridCol w:w="1480"/>
        <w:gridCol w:w="1566"/>
        <w:gridCol w:w="1523"/>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vMerge w:val="restart"/>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951" w:type="pct"/>
            <w:gridSpan w:val="2"/>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采样地点</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项目区内表层样1</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90</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21</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20.24</w:t>
            </w:r>
            <w:r>
              <w:rPr>
                <w:rFonts w:hint="default" w:ascii="Times New Roman" w:hAnsi="Times New Roman" w:eastAsia="宋体" w:cs="Times New Roman"/>
                <w:color w:val="000000" w:themeColor="text1"/>
                <w:szCs w:val="21"/>
                <w14:textFill>
                  <w14:solidFill>
                    <w14:schemeClr w14:val="tx1"/>
                  </w14:solidFill>
                </w14:textFill>
              </w:rPr>
              <w:t>″E</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43</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57</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2.13</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项目区外表层样2</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90</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21</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11.98</w:t>
            </w:r>
            <w:r>
              <w:rPr>
                <w:rFonts w:hint="default" w:ascii="Times New Roman" w:hAnsi="Times New Roman" w:eastAsia="宋体" w:cs="Times New Roman"/>
                <w:color w:val="000000" w:themeColor="text1"/>
                <w:szCs w:val="21"/>
                <w14:textFill>
                  <w14:solidFill>
                    <w14:schemeClr w14:val="tx1"/>
                  </w14:solidFill>
                </w14:textFill>
              </w:rPr>
              <w:t>″E</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43</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56</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53.63</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1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项目区外表层样3</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90</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21</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11.67</w:t>
            </w:r>
            <w:r>
              <w:rPr>
                <w:rFonts w:hint="default" w:ascii="Times New Roman" w:hAnsi="Times New Roman" w:eastAsia="宋体" w:cs="Times New Roman"/>
                <w:color w:val="000000" w:themeColor="text1"/>
                <w:szCs w:val="21"/>
                <w14:textFill>
                  <w14:solidFill>
                    <w14:schemeClr w14:val="tx1"/>
                  </w14:solidFill>
                </w14:textFill>
              </w:rPr>
              <w:t>″E</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43</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56</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53.59</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93" w:type="pct"/>
            <w:vMerge w:val="restart"/>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《土壤环境质量建设用地土壤污染风险管控标准（试行）》（GB36600-2018）建设用地筛选值第二类质量标准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vMerge w:val="continue"/>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51" w:type="pct"/>
            <w:gridSpan w:val="2"/>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采样深度（cm）</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20</w:t>
            </w:r>
          </w:p>
        </w:tc>
        <w:tc>
          <w:tcPr>
            <w:tcW w:w="993" w:type="pct"/>
            <w:vMerge w:val="continue"/>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vMerge w:val="continue"/>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p>
        </w:tc>
        <w:tc>
          <w:tcPr>
            <w:tcW w:w="951" w:type="pct"/>
            <w:gridSpan w:val="2"/>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样品状态</w:t>
            </w:r>
          </w:p>
        </w:tc>
        <w:tc>
          <w:tcPr>
            <w:tcW w:w="2741" w:type="pct"/>
            <w:gridSpan w:val="3"/>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湿、浅棕色、无根系</w:t>
            </w:r>
          </w:p>
        </w:tc>
        <w:tc>
          <w:tcPr>
            <w:tcW w:w="993" w:type="pct"/>
            <w:vMerge w:val="continue"/>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vMerge w:val="continue"/>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p>
        </w:tc>
        <w:tc>
          <w:tcPr>
            <w:tcW w:w="609" w:type="pct"/>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检测项目</w:t>
            </w:r>
          </w:p>
        </w:tc>
        <w:tc>
          <w:tcPr>
            <w:tcW w:w="341" w:type="pct"/>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单位</w:t>
            </w:r>
          </w:p>
        </w:tc>
        <w:tc>
          <w:tcPr>
            <w:tcW w:w="2741" w:type="pct"/>
            <w:gridSpan w:val="3"/>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检测结果</w:t>
            </w:r>
          </w:p>
        </w:tc>
        <w:tc>
          <w:tcPr>
            <w:tcW w:w="993" w:type="pct"/>
            <w:vMerge w:val="continue"/>
            <w:noWrap w:val="0"/>
            <w:vAlign w:val="center"/>
          </w:tcPr>
          <w:p>
            <w:pPr>
              <w:keepNext w:val="0"/>
              <w:keepLines w:val="0"/>
              <w:pageBreakBefore w:val="0"/>
              <w:widowControl/>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0.43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1,1－二氯乙烯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二氯甲烷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&lt;2.6</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&lt;2.6</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&lt;2.6</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616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反－1,2－二氯乙烯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1,1－二氯乙烷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顺－1,2－二氯乙烯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596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氯仿</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0.9</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1,1,1－三氯乙烷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840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四氯化碳</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1,2－二氯乙烷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1,2－二氯丙烷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&lt;1.9</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&lt;1.9</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甲苯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1,1,2－三氯乙烷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&lt;1.4</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&lt;1.4</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&lt;1.4</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氯苯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1,1,1,2－四氯乙烷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乙苯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间，对－二甲苯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&lt;3.6</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&lt;3.6</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&lt;3.6</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邻－二甲苯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640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苯乙烯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1290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1,1,2,2－四氯乙烷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1,2,3－三氯丙烷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1,4－二氯苯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1,2－二氯苯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560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氯甲烷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硝基苯</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苯胺</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&lt;3.78</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&lt;3.78</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&lt;3.78</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260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2－氯苯酚</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2256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苯并[a]蒽</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32</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苯并[a]芘</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苯并[b]荧蒽</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&lt;0.2</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&lt;0.2</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&lt;0.2</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苯并[k]荧蒽</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䓛</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1293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36</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二苯并[a,h]蒽</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37</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茚并[1,2,3-cd]芘</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39</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砷</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5.97</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6.58</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6.40</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铅</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19</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800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41</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汞</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0.178</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0.170</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0.183</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42</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镉</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0.17</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0.15</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0.17</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43</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铜</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24</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24</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18000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44</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镍</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44</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47</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45</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c>
          <w:tcPr>
            <w:tcW w:w="60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六价铬</w:t>
            </w:r>
          </w:p>
        </w:tc>
        <w:tc>
          <w:tcPr>
            <w:tcW w:w="341"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2.2</w:t>
            </w:r>
          </w:p>
        </w:tc>
        <w:tc>
          <w:tcPr>
            <w:tcW w:w="939"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2.1</w:t>
            </w:r>
          </w:p>
        </w:tc>
        <w:tc>
          <w:tcPr>
            <w:tcW w:w="91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2.2</w:t>
            </w:r>
          </w:p>
        </w:tc>
        <w:tc>
          <w:tcPr>
            <w:tcW w:w="993" w:type="pct"/>
            <w:noWrap w:val="0"/>
            <w:vAlign w:val="center"/>
          </w:tcPr>
          <w:p>
            <w:pPr>
              <w:keepNext w:val="0"/>
              <w:keepLines w:val="0"/>
              <w:pageBreakBefore w:val="0"/>
              <w:wordWrap/>
              <w:overflowPunct/>
              <w:topLinePunct w:val="0"/>
              <w:bidi w:val="0"/>
              <w:adjustRightInd/>
              <w:snapToGrid/>
              <w:ind w:right="0" w:rightChars="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vMerge w:val="restar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序号</w:t>
            </w:r>
          </w:p>
        </w:tc>
        <w:tc>
          <w:tcPr>
            <w:tcW w:w="951" w:type="pct"/>
            <w:gridSpan w:val="2"/>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采样地点</w:t>
            </w:r>
          </w:p>
        </w:tc>
        <w:tc>
          <w:tcPr>
            <w:tcW w:w="8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场地中心柱状样4号点（300深度）4</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w:t>
            </w:r>
          </w:p>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90°21′23.41″E43°56′59.43″N</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3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场地中心柱状样5号点（300深度）5</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w:t>
            </w:r>
          </w:p>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90°21′26.81″E43°56′58.61″N</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场地中心柱状样6号点（300深度）6</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w:t>
            </w:r>
          </w:p>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90°21′24.18″E43°56′58.07″N</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93" w:type="pct"/>
            <w:vMerge w:val="restar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《土壤环境质量 建设用地土壤污染风险管控标准（试行）》（GB36600-2018）建设用地筛选值第二类质量标准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vMerge w:val="continue"/>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51" w:type="pct"/>
            <w:gridSpan w:val="2"/>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采样深度（cm）</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300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300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300</w:t>
            </w:r>
          </w:p>
        </w:tc>
        <w:tc>
          <w:tcPr>
            <w:tcW w:w="993" w:type="pct"/>
            <w:vMerge w:val="continue"/>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vMerge w:val="continue"/>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p>
        </w:tc>
        <w:tc>
          <w:tcPr>
            <w:tcW w:w="951" w:type="pct"/>
            <w:gridSpan w:val="2"/>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样品状态</w:t>
            </w:r>
          </w:p>
        </w:tc>
        <w:tc>
          <w:tcPr>
            <w:tcW w:w="888" w:type="pc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浅褐色、潮、无根系</w:t>
            </w:r>
          </w:p>
        </w:tc>
        <w:tc>
          <w:tcPr>
            <w:tcW w:w="939" w:type="pc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浅黄色、干、无根系</w:t>
            </w:r>
          </w:p>
        </w:tc>
        <w:tc>
          <w:tcPr>
            <w:tcW w:w="913" w:type="pc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浅褐色、干、无根系</w:t>
            </w:r>
          </w:p>
        </w:tc>
        <w:tc>
          <w:tcPr>
            <w:tcW w:w="993" w:type="pct"/>
            <w:vMerge w:val="continue"/>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vMerge w:val="continue"/>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pPr>
          </w:p>
        </w:tc>
        <w:tc>
          <w:tcPr>
            <w:tcW w:w="609" w:type="pc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检测项目</w:t>
            </w:r>
          </w:p>
        </w:tc>
        <w:tc>
          <w:tcPr>
            <w:tcW w:w="341" w:type="pct"/>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bidi="ar"/>
                <w14:textFill>
                  <w14:solidFill>
                    <w14:schemeClr w14:val="tx1"/>
                  </w14:solidFill>
                </w14:textFill>
              </w:rPr>
              <w:t>单位</w:t>
            </w:r>
          </w:p>
        </w:tc>
        <w:tc>
          <w:tcPr>
            <w:tcW w:w="2741" w:type="pct"/>
            <w:gridSpan w:val="3"/>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t>检测结果</w:t>
            </w:r>
          </w:p>
        </w:tc>
        <w:tc>
          <w:tcPr>
            <w:tcW w:w="993" w:type="pct"/>
            <w:vMerge w:val="continue"/>
            <w:noWrap w:val="0"/>
            <w:vAlign w:val="center"/>
          </w:tcPr>
          <w:p>
            <w:pPr>
              <w:keepNext w:val="0"/>
              <w:keepLines w:val="0"/>
              <w:pageBreakBefore w:val="0"/>
              <w:widowControl/>
              <w:wordWrap/>
              <w:topLinePunct w:val="0"/>
              <w:bidi w:val="0"/>
              <w:adjustRightInd/>
              <w:snapToGrid/>
              <w:jc w:val="center"/>
              <w:textAlignment w:val="center"/>
              <w:rPr>
                <w:rFonts w:hint="default" w:ascii="Times New Roman" w:hAnsi="Times New Roman" w:eastAsia="宋体" w:cs="Times New Roman"/>
                <w:bCs/>
                <w:color w:val="000000" w:themeColor="text1"/>
                <w:kern w:val="0"/>
                <w:sz w:val="21"/>
                <w:szCs w:val="21"/>
                <w:highlight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0.43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1,1－二氯乙烯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二氯甲烷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616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反－1,2－二氯乙烯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1,1－二氯乙烷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顺－1,2－二氯乙烯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596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氯仿</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&lt;1.5</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0.9</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1,1,1－三氯乙烷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840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四氯化碳</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1,2－二氯乙烷 </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&lt;0.9</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1,2－二氯丙烷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&lt;1.9</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甲苯 </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&lt;2.0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1,1,2－三氯乙烷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&lt;1.4</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&lt;1.4</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&lt;1.4</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四氯乙烯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&lt;0.8</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氯苯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1,1,1,2－四氯乙烷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乙苯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间，对－二甲苯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邻－二甲苯 </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&lt;1.3</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640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苯乙烯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1290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1,1,2,2－四氯乙烷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1,2,3－三氯丙烷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1,4－二氯苯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&lt;1.2</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26</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1,2－二氯苯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&lt;1.0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560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氯甲烷 </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μ</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&lt;3.0</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28</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硝基苯</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苯胺</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&lt;3.78</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&lt;3.78</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&lt;3.78</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260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2－氯苯酚</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2256</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苯并[a]蒽</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32</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苯并[a]芘 </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苯并[b]荧蒽</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&lt;0.2</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&lt;0.2</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&lt;0.2</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34</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苯并[k]荧蒽</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151</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䓛</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1293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36</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二苯并[a,h]蒽</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37</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茚并[1,2,3-cd]芘</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38</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萘 </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&lt;0.09</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39</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砷</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4.26</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4.10</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3.84</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铅</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800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41</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汞</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0.093</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0.086</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42</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镉</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0.10</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43</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铜</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18000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44</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镍</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29</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33</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31</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jc w:val="center"/>
        </w:trPr>
        <w:tc>
          <w:tcPr>
            <w:tcW w:w="314" w:type="pct"/>
            <w:noWrap w:val="0"/>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c>
          <w:tcPr>
            <w:tcW w:w="60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六价铬</w:t>
            </w:r>
          </w:p>
        </w:tc>
        <w:tc>
          <w:tcPr>
            <w:tcW w:w="341"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c>
          <w:tcPr>
            <w:tcW w:w="888"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p>
        </w:tc>
        <w:tc>
          <w:tcPr>
            <w:tcW w:w="939"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p>
        </w:tc>
        <w:tc>
          <w:tcPr>
            <w:tcW w:w="91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w:t>
            </w:r>
          </w:p>
        </w:tc>
        <w:tc>
          <w:tcPr>
            <w:tcW w:w="993" w:type="pct"/>
            <w:noWrap w:val="0"/>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5.7</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mg/</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w:t>
            </w:r>
          </w:p>
        </w:tc>
      </w:tr>
    </w:tbl>
    <w:p>
      <w:pPr>
        <w:pStyle w:val="54"/>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续表</w:t>
      </w:r>
      <w:r>
        <w:rPr>
          <w:rFonts w:hint="default" w:ascii="Times New Roman" w:hAnsi="Times New Roman" w:eastAsia="宋体" w:cs="Times New Roman"/>
          <w:bCs/>
          <w:color w:val="000000" w:themeColor="text1"/>
          <w:szCs w:val="21"/>
          <w:highlight w:val="none"/>
          <w14:textFill>
            <w14:solidFill>
              <w14:schemeClr w14:val="tx1"/>
            </w14:solidFill>
          </w14:textFill>
        </w:rPr>
        <w:t>4.</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 xml:space="preserve">3-9 </w:t>
      </w:r>
      <w:r>
        <w:rPr>
          <w:rFonts w:hint="default" w:ascii="Times New Roman" w:hAnsi="Times New Roman" w:eastAsia="宋体" w:cs="Times New Roman"/>
          <w:bCs/>
          <w:color w:val="000000" w:themeColor="text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zCs w:val="21"/>
          <w:highlight w:val="none"/>
          <w14:textFill>
            <w14:solidFill>
              <w14:schemeClr w14:val="tx1"/>
            </w14:solidFill>
          </w14:textFill>
        </w:rPr>
        <w:t>土地现状监测结果</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995"/>
        <w:gridCol w:w="770"/>
        <w:gridCol w:w="835"/>
        <w:gridCol w:w="3"/>
        <w:gridCol w:w="752"/>
        <w:gridCol w:w="3"/>
        <w:gridCol w:w="1109"/>
        <w:gridCol w:w="3"/>
        <w:gridCol w:w="872"/>
        <w:gridCol w:w="3"/>
        <w:gridCol w:w="989"/>
        <w:gridCol w:w="3"/>
        <w:gridCol w:w="99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2162" w:type="pct"/>
            <w:gridSpan w:val="4"/>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检测项目</w:t>
            </w:r>
          </w:p>
        </w:tc>
        <w:tc>
          <w:tcPr>
            <w:tcW w:w="453" w:type="pct"/>
            <w:gridSpan w:val="2"/>
            <w:noWrap w:val="0"/>
            <w:vAlign w:val="center"/>
          </w:tcPr>
          <w:p>
            <w:pPr>
              <w:widowControl w:val="0"/>
              <w:tabs>
                <w:tab w:val="left" w:pos="414"/>
              </w:tabs>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苯</w:t>
            </w:r>
          </w:p>
        </w:tc>
        <w:tc>
          <w:tcPr>
            <w:tcW w:w="667" w:type="pct"/>
            <w:gridSpan w:val="2"/>
            <w:noWrap w:val="0"/>
            <w:vAlign w:val="center"/>
          </w:tcPr>
          <w:p>
            <w:pPr>
              <w:widowControl w:val="0"/>
              <w:tabs>
                <w:tab w:val="left" w:pos="414"/>
              </w:tabs>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甲苯</w:t>
            </w:r>
          </w:p>
        </w:tc>
        <w:tc>
          <w:tcPr>
            <w:tcW w:w="525" w:type="pct"/>
            <w:gridSpan w:val="2"/>
            <w:noWrap w:val="0"/>
            <w:vAlign w:val="center"/>
          </w:tcPr>
          <w:p>
            <w:pPr>
              <w:widowControl w:val="0"/>
              <w:tabs>
                <w:tab w:val="left" w:pos="414"/>
              </w:tabs>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乙苯</w:t>
            </w:r>
          </w:p>
        </w:tc>
        <w:tc>
          <w:tcPr>
            <w:tcW w:w="595" w:type="pct"/>
            <w:gridSpan w:val="2"/>
            <w:noWrap w:val="0"/>
            <w:vAlign w:val="center"/>
          </w:tcPr>
          <w:p>
            <w:pPr>
              <w:widowControl w:val="0"/>
              <w:tabs>
                <w:tab w:val="left" w:pos="414"/>
              </w:tabs>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间，对－二甲苯</w:t>
            </w:r>
          </w:p>
        </w:tc>
        <w:tc>
          <w:tcPr>
            <w:tcW w:w="595" w:type="pct"/>
            <w:gridSpan w:val="2"/>
            <w:noWrap w:val="0"/>
            <w:vAlign w:val="center"/>
          </w:tcPr>
          <w:p>
            <w:pPr>
              <w:widowControl w:val="0"/>
              <w:tabs>
                <w:tab w:val="left" w:pos="414"/>
              </w:tabs>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邻－二甲苯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2162" w:type="pct"/>
            <w:gridSpan w:val="4"/>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单位</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μg/kg</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μg/kg</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μg/kg</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μg/kg</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noWrap w:val="0"/>
            <w:vAlign w:val="center"/>
          </w:tcPr>
          <w:p>
            <w:pPr>
              <w:widowControl/>
              <w:kinsoku/>
              <w:autoSpaceDE/>
              <w:autoSpaceDN/>
              <w:adjustRightInd/>
              <w:snapToGrid/>
              <w:spacing w:line="240" w:lineRule="auto"/>
              <w:jc w:val="center"/>
              <w:textAlignment w:val="center"/>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采样地点</w:t>
            </w:r>
          </w:p>
        </w:tc>
        <w:tc>
          <w:tcPr>
            <w:tcW w:w="462" w:type="pct"/>
            <w:noWrap w:val="0"/>
            <w:vAlign w:val="center"/>
          </w:tcPr>
          <w:p>
            <w:pPr>
              <w:widowControl/>
              <w:kinsoku/>
              <w:autoSpaceDE/>
              <w:autoSpaceDN/>
              <w:adjustRightInd/>
              <w:snapToGrid/>
              <w:spacing w:line="240" w:lineRule="auto"/>
              <w:jc w:val="center"/>
              <w:textAlignment w:val="cente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深度（cm）</w:t>
            </w:r>
          </w:p>
        </w:tc>
        <w:tc>
          <w:tcPr>
            <w:tcW w:w="502" w:type="pct"/>
            <w:gridSpan w:val="2"/>
            <w:noWrap w:val="0"/>
            <w:vAlign w:val="center"/>
          </w:tcPr>
          <w:p>
            <w:pPr>
              <w:widowControl/>
              <w:kinsoku/>
              <w:autoSpaceDE/>
              <w:autoSpaceDN/>
              <w:adjustRightInd/>
              <w:snapToGrid/>
              <w:spacing w:line="240" w:lineRule="auto"/>
              <w:jc w:val="center"/>
              <w:textAlignment w:val="cente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样品状态</w:t>
            </w:r>
          </w:p>
        </w:tc>
        <w:tc>
          <w:tcPr>
            <w:tcW w:w="2837" w:type="pct"/>
            <w:gridSpan w:val="10"/>
            <w:noWrap w:val="0"/>
            <w:vAlign w:val="center"/>
          </w:tcPr>
          <w:p>
            <w:pPr>
              <w:widowControl/>
              <w:kinsoku/>
              <w:autoSpaceDE/>
              <w:autoSpaceDN/>
              <w:adjustRightInd/>
              <w:snapToGrid/>
              <w:spacing w:line="240" w:lineRule="auto"/>
              <w:jc w:val="center"/>
              <w:textAlignment w:val="cente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color w:val="000000" w:themeColor="text1"/>
                <w:kern w:val="2"/>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场地中心柱状样4号点（50、150深度）4</w:t>
            </w:r>
            <w:r>
              <w:rPr>
                <w:rFonts w:hint="default" w:ascii="Times New Roman" w:hAnsi="Times New Roman" w:eastAsia="宋体" w:cs="Times New Roman"/>
                <w:bCs/>
                <w:snapToGrid/>
                <w:color w:val="000000" w:themeColor="text1"/>
                <w:kern w:val="2"/>
                <w:sz w:val="21"/>
                <w:szCs w:val="21"/>
                <w:highlight w:val="none"/>
                <w:vertAlign w:val="superscript"/>
                <w:lang w:val="en-US" w:eastAsia="zh-CN" w:bidi="ar-SA"/>
                <w14:textFill>
                  <w14:solidFill>
                    <w14:schemeClr w14:val="tx1"/>
                  </w14:solidFill>
                </w14:textFill>
              </w:rPr>
              <w:t>#</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（90°21′23.41″E，43°56′59.43″N）</w:t>
            </w:r>
          </w:p>
        </w:tc>
        <w:tc>
          <w:tcPr>
            <w:tcW w:w="462" w:type="pct"/>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50</w:t>
            </w:r>
          </w:p>
        </w:tc>
        <w:tc>
          <w:tcPr>
            <w:tcW w:w="502"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棕色、湿、无根系</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&lt;1.6</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&lt;2.0</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&lt;1.2</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&lt;3.6</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vMerge w:val="continue"/>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462" w:type="pct"/>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150</w:t>
            </w:r>
          </w:p>
        </w:tc>
        <w:tc>
          <w:tcPr>
            <w:tcW w:w="502"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棕色、潮、无根系</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&lt;1.6</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&lt;2.0</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&lt;1.2</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&lt;3.6</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color w:val="000000" w:themeColor="text1"/>
                <w:kern w:val="2"/>
                <w:sz w:val="21"/>
                <w:szCs w:val="21"/>
                <w:highlight w:val="none"/>
                <w:vertAlign w:val="superscript"/>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场地中心柱状样5号点（50、150深度）5</w:t>
            </w:r>
            <w:r>
              <w:rPr>
                <w:rFonts w:hint="default" w:ascii="Times New Roman" w:hAnsi="Times New Roman" w:eastAsia="宋体" w:cs="Times New Roman"/>
                <w:bCs/>
                <w:snapToGrid/>
                <w:color w:val="000000" w:themeColor="text1"/>
                <w:kern w:val="2"/>
                <w:sz w:val="21"/>
                <w:szCs w:val="21"/>
                <w:highlight w:val="none"/>
                <w:vertAlign w:val="superscript"/>
                <w:lang w:val="en-US" w:eastAsia="zh-CN" w:bidi="ar-SA"/>
                <w14:textFill>
                  <w14:solidFill>
                    <w14:schemeClr w14:val="tx1"/>
                  </w14:solidFill>
                </w14:textFill>
              </w:rPr>
              <w:t>#</w:t>
            </w:r>
          </w:p>
          <w:p>
            <w:pPr>
              <w:jc w:val="cente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90</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21</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26.81</w:t>
            </w:r>
            <w:r>
              <w:rPr>
                <w:rFonts w:hint="default" w:ascii="Times New Roman" w:hAnsi="Times New Roman" w:eastAsia="宋体" w:cs="Times New Roman"/>
                <w:color w:val="000000" w:themeColor="text1"/>
                <w:szCs w:val="21"/>
                <w14:textFill>
                  <w14:solidFill>
                    <w14:schemeClr w14:val="tx1"/>
                  </w14:solidFill>
                </w14:textFill>
              </w:rPr>
              <w:t>″E</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43</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56</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58.61</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w:t>
            </w:r>
          </w:p>
        </w:tc>
        <w:tc>
          <w:tcPr>
            <w:tcW w:w="462" w:type="pct"/>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50</w:t>
            </w:r>
          </w:p>
        </w:tc>
        <w:tc>
          <w:tcPr>
            <w:tcW w:w="502"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棕色、潮、无根系</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&lt;1.6</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&lt;2.0</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&lt;1.2</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&lt;3.6</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vMerge w:val="continue"/>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462" w:type="pct"/>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150</w:t>
            </w:r>
          </w:p>
        </w:tc>
        <w:tc>
          <w:tcPr>
            <w:tcW w:w="502"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黄色、干、无根系</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&lt;1.6</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&lt;2.0</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&lt;1.2</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&lt;3.6</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vMerge w:val="restart"/>
            <w:noWrap w:val="0"/>
            <w:vAlign w:val="center"/>
          </w:tcPr>
          <w:p>
            <w:pPr>
              <w:widowControl/>
              <w:kinsoku/>
              <w:autoSpaceDE/>
              <w:autoSpaceDN/>
              <w:adjustRightInd/>
              <w:snapToGrid/>
              <w:spacing w:line="240" w:lineRule="auto"/>
              <w:jc w:val="center"/>
              <w:textAlignment w:val="cente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场地中心柱状样6号点（50、150深度）6</w:t>
            </w:r>
            <w:r>
              <w:rPr>
                <w:rFonts w:hint="default" w:ascii="Times New Roman" w:hAnsi="Times New Roman" w:eastAsia="宋体" w:cs="Times New Roman"/>
                <w:bCs/>
                <w:snapToGrid/>
                <w:color w:val="000000" w:themeColor="text1"/>
                <w:kern w:val="2"/>
                <w:sz w:val="21"/>
                <w:szCs w:val="21"/>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（90°21′24.18″E，43°56′58.07″N）</w:t>
            </w:r>
          </w:p>
        </w:tc>
        <w:tc>
          <w:tcPr>
            <w:tcW w:w="462" w:type="pct"/>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50</w:t>
            </w:r>
          </w:p>
        </w:tc>
        <w:tc>
          <w:tcPr>
            <w:tcW w:w="502"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棕色、湿、无根系</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0"/>
                <w:sz w:val="21"/>
                <w:szCs w:val="24"/>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&lt;1.6</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&lt;2.0</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&lt;1.2</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&lt;3.6</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0" w:hRule="atLeast"/>
        </w:trPr>
        <w:tc>
          <w:tcPr>
            <w:tcW w:w="1197" w:type="pct"/>
            <w:vMerge w:val="continue"/>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p>
        </w:tc>
        <w:tc>
          <w:tcPr>
            <w:tcW w:w="462" w:type="pct"/>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150</w:t>
            </w:r>
          </w:p>
        </w:tc>
        <w:tc>
          <w:tcPr>
            <w:tcW w:w="502"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t>黄色、干、无根系</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&lt;1.6</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&lt;2.0</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&lt;1.2</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&lt;3.6</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gridAfter w:val="1"/>
          <w:wAfter w:w="1" w:type="pct"/>
          <w:trHeight w:val="0" w:hRule="atLeast"/>
        </w:trPr>
        <w:tc>
          <w:tcPr>
            <w:tcW w:w="2160" w:type="pct"/>
            <w:gridSpan w:val="3"/>
            <w:noWrap w:val="0"/>
            <w:vAlign w:val="center"/>
          </w:tcPr>
          <w:p>
            <w:pPr>
              <w:widowControl/>
              <w:kinsoku/>
              <w:autoSpaceDE/>
              <w:autoSpaceDN/>
              <w:adjustRightInd/>
              <w:snapToGrid/>
              <w:spacing w:line="240" w:lineRule="auto"/>
              <w:jc w:val="center"/>
              <w:textAlignment w:val="cente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bCs/>
                <w:snapToGrid/>
                <w:color w:val="000000" w:themeColor="text1"/>
                <w:kern w:val="0"/>
                <w:szCs w:val="21"/>
                <w:highlight w:val="none"/>
                <w:lang w:val="en-US" w:eastAsia="zh-CN" w:bidi="ar"/>
                <w14:textFill>
                  <w14:solidFill>
                    <w14:schemeClr w14:val="tx1"/>
                  </w14:solidFill>
                </w14:textFill>
              </w:rPr>
              <w:t>《土壤环境质量 建设用地土壤污染风险管控标准（试行）》（GB36600-2018）建设用地筛选值第二类质量标准</w:t>
            </w:r>
          </w:p>
        </w:tc>
        <w:tc>
          <w:tcPr>
            <w:tcW w:w="453"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mg/kg</w:t>
            </w:r>
          </w:p>
        </w:tc>
        <w:tc>
          <w:tcPr>
            <w:tcW w:w="667"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1200</w:t>
            </w: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mg/kg</w:t>
            </w:r>
          </w:p>
        </w:tc>
        <w:tc>
          <w:tcPr>
            <w:tcW w:w="52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28</w:t>
            </w: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mg/kg</w:t>
            </w:r>
          </w:p>
        </w:tc>
        <w:tc>
          <w:tcPr>
            <w:tcW w:w="595"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570</w:t>
            </w: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mg/kg</w:t>
            </w:r>
          </w:p>
        </w:tc>
        <w:tc>
          <w:tcPr>
            <w:tcW w:w="596" w:type="pct"/>
            <w:gridSpan w:val="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Cs/>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640</w:t>
            </w:r>
            <w:r>
              <w:rPr>
                <w:rFonts w:hint="default" w:ascii="Times New Roman" w:hAnsi="Times New Roman" w:eastAsia="宋体" w:cs="Times New Roman"/>
                <w:snapToGrid/>
                <w:color w:val="000000" w:themeColor="text1"/>
                <w:kern w:val="0"/>
                <w:szCs w:val="24"/>
                <w:highlight w:val="none"/>
                <w:lang w:val="en-US" w:eastAsia="zh-CN" w:bidi="ar-SA"/>
                <w14:textFill>
                  <w14:solidFill>
                    <w14:schemeClr w14:val="tx1"/>
                  </w14:solidFill>
                </w14:textFill>
              </w:rPr>
              <w:t>mg/kg</w:t>
            </w:r>
          </w:p>
        </w:tc>
      </w:tr>
    </w:tbl>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根据监测结果可知，项目所在地土壤中污染物的含量低于《土壤环境质量 建设用地土壤污染风险管控标准（试行）》（GB36600-2018）表1中第二类用地筛选值和管制值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4.3.5生态环境功能区划</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根据《新疆生态环境功能区划》，本项目所在区域位于准噶尔盆地温性荒漠与绿洲农业生态区，准噶尔盆地南部荒漠绿洲农业生态亚区。区域生态功能简表见表4.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t>表4.3-10   区域生态功能区划简表</w:t>
      </w:r>
    </w:p>
    <w:tbl>
      <w:tblPr>
        <w:tblStyle w:val="2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项目</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生态区</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Ⅱ 准噶尔盆地温性荒漠与绿洲农业生态区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生态亚区</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Ⅱ5 准噶尔盆地南部荒漠绿洲农业生态亚区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生态功能区</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28．阜康—木垒绿洲农业、荒漠草地保护生态功能区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主要生态服务功能</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农牧业产品生产、人居环境、荒漠化控制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主要生态环境问题</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地下水超采、荒漠植被退化、沙漠化威胁、局部土壤盐渍化、河流萎缩、滥开荒地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主要生态敏感因子、敏感程度</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生物多样性及其生境中度敏感，土壤侵蚀轻度敏感，土地沙漠化中度敏感，土壤盐渍化轻度敏感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主要保护目标</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保护基本农田、保护荒漠植被、保护土壤环境质量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主要保护措施</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节水灌溉、草场休牧、对坡耕地和沙化土地实施退耕还林（草），在水源无保障、植被稀少、生态脆弱地带禁止开荒、加强农田投入品的使用管理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适宜发展方向</w:t>
            </w:r>
          </w:p>
        </w:tc>
        <w:tc>
          <w:tcPr>
            <w:tcW w:w="61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农牧结合，发展优质、高效特色农业和畜牧业</w:t>
            </w:r>
          </w:p>
        </w:tc>
      </w:tr>
    </w:tbl>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用地为规划的工业用地，项目区植被主要为沙漠绢蒿等荒漠植被，植被覆盖度约为25%，项目区受人为活动影响，区域内野生动物稀少，只有一些常见的小型野生种类，如麻雀、沙鼠等。项目区域内没有国家及自治区级野生保护动物分布。</w:t>
      </w:r>
    </w:p>
    <w:p>
      <w:pPr>
        <w:pageBreakBefore w:val="0"/>
        <w:kinsoku/>
        <w:overflowPunct w:val="0"/>
        <w:bidi w:val="0"/>
        <w:snapToGrid w:val="0"/>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137" w:name="_Toc32716"/>
      <w:bookmarkStart w:id="138" w:name="_Toc30975"/>
      <w:bookmarkStart w:id="139" w:name="_Toc25732"/>
      <w:bookmarkStart w:id="140" w:name="_Toc19943"/>
      <w:r>
        <w:rPr>
          <w:rFonts w:hint="default" w:ascii="Times New Roman" w:hAnsi="Times New Roman" w:eastAsia="宋体" w:cs="Times New Roman"/>
          <w:color w:val="000000" w:themeColor="text1"/>
          <w:sz w:val="30"/>
          <w:szCs w:val="30"/>
          <w:highlight w:val="none"/>
          <w14:textFill>
            <w14:solidFill>
              <w14:schemeClr w14:val="tx1"/>
            </w14:solidFill>
          </w14:textFill>
        </w:rPr>
        <w:t>5  环境影响预测与评价</w:t>
      </w:r>
      <w:bookmarkEnd w:id="137"/>
      <w:bookmarkEnd w:id="138"/>
      <w:bookmarkEnd w:id="139"/>
      <w:bookmarkEnd w:id="140"/>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41" w:name="_Toc10783"/>
      <w:bookmarkStart w:id="142" w:name="_Toc23607"/>
      <w:bookmarkStart w:id="143" w:name="_Toc28786"/>
      <w:bookmarkStart w:id="144" w:name="_Toc30315"/>
      <w:bookmarkStart w:id="145" w:name="_Toc1940"/>
      <w:r>
        <w:rPr>
          <w:rFonts w:hint="default" w:ascii="Times New Roman" w:hAnsi="Times New Roman" w:eastAsia="宋体" w:cs="Times New Roman"/>
          <w:color w:val="000000" w:themeColor="text1"/>
          <w:sz w:val="24"/>
          <w:szCs w:val="24"/>
          <w:highlight w:val="none"/>
          <w14:textFill>
            <w14:solidFill>
              <w14:schemeClr w14:val="tx1"/>
            </w14:solidFill>
          </w14:textFill>
        </w:rPr>
        <w:t>5.1施工期环境影响分析</w:t>
      </w:r>
      <w:bookmarkEnd w:id="141"/>
      <w:bookmarkEnd w:id="142"/>
      <w:bookmarkEnd w:id="143"/>
      <w:bookmarkEnd w:id="144"/>
      <w:bookmarkEnd w:id="145"/>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5.1.1施工期大气环境影响分析</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项目建设涉及的土石方开挖和填筑将引起扬尘，施工机械及运输车辆将产生汽车尾气，装修过程产生装修废气，给大气环境造成一定的影响。</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扬尘污染</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间土石方开挖和填筑等，在干燥和大风天气，可引起扬尘，使大气中悬浮颗粒物增加。施工现场沙、土等物料使用及运输过程中可能产生扬尘，扬尘污染在一定时间和空间内会对周围环境空气质量产生影响，如不加以管理和控制，有可能会影响周围群众正常的工作和生活，甚至危害人民群众身体健康。为了降低扬尘产生量，减少施工扬尘对厂界附近地区（≤200m范围内）的影响，保护大气环境，强化建筑扬尘治理管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全市各类工地达到“六个100%”（工地周边围挡、裸露土地和物料堆放覆盖、土方开挖湿法作业、路面硬化、出入车辆清洗、渣土车辆密闭运输达到100%）。加强道路扬尘控制，并针对本项目施工扬尘提出以下治理措施：</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①施工场地必须使用散装水泥，禁止使用袋装水泥。</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②禁止现场搅拌混凝土和配制砂浆，普通砂浆应使用散装预拌砂浆。</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③施工现场出入口地面、施工道路必须硬化，设置临时排水管道及沉淀池，施工废水及雨水经沉淀池沉淀后用于工地洒水抑尘，沉淀淤泥及时清除，施工现场做到无浮土、无积水、无泥泞。</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④施工工地做到现场封闭管理、现场湿法作业、场区道路硬、渣土物料覆盖、物料密闭运输、出入车辆清洗、扬尘监控安装、工地内非道路移动机械车辆“八个百分之百”。</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⑤施工中产生的物料堆应采取遮盖、洒水、喷洒覆盖剂或其他防尘措施；施工产生的建筑垃圾、渣土应当及时清运，不能及时清运的，应当在施工场地内设置临时性密闭堆放设施存放。</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⑥定时对运输路线进行清扫，运输车辆出场时必须采取帆布压盖封闭，避免在运输过程中的抛洒现象。</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⑦在项目区施工过程中，制定必要的防尘措施，严格落实相应的粉尘与扬尘污染控制措施，采取路面清扫、路面洒水、车速限制、易扬尘物质密封运输，以及抑尘网等措施，采取上述措施可以减少施工扬尘对周围环境的影响。</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汽车尾气</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各类施工机械运行及车辆运输排放的尾气，主要污染物为THC、TSP、CO、NOx，由于污染源较分散，且每天排放的量相对较少，影响范围有限。由于此污染物排放为暂时性非稳态的，因此建议建设公司管理人员合理安排车辆进出，施工场地的施工车辆出入地点应尽量远离敏感点，车辆出入现场时应低速、禁鸣。在加强管理、采取措施后，可减轻污染程度，对环境影响较小。</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电焊烟尘</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本项目在建构筑物施工、工程安装过程会进行焊接工序，焊接过程中会产生一定量的电焊烟尘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其中电焊烟尘中有毒有害气体的成份主要为CO、CO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highlight w:val="none"/>
          <w14:textFill>
            <w14:solidFill>
              <w14:schemeClr w14:val="tx1"/>
            </w14:solidFill>
          </w14:textFill>
        </w:rPr>
        <w:t>、CH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等，其中以CO所占的比例最大。由于项目施工过程中所需焊接的量不大，因此电焊烟尘产生量及排放量也较小，在施工过程中，电焊烟尘主要为无组织排放。施工期结束后，不利影响将随之消失。</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装修废气</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项目施工期向周围大气环境排放装修废气主要污染物为苯及苯系物，这些废气对人体健康的主要影响是嗅到异味、刺激眼和呼吸道粘膜、产生肝肺损伤等。为了降低装修造成的污染影响，建议采取如下防治措施：</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①采用符合国家质检总局颁布的《室内装修材料10项有害物质限量》规定的室内装饰和装修材料，优先选用不含或少含甲苯和二甲苯的亲水涂料或环保涂料，禁止使用国家明令淘汰的建筑装饰装修材料和设备。</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②装修完毕后应充分开窗换气，要求符合《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室内空气质量标准</w:t>
      </w:r>
      <w:r>
        <w:rPr>
          <w:rFonts w:hint="default" w:ascii="Times New Roman" w:hAnsi="Times New Roman" w:eastAsia="宋体" w:cs="Times New Roman"/>
          <w:color w:val="000000" w:themeColor="text1"/>
          <w:sz w:val="24"/>
          <w:szCs w:val="24"/>
          <w:highlight w:val="none"/>
          <w14:textFill>
            <w14:solidFill>
              <w14:schemeClr w14:val="tx1"/>
            </w14:solidFill>
          </w14:textFill>
        </w:rPr>
        <w:t>》（GB/T18883-2002）后方可使用。</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综上，建设单位应切实按本环评提出的要求做好废气防治措施，项目施工期废气对环境的影响将降到最小。</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5.1.2施工期声环境影响预测与评价</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工程施工机械及运输车辆产生噪声，将对工程附近地区（≤200m范围内）的环境带来一定的噪声影响。为减小施工过程中噪声污染对周边环境的影响，应采取一定的污染防治措施：</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（1）合理选择施工机械、施工方法、施工场地、施工时间，尽量选用低噪声设备，在施工过程中，应经常对施工设备进行维修保养，避免由于设备性能减退使噪声增大；</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（2）合理安排施工时间，严禁敏感时段施工，最大限度减少建筑施工的高噪声设备产生的噪声对周边敏感点的生活、工作产生影响；</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（3）建议在施工场地设围挡；</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（4）加强对施工设备的维护保养，减少设备噪声；</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（5）运输车辆尽可能的减少鸣笛。</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施工期相对于运营期而言其影响是短暂的，一旦施工活动结束，施工噪声影响也就随之结束。本项目施工期采取以上污染防治措施可有效控制施工过程中对周围附近区域带来的环境影响。</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5.1.3施工期地表水环境影响分析</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施工废水包括砂石料冲洗废水以及雨水冲刷施工场地内裸露表土产生的含泥沙废水，该类废水中的主要污染物是SS，其浓度范围在300mg/L~600mg/L。</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运输车辆和施工器械冲洗废水中的主要污染物为SS及石油类，浓度范围依次为200mg/L~400mg/L、20mg/L~40mg/L。施工废水经沉淀池沉淀后用于施工场地洒水降尘或场区周边植被绿化，不外排，不会对周边水环境产生影响。</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本项目施工现场设施工营地。项目施工高峰期按施工人数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0人计，生活用水定额50L/人•d计取，生活污水按用水量的80%计，则施工期间产生的生活污水为Q=</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0人×50L/人•d×0.80=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/d，全部排入下水管网，最终进入园区污水处理厂处理。</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施工期生产废水污染防治措施：</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（1）工程施工区设置完善的配套排水系统、泥浆沉淀设施，出入施工场地的渣土车辆经过冲洗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干净</w:t>
      </w:r>
      <w:r>
        <w:rPr>
          <w:rFonts w:hint="default" w:ascii="Times New Roman" w:hAnsi="Times New Roman" w:eastAsia="宋体" w:cs="Times New Roman"/>
          <w:color w:val="000000" w:themeColor="text1"/>
          <w:sz w:val="24"/>
          <w:szCs w:val="24"/>
          <w:highlight w:val="none"/>
          <w14:textFill>
            <w14:solidFill>
              <w14:schemeClr w14:val="tx1"/>
            </w14:solidFill>
          </w14:textFill>
        </w:rPr>
        <w:t>后方可进入市区道路，清洗废水经沉淀池澄清后用于施工场地洒水降尘或场区周边植被绿化，不外排。车辆冲洗装置设置在施工场地入口，洗车台四周设置污水排水沟连接沉淀池，设计沉淀时间为2h以上，为保证沉淀效果，可适当延长沉淀时间。</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（2）对于混凝土养护废水应设置沉淀池沉淀，处理后用于施工场地洒水降尘或场区周边植被绿化，不外排。沉淀池可与洗车台冲洗沉淀池合用，污水沉淀时间大于2h。</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综上，采用以上措施可将施工期对地表水环境质量的影响降到最低程度，对周围环境无较大影响。</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5.1.4施工期固体废物影响分析</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产生的固体废物主要为：建筑垃圾、施工人员生活垃圾。建筑垃圾主要包括砂土、石块、泥浆、碎木料、木屑、废钢筋、钢丝等杂物。建筑垃圾若不妥善处理，不仅影响城市景观，还容易引起扬尘等环境问题。生活垃圾若不及时处理，在气温适宜的条件下会滋生蚊虫、产生恶臭和传播疾病等。为减少施工期固体废物对环境的影响，可采取以下防治措施：</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（1）施工单位应当及时清理工程产生的建筑垃圾，并运输到政府指定地点集中处置，防止污染环境。</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（2）施工单位不得将建筑垃圾交给个人或者未经核准从事建筑垃圾运输的单位运输。</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（3）处置建筑垃圾的单位在运输建筑垃圾时，应当随车携带建筑垃圾处置核准文件，按照有关部门规定的运输路线、时间运行，不得丢弃、遗撒建筑垃圾，不得超出核准范围承运建筑垃圾。</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（4）生活垃圾应集中收集，委托环卫部门统一处理。做到及时清运，日产日清。</w:t>
      </w:r>
    </w:p>
    <w:p>
      <w:pPr>
        <w:pageBreakBefore w:val="0"/>
        <w:widowControl/>
        <w:kinsoku/>
        <w:wordWrap/>
        <w:overflowPunct w:val="0"/>
        <w:topLinePunct w:val="0"/>
        <w:autoSpaceDE w:val="0"/>
        <w:autoSpaceDN w:val="0"/>
        <w:bidi w:val="0"/>
        <w:adjustRightInd/>
        <w:snapToGrid/>
        <w:spacing w:line="360" w:lineRule="auto"/>
        <w:ind w:firstLine="48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综上，在采取上述污染防治措施后，施工期固废对环境的影响较小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46" w:name="_Toc3394"/>
      <w:bookmarkStart w:id="147" w:name="_Toc25532"/>
      <w:bookmarkStart w:id="148" w:name="_Toc8241"/>
      <w:bookmarkStart w:id="149" w:name="_Toc9385"/>
      <w:bookmarkStart w:id="150" w:name="_Toc9592"/>
      <w:r>
        <w:rPr>
          <w:rFonts w:hint="default" w:ascii="Times New Roman" w:hAnsi="Times New Roman" w:eastAsia="宋体" w:cs="Times New Roman"/>
          <w:color w:val="000000" w:themeColor="text1"/>
          <w:sz w:val="24"/>
          <w:szCs w:val="24"/>
          <w:highlight w:val="none"/>
          <w14:textFill>
            <w14:solidFill>
              <w14:schemeClr w14:val="tx1"/>
            </w14:solidFill>
          </w14:textFill>
        </w:rPr>
        <w:t>5.2营运期环境影响分析</w:t>
      </w:r>
      <w:bookmarkEnd w:id="146"/>
      <w:bookmarkEnd w:id="147"/>
      <w:bookmarkEnd w:id="148"/>
      <w:bookmarkEnd w:id="149"/>
      <w:bookmarkEnd w:id="150"/>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5.2.1大气环境影响预测与评价</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环境影响评价技术导则 大气环境</w:t>
      </w:r>
      <w:r>
        <w:rPr>
          <w:rFonts w:hint="default" w:ascii="Times New Roman" w:hAnsi="Times New Roman" w:eastAsia="宋体" w:cs="Times New Roman"/>
          <w:color w:val="000000" w:themeColor="text1"/>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max</w:t>
      </w:r>
      <w:r>
        <w:rPr>
          <w:rFonts w:hint="default" w:ascii="Times New Roman" w:hAnsi="Times New Roman" w:eastAsia="宋体" w:cs="Times New Roman"/>
          <w:color w:val="000000" w:themeColor="text1"/>
          <w:sz w:val="24"/>
          <w:szCs w:val="24"/>
          <w:highlight w:val="none"/>
          <w14:textFill>
            <w14:solidFill>
              <w14:schemeClr w14:val="tx1"/>
            </w14:solidFill>
          </w14:textFill>
        </w:rPr>
        <w:t>及D</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的确定</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依据《环境影响评价技术导则 大气环境》(HJ2.2-2018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中最大地面浓度占标率P</w:t>
      </w:r>
      <w:r>
        <w:rPr>
          <w:rFonts w:hint="default" w:ascii="Times New Roman" w:hAnsi="Times New Roman" w:eastAsia="宋体" w:cs="Times New Roman"/>
          <w:i/>
          <w:color w:val="000000" w:themeColor="text1"/>
          <w:sz w:val="24"/>
          <w:szCs w:val="24"/>
          <w:highlight w:val="none"/>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定义如下：</w:t>
      </w:r>
    </w:p>
    <w:p>
      <w:pPr>
        <w:pageBreakBefore w:val="0"/>
        <w:kinsoku/>
        <w:overflowPunct w:val="0"/>
        <w:bidi w:val="0"/>
        <w:spacing w:line="276" w:lineRule="auto"/>
        <w:ind w:firstLine="422" w:firstLineChars="176"/>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m:oMathPara>
        <m:oMath>
          <m:sSub>
            <m:sSubPr>
              <m:ctrlPr>
                <w:rPr>
                  <w:rFonts w:hint="default" w:ascii="Cambria Math" w:hAnsi="Cambria Math" w:eastAsia="宋体" w:cs="Times New Roman"/>
                  <w:color w:val="000000" w:themeColor="text1"/>
                  <w:sz w:val="24"/>
                  <w:szCs w:val="24"/>
                  <w:highlight w:val="none"/>
                  <w14:textFill>
                    <w14:solidFill>
                      <w14:schemeClr w14:val="tx1"/>
                    </w14:solidFill>
                  </w14:textFill>
                </w:rPr>
              </m:ctrlPr>
            </m:sSubPr>
            <m:e>
              <m:r>
                <m:rPr/>
                <w:rPr>
                  <w:rFonts w:hint="default" w:ascii="Cambria Math" w:hAnsi="Cambria Math" w:eastAsia="宋体" w:cs="Times New Roman"/>
                  <w:color w:val="000000" w:themeColor="text1"/>
                  <w:sz w:val="24"/>
                  <w:szCs w:val="24"/>
                  <w:highlight w:val="none"/>
                  <w14:textFill>
                    <w14:solidFill>
                      <w14:schemeClr w14:val="tx1"/>
                    </w14:solidFill>
                  </w14:textFill>
                </w:rPr>
                <m:t>P</m:t>
              </m:r>
              <m:ctrlPr>
                <w:rPr>
                  <w:rFonts w:hint="default" w:ascii="Cambria Math" w:hAnsi="Cambria Math" w:eastAsia="宋体" w:cs="Times New Roman"/>
                  <w:color w:val="000000" w:themeColor="text1"/>
                  <w:sz w:val="24"/>
                  <w:szCs w:val="24"/>
                  <w:highlight w:val="none"/>
                  <w14:textFill>
                    <w14:solidFill>
                      <w14:schemeClr w14:val="tx1"/>
                    </w14:solidFill>
                  </w14:textFill>
                </w:rPr>
              </m:ctrlPr>
            </m:e>
            <m:sub>
              <m:r>
                <m:rPr/>
                <w:rPr>
                  <w:rFonts w:hint="default" w:ascii="Cambria Math" w:hAnsi="Cambria Math" w:eastAsia="宋体" w:cs="Times New Roman"/>
                  <w:color w:val="000000" w:themeColor="text1"/>
                  <w:sz w:val="24"/>
                  <w:szCs w:val="24"/>
                  <w:highlight w:val="none"/>
                  <w14:textFill>
                    <w14:solidFill>
                      <w14:schemeClr w14:val="tx1"/>
                    </w14:solidFill>
                  </w14:textFill>
                </w:rPr>
                <m:t>i</m:t>
              </m:r>
              <m:ctrlPr>
                <w:rPr>
                  <w:rFonts w:hint="default" w:ascii="Cambria Math" w:hAnsi="Cambria Math" w:eastAsia="宋体" w:cs="Times New Roman"/>
                  <w:color w:val="000000" w:themeColor="text1"/>
                  <w:sz w:val="24"/>
                  <w:szCs w:val="24"/>
                  <w:highlight w:val="none"/>
                  <w14:textFill>
                    <w14:solidFill>
                      <w14:schemeClr w14:val="tx1"/>
                    </w14:solidFill>
                  </w14:textFill>
                </w:rPr>
              </m:ctrlPr>
            </m:sub>
          </m:sSub>
          <m:r>
            <m:rPr>
              <m:sty m:val="p"/>
            </m:rPr>
            <w:rPr>
              <w:rFonts w:hint="default" w:ascii="Cambria Math" w:hAnsi="Cambria Math" w:eastAsia="宋体" w:cs="Times New Roman"/>
              <w:color w:val="000000" w:themeColor="text1"/>
              <w:sz w:val="24"/>
              <w:szCs w:val="24"/>
              <w:highlight w:val="none"/>
              <w14:textFill>
                <w14:solidFill>
                  <w14:schemeClr w14:val="tx1"/>
                </w14:solidFill>
              </w14:textFill>
            </w:rPr>
            <m:t>=</m:t>
          </m:r>
          <m:f>
            <m:fPr>
              <m:ctrlPr>
                <w:rPr>
                  <w:rFonts w:hint="default" w:ascii="Cambria Math" w:hAnsi="Cambria Math" w:eastAsia="宋体" w:cs="Times New Roman"/>
                  <w:color w:val="000000" w:themeColor="text1"/>
                  <w:sz w:val="24"/>
                  <w:szCs w:val="24"/>
                  <w:highlight w:val="none"/>
                  <w14:textFill>
                    <w14:solidFill>
                      <w14:schemeClr w14:val="tx1"/>
                    </w14:solidFill>
                  </w14:textFill>
                </w:rPr>
              </m:ctrlPr>
            </m:fPr>
            <m:num>
              <m:sSub>
                <m:sSubPr>
                  <m:ctrlPr>
                    <w:rPr>
                      <w:rFonts w:hint="default" w:ascii="Cambria Math" w:hAnsi="Cambria Math" w:eastAsia="宋体" w:cs="Times New Roman"/>
                      <w:i/>
                      <w:color w:val="000000" w:themeColor="text1"/>
                      <w:sz w:val="24"/>
                      <w:szCs w:val="24"/>
                      <w:highlight w:val="none"/>
                      <w14:textFill>
                        <w14:solidFill>
                          <w14:schemeClr w14:val="tx1"/>
                        </w14:solidFill>
                      </w14:textFill>
                    </w:rPr>
                  </m:ctrlPr>
                </m:sSubPr>
                <m:e>
                  <m:r>
                    <m:rPr/>
                    <w:rPr>
                      <w:rFonts w:hint="default" w:ascii="Cambria Math" w:hAnsi="Cambria Math" w:eastAsia="宋体" w:cs="Times New Roman"/>
                      <w:color w:val="000000" w:themeColor="text1"/>
                      <w:sz w:val="24"/>
                      <w:szCs w:val="24"/>
                      <w:highlight w:val="none"/>
                      <w14:textFill>
                        <w14:solidFill>
                          <w14:schemeClr w14:val="tx1"/>
                        </w14:solidFill>
                      </w14:textFill>
                    </w:rPr>
                    <m:t>C</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e>
                <m:sub>
                  <m:r>
                    <m:rPr/>
                    <w:rPr>
                      <w:rFonts w:hint="default" w:ascii="Cambria Math" w:hAnsi="Cambria Math" w:eastAsia="宋体" w:cs="Times New Roman"/>
                      <w:color w:val="000000" w:themeColor="text1"/>
                      <w:sz w:val="24"/>
                      <w:szCs w:val="24"/>
                      <w:highlight w:val="none"/>
                      <w14:textFill>
                        <w14:solidFill>
                          <w14:schemeClr w14:val="tx1"/>
                        </w14:solidFill>
                      </w14:textFill>
                    </w:rPr>
                    <m:t>i</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sub>
              </m:sSub>
              <m:ctrlPr>
                <w:rPr>
                  <w:rFonts w:hint="default" w:ascii="Cambria Math" w:hAnsi="Cambria Math" w:eastAsia="宋体" w:cs="Times New Roman"/>
                  <w:color w:val="000000" w:themeColor="text1"/>
                  <w:sz w:val="24"/>
                  <w:szCs w:val="24"/>
                  <w:highlight w:val="none"/>
                  <w14:textFill>
                    <w14:solidFill>
                      <w14:schemeClr w14:val="tx1"/>
                    </w14:solidFill>
                  </w14:textFill>
                </w:rPr>
              </m:ctrlPr>
            </m:num>
            <m:den>
              <m:sSub>
                <m:sSubPr>
                  <m:ctrlPr>
                    <w:rPr>
                      <w:rFonts w:hint="default" w:ascii="Cambria Math" w:hAnsi="Cambria Math" w:eastAsia="宋体" w:cs="Times New Roman"/>
                      <w:i/>
                      <w:color w:val="000000" w:themeColor="text1"/>
                      <w:sz w:val="24"/>
                      <w:szCs w:val="24"/>
                      <w:highlight w:val="none"/>
                      <w14:textFill>
                        <w14:solidFill>
                          <w14:schemeClr w14:val="tx1"/>
                        </w14:solidFill>
                      </w14:textFill>
                    </w:rPr>
                  </m:ctrlPr>
                </m:sSubPr>
                <m:e>
                  <m:r>
                    <m:rPr/>
                    <w:rPr>
                      <w:rFonts w:hint="default" w:ascii="Cambria Math" w:hAnsi="Cambria Math" w:eastAsia="宋体" w:cs="Times New Roman"/>
                      <w:color w:val="000000" w:themeColor="text1"/>
                      <w:sz w:val="24"/>
                      <w:szCs w:val="24"/>
                      <w:highlight w:val="none"/>
                      <w14:textFill>
                        <w14:solidFill>
                          <w14:schemeClr w14:val="tx1"/>
                        </w14:solidFill>
                      </w14:textFill>
                    </w:rPr>
                    <m:t>C</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e>
                <m:sub>
                  <m:r>
                    <m:rPr/>
                    <w:rPr>
                      <w:rFonts w:hint="default" w:ascii="Cambria Math" w:hAnsi="Cambria Math" w:eastAsia="宋体" w:cs="Times New Roman"/>
                      <w:color w:val="000000" w:themeColor="text1"/>
                      <w:sz w:val="24"/>
                      <w:szCs w:val="24"/>
                      <w:highlight w:val="none"/>
                      <w14:textFill>
                        <w14:solidFill>
                          <w14:schemeClr w14:val="tx1"/>
                        </w14:solidFill>
                      </w14:textFill>
                    </w:rPr>
                    <m:t>0i</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sub>
              </m:sSub>
              <m:ctrlPr>
                <w:rPr>
                  <w:rFonts w:hint="default" w:ascii="Cambria Math" w:hAnsi="Cambria Math" w:eastAsia="宋体" w:cs="Times New Roman"/>
                  <w:color w:val="000000" w:themeColor="text1"/>
                  <w:sz w:val="24"/>
                  <w:szCs w:val="24"/>
                  <w:highlight w:val="none"/>
                  <w14:textFill>
                    <w14:solidFill>
                      <w14:schemeClr w14:val="tx1"/>
                    </w14:solidFill>
                  </w14:textFill>
                </w:rPr>
              </m:ctrlPr>
            </m:den>
          </m:f>
          <m:r>
            <m:rPr/>
            <w:rPr>
              <w:rFonts w:hint="default" w:ascii="Cambria Math" w:hAnsi="Cambria Math" w:eastAsia="宋体" w:cs="Times New Roman"/>
              <w:color w:val="000000" w:themeColor="text1"/>
              <w:sz w:val="24"/>
              <w:szCs w:val="24"/>
              <w:highlight w:val="none"/>
              <w14:textFill>
                <w14:solidFill>
                  <w14:schemeClr w14:val="tx1"/>
                </w14:solidFill>
              </w14:textFill>
            </w:rPr>
            <m:t>×100%</m:t>
          </m:r>
        </m:oMath>
      </m:oMathPara>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m:oMath>
        <m:sSub>
          <m:sSubPr>
            <m:ctrlPr>
              <w:rPr>
                <w:rFonts w:hint="default" w:ascii="Cambria Math" w:hAnsi="Cambria Math" w:eastAsia="宋体" w:cs="Times New Roman"/>
                <w:color w:val="000000" w:themeColor="text1"/>
                <w:sz w:val="24"/>
                <w:szCs w:val="24"/>
                <w:highlight w:val="none"/>
                <w14:textFill>
                  <w14:solidFill>
                    <w14:schemeClr w14:val="tx1"/>
                  </w14:solidFill>
                </w14:textFill>
              </w:rPr>
            </m:ctrlPr>
          </m:sSubPr>
          <m:e>
            <m:r>
              <m:rPr/>
              <w:rPr>
                <w:rFonts w:hint="default" w:ascii="Cambria Math" w:hAnsi="Cambria Math" w:eastAsia="宋体" w:cs="Times New Roman"/>
                <w:color w:val="000000" w:themeColor="text1"/>
                <w:sz w:val="24"/>
                <w:szCs w:val="24"/>
                <w:highlight w:val="none"/>
                <w14:textFill>
                  <w14:solidFill>
                    <w14:schemeClr w14:val="tx1"/>
                  </w14:solidFill>
                </w14:textFill>
              </w:rPr>
              <m:t>P</m:t>
            </m:r>
            <m:ctrlPr>
              <w:rPr>
                <w:rFonts w:hint="default" w:ascii="Cambria Math" w:hAnsi="Cambria Math" w:eastAsia="宋体" w:cs="Times New Roman"/>
                <w:color w:val="000000" w:themeColor="text1"/>
                <w:sz w:val="24"/>
                <w:szCs w:val="24"/>
                <w:highlight w:val="none"/>
                <w14:textFill>
                  <w14:solidFill>
                    <w14:schemeClr w14:val="tx1"/>
                  </w14:solidFill>
                </w14:textFill>
              </w:rPr>
            </m:ctrlPr>
          </m:e>
          <m:sub>
            <m:r>
              <m:rPr/>
              <w:rPr>
                <w:rFonts w:hint="default" w:ascii="Cambria Math" w:hAnsi="Cambria Math" w:eastAsia="宋体" w:cs="Times New Roman"/>
                <w:color w:val="000000" w:themeColor="text1"/>
                <w:sz w:val="24"/>
                <w:szCs w:val="24"/>
                <w:highlight w:val="none"/>
                <w14:textFill>
                  <w14:solidFill>
                    <w14:schemeClr w14:val="tx1"/>
                  </w14:solidFill>
                </w14:textFill>
              </w:rPr>
              <m:t>i</m:t>
            </m:r>
            <m:ctrlPr>
              <w:rPr>
                <w:rFonts w:hint="default" w:ascii="Cambria Math" w:hAnsi="Cambria Math" w:eastAsia="宋体" w:cs="Times New Roman"/>
                <w:color w:val="000000" w:themeColor="text1"/>
                <w:sz w:val="24"/>
                <w:szCs w:val="24"/>
                <w:highlight w:val="none"/>
                <w14:textFill>
                  <w14:solidFill>
                    <w14:schemeClr w14:val="tx1"/>
                  </w14:solidFill>
                </w14:textFill>
              </w:rPr>
            </m:ctrlPr>
          </m:sub>
        </m:sSub>
      </m:oMath>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——第i个污染物的最大地面空气质量浓度占标率，%；</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m:oMath>
        <m:sSub>
          <m:sSubPr>
            <m:ctrlPr>
              <w:rPr>
                <w:rFonts w:hint="default" w:ascii="Cambria Math" w:hAnsi="Cambria Math" w:eastAsia="宋体" w:cs="Times New Roman"/>
                <w:i/>
                <w:color w:val="000000" w:themeColor="text1"/>
                <w:sz w:val="24"/>
                <w:szCs w:val="24"/>
                <w:highlight w:val="none"/>
                <w14:textFill>
                  <w14:solidFill>
                    <w14:schemeClr w14:val="tx1"/>
                  </w14:solidFill>
                </w14:textFill>
              </w:rPr>
            </m:ctrlPr>
          </m:sSubPr>
          <m:e>
            <m:r>
              <m:rPr/>
              <w:rPr>
                <w:rFonts w:hint="default" w:ascii="Cambria Math" w:hAnsi="Cambria Math" w:eastAsia="宋体" w:cs="Times New Roman"/>
                <w:color w:val="000000" w:themeColor="text1"/>
                <w:sz w:val="24"/>
                <w:szCs w:val="24"/>
                <w:highlight w:val="none"/>
                <w14:textFill>
                  <w14:solidFill>
                    <w14:schemeClr w14:val="tx1"/>
                  </w14:solidFill>
                </w14:textFill>
              </w:rPr>
              <m:t>C</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e>
          <m:sub>
            <m:r>
              <m:rPr/>
              <w:rPr>
                <w:rFonts w:hint="default" w:ascii="Cambria Math" w:hAnsi="Cambria Math" w:eastAsia="宋体" w:cs="Times New Roman"/>
                <w:color w:val="000000" w:themeColor="text1"/>
                <w:sz w:val="24"/>
                <w:szCs w:val="24"/>
                <w:highlight w:val="none"/>
                <w14:textFill>
                  <w14:solidFill>
                    <w14:schemeClr w14:val="tx1"/>
                  </w14:solidFill>
                </w14:textFill>
              </w:rPr>
              <m:t>i</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sub>
        </m:sSub>
      </m:oMath>
      <w:r>
        <w:rPr>
          <w:rFonts w:hint="default" w:ascii="Times New Roman" w:hAnsi="Times New Roman" w:eastAsia="宋体" w:cs="Times New Roman"/>
          <w:color w:val="000000" w:themeColor="text1"/>
          <w:sz w:val="24"/>
          <w:szCs w:val="24"/>
          <w:highlight w:val="none"/>
          <w14:textFill>
            <w14:solidFill>
              <w14:schemeClr w14:val="tx1"/>
            </w14:solidFill>
          </w14:textFill>
        </w:rPr>
        <w:t>——采用估算模型计算出的第i个污染物的最大1h地面空气质量浓度，μg/m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m:oMath>
        <m:sSub>
          <m:sSubPr>
            <m:ctrlPr>
              <w:rPr>
                <w:rFonts w:hint="default" w:ascii="Cambria Math" w:hAnsi="Cambria Math" w:eastAsia="宋体" w:cs="Times New Roman"/>
                <w:i/>
                <w:color w:val="000000" w:themeColor="text1"/>
                <w:sz w:val="24"/>
                <w:szCs w:val="24"/>
                <w:highlight w:val="none"/>
                <w14:textFill>
                  <w14:solidFill>
                    <w14:schemeClr w14:val="tx1"/>
                  </w14:solidFill>
                </w14:textFill>
              </w:rPr>
            </m:ctrlPr>
          </m:sSubPr>
          <m:e>
            <m:r>
              <m:rPr/>
              <w:rPr>
                <w:rFonts w:hint="default" w:ascii="Cambria Math" w:hAnsi="Cambria Math" w:eastAsia="宋体" w:cs="Times New Roman"/>
                <w:color w:val="000000" w:themeColor="text1"/>
                <w:sz w:val="24"/>
                <w:szCs w:val="24"/>
                <w:highlight w:val="none"/>
                <w14:textFill>
                  <w14:solidFill>
                    <w14:schemeClr w14:val="tx1"/>
                  </w14:solidFill>
                </w14:textFill>
              </w:rPr>
              <m:t>C</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e>
          <m:sub>
            <m:r>
              <m:rPr/>
              <w:rPr>
                <w:rFonts w:hint="default" w:ascii="Cambria Math" w:hAnsi="Cambria Math" w:eastAsia="宋体" w:cs="Times New Roman"/>
                <w:color w:val="000000" w:themeColor="text1"/>
                <w:sz w:val="24"/>
                <w:szCs w:val="24"/>
                <w:highlight w:val="none"/>
                <w14:textFill>
                  <w14:solidFill>
                    <w14:schemeClr w14:val="tx1"/>
                  </w14:solidFill>
                </w14:textFill>
              </w:rPr>
              <m:t>0i</m:t>
            </m:r>
            <m:ctrlPr>
              <w:rPr>
                <w:rFonts w:hint="default" w:ascii="Cambria Math" w:hAnsi="Cambria Math" w:eastAsia="宋体" w:cs="Times New Roman"/>
                <w:i/>
                <w:color w:val="000000" w:themeColor="text1"/>
                <w:sz w:val="24"/>
                <w:szCs w:val="24"/>
                <w:highlight w:val="none"/>
                <w14:textFill>
                  <w14:solidFill>
                    <w14:schemeClr w14:val="tx1"/>
                  </w14:solidFill>
                </w14:textFill>
              </w:rPr>
            </m:ctrlPr>
          </m:sub>
        </m:sSub>
      </m:oMath>
      <w:r>
        <w:rPr>
          <w:rFonts w:hint="default" w:ascii="Times New Roman" w:hAnsi="Times New Roman" w:eastAsia="宋体" w:cs="Times New Roman"/>
          <w:color w:val="000000" w:themeColor="text1"/>
          <w:sz w:val="24"/>
          <w:szCs w:val="24"/>
          <w:highlight w:val="none"/>
          <w14:textFill>
            <w14:solidFill>
              <w14:schemeClr w14:val="tx1"/>
            </w14:solidFill>
          </w14:textFill>
        </w:rPr>
        <w:t>——第i个污染物的环境空气质量浓度标准，μg/m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评价等级判别表</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评价等级按下表的分级判据进行划分</w:t>
      </w:r>
    </w:p>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5.2-1   </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评价等级判别表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4"/>
        <w:gridCol w:w="4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评价工作等级</w:t>
            </w:r>
          </w:p>
        </w:tc>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一级评价</w:t>
            </w:r>
          </w:p>
        </w:tc>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二级评价</w:t>
            </w:r>
          </w:p>
        </w:tc>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三级评价</w:t>
            </w:r>
          </w:p>
        </w:tc>
        <w:tc>
          <w:tcPr>
            <w:tcW w:w="4643" w:type="dxa"/>
            <w:vAlign w:val="center"/>
          </w:tcPr>
          <w:p>
            <w:pPr>
              <w:keepNext w:val="0"/>
              <w:keepLines w:val="0"/>
              <w:pageBreakBefore w:val="0"/>
              <w:widowControl w:val="0"/>
              <w:kinsoku/>
              <w:wordWrap/>
              <w:overflowPunct w:val="0"/>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Pmax&lt;1%</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污染物评价标准</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污染物评价标准和来源见下表。</w:t>
      </w:r>
    </w:p>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5.2-</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2 </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 污染物评价标准</w:t>
      </w:r>
    </w:p>
    <w:tbl>
      <w:tblPr>
        <w:tblStyle w:val="24"/>
        <w:tblW w:w="8527"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56"/>
        <w:gridCol w:w="1110"/>
        <w:gridCol w:w="1290"/>
        <w:gridCol w:w="1590"/>
        <w:gridCol w:w="318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jc w:val="center"/>
        </w:trPr>
        <w:tc>
          <w:tcPr>
            <w:tcW w:w="1356" w:type="dxa"/>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污染物名称</w:t>
            </w:r>
          </w:p>
        </w:tc>
        <w:tc>
          <w:tcPr>
            <w:tcW w:w="1110" w:type="dxa"/>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功能区</w:t>
            </w:r>
          </w:p>
        </w:tc>
        <w:tc>
          <w:tcPr>
            <w:tcW w:w="1290" w:type="dxa"/>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取值时间</w:t>
            </w:r>
          </w:p>
        </w:tc>
        <w:tc>
          <w:tcPr>
            <w:tcW w:w="1590" w:type="dxa"/>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标准值</w:t>
            </w:r>
            <w:r>
              <w:rPr>
                <w:rFonts w:hint="default" w:ascii="Times New Roman" w:hAnsi="Times New Roman" w:eastAsia="宋体" w:cs="Times New Roman"/>
                <w:b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μg/m³)</w:t>
            </w:r>
          </w:p>
        </w:tc>
        <w:tc>
          <w:tcPr>
            <w:tcW w:w="3181" w:type="dxa"/>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标准来源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jc w:val="center"/>
        </w:trPr>
        <w:tc>
          <w:tcPr>
            <w:tcW w:w="1356"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二甲苯</w:t>
            </w:r>
          </w:p>
        </w:tc>
        <w:tc>
          <w:tcPr>
            <w:tcW w:w="111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二类限区</w:t>
            </w:r>
          </w:p>
        </w:tc>
        <w:tc>
          <w:tcPr>
            <w:tcW w:w="12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一小时</w:t>
            </w:r>
          </w:p>
        </w:tc>
        <w:tc>
          <w:tcPr>
            <w:tcW w:w="15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200.0</w:t>
            </w:r>
          </w:p>
        </w:tc>
        <w:tc>
          <w:tcPr>
            <w:tcW w:w="3181" w:type="dxa"/>
            <w:vMerge w:val="restart"/>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color w:val="000000" w:themeColor="text1"/>
                <w:sz w:val="21"/>
                <w:szCs w:val="21"/>
                <w:highlight w:val="none"/>
                <w:lang w:eastAsia="zh-CN"/>
                <w14:textFill>
                  <w14:solidFill>
                    <w14:schemeClr w14:val="tx1"/>
                  </w14:solidFill>
                </w14:textFill>
              </w:rPr>
              <w:t>环境影响评价技术导则 大气环境</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》HJ2.2-2018附录D</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jc w:val="center"/>
        </w:trPr>
        <w:tc>
          <w:tcPr>
            <w:tcW w:w="1356"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甲苯</w:t>
            </w:r>
          </w:p>
        </w:tc>
        <w:tc>
          <w:tcPr>
            <w:tcW w:w="111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二类限区</w:t>
            </w:r>
          </w:p>
        </w:tc>
        <w:tc>
          <w:tcPr>
            <w:tcW w:w="12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一小时</w:t>
            </w:r>
          </w:p>
        </w:tc>
        <w:tc>
          <w:tcPr>
            <w:tcW w:w="15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200.0</w:t>
            </w:r>
          </w:p>
        </w:tc>
        <w:tc>
          <w:tcPr>
            <w:tcW w:w="3181" w:type="dxa"/>
            <w:vMerge w:val="continue"/>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jc w:val="center"/>
        </w:trPr>
        <w:tc>
          <w:tcPr>
            <w:tcW w:w="1356"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NMHC</w:t>
            </w:r>
          </w:p>
        </w:tc>
        <w:tc>
          <w:tcPr>
            <w:tcW w:w="111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二类限区</w:t>
            </w:r>
          </w:p>
        </w:tc>
        <w:tc>
          <w:tcPr>
            <w:tcW w:w="12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一小时</w:t>
            </w:r>
          </w:p>
        </w:tc>
        <w:tc>
          <w:tcPr>
            <w:tcW w:w="15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2000.0</w:t>
            </w:r>
          </w:p>
        </w:tc>
        <w:tc>
          <w:tcPr>
            <w:tcW w:w="3181"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《环境空气质量非甲烷总烃限值》（DB13/1577-2012）二级标准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jc w:val="center"/>
        </w:trPr>
        <w:tc>
          <w:tcPr>
            <w:tcW w:w="1356"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val="0"/>
                <w:color w:val="000000" w:themeColor="text1"/>
                <w:sz w:val="21"/>
                <w:szCs w:val="21"/>
                <w:highlight w:val="none"/>
                <w:vertAlign w:val="subscript"/>
                <w14:textFill>
                  <w14:solidFill>
                    <w14:schemeClr w14:val="tx1"/>
                  </w14:solidFill>
                </w14:textFill>
              </w:rPr>
              <w:t>10</w:t>
            </w:r>
          </w:p>
        </w:tc>
        <w:tc>
          <w:tcPr>
            <w:tcW w:w="111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二类限区</w:t>
            </w:r>
          </w:p>
        </w:tc>
        <w:tc>
          <w:tcPr>
            <w:tcW w:w="12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日均</w:t>
            </w:r>
          </w:p>
        </w:tc>
        <w:tc>
          <w:tcPr>
            <w:tcW w:w="15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150.0</w:t>
            </w:r>
          </w:p>
        </w:tc>
        <w:tc>
          <w:tcPr>
            <w:tcW w:w="3181" w:type="dxa"/>
            <w:vMerge w:val="restart"/>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环境空气质量标准</w:t>
            </w:r>
            <w:r>
              <w:rPr>
                <w:rFonts w:hint="default" w:ascii="Times New Roman" w:hAnsi="Times New Roman" w:eastAsia="宋体" w:cs="Times New Roman"/>
                <w:b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GB 3095-2012)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 w:hRule="atLeast"/>
          <w:jc w:val="center"/>
        </w:trPr>
        <w:tc>
          <w:tcPr>
            <w:tcW w:w="1356"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Tsp</w:t>
            </w:r>
          </w:p>
        </w:tc>
        <w:tc>
          <w:tcPr>
            <w:tcW w:w="111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二类限区</w:t>
            </w:r>
          </w:p>
        </w:tc>
        <w:tc>
          <w:tcPr>
            <w:tcW w:w="12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日均</w:t>
            </w:r>
          </w:p>
        </w:tc>
        <w:tc>
          <w:tcPr>
            <w:tcW w:w="1590" w:type="dxa"/>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300.0</w:t>
            </w:r>
          </w:p>
        </w:tc>
        <w:tc>
          <w:tcPr>
            <w:tcW w:w="3181" w:type="dxa"/>
            <w:vMerge w:val="continue"/>
            <w:vAlign w:val="center"/>
          </w:tcPr>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r>
    </w:tbl>
    <w:p>
      <w:pPr>
        <w:keepNext w:val="0"/>
        <w:keepLines w:val="0"/>
        <w:pageBreakBefore w:val="0"/>
        <w:kinsoku/>
        <w:wordWrap/>
        <w:overflowPunct w:val="0"/>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源强参数</w:t>
      </w:r>
    </w:p>
    <w:p>
      <w:pPr>
        <w:keepNext w:val="0"/>
        <w:keepLines w:val="0"/>
        <w:pageBreakBefore w:val="0"/>
        <w:widowControl w:val="0"/>
        <w:kinsoku/>
        <w:wordWrap/>
        <w:overflowPunct w:val="0"/>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结合项目污染特征及当地环境特征，确定本次评价预测因子为二甲苯、NMHC、甲苯、PM</w:t>
      </w:r>
      <w:r>
        <w:rPr>
          <w:rFonts w:hint="default"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。有组织污染源排放情况详情见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p>
    <w:p>
      <w:pPr>
        <w:pageBreakBefore w:val="0"/>
        <w:kinsoku/>
        <w:overflowPunct w:val="0"/>
        <w:bidi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5.2-3  </w:t>
      </w: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 估算模型参数表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3"/>
        <w:gridCol w:w="4723"/>
        <w:gridCol w:w="4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城市/农村选项</w:t>
            </w: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城市/农村</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人口数</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最高环境温度/℃</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最低环境温度/℃</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土地利用类型</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荒漠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区域湿度条件</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是否考虑地形</w:t>
            </w: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考虑地形</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地形数据分辨率/m</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是否考虑岸边熏烟</w:t>
            </w: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考虑岸线熏烟</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□是   </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岸线距离/km</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66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岸线方向/°</w:t>
            </w:r>
          </w:p>
        </w:tc>
        <w:tc>
          <w:tcPr>
            <w:tcW w:w="166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w:t>
            </w:r>
          </w:p>
        </w:tc>
      </w:tr>
    </w:tbl>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表</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5.2-4 </w:t>
      </w: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  废气点源排放参数一览表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99"/>
        <w:gridCol w:w="1786"/>
        <w:gridCol w:w="1124"/>
        <w:gridCol w:w="870"/>
        <w:gridCol w:w="870"/>
        <w:gridCol w:w="885"/>
        <w:gridCol w:w="795"/>
        <w:gridCol w:w="990"/>
        <w:gridCol w:w="765"/>
        <w:gridCol w:w="900"/>
        <w:gridCol w:w="840"/>
        <w:gridCol w:w="903"/>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313"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编号</w:t>
            </w:r>
          </w:p>
        </w:tc>
        <w:tc>
          <w:tcPr>
            <w:tcW w:w="423"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630"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排气筒底部中心坐标</w:t>
            </w:r>
          </w:p>
        </w:tc>
        <w:tc>
          <w:tcPr>
            <w:tcW w:w="396"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排气筒底部海拔高度（m）</w:t>
            </w:r>
          </w:p>
        </w:tc>
        <w:tc>
          <w:tcPr>
            <w:tcW w:w="307"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排气筒高度（m）</w:t>
            </w:r>
          </w:p>
        </w:tc>
        <w:tc>
          <w:tcPr>
            <w:tcW w:w="307"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排气筒出口内径（m）</w:t>
            </w:r>
          </w:p>
        </w:tc>
        <w:tc>
          <w:tcPr>
            <w:tcW w:w="312"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烟气</w:t>
            </w:r>
          </w:p>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流速（m/s）</w:t>
            </w:r>
          </w:p>
        </w:tc>
        <w:tc>
          <w:tcPr>
            <w:tcW w:w="280"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烟气温度（℃）</w:t>
            </w:r>
          </w:p>
        </w:tc>
        <w:tc>
          <w:tcPr>
            <w:tcW w:w="349"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年排放小时数/h</w:t>
            </w:r>
          </w:p>
        </w:tc>
        <w:tc>
          <w:tcPr>
            <w:tcW w:w="269"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工况</w:t>
            </w:r>
          </w:p>
        </w:tc>
        <w:tc>
          <w:tcPr>
            <w:tcW w:w="1410" w:type="pct"/>
            <w:gridSpan w:val="4"/>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13"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23"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0"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6"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7"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7"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2"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0"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49"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69"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29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甲苯</w:t>
            </w:r>
          </w:p>
        </w:tc>
        <w:tc>
          <w:tcPr>
            <w:tcW w:w="31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二甲苯</w:t>
            </w:r>
          </w:p>
        </w:tc>
        <w:tc>
          <w:tcPr>
            <w:tcW w:w="47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1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DA001</w:t>
            </w:r>
          </w:p>
        </w:tc>
        <w:tc>
          <w:tcPr>
            <w:tcW w:w="42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有机废气VOCs（灌注/涂装车间）</w:t>
            </w:r>
          </w:p>
        </w:tc>
        <w:tc>
          <w:tcPr>
            <w:tcW w:w="63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90.357839167E,43.949791599N</w:t>
            </w:r>
          </w:p>
        </w:tc>
        <w:tc>
          <w:tcPr>
            <w:tcW w:w="39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1049</w:t>
            </w:r>
          </w:p>
        </w:tc>
        <w:tc>
          <w:tcPr>
            <w:tcW w:w="30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w:t>
            </w:r>
          </w:p>
        </w:tc>
        <w:tc>
          <w:tcPr>
            <w:tcW w:w="30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312" w:type="pct"/>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42.463</w:t>
            </w:r>
          </w:p>
        </w:tc>
        <w:tc>
          <w:tcPr>
            <w:tcW w:w="28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34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2080</w:t>
            </w:r>
          </w:p>
        </w:tc>
        <w:tc>
          <w:tcPr>
            <w:tcW w:w="269" w:type="pct"/>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正常工况</w:t>
            </w:r>
          </w:p>
        </w:tc>
        <w:tc>
          <w:tcPr>
            <w:tcW w:w="31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96" w:type="pct"/>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0.016</w:t>
            </w:r>
          </w:p>
        </w:tc>
        <w:tc>
          <w:tcPr>
            <w:tcW w:w="318" w:type="pct"/>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0.163</w:t>
            </w:r>
          </w:p>
        </w:tc>
        <w:tc>
          <w:tcPr>
            <w:tcW w:w="477" w:type="pct"/>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13" w:type="pct"/>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p>
        </w:tc>
        <w:tc>
          <w:tcPr>
            <w:tcW w:w="42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修型</w:t>
            </w:r>
            <w:r>
              <w:rPr>
                <w:rFonts w:hint="default" w:ascii="Times New Roman" w:hAnsi="Times New Roman" w:eastAsia="宋体" w:cs="Times New Roman"/>
                <w:color w:val="000000" w:themeColor="text1"/>
                <w:sz w:val="21"/>
                <w:szCs w:val="21"/>
                <w:highlight w:val="none"/>
                <w14:textFill>
                  <w14:solidFill>
                    <w14:schemeClr w14:val="tx1"/>
                  </w14:solidFill>
                </w14:textFill>
              </w:rPr>
              <w:t>工序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63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90.356723368E,43.950167108N</w:t>
            </w:r>
          </w:p>
        </w:tc>
        <w:tc>
          <w:tcPr>
            <w:tcW w:w="39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1049</w:t>
            </w:r>
          </w:p>
        </w:tc>
        <w:tc>
          <w:tcPr>
            <w:tcW w:w="30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30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312" w:type="pct"/>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4.252</w:t>
            </w:r>
          </w:p>
        </w:tc>
        <w:tc>
          <w:tcPr>
            <w:tcW w:w="28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34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3000</w:t>
            </w:r>
          </w:p>
        </w:tc>
        <w:tc>
          <w:tcPr>
            <w:tcW w:w="269"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7" w:type="pct"/>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0.</w:t>
            </w: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005</w:t>
            </w:r>
          </w:p>
        </w:tc>
        <w:tc>
          <w:tcPr>
            <w:tcW w:w="29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1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7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1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DA003</w:t>
            </w:r>
          </w:p>
        </w:tc>
        <w:tc>
          <w:tcPr>
            <w:tcW w:w="42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腻子打磨工序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63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90.356498062E,43.949931074N</w:t>
            </w:r>
          </w:p>
        </w:tc>
        <w:tc>
          <w:tcPr>
            <w:tcW w:w="39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1049</w:t>
            </w:r>
          </w:p>
        </w:tc>
        <w:tc>
          <w:tcPr>
            <w:tcW w:w="30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30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312" w:type="pct"/>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4.252</w:t>
            </w:r>
          </w:p>
        </w:tc>
        <w:tc>
          <w:tcPr>
            <w:tcW w:w="28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34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3000</w:t>
            </w:r>
          </w:p>
        </w:tc>
        <w:tc>
          <w:tcPr>
            <w:tcW w:w="269" w:type="pct"/>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7" w:type="pct"/>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0.</w:t>
            </w: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012</w:t>
            </w:r>
          </w:p>
        </w:tc>
        <w:tc>
          <w:tcPr>
            <w:tcW w:w="296"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1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77"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5.2.5   </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废气无组织排放</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预测参数</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39"/>
        <w:gridCol w:w="1151"/>
        <w:gridCol w:w="1171"/>
        <w:gridCol w:w="1040"/>
        <w:gridCol w:w="958"/>
        <w:gridCol w:w="913"/>
        <w:gridCol w:w="1006"/>
        <w:gridCol w:w="1006"/>
        <w:gridCol w:w="984"/>
        <w:gridCol w:w="984"/>
        <w:gridCol w:w="779"/>
        <w:gridCol w:w="904"/>
        <w:gridCol w:w="785"/>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4" w:type="pct"/>
            <w:vMerge w:val="restart"/>
            <w:tcBorders>
              <w:tl2br w:val="nil"/>
              <w:tr2bl w:val="nil"/>
            </w:tcBorders>
            <w:noWrap w:val="0"/>
            <w:vAlign w:val="center"/>
          </w:tcPr>
          <w:p>
            <w:pPr>
              <w:pageBreakBefore w:val="0"/>
              <w:widowControl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编号</w:t>
            </w:r>
          </w:p>
        </w:tc>
        <w:tc>
          <w:tcPr>
            <w:tcW w:w="296" w:type="pct"/>
            <w:vMerge w:val="restart"/>
            <w:tcBorders>
              <w:tl2br w:val="nil"/>
              <w:tr2bl w:val="nil"/>
            </w:tcBorders>
            <w:noWrap w:val="0"/>
            <w:vAlign w:val="center"/>
          </w:tcPr>
          <w:p>
            <w:pPr>
              <w:pageBreakBefore w:val="0"/>
              <w:widowControl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819" w:type="pct"/>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面源起点坐标/m</w:t>
            </w:r>
          </w:p>
        </w:tc>
        <w:tc>
          <w:tcPr>
            <w:tcW w:w="36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面源海拔高度</w:t>
            </w:r>
          </w:p>
        </w:tc>
        <w:tc>
          <w:tcPr>
            <w:tcW w:w="338"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面源长度</w:t>
            </w:r>
          </w:p>
        </w:tc>
        <w:tc>
          <w:tcPr>
            <w:tcW w:w="322"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14:textFill>
                  <w14:solidFill>
                    <w14:schemeClr w14:val="tx1"/>
                  </w14:solidFill>
                </w14:textFill>
              </w:rPr>
              <w:t>面源宽度</w:t>
            </w:r>
          </w:p>
        </w:tc>
        <w:tc>
          <w:tcPr>
            <w:tcW w:w="355"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9"/>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9"/>
                <w:sz w:val="21"/>
                <w:szCs w:val="21"/>
                <w:highlight w:val="none"/>
                <w:lang w:val="en-US" w:eastAsia="zh-CN"/>
                <w14:textFill>
                  <w14:solidFill>
                    <w14:schemeClr w14:val="tx1"/>
                  </w14:solidFill>
                </w14:textFill>
              </w:rPr>
              <w:t>与正北方向夹角/°</w:t>
            </w:r>
          </w:p>
        </w:tc>
        <w:tc>
          <w:tcPr>
            <w:tcW w:w="355"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面源有效</w:t>
            </w:r>
          </w:p>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排放高度</w:t>
            </w:r>
          </w:p>
        </w:tc>
        <w:tc>
          <w:tcPr>
            <w:tcW w:w="34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年排放小时数</w:t>
            </w:r>
          </w:p>
        </w:tc>
        <w:tc>
          <w:tcPr>
            <w:tcW w:w="347"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排放工况</w:t>
            </w:r>
          </w:p>
        </w:tc>
        <w:tc>
          <w:tcPr>
            <w:tcW w:w="1157"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污染物排放速率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4"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296"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406"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X</w:t>
            </w:r>
          </w:p>
        </w:tc>
        <w:tc>
          <w:tcPr>
            <w:tcW w:w="41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Y</w:t>
            </w:r>
          </w:p>
        </w:tc>
        <w:tc>
          <w:tcPr>
            <w:tcW w:w="36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38"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22"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55"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55"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34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347"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14:textFill>
                  <w14:solidFill>
                    <w14:schemeClr w14:val="tx1"/>
                  </w14:solidFill>
                </w14:textFill>
              </w:rPr>
            </w:pPr>
          </w:p>
        </w:tc>
        <w:tc>
          <w:tcPr>
            <w:tcW w:w="27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颗粒物</w:t>
            </w:r>
          </w:p>
        </w:tc>
        <w:tc>
          <w:tcPr>
            <w:tcW w:w="31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甲苯</w:t>
            </w:r>
          </w:p>
        </w:tc>
        <w:tc>
          <w:tcPr>
            <w:tcW w:w="277"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二甲苯</w:t>
            </w:r>
          </w:p>
        </w:tc>
        <w:tc>
          <w:tcPr>
            <w:tcW w:w="28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b w:val="0"/>
                <w:bCs/>
                <w:snapToGrid w:val="0"/>
                <w:color w:val="000000" w:themeColor="text1"/>
                <w:spacing w:val="1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w:t>
            </w:r>
          </w:p>
        </w:tc>
        <w:tc>
          <w:tcPr>
            <w:tcW w:w="296" w:type="pc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eastAsia="宋体" w:cs="Times New Roman"/>
                <w:b w:val="0"/>
                <w:bCs/>
                <w:snapToGrid w:val="0"/>
                <w:color w:val="000000" w:themeColor="text1"/>
                <w:spacing w:val="1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项目区</w:t>
            </w:r>
          </w:p>
        </w:tc>
        <w:tc>
          <w:tcPr>
            <w:tcW w:w="406"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287526</w:t>
            </w:r>
          </w:p>
        </w:tc>
        <w:tc>
          <w:tcPr>
            <w:tcW w:w="413"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4869735</w:t>
            </w:r>
          </w:p>
        </w:tc>
        <w:tc>
          <w:tcPr>
            <w:tcW w:w="367"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1049</w:t>
            </w:r>
          </w:p>
        </w:tc>
        <w:tc>
          <w:tcPr>
            <w:tcW w:w="338"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680</w:t>
            </w:r>
          </w:p>
        </w:tc>
        <w:tc>
          <w:tcPr>
            <w:tcW w:w="322"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350</w:t>
            </w:r>
          </w:p>
        </w:tc>
        <w:tc>
          <w:tcPr>
            <w:tcW w:w="355"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30</w:t>
            </w:r>
          </w:p>
        </w:tc>
        <w:tc>
          <w:tcPr>
            <w:tcW w:w="355"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15</w:t>
            </w:r>
          </w:p>
        </w:tc>
        <w:tc>
          <w:tcPr>
            <w:tcW w:w="347"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000000" w:themeColor="text1"/>
                <w:spacing w:val="-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2080</w:t>
            </w:r>
          </w:p>
        </w:tc>
        <w:tc>
          <w:tcPr>
            <w:tcW w:w="347"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正常工况</w:t>
            </w:r>
          </w:p>
        </w:tc>
        <w:tc>
          <w:tcPr>
            <w:tcW w:w="275"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0.279</w:t>
            </w:r>
          </w:p>
        </w:tc>
        <w:tc>
          <w:tcPr>
            <w:tcW w:w="319"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0.003</w:t>
            </w:r>
          </w:p>
        </w:tc>
        <w:tc>
          <w:tcPr>
            <w:tcW w:w="277"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0.028</w:t>
            </w:r>
          </w:p>
        </w:tc>
        <w:tc>
          <w:tcPr>
            <w:tcW w:w="285"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spacing w:line="240" w:lineRule="auto"/>
              <w:ind w:right="0" w:firstLine="0" w:firstLineChars="0"/>
              <w:jc w:val="center"/>
              <w:textAlignment w:val="auto"/>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vertAlign w:val="baseline"/>
                <w:lang w:val="en-US" w:eastAsia="zh-CN"/>
                <w14:textFill>
                  <w14:solidFill>
                    <w14:schemeClr w14:val="tx1"/>
                  </w14:solidFill>
                </w14:textFill>
              </w:rPr>
              <w:t>0.633</w:t>
            </w:r>
          </w:p>
        </w:tc>
      </w:tr>
    </w:tbl>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正常工况下预测结果及分析</w:t>
      </w:r>
    </w:p>
    <w:p>
      <w:pPr>
        <w:pageBreakBefore w:val="0"/>
        <w:kinsoku/>
        <w:overflowPunct w:val="0"/>
        <w:bidi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①有组织</w:t>
      </w:r>
    </w:p>
    <w:p>
      <w:pPr>
        <w:pageBreakBefore w:val="0"/>
        <w:kinsoku/>
        <w:overflowPunct w:val="0"/>
        <w:bidi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本项目正常工况下有组织废气预测结果如下：</w:t>
      </w: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5.2-6 </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  评价等级结果</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839"/>
        <w:gridCol w:w="2088"/>
        <w:gridCol w:w="2839"/>
        <w:gridCol w:w="1913"/>
        <w:gridCol w:w="1609"/>
        <w:gridCol w:w="1604"/>
        <w:gridCol w:w="1252"/>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737"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污染因子</w:t>
            </w:r>
          </w:p>
        </w:tc>
        <w:tc>
          <w:tcPr>
            <w:tcW w:w="1002" w:type="pct"/>
            <w:tcBorders>
              <w:tl2br w:val="nil"/>
              <w:tr2bl w:val="nil"/>
            </w:tcBorders>
            <w:noWrap w:val="0"/>
            <w:vAlign w:val="center"/>
          </w:tcPr>
          <w:p>
            <w:pPr>
              <w:pStyle w:val="14"/>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最大落地浓度μ</w:t>
            </w:r>
            <w:r>
              <w:rPr>
                <w:rFonts w:hint="default" w:ascii="Times New Roman" w:hAnsi="Times New Roman" w:eastAsia="宋体" w:cs="Times New Roman"/>
                <w:color w:val="000000" w:themeColor="text1"/>
                <w:sz w:val="21"/>
                <w:szCs w:val="21"/>
                <w:highlight w:val="none"/>
                <w14:textFill>
                  <w14:solidFill>
                    <w14:schemeClr w14:val="tx1"/>
                  </w14:solidFill>
                </w14:textFill>
              </w:rPr>
              <w:t>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675" w:type="pct"/>
            <w:tcBorders>
              <w:tl2br w:val="nil"/>
              <w:tr2bl w:val="nil"/>
            </w:tcBorders>
            <w:noWrap w:val="0"/>
            <w:vAlign w:val="center"/>
          </w:tcPr>
          <w:p>
            <w:pPr>
              <w:pStyle w:val="14"/>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最大浓度落地距离</w:t>
            </w:r>
          </w:p>
        </w:tc>
        <w:tc>
          <w:tcPr>
            <w:tcW w:w="568" w:type="pct"/>
            <w:tcBorders>
              <w:tl2br w:val="nil"/>
              <w:tr2bl w:val="nil"/>
            </w:tcBorders>
            <w:noWrap w:val="0"/>
            <w:vAlign w:val="center"/>
          </w:tcPr>
          <w:p>
            <w:pPr>
              <w:pStyle w:val="14"/>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评级标准μ</w:t>
            </w:r>
            <w:r>
              <w:rPr>
                <w:rFonts w:hint="default" w:ascii="Times New Roman" w:hAnsi="Times New Roman" w:eastAsia="宋体" w:cs="Times New Roman"/>
                <w:color w:val="000000" w:themeColor="text1"/>
                <w:sz w:val="21"/>
                <w:szCs w:val="21"/>
                <w:highlight w:val="none"/>
                <w14:textFill>
                  <w14:solidFill>
                    <w14:schemeClr w14:val="tx1"/>
                  </w14:solidFill>
                </w14:textFill>
              </w:rPr>
              <w:t>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566" w:type="pct"/>
            <w:tcBorders>
              <w:tl2br w:val="nil"/>
              <w:tr2bl w:val="nil"/>
            </w:tcBorders>
            <w:noWrap w:val="0"/>
            <w:vAlign w:val="center"/>
          </w:tcPr>
          <w:p>
            <w:pPr>
              <w:pStyle w:val="14"/>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占标率%</w:t>
            </w:r>
          </w:p>
        </w:tc>
        <w:tc>
          <w:tcPr>
            <w:tcW w:w="442" w:type="pct"/>
            <w:tcBorders>
              <w:tl2br w:val="nil"/>
              <w:tr2bl w:val="nil"/>
            </w:tcBorders>
            <w:noWrap w:val="0"/>
            <w:vAlign w:val="center"/>
          </w:tcPr>
          <w:p>
            <w:pPr>
              <w:pStyle w:val="14"/>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D10%</w:t>
            </w:r>
          </w:p>
        </w:tc>
        <w:tc>
          <w:tcPr>
            <w:tcW w:w="416" w:type="pct"/>
            <w:tcBorders>
              <w:tl2br w:val="nil"/>
              <w:tr2bl w:val="nil"/>
            </w:tcBorders>
            <w:noWrap w:val="0"/>
            <w:vAlign w:val="center"/>
          </w:tcPr>
          <w:p>
            <w:pPr>
              <w:pStyle w:val="14"/>
              <w:keepNext w:val="0"/>
              <w:keepLines w:val="0"/>
              <w:pageBreakBefore w:val="0"/>
              <w:widowControl w:val="0"/>
              <w:kinsoku/>
              <w:wordWrap/>
              <w:overflowPunct w:val="0"/>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综合评价等级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restart"/>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有组织</w:t>
            </w:r>
          </w:p>
        </w:tc>
        <w:tc>
          <w:tcPr>
            <w:tcW w:w="296" w:type="pct"/>
            <w:vMerge w:val="restart"/>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DA001</w:t>
            </w:r>
          </w:p>
        </w:tc>
        <w:tc>
          <w:tcPr>
            <w:tcW w:w="737"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0.04</w:t>
            </w:r>
          </w:p>
        </w:tc>
        <w:tc>
          <w:tcPr>
            <w:tcW w:w="675"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568"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0.02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restar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296"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737"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二甲苯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0.408</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68"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4"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296" w:type="pct"/>
            <w:vMerge w:val="continue"/>
            <w:tcBorders>
              <w:tl2br w:val="nil"/>
              <w:tr2bl w:val="nil"/>
            </w:tcBorders>
            <w:noWrap w:val="0"/>
            <w:vAlign w:val="center"/>
          </w:tcPr>
          <w:p>
            <w:pPr>
              <w:jc w:val="center"/>
              <w:rPr>
                <w:rFonts w:hint="default" w:ascii="Times New Roman" w:hAnsi="Times New Roman" w:eastAsia="宋体" w:cs="Times New Roman"/>
                <w:b w:val="0"/>
                <w:color w:val="000000" w:themeColor="text1"/>
                <w:sz w:val="21"/>
                <w:szCs w:val="21"/>
                <w:highlight w:val="none"/>
                <w14:textFill>
                  <w14:solidFill>
                    <w14:schemeClr w14:val="tx1"/>
                  </w14:solidFill>
                </w14:textFill>
              </w:rPr>
            </w:pPr>
          </w:p>
        </w:tc>
        <w:tc>
          <w:tcPr>
            <w:tcW w:w="737"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NMHC</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8.41</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68"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0.42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96"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DA002</w:t>
            </w:r>
          </w:p>
        </w:tc>
        <w:tc>
          <w:tcPr>
            <w:tcW w:w="737"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0.396</w:t>
            </w:r>
          </w:p>
        </w:tc>
        <w:tc>
          <w:tcPr>
            <w:tcW w:w="675"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21</w:t>
            </w:r>
          </w:p>
        </w:tc>
        <w:tc>
          <w:tcPr>
            <w:tcW w:w="568" w:type="pct"/>
            <w:tcBorders>
              <w:tl2br w:val="nil"/>
              <w:tr2bl w:val="nil"/>
            </w:tcBorders>
            <w:noWrap w:val="0"/>
            <w:vAlign w:val="center"/>
          </w:tcPr>
          <w:p>
            <w:pPr>
              <w:keepNext w:val="0"/>
              <w:keepLines w:val="0"/>
              <w:pageBreakBefore w:val="0"/>
              <w:kinsoku/>
              <w:wordWrap/>
              <w:overflowPunct w:val="0"/>
              <w:topLinePunct w:val="0"/>
              <w:autoSpaceDE/>
              <w:autoSpaceDN/>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0.09</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pct"/>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96"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DA003</w:t>
            </w:r>
          </w:p>
        </w:tc>
        <w:tc>
          <w:tcPr>
            <w:tcW w:w="737" w:type="pc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0.951</w:t>
            </w:r>
          </w:p>
        </w:tc>
        <w:tc>
          <w:tcPr>
            <w:tcW w:w="675"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21</w:t>
            </w:r>
          </w:p>
        </w:tc>
        <w:tc>
          <w:tcPr>
            <w:tcW w:w="568" w:type="pct"/>
            <w:tcBorders>
              <w:tl2br w:val="nil"/>
              <w:tr2bl w:val="nil"/>
            </w:tcBorders>
            <w:noWrap w:val="0"/>
            <w:vAlign w:val="center"/>
          </w:tcPr>
          <w:p>
            <w:pPr>
              <w:keepNext w:val="0"/>
              <w:keepLines w:val="0"/>
              <w:pageBreakBefore w:val="0"/>
              <w:kinsoku/>
              <w:wordWrap/>
              <w:overflowPunct w:val="0"/>
              <w:topLinePunct w:val="0"/>
              <w:autoSpaceDE/>
              <w:autoSpaceDN/>
              <w:bidi w:val="0"/>
              <w:adjustRightInd/>
              <w:snapToGrid/>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0.21</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restart"/>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无组织</w:t>
            </w: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0.135</w:t>
            </w:r>
          </w:p>
        </w:tc>
        <w:tc>
          <w:tcPr>
            <w:tcW w:w="675" w:type="pct"/>
            <w:vMerge w:val="restar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621</w:t>
            </w: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200.0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0.07</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二甲苯</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1.26</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200.0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0.63</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NMHC</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28.5</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2000.0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shd w:val="clear" w:color="FFFFFF" w:fill="D9D9D9"/>
                <w:lang w:val="en-US" w:eastAsia="zh-CN"/>
                <w14:textFill>
                  <w14:solidFill>
                    <w14:schemeClr w14:val="tx1"/>
                  </w14:solidFill>
                </w14:textFill>
              </w:rPr>
              <w:t>1.42</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90" w:type="pct"/>
            <w:gridSpan w:val="2"/>
            <w:vMerge w:val="continue"/>
            <w:tcBorders>
              <w:tl2br w:val="nil"/>
              <w:tr2bl w:val="nil"/>
            </w:tcBorders>
            <w:noWrap w:val="0"/>
            <w:vAlign w:val="center"/>
          </w:tcPr>
          <w:p>
            <w:pPr>
              <w:pageBreakBefore w:val="0"/>
              <w:kinsoku/>
              <w:overflowPunct w:val="0"/>
              <w:bidi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7"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TSP</w:t>
            </w:r>
          </w:p>
        </w:tc>
        <w:tc>
          <w:tcPr>
            <w:tcW w:w="1002"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12.5</w:t>
            </w:r>
          </w:p>
        </w:tc>
        <w:tc>
          <w:tcPr>
            <w:tcW w:w="675" w:type="pct"/>
            <w:vMerge w:val="continue"/>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snapToGrid/>
                <w:color w:val="000000" w:themeColor="text1"/>
                <w:kern w:val="2"/>
                <w:sz w:val="21"/>
                <w:szCs w:val="21"/>
                <w:highlight w:val="none"/>
                <w:lang w:val="en-US" w:eastAsia="zh-CN" w:bidi="ar-SA"/>
                <w14:textFill>
                  <w14:solidFill>
                    <w14:schemeClr w14:val="tx1"/>
                  </w14:solidFill>
                </w14:textFill>
              </w:rPr>
              <w:t>900.0</w:t>
            </w:r>
          </w:p>
        </w:tc>
        <w:tc>
          <w:tcPr>
            <w:tcW w:w="566" w:type="pct"/>
            <w:tcBorders>
              <w:tl2br w:val="nil"/>
              <w:tr2bl w:val="nil"/>
            </w:tcBorders>
            <w:noWrap w:val="0"/>
            <w:vAlign w:val="center"/>
          </w:tcPr>
          <w:p>
            <w:pPr>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1.39</w:t>
            </w:r>
          </w:p>
        </w:tc>
        <w:tc>
          <w:tcPr>
            <w:tcW w:w="442" w:type="pct"/>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16" w:type="pct"/>
            <w:vMerge w:val="continue"/>
            <w:tcBorders>
              <w:tl2br w:val="nil"/>
              <w:tr2bl w:val="nil"/>
            </w:tcBorders>
            <w:noWrap w:val="0"/>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表5.2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 xml:space="preserve">    正常工况下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组织污染源估算模型计算结果表</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有机废气</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
        <w:gridCol w:w="1961"/>
        <w:gridCol w:w="2012"/>
        <w:gridCol w:w="2040"/>
        <w:gridCol w:w="2014"/>
        <w:gridCol w:w="2037"/>
        <w:gridCol w:w="2014"/>
        <w:gridCol w:w="20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tblHeader/>
          <w:jc w:val="center"/>
        </w:trPr>
        <w:tc>
          <w:tcPr>
            <w:tcW w:w="692" w:type="pct"/>
            <w:vMerge w:val="restart"/>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距源中心下风向距离</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p>
        </w:tc>
        <w:tc>
          <w:tcPr>
            <w:tcW w:w="4306" w:type="pct"/>
            <w:gridSpan w:val="6"/>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排气筒</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DA001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tblHeader/>
          <w:jc w:val="center"/>
        </w:trPr>
        <w:tc>
          <w:tcPr>
            <w:tcW w:w="692"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430" w:type="pct"/>
            <w:gridSpan w:val="2"/>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二甲苯</w:t>
            </w:r>
          </w:p>
        </w:tc>
        <w:tc>
          <w:tcPr>
            <w:tcW w:w="1430" w:type="pct"/>
            <w:gridSpan w:val="2"/>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甲苯</w:t>
            </w:r>
          </w:p>
        </w:tc>
        <w:tc>
          <w:tcPr>
            <w:tcW w:w="1446" w:type="pct"/>
            <w:gridSpan w:val="2"/>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非甲烷总烃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tblHeader/>
          <w:jc w:val="center"/>
        </w:trPr>
        <w:tc>
          <w:tcPr>
            <w:tcW w:w="692" w:type="pct"/>
            <w:vMerge w:val="continue"/>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710" w:type="pct"/>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ug/m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w:t>
            </w:r>
          </w:p>
        </w:tc>
        <w:tc>
          <w:tcPr>
            <w:tcW w:w="720" w:type="pct"/>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占标率%</w:t>
            </w:r>
          </w:p>
        </w:tc>
        <w:tc>
          <w:tcPr>
            <w:tcW w:w="711" w:type="pct"/>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ug/m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w:t>
            </w:r>
          </w:p>
        </w:tc>
        <w:tc>
          <w:tcPr>
            <w:tcW w:w="719" w:type="pct"/>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占标率%</w:t>
            </w:r>
          </w:p>
        </w:tc>
        <w:tc>
          <w:tcPr>
            <w:tcW w:w="711" w:type="pct"/>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ug/m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w:t>
            </w:r>
          </w:p>
        </w:tc>
        <w:tc>
          <w:tcPr>
            <w:tcW w:w="735" w:type="pct"/>
            <w:tcBorders>
              <w:lef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1.30E-02</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1.28E-03</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2.68E-01</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w:t>
            </w:r>
          </w:p>
        </w:tc>
        <w:tc>
          <w:tcPr>
            <w:tcW w:w="710"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2.83E-01</w:t>
            </w:r>
          </w:p>
        </w:tc>
        <w:tc>
          <w:tcPr>
            <w:tcW w:w="720"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c>
          <w:tcPr>
            <w:tcW w:w="711"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2.77E-02</w:t>
            </w:r>
          </w:p>
        </w:tc>
        <w:tc>
          <w:tcPr>
            <w:tcW w:w="719"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5.83E+00</w:t>
            </w:r>
          </w:p>
        </w:tc>
        <w:tc>
          <w:tcPr>
            <w:tcW w:w="735"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42</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4.00E-02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8.41E+00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3.95E-01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3.87E-02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8.14E+00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2.93E-01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2.87E-02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6.04E+00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2.35E-01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2.31E-02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4.85E+00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2.45E-01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2.41E-02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5.06E+00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2.34E-02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4.92E+00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175</w:t>
            </w:r>
          </w:p>
        </w:tc>
        <w:tc>
          <w:tcPr>
            <w:tcW w:w="710"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2.37E-01</w:t>
            </w:r>
          </w:p>
        </w:tc>
        <w:tc>
          <w:tcPr>
            <w:tcW w:w="720"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c>
          <w:tcPr>
            <w:tcW w:w="711"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2.33E-02</w:t>
            </w:r>
          </w:p>
        </w:tc>
        <w:tc>
          <w:tcPr>
            <w:tcW w:w="719"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4.89E+00</w:t>
            </w:r>
          </w:p>
        </w:tc>
        <w:tc>
          <w:tcPr>
            <w:tcW w:w="735"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2.26E-01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2.22E-02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4.66E+00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2.17E-01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2.13E-02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4.47E+00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2.05E-02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4.30E+00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1.97E-02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4.15E+00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1.92E-01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1.88E-02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3.95E+00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1.81E-01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0.09</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1.78E-02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3.74E+00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0.09</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1.67E-02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3.52E+00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1.64E-02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3.46E+00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1.67E-01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1.64E-02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3.45E+00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1.66E-01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1.63E-02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3.42E+00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1.64E-01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1.61E-02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3.38E+00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1.58E-02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3.32E+00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1.55E-02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3.25E+00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1.54E-01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1.52E-02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3.19E+00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1.48E-02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3.12E+00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1.45E-02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1.44E-01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2.98E+00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2.91E+00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1.36E-02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2.79E+00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1.30E-02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2.73E+00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1.30E-01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1.28E-02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2.68E+00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1.27E-01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2.63E+00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2.58E+00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2.53E+00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2.49E+00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1.16E-02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2.45E+00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1.17E-01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2.41E+00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1.13E-02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2.37E+00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925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1.13E-01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1.11E-02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2.33E+00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950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1.11E-01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1.09E-02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2.30E+00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975</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1.10E-01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1.08E-02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2.26E+00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Before w:val="1"/>
          <w:wBefore w:w="1" w:type="pct"/>
          <w:trHeight w:val="0" w:hRule="atLeast"/>
          <w:jc w:val="center"/>
        </w:trPr>
        <w:tc>
          <w:tcPr>
            <w:tcW w:w="69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1000</w:t>
            </w:r>
          </w:p>
        </w:tc>
        <w:tc>
          <w:tcPr>
            <w:tcW w:w="71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1.08E-01</w:t>
            </w:r>
          </w:p>
        </w:tc>
        <w:tc>
          <w:tcPr>
            <w:tcW w:w="7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1.06E-02</w:t>
            </w:r>
          </w:p>
        </w:tc>
        <w:tc>
          <w:tcPr>
            <w:tcW w:w="719"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711"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2.23E+00</w:t>
            </w:r>
          </w:p>
        </w:tc>
        <w:tc>
          <w:tcPr>
            <w:tcW w:w="735"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3" w:type="pct"/>
            <w:gridSpan w:val="2"/>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下风向最大浓度</w:t>
            </w:r>
          </w:p>
        </w:tc>
        <w:tc>
          <w:tcPr>
            <w:tcW w:w="1430" w:type="pct"/>
            <w:gridSpan w:val="2"/>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0.408</w:t>
            </w:r>
          </w:p>
        </w:tc>
        <w:tc>
          <w:tcPr>
            <w:tcW w:w="1430" w:type="pct"/>
            <w:gridSpan w:val="2"/>
            <w:tcBorders>
              <w:lef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0.04</w:t>
            </w:r>
          </w:p>
        </w:tc>
        <w:tc>
          <w:tcPr>
            <w:tcW w:w="1446" w:type="pct"/>
            <w:gridSpan w:val="2"/>
            <w:tcBorders>
              <w:lef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8.41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3" w:type="pct"/>
            <w:gridSpan w:val="2"/>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下风向最大浓度出现距离</w:t>
            </w:r>
          </w:p>
        </w:tc>
        <w:tc>
          <w:tcPr>
            <w:tcW w:w="1430" w:type="pct"/>
            <w:gridSpan w:val="2"/>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1430" w:type="pct"/>
            <w:gridSpan w:val="2"/>
            <w:tcBorders>
              <w:lef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c>
          <w:tcPr>
            <w:tcW w:w="1446" w:type="pct"/>
            <w:gridSpan w:val="2"/>
            <w:tcBorders>
              <w:lef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93" w:type="pct"/>
            <w:gridSpan w:val="2"/>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D10%最远距离</w:t>
            </w:r>
          </w:p>
        </w:tc>
        <w:tc>
          <w:tcPr>
            <w:tcW w:w="4306" w:type="pct"/>
            <w:gridSpan w:val="6"/>
            <w:tcBorders>
              <w:left w:val="single" w:color="auto"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表5.2-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 xml:space="preserve">    正常工况下有组织污染源估算模型计算结果表（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颗粒物</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bl>
      <w:tblPr>
        <w:tblStyle w:val="24"/>
        <w:tblW w:w="494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898"/>
        <w:gridCol w:w="3139"/>
        <w:gridCol w:w="2113"/>
        <w:gridCol w:w="2651"/>
        <w:gridCol w:w="22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Merge w:val="restart"/>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距源中心下风向距离</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p>
        </w:tc>
        <w:tc>
          <w:tcPr>
            <w:tcW w:w="1874" w:type="pct"/>
            <w:gridSpan w:val="2"/>
            <w:tcBorders>
              <w:lef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排气筒DA002</w:t>
            </w:r>
          </w:p>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PM</w:t>
            </w:r>
            <w:r>
              <w:rPr>
                <w:rFonts w:hint="default" w:ascii="Times New Roman" w:hAnsi="Times New Roman" w:eastAsia="宋体" w:cs="Times New Roman"/>
                <w:b/>
                <w:bCs w:val="0"/>
                <w:snapToGrid w:val="0"/>
                <w:color w:val="000000" w:themeColor="text1"/>
                <w:kern w:val="0"/>
                <w:sz w:val="21"/>
                <w:szCs w:val="21"/>
                <w:highlight w:val="none"/>
                <w:vertAlign w:val="subscript"/>
                <w:lang w:val="en-US" w:eastAsia="zh-CN"/>
                <w14:textFill>
                  <w14:solidFill>
                    <w14:schemeClr w14:val="tx1"/>
                  </w14:solidFill>
                </w14:textFill>
              </w:rPr>
              <w:t>10</w:t>
            </w:r>
          </w:p>
        </w:tc>
        <w:tc>
          <w:tcPr>
            <w:tcW w:w="1734" w:type="pct"/>
            <w:gridSpan w:val="2"/>
            <w:tcBorders>
              <w:lef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排气筒DA003</w:t>
            </w:r>
          </w:p>
          <w:p>
            <w:pPr>
              <w:keepNext w:val="0"/>
              <w:keepLines w:val="0"/>
              <w:pageBreakBefore w:val="0"/>
              <w:wordWrap/>
              <w:topLinePunct w:val="0"/>
              <w:bidi w:val="0"/>
              <w:adjustRightInd/>
              <w:snapToGrid/>
              <w:jc w:val="cente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t>PM</w:t>
            </w:r>
            <w:r>
              <w:rPr>
                <w:rFonts w:hint="default" w:ascii="Times New Roman" w:hAnsi="Times New Roman" w:eastAsia="宋体" w:cs="Times New Roman"/>
                <w:b/>
                <w:bCs w:val="0"/>
                <w:snapToGrid w:val="0"/>
                <w:color w:val="000000" w:themeColor="text1"/>
                <w:kern w:val="0"/>
                <w:sz w:val="21"/>
                <w:szCs w:val="21"/>
                <w:highlight w:val="none"/>
                <w:vertAlign w:val="subscript"/>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Merge w:val="continue"/>
            <w:shd w:val="clear" w:color="auto" w:fill="auto"/>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1120" w:type="pct"/>
            <w:tcBorders>
              <w:left w:val="single" w:color="auto"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ug/m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w:t>
            </w:r>
          </w:p>
        </w:tc>
        <w:tc>
          <w:tcPr>
            <w:tcW w:w="754" w:type="pct"/>
            <w:tcBorders>
              <w:left w:val="single" w:color="auto"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占标率%</w:t>
            </w:r>
          </w:p>
        </w:tc>
        <w:tc>
          <w:tcPr>
            <w:tcW w:w="946" w:type="pct"/>
            <w:tcBorders>
              <w:left w:val="single" w:color="auto"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浓度</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ug/m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w:t>
            </w:r>
          </w:p>
        </w:tc>
        <w:tc>
          <w:tcPr>
            <w:tcW w:w="787" w:type="pct"/>
            <w:tcBorders>
              <w:left w:val="single" w:color="auto"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4.65E-02</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0.01</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3.96E-01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0.09</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9.51E-01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3.63E-01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8.72E-01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3.08E-01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7.28E-01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6.32E-01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2.01E-01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4.80E-01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w:t>
            </w:r>
          </w:p>
        </w:tc>
        <w:tc>
          <w:tcPr>
            <w:tcW w:w="1120"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2.33E-01</w:t>
            </w:r>
          </w:p>
        </w:tc>
        <w:tc>
          <w:tcPr>
            <w:tcW w:w="754" w:type="pct"/>
            <w:tcBorders>
              <w:left w:val="single" w:color="auto"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946" w:type="pct"/>
            <w:tcBorders>
              <w:left w:val="single" w:color="auto" w:sz="4" w:space="0"/>
            </w:tcBorders>
            <w:shd w:val="clear" w:color="auto" w:fill="auto"/>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5.59E-01</w:t>
            </w:r>
          </w:p>
        </w:tc>
        <w:tc>
          <w:tcPr>
            <w:tcW w:w="787" w:type="pct"/>
            <w:tcBorders>
              <w:left w:val="single" w:color="auto"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2.73E-01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6.56E-01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2.73E-01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6.54E-01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6.33E-01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2.83E-01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6.79E-01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6.87E-01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2.81E-01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6.79E-01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2.75E-01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6.62E-01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2.67E-01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6.40E-01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6.15E-01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5.89E-01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5.61E-01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5.38E-01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5.13E-01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2.05E-01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4.91E-01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1.96E-01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4.70E-01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1.88E-01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1.81E-01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4.33E-01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4.16E-01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1.67E-01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4.00E-01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1.61E-01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3.85E-01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1.55E-01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3.71E-01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1.49E-01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3.58E-01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3.45E-01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3.33E-01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3.22E-01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1.30E-01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3.11E-01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3.01E-01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2.92E-01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1.18E-01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2.86E-01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1.14E-01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2.82E-01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1.20E-01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2.79E-01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925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1.29E-01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2.84E-01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950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2.88E-01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975</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1.16E-01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3.13E-01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1000</w:t>
            </w:r>
          </w:p>
        </w:tc>
        <w:tc>
          <w:tcPr>
            <w:tcW w:w="1120"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1.20E-01</w:t>
            </w:r>
          </w:p>
        </w:tc>
        <w:tc>
          <w:tcPr>
            <w:tcW w:w="754"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c>
          <w:tcPr>
            <w:tcW w:w="946" w:type="pct"/>
            <w:tcBorders>
              <w:left w:val="single" w:color="auto" w:sz="4" w:space="0"/>
            </w:tcBorders>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3.40E-01</w:t>
            </w:r>
          </w:p>
        </w:tc>
        <w:tc>
          <w:tcPr>
            <w:tcW w:w="787" w:type="pct"/>
            <w:tcBorders>
              <w:left w:val="single" w:color="auto" w:sz="4" w:space="0"/>
            </w:tcBorders>
            <w:vAlign w:val="center"/>
          </w:tcPr>
          <w:p>
            <w:pPr>
              <w:keepNext w:val="0"/>
              <w:keepLines w:val="0"/>
              <w:pageBreakBefore w:val="0"/>
              <w:widowControl/>
              <w:suppressLineNumbers w:val="0"/>
              <w:kinsoku w:val="0"/>
              <w:wordWrap/>
              <w:overflowPunct/>
              <w:topLinePunct w:val="0"/>
              <w:autoSpaceDE w:val="0"/>
              <w:autoSpaceDN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下风向最大浓度</w:t>
            </w:r>
          </w:p>
        </w:tc>
        <w:tc>
          <w:tcPr>
            <w:tcW w:w="1874" w:type="pct"/>
            <w:gridSpan w:val="2"/>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0.396</w:t>
            </w:r>
          </w:p>
        </w:tc>
        <w:tc>
          <w:tcPr>
            <w:tcW w:w="1734" w:type="pct"/>
            <w:gridSpan w:val="2"/>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0.951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下风向最大浓度出现距离</w:t>
            </w:r>
          </w:p>
        </w:tc>
        <w:tc>
          <w:tcPr>
            <w:tcW w:w="1874" w:type="pct"/>
            <w:gridSpan w:val="2"/>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c>
          <w:tcPr>
            <w:tcW w:w="1734" w:type="pct"/>
            <w:gridSpan w:val="2"/>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391" w:type="pct"/>
            <w:tcBorders>
              <w:left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jc w:val="center"/>
              <w:textAlignment w:val="auto"/>
              <w:rPr>
                <w:rFonts w:hint="default" w:ascii="Times New Roman" w:hAnsi="Times New Roman" w:eastAsia="宋体" w:cs="Times New Roman"/>
                <w:b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D10%最远距离</w:t>
            </w:r>
          </w:p>
        </w:tc>
        <w:tc>
          <w:tcPr>
            <w:tcW w:w="3608" w:type="pct"/>
            <w:gridSpan w:val="4"/>
            <w:tcBorders>
              <w:left w:val="single" w:color="auto" w:sz="4" w:space="0"/>
              <w:right w:val="single" w:color="auto" w:sz="4" w:space="0"/>
            </w:tcBorders>
            <w:vAlign w:val="center"/>
          </w:tcPr>
          <w:p>
            <w:pPr>
              <w:keepNext w:val="0"/>
              <w:keepLines w:val="0"/>
              <w:pageBreakBefore w:val="0"/>
              <w:wordWrap/>
              <w:topLinePunct w:val="0"/>
              <w:bidi w:val="0"/>
              <w:adjustRightInd/>
              <w:snapToGrid/>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bl>
    <w:p>
      <w:pPr>
        <w:pageBreakBefore w:val="0"/>
        <w:kinsoku/>
        <w:overflowPunct w:val="0"/>
        <w:bidi w:val="0"/>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p>
    <w:p>
      <w:pPr>
        <w:pageBreakBefore w:val="0"/>
        <w:kinsoku/>
        <w:overflowPunct w:val="0"/>
        <w:bidi w:val="0"/>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②无组织</w:t>
      </w:r>
    </w:p>
    <w:p>
      <w:pPr>
        <w:keepNext w:val="0"/>
        <w:keepLines w:val="0"/>
        <w:pageBreakBefore w:val="0"/>
        <w:widowControl w:val="0"/>
        <w:kinsoku/>
        <w:wordWrap/>
        <w:overflowPunct w:val="0"/>
        <w:topLinePunct w:val="0"/>
        <w:autoSpaceDE/>
        <w:autoSpaceDN/>
        <w:bidi w:val="0"/>
        <w:adjustRightInd w:val="0"/>
        <w:snapToGrid/>
        <w:spacing w:line="360" w:lineRule="auto"/>
        <w:ind w:left="0" w:firstLine="480" w:firstLineChars="20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正常工况下无组织</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污染源</w:t>
      </w:r>
      <w:r>
        <w:rPr>
          <w:rFonts w:hint="default" w:ascii="Times New Roman" w:hAnsi="Times New Roman" w:eastAsia="宋体" w:cs="Times New Roman"/>
          <w:color w:val="000000" w:themeColor="text1"/>
          <w:sz w:val="24"/>
          <w:szCs w:val="24"/>
          <w:highlight w:val="none"/>
          <w14:textFill>
            <w14:solidFill>
              <w14:schemeClr w14:val="tx1"/>
            </w14:solidFill>
          </w14:textFill>
        </w:rPr>
        <w:t>估算模型计算汇总见</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4"/>
          <w:szCs w:val="24"/>
          <w:highlight w:val="none"/>
          <w14:textFill>
            <w14:solidFill>
              <w14:schemeClr w14:val="tx1"/>
            </w14:solidFill>
          </w14:textFill>
        </w:rPr>
        <w:t>5.2-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表5.2-</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正常工况下无组织污染源估算模型计算结果表</w:t>
      </w:r>
    </w:p>
    <w:tbl>
      <w:tblPr>
        <w:tblStyle w:val="24"/>
        <w:tblW w:w="494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24"/>
        <w:gridCol w:w="1854"/>
        <w:gridCol w:w="1464"/>
        <w:gridCol w:w="1528"/>
        <w:gridCol w:w="1511"/>
        <w:gridCol w:w="1497"/>
        <w:gridCol w:w="1430"/>
        <w:gridCol w:w="1492"/>
        <w:gridCol w:w="16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Merge w:val="restart"/>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距源中心下风向距离</w:t>
            </w: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m)</w:t>
            </w:r>
          </w:p>
        </w:tc>
        <w:tc>
          <w:tcPr>
            <w:tcW w:w="4420" w:type="pct"/>
            <w:gridSpan w:val="8"/>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pacing w:val="-8"/>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Merge w:val="continue"/>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183" w:type="pct"/>
            <w:gridSpan w:val="2"/>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非甲烷总烃</w:t>
            </w:r>
          </w:p>
        </w:tc>
        <w:tc>
          <w:tcPr>
            <w:tcW w:w="1084" w:type="pct"/>
            <w:gridSpan w:val="2"/>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TSP</w:t>
            </w:r>
          </w:p>
        </w:tc>
        <w:tc>
          <w:tcPr>
            <w:tcW w:w="1044" w:type="pct"/>
            <w:gridSpan w:val="2"/>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二甲苯</w:t>
            </w:r>
          </w:p>
        </w:tc>
        <w:tc>
          <w:tcPr>
            <w:tcW w:w="1107" w:type="pct"/>
            <w:gridSpan w:val="2"/>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甲苯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Merge w:val="continue"/>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661" w:type="pct"/>
            <w:tcBorders>
              <w:left w:val="single" w:color="auto" w:sz="4" w:space="0"/>
              <w:righ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浓度</w:t>
            </w:r>
            <w:r>
              <w:rPr>
                <w:rFonts w:hint="default" w:ascii="Times New Roman" w:hAnsi="Times New Roman" w:eastAsia="宋体" w:cs="Times New Roman"/>
                <w:b/>
                <w:color w:val="000000" w:themeColor="text1"/>
                <w:spacing w:val="-8"/>
                <w:kern w:val="0"/>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μg/m</w:t>
            </w:r>
            <w:r>
              <w:rPr>
                <w:rFonts w:hint="default" w:ascii="Times New Roman" w:hAnsi="Times New Roman" w:eastAsia="宋体" w:cs="Times New Roman"/>
                <w:b/>
                <w:color w:val="000000" w:themeColor="text1"/>
                <w:spacing w:val="-8"/>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w:t>
            </w:r>
          </w:p>
        </w:tc>
        <w:tc>
          <w:tcPr>
            <w:tcW w:w="522"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占标率%</w:t>
            </w:r>
          </w:p>
        </w:tc>
        <w:tc>
          <w:tcPr>
            <w:tcW w:w="545"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浓度</w:t>
            </w:r>
            <w:r>
              <w:rPr>
                <w:rFonts w:hint="default" w:ascii="Times New Roman" w:hAnsi="Times New Roman" w:eastAsia="宋体" w:cs="Times New Roman"/>
                <w:b/>
                <w:color w:val="000000" w:themeColor="text1"/>
                <w:spacing w:val="-8"/>
                <w:kern w:val="0"/>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μg/m</w:t>
            </w:r>
            <w:r>
              <w:rPr>
                <w:rFonts w:hint="default" w:ascii="Times New Roman" w:hAnsi="Times New Roman" w:eastAsia="宋体" w:cs="Times New Roman"/>
                <w:b/>
                <w:color w:val="000000" w:themeColor="text1"/>
                <w:spacing w:val="-8"/>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w:t>
            </w:r>
          </w:p>
        </w:tc>
        <w:tc>
          <w:tcPr>
            <w:tcW w:w="538"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占标率%</w:t>
            </w:r>
          </w:p>
        </w:tc>
        <w:tc>
          <w:tcPr>
            <w:tcW w:w="534"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snapToGrid w:val="0"/>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浓度</w:t>
            </w:r>
            <w:r>
              <w:rPr>
                <w:rFonts w:hint="default" w:ascii="Times New Roman" w:hAnsi="Times New Roman" w:eastAsia="宋体" w:cs="Times New Roman"/>
                <w:b/>
                <w:color w:val="000000" w:themeColor="text1"/>
                <w:spacing w:val="-8"/>
                <w:kern w:val="0"/>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μg/m</w:t>
            </w:r>
            <w:r>
              <w:rPr>
                <w:rFonts w:hint="default" w:ascii="Times New Roman" w:hAnsi="Times New Roman" w:eastAsia="宋体" w:cs="Times New Roman"/>
                <w:b/>
                <w:color w:val="000000" w:themeColor="text1"/>
                <w:spacing w:val="-8"/>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w:t>
            </w:r>
          </w:p>
        </w:tc>
        <w:tc>
          <w:tcPr>
            <w:tcW w:w="509"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snapToGrid w:val="0"/>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占标率%</w:t>
            </w:r>
          </w:p>
        </w:tc>
        <w:tc>
          <w:tcPr>
            <w:tcW w:w="532"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snapToGrid w:val="0"/>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浓度</w:t>
            </w:r>
            <w:r>
              <w:rPr>
                <w:rFonts w:hint="default" w:ascii="Times New Roman" w:hAnsi="Times New Roman" w:eastAsia="宋体" w:cs="Times New Roman"/>
                <w:b/>
                <w:color w:val="000000" w:themeColor="text1"/>
                <w:spacing w:val="-8"/>
                <w:kern w:val="0"/>
                <w:sz w:val="21"/>
                <w:szCs w:val="21"/>
                <w:highlight w:val="none"/>
                <w:lang w:eastAsia="zh-CN"/>
                <w14:textFill>
                  <w14:solidFill>
                    <w14:schemeClr w14:val="tx1"/>
                  </w14:solidFill>
                </w14:textFill>
              </w:rPr>
              <w:t>（</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μg/m</w:t>
            </w:r>
            <w:r>
              <w:rPr>
                <w:rFonts w:hint="default" w:ascii="Times New Roman" w:hAnsi="Times New Roman" w:eastAsia="宋体" w:cs="Times New Roman"/>
                <w:b/>
                <w:color w:val="000000" w:themeColor="text1"/>
                <w:spacing w:val="-8"/>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w:t>
            </w:r>
          </w:p>
        </w:tc>
        <w:tc>
          <w:tcPr>
            <w:tcW w:w="575" w:type="pct"/>
            <w:tcBorders>
              <w:left w:val="single" w:color="auto" w:sz="4" w:space="0"/>
            </w:tcBorders>
            <w:vAlign w:val="center"/>
          </w:tcPr>
          <w:p>
            <w:pPr>
              <w:keepNext w:val="0"/>
              <w:keepLines w:val="0"/>
              <w:pageBreakBefore w:val="0"/>
              <w:widowControl/>
              <w:kinsoku/>
              <w:wordWrap/>
              <w:overflowPunct w:val="0"/>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snapToGrid w:val="0"/>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spacing w:val="-8"/>
                <w:kern w:val="0"/>
                <w:sz w:val="21"/>
                <w:szCs w:val="21"/>
                <w:highlight w:val="none"/>
                <w14:textFill>
                  <w14:solidFill>
                    <w14:schemeClr w14:val="tx1"/>
                  </w14:solidFill>
                </w14:textFill>
              </w:rPr>
              <w:t>占标率%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0.72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6.32E+00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0.7</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6.34E-01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6.79E-02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1.49E+01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0.74</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6.56E+00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0.73</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6.58E-01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7.05E-02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1.58E+01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0.79</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6.96E+00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0.77</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6.99E-01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0.35</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7.48E-02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1.67E+01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0.83</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7.36E+00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0.82</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7.38E-01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0.37</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7.91E-02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1.76E+01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0.88</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7.75E+00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0.86</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7.78E-01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0.39</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8.33E-02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1.85E+01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0.92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8.14E+00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8.17E-01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0.41</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8.75E-02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1.93E+01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0.97</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8.52E+00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0.95</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8.55E-01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9.16E-02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2.02E+01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1.01</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8.90E+00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0.99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8.93E-01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0.45</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9.57E-02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2.10E+01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1.05</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9.27E+00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1.03</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9.30E-01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0.47</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9.97E-02</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2.19E+01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1.09</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9.64E+00</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1.07</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9.67E-01</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0.48</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1.04E-01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2.27E+01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1.13</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1.11</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1.08E-01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2.35E+01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1.18</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1.04E+01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1.04E+00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1.11E-01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2.43E+01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1.07E+01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1.08E+00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0.54</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2.51E+01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1.11E+01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1.11E+00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0.56</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2.57E+01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1.29</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1.13E+01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1.14E+00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0.57</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2.60E+01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1.14E+01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1.27</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0.57</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2.65E+01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1.17E+01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1.17E+00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0.59</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2.69E+01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1.18E+01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1.32</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0.59</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1.27E-01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1.36</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1.20E+01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1.29E-01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2.76E+01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0.61</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1.31E-01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2.79E+01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1.37</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1.32E-01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2.81E+01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1.41</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1.24E+01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1.24E+00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1.41</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2.84E+01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2.84E+01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621</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2.85E+01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2.84E+01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2.84E+01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675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0.63</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2.82E+01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1.41</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1.24E+01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2.81E+01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1.24E+01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1.24E+00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2.79E+01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1.4</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1.37</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1.24E+00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0.62</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1.32E-01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2.77E+01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1.39</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1.36</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0.61</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1.31E-01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2.76E+01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1.38</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0.61</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1.31E-01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1.37</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1.20E+01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1.30E-01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2.71E+01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1.35</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1.20E+00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0.6</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1.28E-01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2.68E+01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1.34</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1.18E+01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1.31</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1.19E+00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0.59</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1.27E-01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2.66E+01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1.17E+01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1.18E+00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0.59</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925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2.63E+01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1.32</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1.16E+01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1.29</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1.16E+00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0.58</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1.25E-01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950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2.60E+01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1.28</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1.15E+00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0.58</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1.23E-01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975</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2.58E+01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1.29</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1.14E+01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1.14E+00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0.57</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1000</w:t>
            </w:r>
          </w:p>
        </w:tc>
        <w:tc>
          <w:tcPr>
            <w:tcW w:w="661"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2.56E+01</w:t>
            </w:r>
          </w:p>
        </w:tc>
        <w:tc>
          <w:tcPr>
            <w:tcW w:w="52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1.28</w:t>
            </w:r>
          </w:p>
        </w:tc>
        <w:tc>
          <w:tcPr>
            <w:tcW w:w="54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1.13E+01</w:t>
            </w:r>
          </w:p>
        </w:tc>
        <w:tc>
          <w:tcPr>
            <w:tcW w:w="538"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1.26</w:t>
            </w:r>
          </w:p>
        </w:tc>
        <w:tc>
          <w:tcPr>
            <w:tcW w:w="534"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1.13E+00</w:t>
            </w:r>
          </w:p>
        </w:tc>
        <w:tc>
          <w:tcPr>
            <w:tcW w:w="509"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0.57</w:t>
            </w:r>
          </w:p>
        </w:tc>
        <w:tc>
          <w:tcPr>
            <w:tcW w:w="532"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1.22E-01</w:t>
            </w:r>
          </w:p>
        </w:tc>
        <w:tc>
          <w:tcPr>
            <w:tcW w:w="575" w:type="pct"/>
            <w:vAlign w:val="center"/>
          </w:tcPr>
          <w:p>
            <w:pPr>
              <w:keepNext w:val="0"/>
              <w:keepLines w:val="0"/>
              <w:pageBreakBefore w:val="0"/>
              <w:widowControl/>
              <w:suppressLineNumbers w:val="0"/>
              <w:wordWrap/>
              <w:topLinePunct w:val="0"/>
              <w:bidi w:val="0"/>
              <w:adjustRightInd/>
              <w:snapToGrid/>
              <w:jc w:val="center"/>
              <w:textAlignment w:val="center"/>
              <w:rPr>
                <w:rFonts w:hint="default" w:ascii="Times New Roman" w:hAnsi="Times New Roman" w:eastAsia="宋体" w:cs="Times New Roman"/>
                <w:i w:val="0"/>
                <w:iCs w:val="0"/>
                <w:snapToGrid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下风向最大浓度</w:t>
            </w:r>
          </w:p>
        </w:tc>
        <w:tc>
          <w:tcPr>
            <w:tcW w:w="1183"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28.5</w:t>
            </w:r>
          </w:p>
        </w:tc>
        <w:tc>
          <w:tcPr>
            <w:tcW w:w="1084"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12.5</w:t>
            </w:r>
          </w:p>
        </w:tc>
        <w:tc>
          <w:tcPr>
            <w:tcW w:w="1044"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1.26</w:t>
            </w:r>
          </w:p>
        </w:tc>
        <w:tc>
          <w:tcPr>
            <w:tcW w:w="1107"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0.135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下风向最大浓度出现距离</w:t>
            </w:r>
          </w:p>
        </w:tc>
        <w:tc>
          <w:tcPr>
            <w:tcW w:w="1183"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621</w:t>
            </w:r>
          </w:p>
        </w:tc>
        <w:tc>
          <w:tcPr>
            <w:tcW w:w="1084"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621</w:t>
            </w:r>
          </w:p>
        </w:tc>
        <w:tc>
          <w:tcPr>
            <w:tcW w:w="1044"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621</w:t>
            </w:r>
          </w:p>
        </w:tc>
        <w:tc>
          <w:tcPr>
            <w:tcW w:w="1107" w:type="pct"/>
            <w:gridSpan w:val="2"/>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9" w:type="pct"/>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D10%最远距离</w:t>
            </w:r>
          </w:p>
        </w:tc>
        <w:tc>
          <w:tcPr>
            <w:tcW w:w="4420" w:type="pct"/>
            <w:gridSpan w:val="8"/>
            <w:vAlign w:val="center"/>
          </w:tcPr>
          <w:p>
            <w:pPr>
              <w:keepNext w:val="0"/>
              <w:keepLines w:val="0"/>
              <w:pageBreakBefore w:val="0"/>
              <w:widowControl/>
              <w:wordWrap/>
              <w:topLinePunct w:val="0"/>
              <w:bidi w:val="0"/>
              <w:adjustRightInd/>
              <w:snapToGrid/>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w:t>
            </w:r>
          </w:p>
        </w:tc>
      </w:tr>
    </w:tbl>
    <w:p>
      <w:pPr>
        <w:keepNext w:val="0"/>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snapToGrid/>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由预测可知，本项目Pmax最大值出现为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highlight w:val="none"/>
          <w14:textFill>
            <w14:solidFill>
              <w14:schemeClr w14:val="tx1"/>
            </w14:solidFill>
          </w14:textFill>
        </w:rPr>
        <w:t>排放的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highlight w:val="none"/>
          <w14:textFill>
            <w14:solidFill>
              <w14:schemeClr w14:val="tx1"/>
            </w14:solidFill>
          </w14:textFill>
        </w:rPr>
        <w:t>Pmax值为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1.42</w:t>
      </w:r>
      <w:r>
        <w:rPr>
          <w:rFonts w:hint="default" w:ascii="Times New Roman" w:hAnsi="Times New Roman" w:eastAsia="宋体" w:cs="Times New Roman"/>
          <w:color w:val="000000" w:themeColor="text1"/>
          <w:sz w:val="24"/>
          <w:highlight w:val="none"/>
          <w14:textFill>
            <w14:solidFill>
              <w14:schemeClr w14:val="tx1"/>
            </w14:solidFill>
          </w14:textFill>
        </w:rPr>
        <w:t>%，Cmax为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28.5</w:t>
      </w:r>
      <w:r>
        <w:rPr>
          <w:rFonts w:hint="default" w:ascii="Times New Roman" w:hAnsi="Times New Roman" w:eastAsia="宋体" w:cs="Times New Roman"/>
          <w:color w:val="000000" w:themeColor="text1"/>
          <w:sz w:val="24"/>
          <w:highlight w:val="none"/>
          <w14:textFill>
            <w14:solidFill>
              <w14:schemeClr w14:val="tx1"/>
            </w14:solidFill>
          </w14:textFill>
        </w:rPr>
        <w:t>μg/m³。根据《环境影响评价技术导则 大气环境》（HJ2.2-2018）分级判据，确定本项目大气环境影响评价工作等级为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highlight w:val="none"/>
          <w14:textFill>
            <w14:solidFill>
              <w14:schemeClr w14:val="tx1"/>
            </w14:solidFill>
          </w14:textFill>
        </w:rPr>
        <w:t>，不进行进一步预测与评价</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只对污染物排放量进行核算。</w:t>
      </w:r>
      <w:r>
        <w:rPr>
          <w:rFonts w:hint="default" w:ascii="Times New Roman" w:hAnsi="Times New Roman" w:eastAsia="宋体" w:cs="Times New Roman"/>
          <w:b w:val="0"/>
          <w:snapToGrid/>
          <w:color w:val="000000" w:themeColor="text1"/>
          <w:kern w:val="2"/>
          <w:sz w:val="24"/>
          <w:szCs w:val="24"/>
          <w:lang w:val="en-US" w:eastAsia="zh-CN" w:bidi="ar-SA"/>
          <w14:textFill>
            <w14:solidFill>
              <w14:schemeClr w14:val="tx1"/>
            </w14:solidFill>
          </w14:textFill>
        </w:rPr>
        <w:t>因此不需要计算大气环境功能防护距离。</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16"/>
          <w:highlight w:val="none"/>
          <w:lang w:val="en-US" w:eastAsia="zh-CN" w:bidi="ar-SA"/>
          <w14:textFill>
            <w14:solidFill>
              <w14:schemeClr w14:val="tx1"/>
            </w14:solidFill>
          </w14:textFill>
        </w:rPr>
        <w:t>表5.2-10   大气污染无组织排放量核算表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260"/>
        <w:gridCol w:w="1264"/>
        <w:gridCol w:w="1278"/>
        <w:gridCol w:w="1479"/>
        <w:gridCol w:w="4777"/>
        <w:gridCol w:w="1782"/>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序号</w:t>
            </w:r>
          </w:p>
        </w:tc>
        <w:tc>
          <w:tcPr>
            <w:tcW w:w="445"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排放口编号</w:t>
            </w:r>
          </w:p>
        </w:tc>
        <w:tc>
          <w:tcPr>
            <w:tcW w:w="44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产污环节</w:t>
            </w:r>
          </w:p>
        </w:tc>
        <w:tc>
          <w:tcPr>
            <w:tcW w:w="45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污染物</w:t>
            </w:r>
          </w:p>
        </w:tc>
        <w:tc>
          <w:tcPr>
            <w:tcW w:w="52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主要污染防治措施</w:t>
            </w:r>
          </w:p>
        </w:tc>
        <w:tc>
          <w:tcPr>
            <w:tcW w:w="2315" w:type="pct"/>
            <w:gridSpan w:val="2"/>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国家或地方污染物排放标准</w:t>
            </w:r>
          </w:p>
        </w:tc>
        <w:tc>
          <w:tcPr>
            <w:tcW w:w="494"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年排放量</w:t>
            </w:r>
            <w:r>
              <w:rPr>
                <w:rFonts w:hint="default" w:ascii="Times New Roman" w:hAnsi="Times New Roman" w:eastAsia="宋体" w:cs="Times New Roman"/>
                <w:b w:val="0"/>
                <w:bCs/>
                <w:snapToGrid/>
                <w:color w:val="000000" w:themeColor="text1"/>
                <w:kern w:val="2"/>
                <w:sz w:val="21"/>
                <w:szCs w:val="21"/>
                <w:vertAlign w:val="baseline"/>
                <w:lang w:val="en-US" w:eastAsia="zh-CN"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5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52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标准名称</w:t>
            </w:r>
          </w:p>
        </w:tc>
        <w:tc>
          <w:tcPr>
            <w:tcW w:w="629"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浓度限值</w:t>
            </w:r>
            <w:r>
              <w:rPr>
                <w:rFonts w:hint="default" w:ascii="Times New Roman" w:hAnsi="Times New Roman" w:eastAsia="宋体" w:cs="Times New Roman"/>
                <w:b w:val="0"/>
                <w:bCs/>
                <w:snapToGrid/>
                <w:color w:val="000000" w:themeColor="text1"/>
                <w:kern w:val="0"/>
                <w:sz w:val="21"/>
                <w:szCs w:val="21"/>
                <w:highlight w:val="none"/>
                <w:lang w:val="en-US" w:eastAsia="zh-CN" w:bidi="ar"/>
                <w14:textFill>
                  <w14:solidFill>
                    <w14:schemeClr w14:val="tx1"/>
                  </w14:solidFill>
                </w14:textFill>
              </w:rPr>
              <w:t>mg/m³</w:t>
            </w:r>
          </w:p>
        </w:tc>
        <w:tc>
          <w:tcPr>
            <w:tcW w:w="494"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2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1</w:t>
            </w:r>
          </w:p>
        </w:tc>
        <w:tc>
          <w:tcPr>
            <w:tcW w:w="445"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w:t>
            </w:r>
          </w:p>
        </w:tc>
        <w:tc>
          <w:tcPr>
            <w:tcW w:w="44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灌注车间</w:t>
            </w:r>
          </w:p>
        </w:tc>
        <w:tc>
          <w:tcPr>
            <w:tcW w:w="451" w:type="pct"/>
            <w:vMerge w:val="restart"/>
            <w:noWrap w:val="0"/>
            <w:vAlign w:val="center"/>
          </w:tcPr>
          <w:p>
            <w:pPr>
              <w:pageBreakBefore w:val="0"/>
              <w:kinsoku/>
              <w:overflowPunct w:val="0"/>
              <w:bidi w:val="0"/>
              <w:snapToGrid w:val="0"/>
              <w:jc w:val="center"/>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lang w:val="en-US" w:eastAsia="zh-CN"/>
                <w14:textFill>
                  <w14:solidFill>
                    <w14:schemeClr w14:val="tx1"/>
                  </w14:solidFill>
                </w14:textFill>
              </w:rPr>
              <w:t>非甲烷总烃</w:t>
            </w:r>
          </w:p>
        </w:tc>
        <w:tc>
          <w:tcPr>
            <w:tcW w:w="52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加强控制监管，加强设备的维护</w:t>
            </w:r>
          </w:p>
        </w:tc>
        <w:tc>
          <w:tcPr>
            <w:tcW w:w="1686"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《挥发性有机物无组织排放控制标准》（GB37822-2019）在厂房外设置监控点，监控点处任意一次浓度值</w:t>
            </w:r>
          </w:p>
        </w:tc>
        <w:tc>
          <w:tcPr>
            <w:tcW w:w="629"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30</w:t>
            </w:r>
          </w:p>
        </w:tc>
        <w:tc>
          <w:tcPr>
            <w:tcW w:w="494" w:type="pct"/>
            <w:vMerge w:val="restar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26"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451"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521"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厂界执行</w:t>
            </w: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《大气污染物综合排放标准》（GB16297-1996）</w:t>
            </w:r>
          </w:p>
        </w:tc>
        <w:tc>
          <w:tcPr>
            <w:tcW w:w="629"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4.0</w:t>
            </w:r>
          </w:p>
        </w:tc>
        <w:tc>
          <w:tcPr>
            <w:tcW w:w="494"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2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2</w:t>
            </w:r>
          </w:p>
        </w:tc>
        <w:tc>
          <w:tcPr>
            <w:tcW w:w="445"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w:t>
            </w:r>
          </w:p>
        </w:tc>
        <w:tc>
          <w:tcPr>
            <w:tcW w:w="44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涂装车间</w:t>
            </w:r>
          </w:p>
        </w:tc>
        <w:tc>
          <w:tcPr>
            <w:tcW w:w="451" w:type="pct"/>
            <w:noWrap w:val="0"/>
            <w:vAlign w:val="center"/>
          </w:tcPr>
          <w:p>
            <w:pPr>
              <w:pageBreakBefore w:val="0"/>
              <w:kinsoku/>
              <w:overflowPunct w:val="0"/>
              <w:bidi w:val="0"/>
              <w:snapToGrid w:val="0"/>
              <w:jc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甲苯</w:t>
            </w:r>
          </w:p>
        </w:tc>
        <w:tc>
          <w:tcPr>
            <w:tcW w:w="52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加强控制监管，加强设备的维护</w:t>
            </w:r>
          </w:p>
        </w:tc>
        <w:tc>
          <w:tcPr>
            <w:tcW w:w="168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《大气污染物综合排放标准》（GB16297- 1996）</w:t>
            </w: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表2新污染源大气污染物排放限值</w:t>
            </w:r>
          </w:p>
        </w:tc>
        <w:tc>
          <w:tcPr>
            <w:tcW w:w="629"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2.4</w:t>
            </w:r>
          </w:p>
        </w:tc>
        <w:tc>
          <w:tcPr>
            <w:tcW w:w="494" w:type="pc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2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color w:val="000000" w:themeColor="text1"/>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color w:val="000000" w:themeColor="text1"/>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color w:val="000000" w:themeColor="text1"/>
                <w14:textFill>
                  <w14:solidFill>
                    <w14:schemeClr w14:val="tx1"/>
                  </w14:solidFill>
                </w14:textFill>
              </w:rPr>
            </w:pPr>
          </w:p>
        </w:tc>
        <w:tc>
          <w:tcPr>
            <w:tcW w:w="451" w:type="pct"/>
            <w:noWrap w:val="0"/>
            <w:vAlign w:val="center"/>
          </w:tcPr>
          <w:p>
            <w:pPr>
              <w:pageBreakBefore w:val="0"/>
              <w:kinsoku/>
              <w:overflowPunct w:val="0"/>
              <w:bidi w:val="0"/>
              <w:snapToGrid w:val="0"/>
              <w:jc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二甲苯</w:t>
            </w:r>
          </w:p>
        </w:tc>
        <w:tc>
          <w:tcPr>
            <w:tcW w:w="52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c>
          <w:tcPr>
            <w:tcW w:w="168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c>
          <w:tcPr>
            <w:tcW w:w="629"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1.2</w:t>
            </w:r>
          </w:p>
        </w:tc>
        <w:tc>
          <w:tcPr>
            <w:tcW w:w="494"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5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非甲烷总烃</w:t>
            </w:r>
          </w:p>
        </w:tc>
        <w:tc>
          <w:tcPr>
            <w:tcW w:w="52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i w:val="0"/>
                <w:iCs w:val="0"/>
                <w:snapToGrid/>
                <w:color w:val="000000" w:themeColor="text1"/>
                <w:sz w:val="21"/>
                <w:szCs w:val="21"/>
                <w:highlight w:val="none"/>
                <w:lang w:val="en-US" w:eastAsia="zh-CN"/>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《挥发性有机物无组织排放控制标准》（GB37822-2019）在厂房外设置监控点，监控点处任意一次浓度值</w:t>
            </w:r>
          </w:p>
        </w:tc>
        <w:tc>
          <w:tcPr>
            <w:tcW w:w="629"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30</w:t>
            </w:r>
          </w:p>
        </w:tc>
        <w:tc>
          <w:tcPr>
            <w:tcW w:w="494" w:type="pct"/>
            <w:vMerge w:val="restar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p>
        </w:tc>
        <w:tc>
          <w:tcPr>
            <w:tcW w:w="45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c>
          <w:tcPr>
            <w:tcW w:w="52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i w:val="0"/>
                <w:iCs w:val="0"/>
                <w:snapToGrid/>
                <w:color w:val="000000" w:themeColor="text1"/>
                <w:sz w:val="21"/>
                <w:szCs w:val="21"/>
                <w:highlight w:val="none"/>
                <w:lang w:val="en-US" w:eastAsia="zh-CN"/>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厂界执行</w:t>
            </w: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《大气污染物综合排放标准》（GB16297-1996）</w:t>
            </w:r>
          </w:p>
        </w:tc>
        <w:tc>
          <w:tcPr>
            <w:tcW w:w="629"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4.0</w:t>
            </w:r>
          </w:p>
        </w:tc>
        <w:tc>
          <w:tcPr>
            <w:tcW w:w="494" w:type="pct"/>
            <w:vMerge w:val="continue"/>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26" w:type="pct"/>
            <w:vMerge w:val="restar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3</w:t>
            </w:r>
          </w:p>
        </w:tc>
        <w:tc>
          <w:tcPr>
            <w:tcW w:w="445"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w:t>
            </w:r>
          </w:p>
        </w:tc>
        <w:tc>
          <w:tcPr>
            <w:tcW w:w="44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刮腻子阶段</w:t>
            </w:r>
          </w:p>
        </w:tc>
        <w:tc>
          <w:tcPr>
            <w:tcW w:w="45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非甲烷总烃</w:t>
            </w:r>
          </w:p>
        </w:tc>
        <w:tc>
          <w:tcPr>
            <w:tcW w:w="52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w:t>
            </w:r>
          </w:p>
        </w:tc>
        <w:tc>
          <w:tcPr>
            <w:tcW w:w="1686"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《挥发性有机物无组织排放控制标准》（GB37822-2019）在厂房外设置监控点，监控点处任意一次浓度值</w:t>
            </w:r>
          </w:p>
        </w:tc>
        <w:tc>
          <w:tcPr>
            <w:tcW w:w="629"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30</w:t>
            </w:r>
          </w:p>
        </w:tc>
        <w:tc>
          <w:tcPr>
            <w:tcW w:w="494" w:type="pct"/>
            <w:vMerge w:val="restar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26"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451"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521"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color w:val="000000" w:themeColor="text1"/>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厂界执行</w:t>
            </w: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《大气污染物综合排放标准》（GB16297-1996）</w:t>
            </w:r>
          </w:p>
        </w:tc>
        <w:tc>
          <w:tcPr>
            <w:tcW w:w="629" w:type="pc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4.0</w:t>
            </w:r>
          </w:p>
        </w:tc>
        <w:tc>
          <w:tcPr>
            <w:tcW w:w="494"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restart"/>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4</w:t>
            </w:r>
          </w:p>
        </w:tc>
        <w:tc>
          <w:tcPr>
            <w:tcW w:w="445"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w:t>
            </w:r>
          </w:p>
        </w:tc>
        <w:tc>
          <w:tcPr>
            <w:tcW w:w="446"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危废暂存间</w:t>
            </w:r>
          </w:p>
        </w:tc>
        <w:tc>
          <w:tcPr>
            <w:tcW w:w="45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非甲烷总烃</w:t>
            </w:r>
          </w:p>
        </w:tc>
        <w:tc>
          <w:tcPr>
            <w:tcW w:w="521" w:type="pct"/>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活性炭吸附箱</w:t>
            </w: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厂内执行</w:t>
            </w: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《挥发性有机物无组织排放控制标准》（GB37822-2019）</w:t>
            </w: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在厂房外设置监控点，监控点处任意一次浓度值</w:t>
            </w:r>
          </w:p>
        </w:tc>
        <w:tc>
          <w:tcPr>
            <w:tcW w:w="629"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30</w:t>
            </w:r>
          </w:p>
        </w:tc>
        <w:tc>
          <w:tcPr>
            <w:tcW w:w="494" w:type="pct"/>
            <w:vMerge w:val="restar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vMerge w:val="continue"/>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p>
        </w:tc>
        <w:tc>
          <w:tcPr>
            <w:tcW w:w="445"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c>
          <w:tcPr>
            <w:tcW w:w="446"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c>
          <w:tcPr>
            <w:tcW w:w="45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p>
        </w:tc>
        <w:tc>
          <w:tcPr>
            <w:tcW w:w="521" w:type="pct"/>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eastAsia="zh-CN"/>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厂界执行</w:t>
            </w:r>
            <w:r>
              <w:rPr>
                <w:rFonts w:hint="default" w:ascii="Times New Roman" w:hAnsi="Times New Roman" w:eastAsia="宋体" w:cs="Times New Roman"/>
                <w:b w:val="0"/>
                <w:bCs/>
                <w:snapToGrid/>
                <w:color w:val="000000" w:themeColor="text1"/>
                <w:sz w:val="21"/>
                <w:szCs w:val="21"/>
                <w:highlight w:val="none"/>
                <w14:textFill>
                  <w14:solidFill>
                    <w14:schemeClr w14:val="tx1"/>
                  </w14:solidFill>
                </w14:textFill>
              </w:rPr>
              <w:t>《大气污染物综合排放标准》（GB16297-1996）</w:t>
            </w:r>
          </w:p>
        </w:tc>
        <w:tc>
          <w:tcPr>
            <w:tcW w:w="629"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4.0</w:t>
            </w:r>
          </w:p>
        </w:tc>
        <w:tc>
          <w:tcPr>
            <w:tcW w:w="494" w:type="pct"/>
            <w:vMerge w:val="continue"/>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5</w:t>
            </w:r>
          </w:p>
        </w:tc>
        <w:tc>
          <w:tcPr>
            <w:tcW w:w="445"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w:t>
            </w:r>
          </w:p>
        </w:tc>
        <w:tc>
          <w:tcPr>
            <w:tcW w:w="44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修型车间</w:t>
            </w:r>
          </w:p>
        </w:tc>
        <w:tc>
          <w:tcPr>
            <w:tcW w:w="451"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颗粒物</w:t>
            </w:r>
          </w:p>
        </w:tc>
        <w:tc>
          <w:tcPr>
            <w:tcW w:w="521"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t>加强设备的维护</w:t>
            </w: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《大气污染物综合排放标准》（GB16297- 1996）表2新污染源大气污染物排放限值</w:t>
            </w:r>
          </w:p>
        </w:tc>
        <w:tc>
          <w:tcPr>
            <w:tcW w:w="629"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1.0</w:t>
            </w:r>
          </w:p>
        </w:tc>
        <w:tc>
          <w:tcPr>
            <w:tcW w:w="494" w:type="pc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6</w:t>
            </w:r>
          </w:p>
        </w:tc>
        <w:tc>
          <w:tcPr>
            <w:tcW w:w="445"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厂界</w:t>
            </w:r>
          </w:p>
        </w:tc>
        <w:tc>
          <w:tcPr>
            <w:tcW w:w="44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打磨车间</w:t>
            </w:r>
          </w:p>
        </w:tc>
        <w:tc>
          <w:tcPr>
            <w:tcW w:w="451"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颗粒物</w:t>
            </w:r>
          </w:p>
        </w:tc>
        <w:tc>
          <w:tcPr>
            <w:tcW w:w="521"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t>加强设备的维护</w:t>
            </w: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《大气污染物综合排放标准》（GB16297- 1996）表2新污染源大气污染物排放限值</w:t>
            </w:r>
          </w:p>
        </w:tc>
        <w:tc>
          <w:tcPr>
            <w:tcW w:w="629"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1.0</w:t>
            </w:r>
          </w:p>
        </w:tc>
        <w:tc>
          <w:tcPr>
            <w:tcW w:w="494" w:type="pct"/>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t>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0" w:type="pct"/>
            <w:gridSpan w:val="5"/>
            <w:vMerge w:val="restar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t>无组织排放总计</w:t>
            </w:r>
          </w:p>
        </w:tc>
        <w:tc>
          <w:tcPr>
            <w:tcW w:w="1686" w:type="pct"/>
            <w:noWrap w:val="0"/>
            <w:vAlign w:val="center"/>
          </w:tcPr>
          <w:p>
            <w:pPr>
              <w:pageBreakBefore w:val="0"/>
              <w:kinsoku/>
              <w:overflowPunct w:val="0"/>
              <w:bidi w:val="0"/>
              <w:snapToGrid w:val="0"/>
              <w:jc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甲苯</w:t>
            </w:r>
          </w:p>
        </w:tc>
        <w:tc>
          <w:tcPr>
            <w:tcW w:w="1123" w:type="pct"/>
            <w:gridSpan w:val="2"/>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1"/>
                <w:szCs w:val="21"/>
                <w:highlight w:val="none"/>
                <w:lang w:val="en-US" w:eastAsia="zh-CN" w:bidi="ar-SA"/>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0" w:type="pct"/>
            <w:gridSpan w:val="5"/>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pPr>
          </w:p>
        </w:tc>
        <w:tc>
          <w:tcPr>
            <w:tcW w:w="1686" w:type="pct"/>
            <w:noWrap w:val="0"/>
            <w:vAlign w:val="center"/>
          </w:tcPr>
          <w:p>
            <w:pPr>
              <w:pageBreakBefore w:val="0"/>
              <w:kinsoku/>
              <w:overflowPunct w:val="0"/>
              <w:bidi w:val="0"/>
              <w:snapToGrid w:val="0"/>
              <w:jc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二甲苯</w:t>
            </w:r>
          </w:p>
        </w:tc>
        <w:tc>
          <w:tcPr>
            <w:tcW w:w="1123" w:type="pct"/>
            <w:gridSpan w:val="2"/>
            <w:noWrap w:val="0"/>
            <w:vAlign w:val="center"/>
          </w:tcPr>
          <w:p>
            <w:pPr>
              <w:pStyle w:val="65"/>
              <w:kinsoku/>
              <w:autoSpaceDE/>
              <w:autoSpaceDN/>
              <w:adjustRightInd/>
              <w:snapToGrid/>
              <w:spacing w:line="240" w:lineRule="auto"/>
              <w:ind w:firstLine="0" w:firstLineChars="0"/>
              <w:jc w:val="center"/>
              <w:rPr>
                <w:rFonts w:hint="default" w:ascii="Times New Roman" w:hAnsi="Times New Roman" w:eastAsia="宋体" w:cs="Times New Roman"/>
                <w:b w:val="0"/>
                <w:bCs/>
                <w:snapToGrid/>
                <w:color w:val="000000" w:themeColor="text1"/>
                <w:kern w:val="2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0" w:type="pct"/>
            <w:gridSpan w:val="5"/>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非甲烷总烃</w:t>
            </w:r>
          </w:p>
        </w:tc>
        <w:tc>
          <w:tcPr>
            <w:tcW w:w="1123" w:type="pct"/>
            <w:gridSpan w:val="2"/>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 w:val="21"/>
                <w:szCs w:val="24"/>
                <w:lang w:val="en-US" w:eastAsia="zh-CN" w:bidi="ar-SA"/>
                <w14:textFill>
                  <w14:solidFill>
                    <w14:schemeClr w14:val="tx1"/>
                  </w14:solidFill>
                </w14:textFill>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0" w:type="pct"/>
            <w:gridSpan w:val="5"/>
            <w:vMerge w:val="continue"/>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val="0"/>
                <w:color w:val="000000" w:themeColor="text1"/>
                <w:sz w:val="21"/>
                <w:szCs w:val="16"/>
                <w:lang w:val="en-US" w:eastAsia="zh-CN"/>
                <w14:textFill>
                  <w14:solidFill>
                    <w14:schemeClr w14:val="tx1"/>
                  </w14:solidFill>
                </w14:textFill>
              </w:rPr>
            </w:pPr>
          </w:p>
        </w:tc>
        <w:tc>
          <w:tcPr>
            <w:tcW w:w="1686" w:type="pct"/>
            <w:noWrap w:val="0"/>
            <w:vAlign w:val="center"/>
          </w:tcPr>
          <w:p>
            <w:pPr>
              <w:pStyle w:val="65"/>
              <w:kinsoku/>
              <w:autoSpaceDE/>
              <w:autoSpaceDN/>
              <w:adjustRightInd/>
              <w:snapToGrid/>
              <w:spacing w:line="240" w:lineRule="auto"/>
              <w:ind w:firstLine="0"/>
              <w:jc w:val="cente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color w:val="000000" w:themeColor="text1"/>
                <w:sz w:val="21"/>
                <w:szCs w:val="21"/>
                <w:highlight w:val="none"/>
                <w:lang w:val="en-US" w:eastAsia="zh-CN"/>
                <w14:textFill>
                  <w14:solidFill>
                    <w14:schemeClr w14:val="tx1"/>
                  </w14:solidFill>
                </w14:textFill>
              </w:rPr>
              <w:t>颗粒物</w:t>
            </w:r>
          </w:p>
        </w:tc>
        <w:tc>
          <w:tcPr>
            <w:tcW w:w="1123" w:type="pct"/>
            <w:gridSpan w:val="2"/>
            <w:noWrap w:val="0"/>
            <w:vAlign w:val="center"/>
          </w:tcPr>
          <w:p>
            <w:pPr>
              <w:widowControl w:val="0"/>
              <w:numPr>
                <w:ilvl w:val="0"/>
                <w:numId w:val="0"/>
              </w:numPr>
              <w:kinsoku/>
              <w:autoSpaceDE/>
              <w:autoSpaceDN/>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pPr>
            <w:r>
              <w:rPr>
                <w:rFonts w:hint="default" w:ascii="Times New Roman" w:hAnsi="Times New Roman" w:eastAsia="宋体" w:cs="Times New Roman"/>
                <w:b w:val="0"/>
                <w:bCs/>
                <w:snapToGrid/>
                <w:color w:val="000000" w:themeColor="text1"/>
                <w:kern w:val="2"/>
                <w:szCs w:val="24"/>
                <w:lang w:val="en-US" w:eastAsia="zh-CN" w:bidi="ar-SA"/>
                <w14:textFill>
                  <w14:solidFill>
                    <w14:schemeClr w14:val="tx1"/>
                  </w14:solidFill>
                </w14:textFill>
              </w:rPr>
              <w:t>0.581</w:t>
            </w:r>
          </w:p>
        </w:tc>
      </w:tr>
    </w:tbl>
    <w:p>
      <w:pPr>
        <w:keepNext w:val="0"/>
        <w:keepLines w:val="0"/>
        <w:pageBreakBefore w:val="0"/>
        <w:widowControl/>
        <w:kinsoku/>
        <w:wordWrap/>
        <w:overflowPunct w:val="0"/>
        <w:topLinePunct w:val="0"/>
        <w:autoSpaceDE w:val="0"/>
        <w:autoSpaceDN w:val="0"/>
        <w:bidi w:val="0"/>
        <w:adjustRightInd/>
        <w:snapToGrid/>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napToGrid/>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表5.2-11   大气污染物有组织排放量核算表</w:t>
      </w:r>
    </w:p>
    <w:tbl>
      <w:tblPr>
        <w:tblStyle w:val="24"/>
        <w:tblW w:w="5056"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158"/>
        <w:gridCol w:w="3124"/>
        <w:gridCol w:w="2327"/>
        <w:gridCol w:w="2853"/>
        <w:gridCol w:w="2340"/>
        <w:gridCol w:w="232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序号</w:t>
            </w:r>
          </w:p>
        </w:tc>
        <w:tc>
          <w:tcPr>
            <w:tcW w:w="11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排放口编号</w:t>
            </w: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污染物</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核算排放浓度</w:t>
            </w:r>
            <w:r>
              <w:rPr>
                <w:rFonts w:hint="default" w:ascii="Times New Roman" w:hAnsi="Times New Roman" w:eastAsia="宋体" w:cs="Times New Roman"/>
                <w:bCs/>
                <w:snapToGrid/>
                <w:color w:val="000000" w:themeColor="text1"/>
                <w:kern w:val="0"/>
                <w:sz w:val="21"/>
                <w:szCs w:val="21"/>
                <w:lang w:val="en-US" w:eastAsia="zh-CN" w:bidi="ar-SA"/>
                <w14:textFill>
                  <w14:solidFill>
                    <w14:schemeClr w14:val="tx1"/>
                  </w14:solidFill>
                </w14:textFill>
              </w:rPr>
              <w:t>mg/m</w:t>
            </w:r>
            <w:r>
              <w:rPr>
                <w:rFonts w:hint="default" w:ascii="Times New Roman" w:hAnsi="Times New Roman" w:eastAsia="宋体" w:cs="Times New Roman"/>
                <w:bCs/>
                <w:snapToGrid/>
                <w:color w:val="000000" w:themeColor="text1"/>
                <w:kern w:val="0"/>
                <w:sz w:val="21"/>
                <w:szCs w:val="21"/>
                <w:vertAlign w:val="superscript"/>
                <w:lang w:val="en-US" w:eastAsia="zh-CN" w:bidi="ar-SA"/>
                <w14:textFill>
                  <w14:solidFill>
                    <w14:schemeClr w14:val="tx1"/>
                  </w14:solidFill>
                </w14:textFill>
              </w:rPr>
              <w:t>3</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核算排放速率kg/h</w:t>
            </w:r>
          </w:p>
        </w:tc>
        <w:tc>
          <w:tcPr>
            <w:tcW w:w="8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vertAlign w:val="baseline"/>
                <w:lang w:val="en-US" w:eastAsia="zh-CN" w:bidi="ar-SA"/>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w:t>
            </w:r>
          </w:p>
        </w:tc>
        <w:tc>
          <w:tcPr>
            <w:tcW w:w="1105" w:type="pct"/>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DA001</w:t>
            </w:r>
          </w:p>
        </w:tc>
        <w:tc>
          <w:tcPr>
            <w:tcW w:w="823"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非甲烷总烃</w:t>
            </w:r>
          </w:p>
        </w:tc>
        <w:tc>
          <w:tcPr>
            <w:tcW w:w="10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28.017</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3.362</w:t>
            </w:r>
          </w:p>
        </w:tc>
        <w:tc>
          <w:tcPr>
            <w:tcW w:w="822" w:type="pct"/>
            <w:tcBorders>
              <w:tl2br w:val="nil"/>
              <w:tr2bl w:val="nil"/>
            </w:tcBorders>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6.993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1105" w:type="pct"/>
            <w:vMerge w:val="continue"/>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823"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甲苯</w:t>
            </w:r>
          </w:p>
        </w:tc>
        <w:tc>
          <w:tcPr>
            <w:tcW w:w="10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0.133</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0.016</w:t>
            </w:r>
          </w:p>
        </w:tc>
        <w:tc>
          <w:tcPr>
            <w:tcW w:w="822" w:type="pct"/>
            <w:tcBorders>
              <w:tl2br w:val="nil"/>
              <w:tr2bl w:val="nil"/>
            </w:tcBorders>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0.034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1105" w:type="pct"/>
            <w:vMerge w:val="continue"/>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823"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二甲苯</w:t>
            </w:r>
          </w:p>
        </w:tc>
        <w:tc>
          <w:tcPr>
            <w:tcW w:w="10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1.358</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0.163</w:t>
            </w:r>
          </w:p>
        </w:tc>
        <w:tc>
          <w:tcPr>
            <w:tcW w:w="822" w:type="pct"/>
            <w:tcBorders>
              <w:tl2br w:val="nil"/>
              <w:tr2bl w:val="nil"/>
            </w:tcBorders>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0.339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2</w:t>
            </w:r>
          </w:p>
        </w:tc>
        <w:tc>
          <w:tcPr>
            <w:tcW w:w="1105"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4"/>
                <w:lang w:val="en-US" w:eastAsia="zh-CN" w:bidi="ar-SA"/>
                <w14:textFill>
                  <w14:solidFill>
                    <w14:schemeClr w14:val="tx1"/>
                  </w14:solidFill>
                </w14:textFill>
              </w:rPr>
              <w:t>DA002</w:t>
            </w:r>
          </w:p>
        </w:tc>
        <w:tc>
          <w:tcPr>
            <w:tcW w:w="823"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颗粒物</w:t>
            </w:r>
          </w:p>
        </w:tc>
        <w:tc>
          <w:tcPr>
            <w:tcW w:w="10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1.667</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0.005</w:t>
            </w:r>
          </w:p>
        </w:tc>
        <w:tc>
          <w:tcPr>
            <w:tcW w:w="822" w:type="pct"/>
            <w:tcBorders>
              <w:tl2br w:val="nil"/>
              <w:tr2bl w:val="nil"/>
            </w:tcBorders>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0.016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3</w:t>
            </w:r>
          </w:p>
        </w:tc>
        <w:tc>
          <w:tcPr>
            <w:tcW w:w="1105"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4"/>
                <w:lang w:val="en-US" w:eastAsia="zh-CN" w:bidi="ar-SA"/>
                <w14:textFill>
                  <w14:solidFill>
                    <w14:schemeClr w14:val="tx1"/>
                  </w14:solidFill>
                </w14:textFill>
              </w:rPr>
              <w:t>DA003</w:t>
            </w:r>
          </w:p>
        </w:tc>
        <w:tc>
          <w:tcPr>
            <w:tcW w:w="823"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颗粒物</w:t>
            </w:r>
          </w:p>
        </w:tc>
        <w:tc>
          <w:tcPr>
            <w:tcW w:w="10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4.0</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0.012</w:t>
            </w:r>
          </w:p>
        </w:tc>
        <w:tc>
          <w:tcPr>
            <w:tcW w:w="822" w:type="pct"/>
            <w:tcBorders>
              <w:tl2br w:val="nil"/>
              <w:tr2bl w:val="nil"/>
            </w:tcBorders>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0.037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一般排放口合计</w:t>
            </w: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非甲烷总烃</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6.993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甲苯</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0.034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二甲苯</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0.339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颗粒物</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0.053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有组织排放总计</w:t>
            </w: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非甲烷总烃</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6.993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甲苯</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0.034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二甲苯</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0.339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15"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p>
        </w:tc>
        <w:tc>
          <w:tcPr>
            <w:tcW w:w="2662" w:type="pct"/>
            <w:gridSpan w:val="3"/>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颗粒物</w:t>
            </w:r>
          </w:p>
        </w:tc>
        <w:tc>
          <w:tcPr>
            <w:tcW w:w="822" w:type="pct"/>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t>0.053</w:t>
            </w:r>
          </w:p>
        </w:tc>
      </w:tr>
    </w:tbl>
    <w:p>
      <w:pPr>
        <w:keepNext w:val="0"/>
        <w:keepLines w:val="0"/>
        <w:pageBreakBefore w:val="0"/>
        <w:widowControl w:val="0"/>
        <w:kinsoku/>
        <w:wordWrap/>
        <w:overflowPunct/>
        <w:topLinePunct w:val="0"/>
        <w:autoSpaceDE/>
        <w:autoSpaceDN/>
        <w:bidi w:val="0"/>
        <w:adjustRightInd/>
        <w:snapToGrid/>
        <w:spacing w:before="156" w:beforeLines="50" w:line="240" w:lineRule="auto"/>
        <w:ind w:firstLine="0" w:firstLineChars="0"/>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表5.2-12   大气污染物年排放量核算表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3759"/>
        <w:gridCol w:w="7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序号</w:t>
            </w:r>
          </w:p>
        </w:tc>
        <w:tc>
          <w:tcPr>
            <w:tcW w:w="1326"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污染物</w:t>
            </w:r>
          </w:p>
        </w:tc>
        <w:tc>
          <w:tcPr>
            <w:tcW w:w="267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4"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1</w:t>
            </w:r>
          </w:p>
        </w:tc>
        <w:tc>
          <w:tcPr>
            <w:tcW w:w="1326"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非甲烷总烃</w:t>
            </w:r>
          </w:p>
        </w:tc>
        <w:tc>
          <w:tcPr>
            <w:tcW w:w="267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8.309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2</w:t>
            </w:r>
          </w:p>
        </w:tc>
        <w:tc>
          <w:tcPr>
            <w:tcW w:w="1326"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甲苯</w:t>
            </w:r>
          </w:p>
        </w:tc>
        <w:tc>
          <w:tcPr>
            <w:tcW w:w="267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3</w:t>
            </w:r>
          </w:p>
        </w:tc>
        <w:tc>
          <w:tcPr>
            <w:tcW w:w="1326"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val="0"/>
                <w:bCs w:val="0"/>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2"/>
                <w:szCs w:val="21"/>
                <w:highlight w:val="none"/>
                <w:lang w:val="en-US" w:eastAsia="zh-CN" w:bidi="ar-SA"/>
                <w14:textFill>
                  <w14:solidFill>
                    <w14:schemeClr w14:val="tx1"/>
                  </w14:solidFill>
                </w14:textFill>
              </w:rPr>
              <w:t>二甲苯</w:t>
            </w:r>
          </w:p>
        </w:tc>
        <w:tc>
          <w:tcPr>
            <w:tcW w:w="267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4"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4</w:t>
            </w:r>
          </w:p>
        </w:tc>
        <w:tc>
          <w:tcPr>
            <w:tcW w:w="1326"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highlight w:val="none"/>
                <w:lang w:val="en-US" w:eastAsia="zh-CN" w:bidi="ar-SA"/>
                <w14:textFill>
                  <w14:solidFill>
                    <w14:schemeClr w14:val="tx1"/>
                  </w14:solidFill>
                </w14:textFill>
              </w:rPr>
              <w:t>颗粒物</w:t>
            </w:r>
          </w:p>
        </w:tc>
        <w:tc>
          <w:tcPr>
            <w:tcW w:w="2678" w:type="pc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t>0.634</w:t>
            </w:r>
          </w:p>
        </w:tc>
      </w:tr>
    </w:tbl>
    <w:p>
      <w:pPr>
        <w:keepNext w:val="0"/>
        <w:keepLines w:val="0"/>
        <w:pageBreakBefore w:val="0"/>
        <w:widowControl w:val="0"/>
        <w:kinsoku/>
        <w:wordWrap/>
        <w:overflowPunct w:val="0"/>
        <w:topLinePunct w:val="0"/>
        <w:autoSpaceDE/>
        <w:autoSpaceDN/>
        <w:bidi w:val="0"/>
        <w:adjustRightInd/>
        <w:snapToGrid/>
        <w:spacing w:line="360" w:lineRule="auto"/>
        <w:ind w:left="0" w:firstLine="422" w:firstLineChars="200"/>
        <w:jc w:val="both"/>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11"/>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6</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）大气环境防护距离</w:t>
      </w:r>
    </w:p>
    <w:p>
      <w:pPr>
        <w:pStyle w:val="11"/>
        <w:keepNext w:val="0"/>
        <w:keepLines w:val="0"/>
        <w:pageBreakBefore w:val="0"/>
        <w:widowControl/>
        <w:kinsoku w:val="0"/>
        <w:wordWrap/>
        <w:overflowPunct/>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根据《环境影响评价技术导则 大气环境》（HJ 2.2-2018）中的相关要求，计算出的大气环境防护距离是以污染源中心点为起点的控制距离，在大气环境防护距离内不应有长期居住的人群。采用生态环境部环境工程评估中心推荐的大气环境防护距离计算模式，经计算</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本项目</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大气防护距离为0，无需设置大气环境防护距离。（</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卫生防护距离</w:t>
      </w:r>
    </w:p>
    <w:p>
      <w:pPr>
        <w:pStyle w:val="11"/>
        <w:keepNext w:val="0"/>
        <w:keepLines w:val="0"/>
        <w:pageBreakBefore w:val="0"/>
        <w:widowControl/>
        <w:kinsoku w:val="0"/>
        <w:wordWrap/>
        <w:overflowPunct/>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卫生防护距离是指产生有害因素的部门（车间或工段）的边界至居住区边界的最小距离。根据 GB/T</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3840</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-91《制定地方大气污染物排放标准的技术方法》中7.4条规定：各类工业、企业卫生防护距离按下式计算：</w:t>
      </w:r>
    </w:p>
    <w:p>
      <w:pPr>
        <w:pStyle w:val="11"/>
        <w:keepNext w:val="0"/>
        <w:keepLines w:val="0"/>
        <w:pageBreakBefore w:val="0"/>
        <w:widowControl/>
        <w:kinsoku w:val="0"/>
        <w:wordWrap/>
        <w:overflowPunct/>
        <w:topLinePunct w:val="0"/>
        <w:autoSpaceDE w:val="0"/>
        <w:autoSpaceDN w:val="0"/>
        <w:bidi w:val="0"/>
        <w:adjustRightInd/>
        <w:snapToGrid/>
        <w:spacing w:before="0" w:after="0" w:line="360" w:lineRule="auto"/>
        <w:ind w:right="0" w:firstLine="360" w:firstLine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2476500" cy="504825"/>
            <wp:effectExtent l="0" t="0" r="0" b="9525"/>
            <wp:docPr id="1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
                    <pic:cNvPicPr>
                      <a:picLocks noChangeAspect="1"/>
                    </pic:cNvPicPr>
                  </pic:nvPicPr>
                  <pic:blipFill>
                    <a:blip r:embed="rId17"/>
                    <a:stretch>
                      <a:fillRect/>
                    </a:stretch>
                  </pic:blipFill>
                  <pic:spPr>
                    <a:xfrm>
                      <a:off x="0" y="0"/>
                      <a:ext cx="2476500" cy="504825"/>
                    </a:xfrm>
                    <a:prstGeom prst="rect">
                      <a:avLst/>
                    </a:prstGeom>
                    <a:noFill/>
                    <a:ln>
                      <a:noFill/>
                    </a:ln>
                  </pic:spPr>
                </pic:pic>
              </a:graphicData>
            </a:graphic>
          </wp:inline>
        </w:drawing>
      </w:r>
    </w:p>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420" w:left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式中：Cm－标准浓度限值，mg/m</w:t>
      </w:r>
      <w:r>
        <w:rPr>
          <w:rFonts w:hint="default" w:ascii="Times New Roman" w:hAnsi="Times New Roman" w:eastAsia="宋体" w:cs="Times New Roman"/>
          <w:snapToGrid w:val="0"/>
          <w:color w:val="000000" w:themeColor="text1"/>
          <w:kern w:val="0"/>
          <w:sz w:val="24"/>
          <w:szCs w:val="21"/>
          <w:highlight w:val="none"/>
          <w:vertAlign w:val="superscript"/>
          <w:lang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w:t>
      </w:r>
    </w:p>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420" w:left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L－工业企业所需卫生防护距离，m；</w:t>
      </w:r>
    </w:p>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420" w:left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r－有害气体无组织排放源所在生产单元的等效半径，m；根据生产单元占地面积S（m</w:t>
      </w:r>
      <w:r>
        <w:rPr>
          <w:rFonts w:hint="default" w:ascii="Times New Roman" w:hAnsi="Times New Roman" w:eastAsia="宋体" w:cs="Times New Roman"/>
          <w:snapToGrid w:val="0"/>
          <w:color w:val="000000" w:themeColor="text1"/>
          <w:kern w:val="0"/>
          <w:sz w:val="24"/>
          <w:szCs w:val="21"/>
          <w:highlight w:val="none"/>
          <w:vertAlign w:val="superscript"/>
          <w:lang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）计算；</w:t>
      </w:r>
    </w:p>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420" w:left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Qe－工业企业有害气体无组织排放量可以达到的控制水平，kg/h；</w:t>
      </w:r>
    </w:p>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A、B、C、D－卫生防护距离计算系数，无因次，根据工业企业所在地区近五年平均风速及工业企业大气污染源构成类别从GB/T</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3840</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-91《制定地方大气污染物排放标准的技术方法》中第7条规定的表</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中查取。</w:t>
      </w:r>
    </w:p>
    <w:p>
      <w:pPr>
        <w:pStyle w:val="12"/>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leftChars="0" w:firstLine="480" w:firstLineChars="200"/>
        <w:jc w:val="both"/>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根据计算以及《制定地方大气污染物排放标准的技术方法》（GB/T</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3840</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-91）关于卫生防护距离提级的规定：当两种或两种以上有害气体计算的卫生防护距离在同一级别时，该企业的卫生防护距离级别应该提高一级。</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故本项目</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防护距离确定为100m，</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项目区</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下风向的</w:t>
      </w:r>
      <w:r>
        <w:rPr>
          <w:rFonts w:hint="default" w:ascii="Times New Roman" w:hAnsi="Times New Roman" w:eastAsia="宋体" w:cs="Times New Roman"/>
          <w:snapToGrid w:val="0"/>
          <w:color w:val="000000" w:themeColor="text1"/>
          <w:kern w:val="0"/>
          <w:sz w:val="24"/>
          <w:szCs w:val="21"/>
          <w:highlight w:val="none"/>
          <w:lang w:val="en-US" w:eastAsia="zh-CN"/>
          <w14:textFill>
            <w14:solidFill>
              <w14:schemeClr w14:val="tx1"/>
            </w14:solidFill>
          </w14:textFill>
        </w:rPr>
        <w:t>无环境敏感点</w:t>
      </w:r>
      <w:r>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t>。故本项目卫生防护距离内无居民，满足卫生防护距离要求。环评要求今后在本项目卫生防护距离内不得新建居民住宅、学校和医院等敏感建筑，并按国家相关规定和有关主管部门要求落实。</w:t>
      </w:r>
    </w:p>
    <w:p>
      <w:pPr>
        <w:pStyle w:val="12"/>
        <w:numPr>
          <w:ilvl w:val="0"/>
          <w:numId w:val="0"/>
        </w:numPr>
        <w:kinsoku w:val="0"/>
        <w:autoSpaceDE w:val="0"/>
        <w:autoSpaceDN w:val="0"/>
        <w:adjustRightInd w:val="0"/>
        <w:snapToGrid w:val="0"/>
        <w:spacing w:line="240" w:lineRule="auto"/>
        <w:jc w:val="left"/>
        <w:textAlignment w:val="baseline"/>
        <w:rPr>
          <w:rFonts w:hint="default" w:ascii="Times New Roman" w:hAnsi="Times New Roman" w:eastAsia="宋体" w:cs="Times New Roman"/>
          <w:snapToGrid w:val="0"/>
          <w:color w:val="000000" w:themeColor="text1"/>
          <w:kern w:val="0"/>
          <w:sz w:val="24"/>
          <w:szCs w:val="21"/>
          <w:highlight w:val="none"/>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ageBreakBefore w:val="0"/>
        <w:kinsoku/>
        <w:overflowPunct w:val="0"/>
        <w:bidi w:val="0"/>
        <w:snapToGrid w:val="0"/>
        <w:spacing w:line="360" w:lineRule="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5.2.1.5小结</w:t>
      </w:r>
    </w:p>
    <w:p>
      <w:pPr>
        <w:pageBreakBefore w:val="0"/>
        <w:kinsoku/>
        <w:overflowPunct w:val="0"/>
        <w:bidi w:val="0"/>
        <w:snapToGrid w:val="0"/>
        <w:spacing w:line="360" w:lineRule="auto"/>
        <w:jc w:val="both"/>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5.2.2水环境影响分析</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本项目运营期废水</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主要为</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生活污水。</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项目食堂废水经隔油池处理后和生活污水一并进入厂区自建化粪池处理达到《污水综合排放标准》（GB</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- 1996）表4的三级标准后排入园区污水处理厂处理。</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5.2.2.1地表水环境影响分析</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按照《环境影响评价技术导则 地表水环境》（HJ2.3-2018）中表1水污染物影响型建设项目评价等级判定，本项目地表水环境评价等级为三级B。</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《环境影响评价技术导则 地表水环境》（HJ2.3-2018）中7.1.2的相关规定：水污染影响型三级B评价可不进行水环境影响预测。</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食堂废水经隔油池处理后和生活污水一并进入厂区自建化粪池处理达到《污水综合排放标准》（GB</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- 1996）表4的三级标准后排入园区污水处理厂处理。</w:t>
      </w:r>
      <w:r>
        <w:rPr>
          <w:rFonts w:hint="default" w:ascii="Times New Roman" w:hAnsi="Times New Roman" w:eastAsia="宋体" w:cs="Times New Roman"/>
          <w:color w:val="000000" w:themeColor="text1"/>
          <w:sz w:val="24"/>
          <w:szCs w:val="24"/>
          <w:highlight w:val="none"/>
          <w14:textFill>
            <w14:solidFill>
              <w14:schemeClr w14:val="tx1"/>
            </w14:solidFill>
          </w14:textFill>
        </w:rPr>
        <w:t>对地表水环境基本无影响。</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5.2.2.2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地下水环境影响分析</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 地下水环境》（HJ610-2016）附录A确定本项目地下水环境影响评价项目类别为Ⅲ类，本项目不在集中式饮用水水源保护区、准保护区、补给径流区、分散式饮用水水源地、特殊地下水资源保护区等环境敏感区，地下水环境敏感程度为不敏感。地下水环境影响评价等级为三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污染物对地下水的影响主要是由于危废间设置不合格等通过垂直渗透进入包气带，进入包气带的污染物在物理、化学和生物作用下经吸附、转化、迁移和分解后输入地下水。因此，包气带是联接地表污染物与地下含水层的主要通道和过渡带，包气带既是污染物污染地下水的媒介体，又是污染物的净化场所和防护层。地下水能否被污染与包气带土壤性质及污染物种类和性质密切相关。一般说来，包气带土壤颗粒细而紧密，渗透性差，则污染慢；反之，颗粒大松散，渗透性能良好则污染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本项目用水由园区供水管网供给，不对区域地下水进行开采，不会引起地下水流场或地下水水位变化，项目运营期，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-1996）表4的三级标准后排入园区污水处理厂处理</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对地下水影响较小。</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（1）外排废水对地下水的影响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项目食堂废水经隔油池处理后和生活污水一并进入厂区自建化粪池处理达到《污水综合排放标准》（GB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-1996）表4的三级标准后排入园区污水处理厂处理。废水处理构筑物等均按照相关技术规范进行防渗漏处理，严格按照施工规范施工，保证施工质量，可避免项目建设及运营过程中对地下水水质的影响。正常工况下，本项目的废水输送及排放不会对地下水产生影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项目拟建地范围内未发现影响场地稳定性的岩溶、滑坡、泥石流、危岩与崩塌、采空区、地面沉降等不良工程地质作用，场地区域稳定性良好。</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（2）固体废物对地下水的影响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项目产生的固体废物包括生活垃圾、一般固废以及危险废物，在自然和无防护措施的条件下，因雨水淋溶和冲刷，污染物可能进入地表水或下渗进入浅层地下水含水层，对周围环境产生影响。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本项目生活垃圾以及一般固废定点、分类、集中收集后由环卫部门定期收集处理，临时堆放场按照《一般工业固体废物贮存和填埋污染控制标准》（GB18599-2020）的要求进行规范化设置。危险废物暂存场所应按国家《危险废物贮存污染控制标准》（GB18597-2001）及2013年修改单的要求设置，即要使用专用储存设施，并将危险废物装入专用容器中，无法装入常用容器的危险废物可用防漏胶袋等盛装，盛装危险废物的容器和胶带必须按《危险废物贮存污染控制标准》（GB18597-2001）及2013年修改单要求贴上标签等，防止造成二次污染。危险废物需交由有相应处理处置危险废物资质的单位处置。</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在采取上述措施的情况下，本项目的固体废物不会对周边地下水环境产生不良影响。</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由以上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5.2.3声环境影响分析</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textAlignment w:val="baseline"/>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5.2.3.1噪声源强</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本工程主要噪声源有：</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（1）机械性噪声：由机械设备运转、摩擦、撞击、振动所产生。如：各水泵等。这类噪声以低中频为主。</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（2）气体动力性噪声：由鼓、引风机等气体振动产生的噪声具有低、中、高各类频谱。</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（3）交通及其它噪声：场区内各种车辆行驶的喇叭噪声、人流活动产生的噪声，一般低、中、高频均有，对局部环境有一定影响。</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textAlignment w:val="baseline"/>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5.2.3.2预测范围与内容</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根据本项目噪声源的位置的情况，确定预测范围为厂界外200m范围内，本次预测以项目厂界作为预测点。预测本工程建成后的厂界处噪声贡献值，评价项目对周围环境的影响程度。</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textAlignment w:val="baseline"/>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5.2.3.3预测模型</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噪声衰减预测采用《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环境影响评价技术导则 声环境</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HJ 2.4-2021</w:t>
      </w:r>
      <w:r>
        <w:rPr>
          <w:rFonts w:hint="default" w:ascii="Times New Roman" w:hAnsi="Times New Roman" w:eastAsia="宋体" w:cs="Times New Roman"/>
          <w:color w:val="000000" w:themeColor="text1"/>
          <w:sz w:val="24"/>
          <w:szCs w:val="24"/>
          <w:highlight w:val="none"/>
          <w14:textFill>
            <w14:solidFill>
              <w14:schemeClr w14:val="tx1"/>
            </w14:solidFill>
          </w14:textFill>
        </w:rPr>
        <w:t>）中推荐的噪声预测模式，公式如下：</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噪声源分为室外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具体噪声预测模式采用《环境影响评价技术导则》声环境</w:t>
      </w:r>
      <w:r>
        <w:rPr>
          <w:rFonts w:hint="default" w:ascii="Times New Roman" w:hAnsi="Times New Roman" w:eastAsia="宋体" w:cs="Times New Roman"/>
          <w:color w:val="000000" w:themeColor="text1"/>
          <w:highlight w:val="none"/>
          <w:lang w:eastAsia="zh-CN"/>
          <w14:textFill>
            <w14:solidFill>
              <w14:schemeClr w14:val="tx1"/>
            </w14:solidFill>
          </w14:textFill>
        </w:rPr>
        <w:t>HJ 2.4-2021</w:t>
      </w:r>
      <w:r>
        <w:rPr>
          <w:rFonts w:hint="default" w:ascii="Times New Roman" w:hAnsi="Times New Roman" w:eastAsia="宋体" w:cs="Times New Roman"/>
          <w:color w:val="000000" w:themeColor="text1"/>
          <w:highlight w:val="none"/>
          <w14:textFill>
            <w14:solidFill>
              <w14:schemeClr w14:val="tx1"/>
            </w14:solidFill>
          </w14:textFill>
        </w:rPr>
        <w:t>中推荐模式形式进行预测：</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室内声源</w: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 声环境》（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HJ 2.4-2021</w:t>
      </w:r>
      <w:r>
        <w:rPr>
          <w:rFonts w:hint="default" w:ascii="Times New Roman" w:hAnsi="Times New Roman" w:eastAsia="宋体" w:cs="Times New Roman"/>
          <w:color w:val="000000" w:themeColor="text1"/>
          <w:sz w:val="24"/>
          <w:szCs w:val="24"/>
          <w:highlight w:val="none"/>
          <w14:textFill>
            <w14:solidFill>
              <w14:schemeClr w14:val="tx1"/>
            </w14:solidFill>
          </w14:textFill>
        </w:rPr>
        <w:t>）对室内声源的预测方法，声源位于室内，室内声源可采用等效室外声源声功率级法进行计算。</w:t>
      </w:r>
    </w:p>
    <w:p>
      <w:pPr>
        <w:pStyle w:val="55"/>
        <w:keepNext w:val="0"/>
        <w:keepLines w:val="0"/>
        <w:pageBreakBefore w:val="0"/>
        <w:kinsoku/>
        <w:wordWrap/>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计算某一室内声源靠近围护结构处产生的倍频带声压级：</w:t>
      </w:r>
    </w:p>
    <w:p>
      <w:pPr>
        <w:pStyle w:val="55"/>
        <w:keepNext w:val="0"/>
        <w:keepLines w:val="0"/>
        <w:pageBreakBefore w:val="0"/>
        <w:kinsoku/>
        <w:wordWrap/>
        <w:bidi w:val="0"/>
        <w:spacing w:line="360" w:lineRule="auto"/>
        <w:ind w:firstLine="48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25" o:spt="75" type="#_x0000_t75" style="height:31.5pt;width:134.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式中：Q——指向性因子：通常对无指向性声源，当声源放在房间中心时，Q=1；当放在一面墙的中心时，Q=2；当放在两面墙夹角时，Q=4；当放在三面墙夹角处时，Q=8。</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R——房间常数：R=Sa/（1-a），S为房间内表面面积，m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；a为平均吸声系数（混凝土刷漆，取值为0.07）。</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r——声源到靠近围护结构某点处的距离，m。</w:t>
      </w:r>
    </w:p>
    <w:p>
      <w:pPr>
        <w:pStyle w:val="55"/>
        <w:keepNext w:val="0"/>
        <w:keepLines w:val="0"/>
        <w:pageBreakBefore w:val="0"/>
        <w:kinsoku/>
        <w:wordWrap/>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计算出所有室内声源在围护结构处产生的i倍频带叠加声压级：</w:t>
      </w:r>
    </w:p>
    <w:p>
      <w:pPr>
        <w:pStyle w:val="55"/>
        <w:keepNext w:val="0"/>
        <w:keepLines w:val="0"/>
        <w:pageBreakBefore w:val="0"/>
        <w:kinsoku/>
        <w:wordWrap/>
        <w:bidi w:val="0"/>
        <w:spacing w:line="360" w:lineRule="auto"/>
        <w:ind w:firstLine="48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26" o:spt="75" type="#_x0000_t75" style="height:32.25pt;width:119.2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p1i</w:t>
      </w:r>
      <w:r>
        <w:rPr>
          <w:rFonts w:hint="default" w:ascii="Times New Roman" w:hAnsi="Times New Roman" w:eastAsia="宋体" w:cs="Times New Roman"/>
          <w:color w:val="000000" w:themeColor="text1"/>
          <w:sz w:val="24"/>
          <w:szCs w:val="24"/>
          <w:highlight w:val="none"/>
          <w14:textFill>
            <w14:solidFill>
              <w14:schemeClr w14:val="tx1"/>
            </w14:solidFill>
          </w14:textFill>
        </w:rPr>
        <w:t>（T）——靠近围护结构处室内N个声源i倍频带的叠加声压级，dB；</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p1ij</w:t>
      </w:r>
      <w:r>
        <w:rPr>
          <w:rFonts w:hint="default" w:ascii="Times New Roman" w:hAnsi="Times New Roman" w:eastAsia="宋体" w:cs="Times New Roman"/>
          <w:color w:val="000000" w:themeColor="text1"/>
          <w:sz w:val="24"/>
          <w:szCs w:val="24"/>
          <w:highlight w:val="none"/>
          <w14:textFill>
            <w14:solidFill>
              <w14:schemeClr w14:val="tx1"/>
            </w14:solidFill>
          </w14:textFill>
        </w:rPr>
        <w:t>——室内j声源i倍频带的声压级，dB；</w:t>
      </w:r>
    </w:p>
    <w:p>
      <w:pPr>
        <w:pStyle w:val="55"/>
        <w:keepNext w:val="0"/>
        <w:keepLines w:val="0"/>
        <w:pageBreakBefore w:val="0"/>
        <w:kinsoku/>
        <w:wordWrap/>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14:textFill>
            <w14:solidFill>
              <w14:schemeClr w14:val="tx1"/>
            </w14:solidFill>
          </w14:textFill>
        </w:rPr>
        <w:t>在室内近似为扩散声场地，按下式计算出靠近室外围护结构处的声压级：</w:t>
      </w:r>
    </w:p>
    <w:p>
      <w:pPr>
        <w:pStyle w:val="55"/>
        <w:keepNext w:val="0"/>
        <w:keepLines w:val="0"/>
        <w:pageBreakBefore w:val="0"/>
        <w:kinsoku/>
        <w:wordWrap/>
        <w:bidi w:val="0"/>
        <w:spacing w:line="360" w:lineRule="auto"/>
        <w:ind w:firstLine="48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27" o:spt="75" type="#_x0000_t75" style="height:21.75pt;width:150.7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2i</w:t>
      </w:r>
      <w:r>
        <w:rPr>
          <w:rFonts w:hint="default" w:ascii="Times New Roman" w:hAnsi="Times New Roman" w:eastAsia="宋体" w:cs="Times New Roman"/>
          <w:color w:val="000000" w:themeColor="text1"/>
          <w:sz w:val="24"/>
          <w:szCs w:val="24"/>
          <w:highlight w:val="none"/>
          <w14:textFill>
            <w14:solidFill>
              <w14:schemeClr w14:val="tx1"/>
            </w14:solidFill>
          </w14:textFill>
        </w:rPr>
        <w:t>（T）——靠近围护结构处室外N个声源i倍频带的叠加声压级，dB；</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highlight w:val="none"/>
          <w14:textFill>
            <w14:solidFill>
              <w14:schemeClr w14:val="tx1"/>
            </w14:solidFill>
          </w14:textFill>
        </w:rPr>
        <w:t>——围护结构i倍频带的隔声量，dB；</w:t>
      </w:r>
    </w:p>
    <w:p>
      <w:pPr>
        <w:pStyle w:val="55"/>
        <w:keepNext w:val="0"/>
        <w:keepLines w:val="0"/>
        <w:pageBreakBefore w:val="0"/>
        <w:kinsoku/>
        <w:wordWrap/>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14:textFill>
            <w14:solidFill>
              <w14:schemeClr w14:val="tx1"/>
            </w14:solidFill>
          </w14:textFill>
        </w:rPr>
        <w:t>将室外声源的声压级和透过面积换算成等效的室外声源，计算出中心位置位地透声面积（S）处的等效声源的倍频带声功率级。</w:t>
      </w:r>
    </w:p>
    <w:p>
      <w:pPr>
        <w:pStyle w:val="55"/>
        <w:keepNext w:val="0"/>
        <w:keepLines w:val="0"/>
        <w:pageBreakBefore w:val="0"/>
        <w:kinsoku/>
        <w:wordWrap/>
        <w:bidi w:val="0"/>
        <w:spacing w:line="360" w:lineRule="auto"/>
        <w:ind w:firstLine="48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28" o:spt="75" type="#_x0000_t75" style="height:32.25pt;width:118.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4">
            <o:LockedField>false</o:LockedField>
          </o:OLEObject>
        </w:object>
      </w:r>
    </w:p>
    <w:p>
      <w:pPr>
        <w:pStyle w:val="55"/>
        <w:keepNext w:val="0"/>
        <w:keepLines w:val="0"/>
        <w:pageBreakBefore w:val="0"/>
        <w:kinsoku/>
        <w:wordWrap/>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sz w:val="24"/>
          <w:szCs w:val="24"/>
          <w:highlight w:val="none"/>
          <w14:textFill>
            <w14:solidFill>
              <w14:schemeClr w14:val="tx1"/>
            </w14:solidFill>
          </w14:textFill>
        </w:rPr>
        <w:t>按室外声源预测方法计算预测点处的A声级。</w: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设第i个室外声源在预是点产生的A声级为L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Ai</w:t>
      </w:r>
      <w:r>
        <w:rPr>
          <w:rFonts w:hint="default" w:ascii="Times New Roman" w:hAnsi="Times New Roman" w:eastAsia="宋体" w:cs="Times New Roman"/>
          <w:color w:val="000000" w:themeColor="text1"/>
          <w:sz w:val="24"/>
          <w:szCs w:val="24"/>
          <w:highlight w:val="none"/>
          <w14:textFill>
            <w14:solidFill>
              <w14:schemeClr w14:val="tx1"/>
            </w14:solidFill>
          </w14:textFill>
        </w:rPr>
        <w:t>，在T时间内该声源工作时间为ti；第j个等效室外声源在预测点产生的A声级为L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Aj</w:t>
      </w:r>
      <w:r>
        <w:rPr>
          <w:rFonts w:hint="default" w:ascii="Times New Roman" w:hAnsi="Times New Roman" w:eastAsia="宋体" w:cs="Times New Roman"/>
          <w:color w:val="000000" w:themeColor="text1"/>
          <w:sz w:val="24"/>
          <w:szCs w:val="24"/>
          <w:highlight w:val="none"/>
          <w14:textFill>
            <w14:solidFill>
              <w14:schemeClr w14:val="tx1"/>
            </w14:solidFill>
          </w14:textFill>
        </w:rPr>
        <w:t>，在T时间内该声源工作时间为tj，则拟建工程声源对预测点产生的贡献值（Leqg）为：</w:t>
      </w:r>
    </w:p>
    <w:p>
      <w:pPr>
        <w:pStyle w:val="55"/>
        <w:keepNext w:val="0"/>
        <w:keepLines w:val="0"/>
        <w:pageBreakBefore w:val="0"/>
        <w:kinsoku/>
        <w:wordWrap/>
        <w:bidi w:val="0"/>
        <w:spacing w:line="360" w:lineRule="auto"/>
        <w:ind w:firstLine="48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object>
          <v:shape id="_x0000_i1029" o:spt="75" type="#_x0000_t75" style="height:39pt;width:196.5pt;" o:ole="t" filled="f" o:preferrelative="t" stroked="f" coordsize="21600,21600">
            <v:path/>
            <v:fill on="f" focussize="0,0"/>
            <v:stroke on="f" joinstyle="miter"/>
            <v:imagedata r:id="rId26" o:title=""/>
            <o:lock v:ext="edit" aspectratio="t"/>
            <w10:wrap type="none"/>
            <w10:anchorlock/>
          </v:shape>
          <o:OLEObject Type="Embed" ProgID="Visio.Drawing.11" ShapeID="_x0000_i1029" DrawAspect="Content" ObjectID="_1468075729" r:id="rId25">
            <o:LockedField>false</o:LockedField>
          </o:OLEObject>
        </w:objec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式中：tj——在T时间内j声源工作时间，s；</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ti——在T时间内i声源工作时间，s；</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T——用于计算等效声级的时间，s；</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N——室外声源个数；</w:t>
      </w:r>
    </w:p>
    <w:p>
      <w:pPr>
        <w:pStyle w:val="55"/>
        <w:keepNext w:val="0"/>
        <w:keepLines w:val="0"/>
        <w:pageBreakBefore w:val="0"/>
        <w:kinsoku/>
        <w:wordWrap/>
        <w:bidi w:val="0"/>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M——等效室外声源个数；</w:t>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sz w:val="24"/>
          <w:szCs w:val="24"/>
          <w:highlight w:val="none"/>
          <w14:textFill>
            <w14:solidFill>
              <w14:schemeClr w14:val="tx1"/>
            </w14:solidFill>
          </w14:textFill>
        </w:rPr>
        <w:t>预测点的预测等效声级（Leq）计算：</w:t>
      </w:r>
    </w:p>
    <w:p>
      <w:pPr>
        <w:pStyle w:val="55"/>
        <w:keepNext w:val="0"/>
        <w:keepLines w:val="0"/>
        <w:pageBreakBefore w:val="0"/>
        <w:kinsoku/>
        <w:wordWrap/>
        <w:bidi w:val="0"/>
        <w:spacing w:line="360" w:lineRule="auto"/>
        <w:ind w:firstLine="48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inline distT="0" distB="0" distL="114300" distR="114300">
            <wp:extent cx="2522220" cy="278765"/>
            <wp:effectExtent l="0" t="0" r="11430" b="635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7"/>
                    <a:stretch>
                      <a:fillRect/>
                    </a:stretch>
                  </pic:blipFill>
                  <pic:spPr>
                    <a:xfrm>
                      <a:off x="0" y="0"/>
                      <a:ext cx="2522220" cy="278765"/>
                    </a:xfrm>
                    <a:prstGeom prst="rect">
                      <a:avLst/>
                    </a:prstGeom>
                    <a:noFill/>
                    <a:ln>
                      <a:noFill/>
                    </a:ln>
                  </pic:spPr>
                </pic:pic>
              </a:graphicData>
            </a:graphic>
          </wp:inline>
        </w:drawing>
      </w:r>
    </w:p>
    <w:p>
      <w:pPr>
        <w:pStyle w:val="55"/>
        <w:keepNext w:val="0"/>
        <w:keepLines w:val="0"/>
        <w:pageBreakBefore w:val="0"/>
        <w:kinsoku/>
        <w:wordWrap/>
        <w:bidi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式中：Leq（A）贡——建设项目声源在预测点的等效声级贡献量，dB（A）；</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Leq（A）现——预测点背景值，dB（A）。</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室外声源</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设室外声源为I个</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预测点为j个，采用倍频带声压级法</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highlight w:val="none"/>
          <w14:textFill>
            <w14:solidFill>
              <w14:schemeClr w14:val="tx1"/>
            </w14:solidFill>
          </w14:textFill>
        </w:rPr>
        <w:t>计算第I个噪声源在第j个预测点的倍频带声压级L</w:t>
      </w:r>
      <w:r>
        <w:rPr>
          <w:rFonts w:hint="default" w:ascii="Times New Roman" w:hAnsi="Times New Roman" w:eastAsia="宋体" w:cs="Times New Roman"/>
          <w:color w:val="000000" w:themeColor="text1"/>
          <w:highlight w:val="none"/>
          <w:vertAlign w:val="subscript"/>
          <w14:textFill>
            <w14:solidFill>
              <w14:schemeClr w14:val="tx1"/>
            </w14:solidFill>
          </w14:textFill>
        </w:rPr>
        <w:t>octij</w:t>
      </w:r>
      <w:r>
        <w:rPr>
          <w:rFonts w:hint="default" w:ascii="Times New Roman" w:hAnsi="Times New Roman" w:eastAsia="宋体" w:cs="Times New Roman"/>
          <w:color w:val="000000" w:themeColor="text1"/>
          <w:highlight w:val="none"/>
          <w14:textFill>
            <w14:solidFill>
              <w14:schemeClr w14:val="tx1"/>
            </w14:solidFill>
          </w14:textFill>
        </w:rPr>
        <w:t>（r</w:t>
      </w:r>
      <w:r>
        <w:rPr>
          <w:rFonts w:hint="default" w:ascii="Times New Roman" w:hAnsi="Times New Roman" w:eastAsia="宋体" w:cs="Times New Roman"/>
          <w:color w:val="000000" w:themeColor="text1"/>
          <w:highlight w:val="none"/>
          <w:vertAlign w:val="subscript"/>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w:t>
      </w:r>
    </w:p>
    <w:p>
      <w:pPr>
        <w:pStyle w:val="49"/>
        <w:keepNext w:val="0"/>
        <w:keepLines w:val="0"/>
        <w:pageBreakBefore w:val="0"/>
        <w:kinsoku/>
        <w:wordWrap/>
        <w:bidi w:val="0"/>
        <w:spacing w:line="360"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eastAsia="宋体" w:cs="Times New Roman"/>
          <w:color w:val="000000" w:themeColor="text1"/>
          <w:highlight w:val="none"/>
          <w:vertAlign w:val="subscript"/>
          <w14:textFill>
            <w14:solidFill>
              <w14:schemeClr w14:val="tx1"/>
            </w14:solidFill>
          </w14:textFill>
        </w:rPr>
        <w:t>octij</w:t>
      </w: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eastAsia="宋体" w:cs="Times New Roman"/>
          <w:color w:val="000000" w:themeColor="text1"/>
          <w:highlight w:val="none"/>
          <w:vertAlign w:val="subscript"/>
          <w14:textFill>
            <w14:solidFill>
              <w14:schemeClr w14:val="tx1"/>
            </w14:solidFill>
          </w14:textFill>
        </w:rPr>
        <w:t>octi</w:t>
      </w:r>
      <w:r>
        <w:rPr>
          <w:rFonts w:hint="default" w:ascii="Times New Roman" w:hAnsi="Times New Roman" w:eastAsia="宋体" w:cs="Times New Roman"/>
          <w:color w:val="000000" w:themeColor="text1"/>
          <w:highlight w:val="none"/>
          <w14:textFill>
            <w14:solidFill>
              <w14:schemeClr w14:val="tx1"/>
            </w14:solidFill>
          </w14:textFill>
        </w:rPr>
        <w:t>（r</w:t>
      </w:r>
      <w:r>
        <w:rPr>
          <w:rFonts w:hint="default" w:ascii="Times New Roman" w:hAnsi="Times New Roman" w:eastAsia="宋体" w:cs="Times New Roman"/>
          <w:color w:val="000000" w:themeColor="text1"/>
          <w:highlight w:val="none"/>
          <w:vertAlign w:val="subscript"/>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）-（Aoctdir+Aoctbar+Aoctatm+Aoctexc）</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式中：</w:t>
      </w:r>
    </w:p>
    <w:p>
      <w:pPr>
        <w:pStyle w:val="49"/>
        <w:keepNext w:val="0"/>
        <w:keepLines w:val="0"/>
        <w:pageBreakBefore w:val="0"/>
        <w:kinsoku/>
        <w:wordWrap/>
        <w:bidi w:val="0"/>
        <w:spacing w:line="360" w:lineRule="auto"/>
        <w:ind w:firstLine="960" w:firstLineChars="4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Loctij（r0）—第I个噪声源在参考位置r0处的倍频带声压级，dB；</w:t>
      </w:r>
    </w:p>
    <w:p>
      <w:pPr>
        <w:pStyle w:val="49"/>
        <w:keepNext w:val="0"/>
        <w:keepLines w:val="0"/>
        <w:pageBreakBefore w:val="0"/>
        <w:kinsoku/>
        <w:wordWrap/>
        <w:bidi w:val="0"/>
        <w:spacing w:line="360" w:lineRule="auto"/>
        <w:ind w:firstLine="960" w:firstLineChars="4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Aoctdir—发散衰减量，dB；</w:t>
      </w:r>
    </w:p>
    <w:p>
      <w:pPr>
        <w:pStyle w:val="49"/>
        <w:keepNext w:val="0"/>
        <w:keepLines w:val="0"/>
        <w:pageBreakBefore w:val="0"/>
        <w:kinsoku/>
        <w:wordWrap/>
        <w:bidi w:val="0"/>
        <w:spacing w:line="360" w:lineRule="auto"/>
        <w:ind w:firstLine="960" w:firstLineChars="4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Aoctbar—屏障衰减量，dB；</w:t>
      </w:r>
    </w:p>
    <w:p>
      <w:pPr>
        <w:pStyle w:val="49"/>
        <w:keepNext w:val="0"/>
        <w:keepLines w:val="0"/>
        <w:pageBreakBefore w:val="0"/>
        <w:kinsoku/>
        <w:wordWrap/>
        <w:bidi w:val="0"/>
        <w:spacing w:line="360" w:lineRule="auto"/>
        <w:ind w:firstLine="960" w:firstLineChars="4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Aoctatm—空气吸收衰减量，dB；</w:t>
      </w:r>
    </w:p>
    <w:p>
      <w:pPr>
        <w:pStyle w:val="49"/>
        <w:keepNext w:val="0"/>
        <w:keepLines w:val="0"/>
        <w:pageBreakBefore w:val="0"/>
        <w:kinsoku/>
        <w:wordWrap/>
        <w:bidi w:val="0"/>
        <w:spacing w:line="360" w:lineRule="auto"/>
        <w:ind w:firstLine="960" w:firstLineChars="4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Aoctexc—附加衰减量，dB；</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假设已知噪声源的倍频带声功率级为L</w:t>
      </w:r>
      <w:r>
        <w:rPr>
          <w:rFonts w:hint="default" w:ascii="Times New Roman" w:hAnsi="Times New Roman" w:eastAsia="宋体" w:cs="Times New Roman"/>
          <w:color w:val="000000" w:themeColor="text1"/>
          <w:highlight w:val="none"/>
          <w:vertAlign w:val="subscript"/>
          <w14:textFill>
            <w14:solidFill>
              <w14:schemeClr w14:val="tx1"/>
            </w14:solidFill>
          </w14:textFill>
        </w:rPr>
        <w:t>wiact</w:t>
      </w:r>
      <w:r>
        <w:rPr>
          <w:rFonts w:hint="default" w:ascii="Times New Roman" w:hAnsi="Times New Roman" w:eastAsia="宋体" w:cs="Times New Roman"/>
          <w:color w:val="000000" w:themeColor="text1"/>
          <w:highlight w:val="none"/>
          <w14:textFill>
            <w14:solidFill>
              <w14:schemeClr w14:val="tx1"/>
            </w14:solidFill>
          </w14:textFill>
        </w:rPr>
        <w:t>，并假设声源位于地面上（半自由场），则：</w:t>
      </w:r>
    </w:p>
    <w:p>
      <w:pPr>
        <w:pStyle w:val="49"/>
        <w:keepNext w:val="0"/>
        <w:keepLines w:val="0"/>
        <w:pageBreakBefore w:val="0"/>
        <w:kinsoku/>
        <w:wordWrap/>
        <w:bidi w:val="0"/>
        <w:spacing w:line="360"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eastAsia="宋体" w:cs="Times New Roman"/>
          <w:color w:val="000000" w:themeColor="text1"/>
          <w:highlight w:val="none"/>
          <w:vertAlign w:val="subscript"/>
          <w14:textFill>
            <w14:solidFill>
              <w14:schemeClr w14:val="tx1"/>
            </w14:solidFill>
          </w14:textFill>
        </w:rPr>
        <w:t>octi</w:t>
      </w:r>
      <w:r>
        <w:rPr>
          <w:rFonts w:hint="default" w:ascii="Times New Roman" w:hAnsi="Times New Roman" w:eastAsia="宋体" w:cs="Times New Roman"/>
          <w:color w:val="000000" w:themeColor="text1"/>
          <w:highlight w:val="none"/>
          <w14:textFill>
            <w14:solidFill>
              <w14:schemeClr w14:val="tx1"/>
            </w14:solidFill>
          </w14:textFill>
        </w:rPr>
        <w:t>（r</w:t>
      </w:r>
      <w:r>
        <w:rPr>
          <w:rFonts w:hint="default" w:ascii="Times New Roman" w:hAnsi="Times New Roman" w:eastAsia="宋体" w:cs="Times New Roman"/>
          <w:color w:val="000000" w:themeColor="text1"/>
          <w:highlight w:val="none"/>
          <w:vertAlign w:val="subscript"/>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eastAsia="宋体" w:cs="Times New Roman"/>
          <w:color w:val="000000" w:themeColor="text1"/>
          <w:highlight w:val="none"/>
          <w:vertAlign w:val="subscript"/>
          <w14:textFill>
            <w14:solidFill>
              <w14:schemeClr w14:val="tx1"/>
            </w14:solidFill>
          </w14:textFill>
        </w:rPr>
        <w:t>wiact</w:t>
      </w:r>
      <w:r>
        <w:rPr>
          <w:rFonts w:hint="default" w:ascii="Times New Roman" w:hAnsi="Times New Roman" w:eastAsia="宋体" w:cs="Times New Roman"/>
          <w:color w:val="000000" w:themeColor="text1"/>
          <w:highlight w:val="none"/>
          <w14:textFill>
            <w14:solidFill>
              <w14:schemeClr w14:val="tx1"/>
            </w14:solidFill>
          </w14:textFill>
        </w:rPr>
        <w:t>-20lgr</w:t>
      </w:r>
      <w:r>
        <w:rPr>
          <w:rFonts w:hint="default" w:ascii="Times New Roman" w:hAnsi="Times New Roman" w:eastAsia="宋体" w:cs="Times New Roman"/>
          <w:color w:val="000000" w:themeColor="text1"/>
          <w:highlight w:val="none"/>
          <w:vertAlign w:val="subscript"/>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-8</w:t>
      </w:r>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highlight w:val="none"/>
          <w14:textFill>
            <w14:solidFill>
              <w14:schemeClr w14:val="tx1"/>
            </w14:solidFill>
          </w14:textFill>
        </w:rPr>
        <w:t>由上式计算的倍频带声压级合成为A声级</w:t>
      </w:r>
    </w:p>
    <w:p>
      <w:pPr>
        <w:pStyle w:val="49"/>
        <w:keepNext w:val="0"/>
        <w:keepLines w:val="0"/>
        <w:pageBreakBefore w:val="0"/>
        <w:kinsoku/>
        <w:wordWrap/>
        <w:bidi w:val="0"/>
        <w:spacing w:line="360" w:lineRule="auto"/>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eastAsia="宋体" w:cs="Times New Roman"/>
          <w:color w:val="000000" w:themeColor="text1"/>
          <w:highlight w:val="none"/>
          <w:vertAlign w:val="subscript"/>
          <w14:textFill>
            <w14:solidFill>
              <w14:schemeClr w14:val="tx1"/>
            </w14:solidFill>
          </w14:textFill>
        </w:rPr>
        <w:t>aij</w:t>
      </w:r>
      <w:r>
        <w:rPr>
          <w:rFonts w:hint="default" w:ascii="Times New Roman" w:hAnsi="Times New Roman" w:eastAsia="宋体" w:cs="Times New Roman"/>
          <w:color w:val="000000" w:themeColor="text1"/>
          <w:highlight w:val="none"/>
          <w14:textFill>
            <w14:solidFill>
              <w14:schemeClr w14:val="tx1"/>
            </w14:solidFill>
          </w14:textFill>
        </w:rPr>
        <w:t>=L</w:t>
      </w:r>
      <w:r>
        <w:rPr>
          <w:rFonts w:hint="default" w:ascii="Times New Roman" w:hAnsi="Times New Roman" w:eastAsia="宋体" w:cs="Times New Roman"/>
          <w:color w:val="000000" w:themeColor="text1"/>
          <w:highlight w:val="none"/>
          <w:vertAlign w:val="subscript"/>
          <w14:textFill>
            <w14:solidFill>
              <w14:schemeClr w14:val="tx1"/>
            </w14:solidFill>
          </w14:textFill>
        </w:rPr>
        <w:t>wai</w:t>
      </w:r>
      <w:r>
        <w:rPr>
          <w:rFonts w:hint="default" w:ascii="Times New Roman" w:hAnsi="Times New Roman" w:eastAsia="宋体" w:cs="Times New Roman"/>
          <w:color w:val="000000" w:themeColor="text1"/>
          <w:highlight w:val="none"/>
          <w14:textFill>
            <w14:solidFill>
              <w14:schemeClr w14:val="tx1"/>
            </w14:solidFill>
          </w14:textFill>
        </w:rPr>
        <w:t>-20lgr</w:t>
      </w:r>
      <w:r>
        <w:rPr>
          <w:rFonts w:hint="default" w:ascii="Times New Roman" w:hAnsi="Times New Roman" w:eastAsia="宋体" w:cs="Times New Roman"/>
          <w:color w:val="000000" w:themeColor="text1"/>
          <w:highlight w:val="none"/>
          <w:vertAlign w:val="subscript"/>
          <w14:textFill>
            <w14:solidFill>
              <w14:schemeClr w14:val="tx1"/>
            </w14:solidFill>
          </w14:textFill>
        </w:rPr>
        <w:t>0</w:t>
      </w:r>
      <w:r>
        <w:rPr>
          <w:rFonts w:hint="default" w:ascii="Times New Roman" w:hAnsi="Times New Roman" w:eastAsia="宋体" w:cs="Times New Roman"/>
          <w:color w:val="000000" w:themeColor="text1"/>
          <w:highlight w:val="none"/>
          <w14:textFill>
            <w14:solidFill>
              <w14:schemeClr w14:val="tx1"/>
            </w14:solidFill>
          </w14:textFill>
        </w:rPr>
        <w:t>-8</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textAlignment w:val="baseline"/>
        <w:outlineLvl w:val="3"/>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5.2.3.4声预测结果</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）预测结果与评价</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在本次声环境影响预测与评价中，根据室内声源衰减模式，同时结合该项目的建筑物特征，由于吸声、隔声的作用，可使本项目的噪声源强值降低15-20dB（A），预测结果见表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val="0"/>
        <w:snapToGrid/>
        <w:spacing w:line="240" w:lineRule="auto"/>
        <w:ind w:left="0" w:firstLine="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表5.2-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13   </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项目厂界噪声预测贡献值一览表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4"/>
        <w:gridCol w:w="2106"/>
        <w:gridCol w:w="1662"/>
        <w:gridCol w:w="1667"/>
        <w:gridCol w:w="14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832" w:type="pct"/>
            <w:tcBorders>
              <w:tl2br w:val="nil"/>
              <w:tr2bl w:val="nil"/>
            </w:tcBorders>
            <w:vAlign w:val="center"/>
          </w:tcPr>
          <w:p>
            <w:pPr>
              <w:pageBreakBefore w:val="0"/>
              <w:widowControl w:val="0"/>
              <w:kinsoku/>
              <w:overflowPunct w:val="0"/>
              <w:autoSpaceDE w:val="0"/>
              <w:autoSpaceDN w:val="0"/>
              <w:bidi w:val="0"/>
              <w:adjustRightInd w:val="0"/>
              <w:spacing w:before="177"/>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时段</w:t>
            </w: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before="177"/>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预测点</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line="289"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贡献值</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标准值dB(A)</w:t>
            </w:r>
          </w:p>
        </w:tc>
        <w:tc>
          <w:tcPr>
            <w:tcW w:w="898" w:type="pct"/>
            <w:tcBorders>
              <w:tl2br w:val="nil"/>
              <w:tr2bl w:val="nil"/>
            </w:tcBorders>
            <w:vAlign w:val="center"/>
          </w:tcPr>
          <w:p>
            <w:pPr>
              <w:pageBreakBefore w:val="0"/>
              <w:widowControl w:val="0"/>
              <w:kinsoku/>
              <w:overflowPunct w:val="0"/>
              <w:autoSpaceDE w:val="0"/>
              <w:autoSpaceDN w:val="0"/>
              <w:bidi w:val="0"/>
              <w:adjustRightInd w:val="0"/>
              <w:spacing w:before="177"/>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restar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w:t>
            </w: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44.17</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898" w:type="pct"/>
            <w:tcBorders>
              <w:tl2br w:val="nil"/>
              <w:tr2bl w:val="nil"/>
            </w:tcBorders>
            <w:vAlign w:val="center"/>
          </w:tcPr>
          <w:p>
            <w:pPr>
              <w:pageBreakBefore w:val="0"/>
              <w:widowControl w:val="0"/>
              <w:kinsoku/>
              <w:overflowPunct w:val="0"/>
              <w:autoSpaceDE w:val="0"/>
              <w:autoSpaceDN w:val="0"/>
              <w:bidi w:val="0"/>
              <w:adjustRightInd w:val="0"/>
              <w:spacing w:line="274"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continue"/>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2#南</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41.26</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98" w:type="pct"/>
            <w:tcBorders>
              <w:tl2br w:val="nil"/>
              <w:tr2bl w:val="nil"/>
            </w:tcBorders>
            <w:vAlign w:val="center"/>
          </w:tcPr>
          <w:p>
            <w:pPr>
              <w:pageBreakBefore w:val="0"/>
              <w:widowControl w:val="0"/>
              <w:kinsoku/>
              <w:overflowPunct w:val="0"/>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continue"/>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43.63</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898" w:type="pct"/>
            <w:tcBorders>
              <w:tl2br w:val="nil"/>
              <w:tr2bl w:val="nil"/>
            </w:tcBorders>
            <w:vAlign w:val="center"/>
          </w:tcPr>
          <w:p>
            <w:pPr>
              <w:pageBreakBefore w:val="0"/>
              <w:widowControl w:val="0"/>
              <w:kinsoku/>
              <w:overflowPunct w:val="0"/>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continue"/>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4#北</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41.21</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98" w:type="pct"/>
            <w:tcBorders>
              <w:tl2br w:val="nil"/>
              <w:tr2bl w:val="nil"/>
            </w:tcBorders>
            <w:vAlign w:val="center"/>
          </w:tcPr>
          <w:p>
            <w:pPr>
              <w:pageBreakBefore w:val="0"/>
              <w:widowControl w:val="0"/>
              <w:kinsoku/>
              <w:overflowPunct w:val="0"/>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restar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夜间</w:t>
            </w: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44.17</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898" w:type="pct"/>
            <w:tcBorders>
              <w:tl2br w:val="nil"/>
              <w:tr2bl w:val="nil"/>
            </w:tcBorders>
            <w:vAlign w:val="center"/>
          </w:tcPr>
          <w:p>
            <w:pPr>
              <w:pageBreakBefore w:val="0"/>
              <w:widowControl w:val="0"/>
              <w:kinsoku/>
              <w:overflowPunct w:val="0"/>
              <w:autoSpaceDE w:val="0"/>
              <w:autoSpaceDN w:val="0"/>
              <w:bidi w:val="0"/>
              <w:adjustRightInd w:val="0"/>
              <w:spacing w:line="274"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continue"/>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2#南</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41.26</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98" w:type="pct"/>
            <w:tcBorders>
              <w:tl2br w:val="nil"/>
              <w:tr2bl w:val="nil"/>
            </w:tcBorders>
            <w:vAlign w:val="center"/>
          </w:tcPr>
          <w:p>
            <w:pPr>
              <w:pageBreakBefore w:val="0"/>
              <w:widowControl w:val="0"/>
              <w:kinsoku/>
              <w:overflowPunct w:val="0"/>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continue"/>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3#西</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43.63</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898" w:type="pct"/>
            <w:tcBorders>
              <w:tl2br w:val="nil"/>
              <w:tr2bl w:val="nil"/>
            </w:tcBorders>
            <w:vAlign w:val="center"/>
          </w:tcPr>
          <w:p>
            <w:pPr>
              <w:pageBreakBefore w:val="0"/>
              <w:widowControl w:val="0"/>
              <w:kinsoku/>
              <w:overflowPunct w:val="0"/>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32" w:type="pct"/>
            <w:vMerge w:val="continue"/>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66" w:type="pct"/>
            <w:tcBorders>
              <w:tl2br w:val="nil"/>
              <w:tr2bl w:val="nil"/>
            </w:tcBorders>
            <w:vAlign w:val="center"/>
          </w:tcPr>
          <w:p>
            <w:pPr>
              <w:pageBreakBefore w:val="0"/>
              <w:widowControl w:val="0"/>
              <w:kinsoku/>
              <w:overflowPunct w:val="0"/>
              <w:autoSpaceDE w:val="0"/>
              <w:autoSpaceDN w:val="0"/>
              <w:bidi w:val="0"/>
              <w:adjustRightInd w:val="0"/>
              <w:spacing w:line="29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4#北</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厂界</w:t>
            </w:r>
          </w:p>
        </w:tc>
        <w:tc>
          <w:tcPr>
            <w:tcW w:w="999"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41.21</w:t>
            </w:r>
          </w:p>
        </w:tc>
        <w:tc>
          <w:tcPr>
            <w:tcW w:w="1002" w:type="pct"/>
            <w:tcBorders>
              <w:tl2br w:val="nil"/>
              <w:tr2bl w:val="nil"/>
            </w:tcBorders>
            <w:vAlign w:val="center"/>
          </w:tcPr>
          <w:p>
            <w:pPr>
              <w:pageBreakBefore w:val="0"/>
              <w:widowControl w:val="0"/>
              <w:kinsoku/>
              <w:overflowPunct w:val="0"/>
              <w:autoSpaceDE w:val="0"/>
              <w:autoSpaceDN w:val="0"/>
              <w:bidi w:val="0"/>
              <w:adjustRightInd w:val="0"/>
              <w:spacing w:before="48"/>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98" w:type="pct"/>
            <w:tcBorders>
              <w:tl2br w:val="nil"/>
              <w:tr2bl w:val="nil"/>
            </w:tcBorders>
            <w:vAlign w:val="center"/>
          </w:tcPr>
          <w:p>
            <w:pPr>
              <w:pageBreakBefore w:val="0"/>
              <w:widowControl w:val="0"/>
              <w:kinsoku/>
              <w:overflowPunct w:val="0"/>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根据以上预测结果可知，对各设备采取隔声、消声等降噪措施后，项目厂界昼间、夜间噪声贡献值满足《工业企业厂界环境噪声排放标准》（GB12348-2008）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类排放限值昼间≤6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dB（A）、夜间≤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highlight w:val="none"/>
          <w14:textFill>
            <w14:solidFill>
              <w14:schemeClr w14:val="tx1"/>
            </w14:solidFill>
          </w14:textFill>
        </w:rPr>
        <w:t>dB（A）要求，对周围环境的影响不大。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）防治措施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鼓风机、引风机、水泵等高噪声设备全部安装在设备间内，本环评按建议运营期间采取如下措施降低噪声对周围环境的影响。</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①优先选用低噪声设备，对引风机、鼓风机进风口加装消声器，从源头降低噪声污染；</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②在风机底座、水泵基础加装减震装置，接管处加装减震喉管，设备和管道采用柔性接头连接，有效地降低噪声和设备震动；</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③项目建成后加强对噪声设备的管理，对噪声集中的风机房、水泵房的门窗采用隔声门窗，并确保门窗完好无损。</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5.2.4固体废物影响分析</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bookmarkStart w:id="151" w:name="_Toc4686"/>
      <w:bookmarkStart w:id="152" w:name="_Toc8312"/>
      <w:bookmarkStart w:id="153" w:name="_Toc20487"/>
      <w:bookmarkStart w:id="154" w:name="_Toc15058"/>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表5.2-14   项目固体废物产生与处置情况</w:t>
      </w:r>
    </w:p>
    <w:tbl>
      <w:tblPr>
        <w:tblStyle w:val="30"/>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9"/>
        <w:gridCol w:w="2049"/>
        <w:gridCol w:w="603"/>
        <w:gridCol w:w="550"/>
        <w:gridCol w:w="687"/>
        <w:gridCol w:w="1118"/>
        <w:gridCol w:w="80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固废</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性质</w:t>
            </w: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固废名称</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产生工序</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形态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类别</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代码</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产生量t/a</w:t>
            </w:r>
          </w:p>
        </w:tc>
        <w:tc>
          <w:tcPr>
            <w:tcW w:w="19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生活</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垃圾</w:t>
            </w: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生活垃圾</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员工</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生活</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一般</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固废</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生活垃圾</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260</w:t>
            </w:r>
          </w:p>
        </w:tc>
        <w:tc>
          <w:tcPr>
            <w:tcW w:w="1985"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交由市政环卫部门处</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一般工业固废</w:t>
            </w: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收集尘</w:t>
            </w:r>
          </w:p>
        </w:tc>
        <w:tc>
          <w:tcPr>
            <w:tcW w:w="603"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381</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highlight w:val="none"/>
                <w14:textFill>
                  <w14:solidFill>
                    <w14:schemeClr w14:val="tx1"/>
                  </w14:solidFill>
                </w14:textFill>
              </w:rPr>
              <w:t>001</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-66</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5.173</w:t>
            </w:r>
          </w:p>
        </w:tc>
        <w:tc>
          <w:tcPr>
            <w:tcW w:w="1985"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分类回收后综合利用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边角废料</w:t>
            </w:r>
          </w:p>
        </w:tc>
        <w:tc>
          <w:tcPr>
            <w:tcW w:w="60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381</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highlight w:val="none"/>
                <w14:textFill>
                  <w14:solidFill>
                    <w14:schemeClr w14:val="tx1"/>
                  </w14:solidFill>
                </w14:textFill>
              </w:rPr>
              <w:t>001</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highlight w:val="none"/>
                <w14:textFill>
                  <w14:solidFill>
                    <w14:schemeClr w14:val="tx1"/>
                  </w14:solidFill>
                </w14:textFill>
              </w:rPr>
              <w:t>99</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800</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包装废料</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381</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highlight w:val="none"/>
                <w14:textFill>
                  <w14:solidFill>
                    <w14:schemeClr w14:val="tx1"/>
                  </w14:solidFill>
                </w14:textFill>
              </w:rPr>
              <w:t>001</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-07</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100</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危险废物</w:t>
            </w: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废灌注管（部分沾染未完全固化的树脂料）、废树脂及树脂固化剂（未完全固化）、脱模过程中产生的含未固化沾染性废树脂料</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液态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HW13</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265-101-13</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2.0</w:t>
            </w:r>
          </w:p>
        </w:tc>
        <w:tc>
          <w:tcPr>
            <w:tcW w:w="1985"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经</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分类</w:t>
            </w:r>
            <w:r>
              <w:rPr>
                <w:rFonts w:hint="default" w:ascii="Times New Roman" w:hAnsi="Times New Roman" w:eastAsia="宋体" w:cs="Times New Roman"/>
                <w:color w:val="000000" w:themeColor="text1"/>
                <w:sz w:val="21"/>
                <w:highlight w:val="none"/>
                <w14:textFill>
                  <w14:solidFill>
                    <w14:schemeClr w14:val="tx1"/>
                  </w14:solidFill>
                </w14:textFill>
              </w:rPr>
              <w:t>收集后交由有资质的单位处理处置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废腻子及固化剂</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HW12</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900-299- 12</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2.0</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砂纸</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HW12</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900-299- 12</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1.35</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废漆、</w:t>
            </w:r>
            <w:r>
              <w:rPr>
                <w:rFonts w:hint="default" w:ascii="Times New Roman" w:hAnsi="Times New Roman" w:eastAsia="宋体" w:cs="Times New Roman"/>
                <w:color w:val="000000" w:themeColor="text1"/>
                <w:sz w:val="21"/>
                <w:highlight w:val="none"/>
                <w14:textFill>
                  <w14:solidFill>
                    <w14:schemeClr w14:val="tx1"/>
                  </w14:solidFill>
                </w14:textFill>
              </w:rPr>
              <w:t>废漆桶</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HW49</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900-041-49</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60</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废空压油、废机油</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液态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HW08</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900-214-08</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1.35</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废铅蓄电池</w:t>
            </w:r>
          </w:p>
        </w:tc>
        <w:tc>
          <w:tcPr>
            <w:tcW w:w="603"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生产</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过程</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HW31</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900-052-31</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2.0</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废活性炭</w:t>
            </w:r>
          </w:p>
        </w:tc>
        <w:tc>
          <w:tcPr>
            <w:tcW w:w="603" w:type="dxa"/>
            <w:vMerge w:val="restar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废气治理</w:t>
            </w: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固态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HW49</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900-039-49</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1"/>
                <w:szCs w:val="20"/>
                <w:highlight w:val="none"/>
                <w:lang w:val="en-US" w:eastAsia="zh-CN" w:bidi="ar-SA"/>
                <w14:textFill>
                  <w14:solidFill>
                    <w14:schemeClr w14:val="tx1"/>
                  </w14:solidFill>
                </w14:textFill>
              </w:rPr>
              <w:t>3.728</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9"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c>
          <w:tcPr>
            <w:tcW w:w="2049"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p>
        </w:tc>
        <w:tc>
          <w:tcPr>
            <w:tcW w:w="603"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50"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固态</w:t>
            </w:r>
          </w:p>
        </w:tc>
        <w:tc>
          <w:tcPr>
            <w:tcW w:w="687"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1118"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900-042-49</w:t>
            </w:r>
          </w:p>
        </w:tc>
        <w:tc>
          <w:tcPr>
            <w:tcW w:w="806" w:type="dxa"/>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/4a</w:t>
            </w:r>
          </w:p>
        </w:tc>
        <w:tc>
          <w:tcPr>
            <w:tcW w:w="1985" w:type="dxa"/>
            <w:vMerge w:val="continue"/>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（1）一般固废</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营运期，项目生活垃圾属于Ⅰ类一般工业固体废物，交由当地环卫部门进行统一处理；收集废料（粉尘）、边角废料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废包装物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14:textFill>
            <w14:solidFill>
              <w14:schemeClr w14:val="tx1"/>
            </w14:solidFill>
          </w14:textFill>
        </w:rPr>
        <w:t>属Ⅰ类一般工业固体废物，外售综合利用。按《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GB 18599-2020</w:t>
      </w:r>
      <w:r>
        <w:rPr>
          <w:rFonts w:hint="default" w:ascii="Times New Roman" w:hAnsi="Times New Roman" w:eastAsia="宋体" w:cs="Times New Roman"/>
          <w:color w:val="000000" w:themeColor="text1"/>
          <w:sz w:val="24"/>
          <w:szCs w:val="24"/>
          <w:highlight w:val="none"/>
          <w14:textFill>
            <w14:solidFill>
              <w14:schemeClr w14:val="tx1"/>
            </w14:solidFill>
          </w14:textFill>
        </w:rPr>
        <w:t>求在厂区设置固体废物临时储存区，防雨淋，扬尘，地面采用混凝土硬化。</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（2）危险废物</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项目产生的危险废物主要有废灌注管（部分沾染未完全固化的树脂料）、废树脂及树脂固化剂（未完全固化）、脱模过程中产生的含未固化沾染性废树脂料、废漆桶、废空压油、废机油、废活性炭、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废催化剂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废铅蓄电池、叶片废腻子及固化剂、砂纸。企业产生的各危险废物应交由有资质的单位进行处置。</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按《危险废物贮存污染控制标准》要求在厂区内设置危废暂存间，危险废物采用符合标准的专用容器盛装。</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本项目危险废物贮存场所（设施）基本情况如下：</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表5.2-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15  </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危险废物贮存场所（设施）基本情况表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2288"/>
        <w:gridCol w:w="776"/>
        <w:gridCol w:w="1196"/>
        <w:gridCol w:w="776"/>
        <w:gridCol w:w="1196"/>
        <w:gridCol w:w="1005"/>
        <w:gridCol w:w="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贮存场所名称</w:t>
            </w: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危险废物名称</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危险废物类别</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危险废物代码</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占地面积</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贮存方式</w:t>
            </w:r>
          </w:p>
        </w:tc>
        <w:tc>
          <w:tcPr>
            <w:tcW w:w="58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最大贮存量</w:t>
            </w:r>
          </w:p>
        </w:tc>
        <w:tc>
          <w:tcPr>
            <w:tcW w:w="269"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危废暂存间</w:t>
            </w: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废灌注管（部分沾染未完全固化的树脂料）、废树脂及树脂固化剂（未完全固化）、脱模过程中产生的含未固化沾染性废树脂料</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HW13</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265-101-13</w:t>
            </w:r>
          </w:p>
        </w:tc>
        <w:tc>
          <w:tcPr>
            <w:tcW w:w="455"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70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分类收集、放置于专用容器内，相对密闭储存</w:t>
            </w:r>
          </w:p>
        </w:tc>
        <w:tc>
          <w:tcPr>
            <w:tcW w:w="58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5t</w:t>
            </w:r>
          </w:p>
        </w:tc>
        <w:tc>
          <w:tcPr>
            <w:tcW w:w="269"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叶片废腻子及固化剂</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HW12</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900-299-12</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砂纸</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HW12</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900-299-12</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废漆桶</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废辊涂筒、漆渣</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HW49</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900-041-49</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废活性炭</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HW49</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900-039-49</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废空压油、废机油</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HW08</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900-214-08</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废铅蓄电池</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HW31</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900-052-31</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4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p>
        </w:tc>
        <w:tc>
          <w:tcPr>
            <w:tcW w:w="455"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70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900-042-49</w:t>
            </w:r>
          </w:p>
        </w:tc>
        <w:tc>
          <w:tcPr>
            <w:tcW w:w="455"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70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8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269"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贮存场所（设施）污染防治措施：根据集中建设危险废物处置设施的要求，本项目不得擅自处理所产生的危险废物，项目应用专用容器和场地对此类危废进行收集暂存，并委托具有处理该类危废能力的专业单位进行处置。危险废物通过专用容器盛装后暂存于危废暂存间，专用容器建议采用可密闭加盖的容器。</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的危废暂存间必须按照《危险废物贮存污染控制标准》（GB18597-2001）做好相关“四防”（防风、防雨、防晒、防渗漏）措施，门口设置警示标志。根据《危险废物贮存污染控制标准》（GB18597-2001）及修改单中要求设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）贮存、堆存、转运、管理要求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①危险废物临时贮存及环境管理</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区分为液体类危险废物贮存间及固体类危险废物贮存间两大区域。建设单位应按照《危险废物贮存污染控制标准》（GB18597-2001）的相关要求对危险废物的贮存设施及危险废物进行规范管理。</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②危险废物贮存场所要求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a.地面与裙脚要用坚固、防渗材料建造，建筑材料必须与危险废物相容。</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b.必须有泄漏液体收集装置、气体导出口装置。</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c.库内要有安全照明设施和观察窗口。</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d.地面必须为耐腐蚀的硬化地面，且表面无裂隙；特别是用以存放装载液体、半固体危险废物容器的地方。</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e.应设计堵截泄漏的裙脚，地面与裙脚所围建的容积不低于堵截最大容器的最大储量或总储量的五分之一。</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f.不相容的危险废物必须分开存放，并设有隔离间隔断，液体类废物具体可分为润滑剂、液压油等费油贮存区，汽油贮存区、制冷剂贮存区等，固体类废物具体可分为铅酸蓄电池贮存区，其他固体废物贮存区等。</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）危险废物堆放场所要求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①基础必须防渗，防渗层防渗能力需等效于1m厚粘土层（渗透系≤10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cm/s）防渗能力；或等效于2mm厚高密度聚乙烯（或其它人工材料）且渗透系≤10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cm/s防渗能力。</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②堆放危险废物的高度应根据地面承载能力确定。</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③危险废物堆放防风、防雨、防晒。</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④产生量大的危险废物可以散装方式堆放贮存在按上述要求设计的废物堆场。</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⑤不相容的危险废物不能堆放在一起。</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⑥总贮存量不超过300kg(L</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的危险废物要放入符合标准的容器内，加上标签，容器放入坚固的柜或箱中，柜或箱应设多个直径不少于30毫米的排气孔。</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）危险废物转运要求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①危险废物的运输应采取危险废物转移电子联单制度，保证运输安全，防止非法转移和非法处置，保证危险废物的安全监控，防止危险废物污染事故发生。</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收后应继续保留3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危险废物在厂区内产生工艺环节（主要为废气处理装置和设备保养）到危废暂存间时，可能产生散落、泄露所引起的环境影响。因此要求在危废产生工艺环节即储存于密闭容器内，即使运输至暂存场所，避免危险废物厂区内散落和泄露。项目危险废物在收集和转运过程需严格执行《危险废物收集贮存运输技术规范》(H2025-2012)。危险废物转移按《危险废物转移联单管理办法》执行，实行五联单制度。危险废物运输由具有从事危险废物运输经营许可性的运输单位完成。履行申报的登记制度、建立危险废物管理台账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危险废物贮存设施的运行与管理要求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本项目不得自建危险废物处置设施，所有危险废物均委托有资质单位处置，危险废物经资质单位进行处置后，对环境影响较小。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①从事危险废物贮存的单位，必须得到有资质单位出具的该危险废物样品物理和化学性质的分析报告，认定可以贮存后，方可接收。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②危险废物贮存前应进行检验，确保同预定接收的危险废物一致，并登记注册。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③不得接收未粘贴符合4.9规定的标签或标签没按规定填写的危险废物。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④盛装在容器内的同类危险废物可以堆叠存放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⑤每个堆间应留有搬运通道。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⑥不得将不相容的废物混合或合并存放。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⑦危险废物产生者和危险废物贮存设施经营者均须</w:t>
      </w:r>
      <w:r>
        <w:rPr>
          <w:rFonts w:hint="default" w:ascii="Times New Roman" w:hAnsi="Times New Roman" w:eastAsia="宋体" w:cs="Times New Roman"/>
          <w:color w:val="000000" w:themeColor="text1"/>
          <w:sz w:val="24"/>
          <w:szCs w:val="24"/>
          <w:lang w:eastAsia="zh-CN"/>
          <w14:textFill>
            <w14:solidFill>
              <w14:schemeClr w14:val="tx1"/>
            </w14:solidFill>
          </w14:textFill>
        </w:rPr>
        <w:t>做好</w:t>
      </w:r>
      <w:r>
        <w:rPr>
          <w:rFonts w:hint="default" w:ascii="Times New Roman" w:hAnsi="Times New Roman" w:eastAsia="宋体" w:cs="Times New Roman"/>
          <w:color w:val="000000" w:themeColor="text1"/>
          <w:sz w:val="24"/>
          <w:szCs w:val="24"/>
          <w14:textFill>
            <w14:solidFill>
              <w14:schemeClr w14:val="tx1"/>
            </w14:solidFill>
          </w14:textFill>
        </w:rPr>
        <w:t>危险废物情况的记录，记录上须注明危险废物的名称、来源、数量、特性和包装容器的类别、入库日期、存放库位、废物出库日期及接收单位名称。危险废物的记录和货单在危险废物回取后应继续保留三年。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⑧必须定期对所贮存的危险废物包装容器及贮存设施进行检查，发现破损，应及时采取措施清理更换。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危险废物贮存设施的安全防护要求：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①危险废物贮存设施都必须按GB15562.2的规定设置警示标志。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②危险废物贮存设施周围应设置围墙或其它防护栅栏。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③危险废物贮存设施应配备通讯设备、照明设施、安全防护服装及工具，并设有应急防护设施。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④危险废物贮存设施内清理出来的泄漏物，一律按危险废物处理。</w:t>
      </w:r>
    </w:p>
    <w:p>
      <w:pPr>
        <w:keepNext w:val="0"/>
        <w:keepLines w:val="0"/>
        <w:pageBreakBefore w:val="0"/>
        <w:wordWrap/>
        <w:topLinePunct w:val="0"/>
        <w:bidi w:val="0"/>
        <w:adjustRightInd/>
        <w:snapToGrid/>
        <w:spacing w:line="360" w:lineRule="auto"/>
        <w:ind w:firstLine="482"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（5）固废</w:t>
      </w:r>
      <w:r>
        <w:rPr>
          <w:rFonts w:hint="default" w:ascii="Times New Roman" w:hAnsi="Times New Roman" w:eastAsia="宋体" w:cs="Times New Roman"/>
          <w:b/>
          <w:bCs/>
          <w:color w:val="000000" w:themeColor="text1"/>
          <w:sz w:val="24"/>
          <w:u w:val="none"/>
          <w14:textFill>
            <w14:solidFill>
              <w14:schemeClr w14:val="tx1"/>
            </w14:solidFill>
          </w14:textFill>
        </w:rPr>
        <w:t>环境管理</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14:textFill>
            <w14:solidFill>
              <w14:schemeClr w14:val="tx1"/>
            </w14:solidFill>
          </w14:textFill>
        </w:rPr>
        <w:t>针对本项目正常运行阶段所产生的危险废物的日常管理提出要求：</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u w:val="none"/>
          <w14:textFill>
            <w14:solidFill>
              <w14:schemeClr w14:val="tx1"/>
            </w14:solidFill>
          </w14:textFill>
        </w:rPr>
        <w:t>履行申报登记制度；</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4"/>
          <w:u w:val="none"/>
          <w14:textFill>
            <w14:solidFill>
              <w14:schemeClr w14:val="tx1"/>
            </w14:solidFill>
          </w14:textFill>
        </w:rPr>
        <w:t>建立台账管理制度，企业须做好危险废物情况的记录，记录上需注明危险废物的名称、来源、数量、特性和包装容器的类别；</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u w:val="none"/>
          <w14:textFill>
            <w14:solidFill>
              <w14:schemeClr w14:val="tx1"/>
            </w14:solidFill>
          </w14:textFill>
        </w:rPr>
        <w:t>委托处置应执行报批和转移联单等制度；</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④</w:t>
      </w:r>
      <w:r>
        <w:rPr>
          <w:rFonts w:hint="default" w:ascii="Times New Roman" w:hAnsi="Times New Roman" w:eastAsia="宋体" w:cs="Times New Roman"/>
          <w:color w:val="000000" w:themeColor="text1"/>
          <w:sz w:val="24"/>
          <w:u w:val="none"/>
          <w14:textFill>
            <w14:solidFill>
              <w14:schemeClr w14:val="tx1"/>
            </w14:solidFill>
          </w14:textFill>
        </w:rPr>
        <w:t>定期对暂存的危险废物包装容器及贮存设施进行检查，及早发现破损，及时采取措施清理更换；</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⑤</w:t>
      </w:r>
      <w:r>
        <w:rPr>
          <w:rFonts w:hint="default" w:ascii="Times New Roman" w:hAnsi="Times New Roman" w:eastAsia="宋体" w:cs="Times New Roman"/>
          <w:color w:val="000000" w:themeColor="text1"/>
          <w:sz w:val="24"/>
          <w:u w:val="none"/>
          <w14:textFill>
            <w14:solidFill>
              <w14:schemeClr w14:val="tx1"/>
            </w14:solidFill>
          </w14:textFill>
        </w:rPr>
        <w:t>直接从事收集、贮存、运输、利用、处置危险废物的人员，应当接受专业培训，经考核合格，方可从事该项工作。</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⑥</w:t>
      </w:r>
      <w:r>
        <w:rPr>
          <w:rFonts w:hint="default" w:ascii="Times New Roman" w:hAnsi="Times New Roman" w:eastAsia="宋体" w:cs="Times New Roman"/>
          <w:color w:val="000000" w:themeColor="text1"/>
          <w:sz w:val="24"/>
          <w:u w:val="none"/>
          <w14:textFill>
            <w14:solidFill>
              <w14:schemeClr w14:val="tx1"/>
            </w14:solidFill>
          </w14:textFill>
        </w:rPr>
        <w:t>固废贮存（处置）场所规范化设置，固体废物贮存</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处置</w:t>
      </w:r>
      <w:r>
        <w:rPr>
          <w:rFonts w:hint="default" w:ascii="Times New Roman" w:hAnsi="Times New Roman" w:eastAsia="宋体" w:cs="Times New Roman"/>
          <w:color w:val="000000" w:themeColor="text1"/>
          <w:sz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u w:val="none"/>
          <w14:textFill>
            <w14:solidFill>
              <w14:schemeClr w14:val="tx1"/>
            </w14:solidFill>
          </w14:textFill>
        </w:rPr>
        <w:t>场所应在醒目处设置标志牌。</w:t>
      </w:r>
    </w:p>
    <w:p>
      <w:pPr>
        <w:keepNext w:val="0"/>
        <w:keepLines w:val="0"/>
        <w:pageBreakBefore w:val="0"/>
        <w:wordWrap/>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⑦</w:t>
      </w:r>
      <w:r>
        <w:rPr>
          <w:rFonts w:hint="default" w:ascii="Times New Roman" w:hAnsi="Times New Roman" w:eastAsia="宋体" w:cs="Times New Roman"/>
          <w:color w:val="000000" w:themeColor="text1"/>
          <w:sz w:val="24"/>
          <w:u w:val="none"/>
          <w14:textFill>
            <w14:solidFill>
              <w14:schemeClr w14:val="tx1"/>
            </w14:solidFill>
          </w14:textFill>
        </w:rPr>
        <w:t>危废应根据其化学特性选择合适的容器和存放地点，通过密闭容器存放，不可混合贮存，容器标签必须标明废物种类、贮存时间，定期处理。</w:t>
      </w:r>
    </w:p>
    <w:p>
      <w:pPr>
        <w:pStyle w:val="48"/>
        <w:keepNext w:val="0"/>
        <w:keepLines w:val="0"/>
        <w:pageBreakBefore w:val="0"/>
        <w:wordWrap/>
        <w:topLinePunct w:val="0"/>
        <w:bidi w:val="0"/>
        <w:adjustRightInd/>
        <w:snapToGrid/>
        <w:ind w:firstLine="480"/>
        <w:jc w:val="both"/>
        <w:rPr>
          <w:rFonts w:hint="default" w:ascii="Times New Roman" w:hAnsi="Times New Roman" w:eastAsia="宋体" w:cs="Times New Roman"/>
          <w:b/>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综上所述，建设项目固废采取上述治理措施后，各类固废均能得到合理处置，不产生二次污染，不会对周围环境产生影响。</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）固体废物对环境的影响分析</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产生的一般固体废物均得到综合利用，危险废物交由具有危废物处理资质的单位处理并严格按“危险废物转移联单制度”转移产生的危险废物，并采取密闭防渗的运输车辆运输。综上所述，固体废物对环境的影响微小。</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土壤环境影响分析</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本项目为土壤污染影响型建设项目，评价工作等为二级。</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（1）项目对土壤的污染途径</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土壤对污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染物的净化</w:t>
      </w:r>
      <w:r>
        <w:rPr>
          <w:rFonts w:hint="default" w:ascii="Times New Roman" w:hAnsi="Times New Roman" w:eastAsia="宋体" w:cs="Times New Roman"/>
          <w:color w:val="000000" w:themeColor="text1"/>
          <w:sz w:val="24"/>
          <w:szCs w:val="24"/>
          <w:highlight w:val="none"/>
          <w14:textFill>
            <w14:solidFill>
              <w14:schemeClr w14:val="tx1"/>
            </w14:solidFill>
          </w14:textFill>
        </w:rPr>
        <w:t>能力是有限的。当外界进入土壤的污染物的速率不超过土壤的净化作用速率，尚不能造成土壤污染；若进入土壤的污染物的速率超过土壤的净化作用速率，就会使污染物在土壤中累积，造成土壤污染，导致土壤正常功能失调，土壤质量下降，影响植物的生长发育，并通过植物吸收、食物链使污染物发生迁移，最终影响人体健康。拟建项目建成后，本项目土壤影响产生的主要因素为大气沉降的影响、地面漫流的影响及入渗途径的影响。</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本项目为工业园内项目，厂区地面采取硬化措施，危废暂存间、仓库等易渗场地采取相应的防渗措施，保证渗透系数≤10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cm/s，以防止土壤环境污染。拟建项目不涉及重金属、剧毒危险化学品，因此无重金属、剧毒危险化学品对土壤造成影响。危险废物收集后交有危险废物处理资质的单位处置。</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设置灌注、涂装车间为密闭车间，通过上进风+侧面吸风+粗效吸附箱+活性炭吸附/脱附+催化燃烧（热源采用电加热）+风机+一根27米排气筒排放。能够实现达标排放的要求，但是外排的废气在扩散中发生沉降，会进入土壤中，间接对土壤环境造成影响。项目运营过程中间接进入土壤的污染物较少，根据相关资料可知，废气在土壤中吸附能力较小，转移速度较快，因此短期内污染物对周围土壤环境影响小。但长期来看，经积累后土壤中污染物将会增加，尽管转移速度较快，但也会对深层土壤产生影响，因此长期来看污染物对周围土壤环境会产生影响，所以企业运营过程中应加强管理，严格落实各项环保措施，尽量减少有组织和无组织排放，从而减缓对土壤的影响。</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本项目废气影响土壤主要是有机废气通过降水、扩散和重力作用降落至地面，渗透进入土壤。综上，项目对土壤的影响类型及途径见表5.2-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highlight w:val="none"/>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表5.2-16</w:t>
      </w:r>
      <w:r>
        <w:rPr>
          <w:rFonts w:hint="default" w:ascii="Times New Roman" w:hAnsi="Times New Roman" w:eastAsia="宋体" w:cs="Times New Roman"/>
          <w:color w:val="000000" w:themeColor="text1"/>
          <w:sz w:val="21"/>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highlight w:val="none"/>
          <w14:textFill>
            <w14:solidFill>
              <w14:schemeClr w14:val="tx1"/>
            </w14:solidFill>
          </w14:textFill>
        </w:rPr>
        <w:t>土壤影响类型与途径表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不同时段</w:t>
            </w:r>
          </w:p>
        </w:tc>
        <w:tc>
          <w:tcPr>
            <w:tcW w:w="6392" w:type="dxa"/>
            <w:gridSpan w:val="3"/>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p>
        </w:tc>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大气沉降</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地面漫流</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建设期</w:t>
            </w:r>
          </w:p>
        </w:tc>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运营期</w:t>
            </w:r>
          </w:p>
        </w:tc>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14:textFill>
                  <w14:solidFill>
                    <w14:schemeClr w14:val="tx1"/>
                  </w14:solidFill>
                </w14:textFill>
              </w:rPr>
              <w:t>服务期</w:t>
            </w:r>
          </w:p>
        </w:tc>
        <w:tc>
          <w:tcPr>
            <w:tcW w:w="2130"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c>
          <w:tcPr>
            <w:tcW w:w="2131" w:type="dxa"/>
            <w:vAlign w:val="center"/>
          </w:tcPr>
          <w:p>
            <w:pPr>
              <w:pageBreakBefore w:val="0"/>
              <w:widowControl w:val="0"/>
              <w:kinsoku/>
              <w:overflowPunct w:val="0"/>
              <w:bidi w:val="0"/>
              <w:spacing w:line="259" w:lineRule="auto"/>
              <w:jc w:val="cente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vertAlign w:val="baseline"/>
                <w:lang w:val="en-US" w:eastAsia="zh-CN"/>
                <w14:textFill>
                  <w14:solidFill>
                    <w14:schemeClr w14:val="tx1"/>
                  </w14:solidFill>
                </w14:textFill>
              </w:rPr>
              <w:t>/</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（2）项目对土壤的影响预测分析</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根据土壤环境评价工作等级及评价范围判定可知，本项目土壤环境影响评价工作等级为二级，评价范围为厂界外延200m的范围。因此需要对土壤环境影响进行预测。</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根据土壤污染种类，本项目对土壤环境的影响主要污染物为有机废气大气沉降。</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①预测模式根据《环境影响评价技术导则土壤环境（试行）》（HJ964-2018），本项目采用导则附录E中推荐的方法进行预测：</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单位质量土壤中某种物质的预测值可根据其叠加补充监测值进行计算，公式如下：</w:t>
      </w:r>
    </w:p>
    <w:p>
      <w:pPr>
        <w:keepNext w:val="0"/>
        <w:keepLines w:val="0"/>
        <w:pageBreakBefore w:val="0"/>
        <w:widowControl/>
        <w:kinsoku/>
        <w:wordWrap/>
        <w:overflowPunct w:val="0"/>
        <w:topLinePunct w:val="0"/>
        <w:autoSpaceDE w:val="0"/>
        <w:autoSpaceDN w:val="0"/>
        <w:bidi w:val="0"/>
        <w:adjustRightInd/>
        <w:snapToGrid/>
        <w:spacing w:line="360" w:lineRule="auto"/>
        <w:ind w:firstLine="560" w:firstLineChars="200"/>
        <w:jc w:val="center"/>
        <w:textAlignment w:val="baseline"/>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S=Sb+△S</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式中：Sb</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单位质量土壤中某种物质的现状值，mg/kg；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S——单位质量土壤中某种物质的预测值，mg/kg；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△S——单位质量土壤中某种物质的增量，mg/kg；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其中单位质量土壤中某种物质的增量计算公式如下：ΔS=n(Is－Ls－Rs)/(ρb×A×D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式中：ΔS—单位质量表层土壤中某种物质的增量，g/kg；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Is—预测评价范围内单位年份表层土壤中某种物质的年输入量，g；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Ls—预测评价范围内单位年份表层土壤中某种物质经淋溶排出的量，g；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参考有关研究资料，苯系物（甲苯、二甲苯）在土壤中一般不易被自然淋溶迁移，综合考虑作物富集、土壤侵蚀和土壤渗漏等流失途径</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Rs—预测评价范围内单位年份表层土壤中某种物质经径流排出的量，g；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ρb—表层土壤容重，kg/m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本项目不考虑随径流排出的量。</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A—预测评价范围，m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 D—表层土壤深度，一般取0.2m，可根据实际情况适当调整；</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n—持续年份，a。</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表层土壤中某种物质的输入量Is可通过下列公式估算：</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Is=C*V*T*A</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式中：C</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污染物年平均最大落地浓度，g/m3</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苯系物（甲苯）废气排放进入环境空气后，通过颗粒物的沉降（干沉降或湿沉降）进入到周边的土壤中去。一般来说，大气中颗粒物沉降量中通过降雨的湿沉降约为80%-90%，干沉降只占10%-20%。考虑到本项目污染物粒度较细，受重力作用沉降的颗粒物较少，年干沉降输入量和年湿沉降输入按1：9计。因此C按干沉降时最大落地浓度的10倍取值。</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V</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污染物沉降速率，本项目排放甲苯、二甲苯粒度小于1um，沉降速率取值为0.1cm/s(0.001m/s)。T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年内污染物沉降时间，s。项目年运行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6240</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③预测结果及评价</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根据大气污染物扩散情况，假设污染物全部沉降至某一地块，面积范围为1m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和假设不同持续年份（分别为5年、10年、30年、50年）的情形进行土壤增量预测。二甲苯5年预测值0.0046mg/kg小于土壤风险值1200mg/kg，10年预测值0.0077mg/kg小于土壤风险值1200mg/kg，30年预测值0.0202mg/kg小于土壤风险值1200mg/kg，50年预测值0.0330mg/kg小于土壤风险值1200mg/kg。</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综上所述，运营期废气中苯系物（甲苯）废气排放后沉降输入土壤中的量较小，企业运营50年后，本项目评价范围内土壤评价因子满足《土壤环境质量建设用地土壤污染风险管控标准（试行）》（GB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36600</w:t>
      </w:r>
      <w:r>
        <w:rPr>
          <w:rFonts w:hint="default" w:ascii="Times New Roman" w:hAnsi="Times New Roman" w:eastAsia="宋体" w:cs="Times New Roman"/>
          <w:color w:val="000000" w:themeColor="text1"/>
          <w:sz w:val="24"/>
          <w:szCs w:val="24"/>
          <w:highlight w:val="none"/>
          <w14:textFill>
            <w14:solidFill>
              <w14:schemeClr w14:val="tx1"/>
            </w14:solidFill>
          </w14:textFill>
        </w:rPr>
        <w:t>-2018）中第二类用地标准的要求。</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企业运营过程中，为防止事故状态对土壤环境的污染，应采取如下措施：</w:t>
      </w:r>
    </w:p>
    <w:p>
      <w:pPr>
        <w:keepNext w:val="0"/>
        <w:keepLines w:val="0"/>
        <w:pageBreakBefore w:val="0"/>
        <w:widowControl/>
        <w:numPr>
          <w:ilvl w:val="0"/>
          <w:numId w:val="4"/>
        </w:numPr>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厂区内除绿化用地外，均进行地面硬化防渗处理，危废暂存间、化学品仓库等易渗场地采取防渗措施，保证渗透系数≤10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p>
    <w:p>
      <w:pPr>
        <w:keepNext w:val="0"/>
        <w:keepLines w:val="0"/>
        <w:pageBreakBefore w:val="0"/>
        <w:widowControl/>
        <w:numPr>
          <w:ilvl w:val="0"/>
          <w:numId w:val="0"/>
        </w:numPr>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（2）危险废物严格按照要求进行处理处置，严禁随意倾倒、丢弃，并及时交有危险废物处理资质的单位处置。</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（3）一旦危废废物等发生泄漏，企业应及时采取有效的应急处置措施，减少事故损失，防止事故蔓延、扩大，对仓库、灌注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车间</w:t>
      </w:r>
      <w:r>
        <w:rPr>
          <w:rFonts w:hint="default" w:ascii="Times New Roman" w:hAnsi="Times New Roman" w:eastAsia="宋体" w:cs="Times New Roman"/>
          <w:color w:val="000000" w:themeColor="text1"/>
          <w:sz w:val="24"/>
          <w:szCs w:val="24"/>
          <w:highlight w:val="none"/>
          <w14:textFill>
            <w14:solidFill>
              <w14:schemeClr w14:val="tx1"/>
            </w14:solidFill>
          </w14:textFill>
        </w:rPr>
        <w:t>、废气处理设施、危废暂存间等建立严格的规章制度，保证其正常运转，公司需定期进行设备、地面等的维护和巡检，将意外泄漏的物料及时收集处置。</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加强生产管理，减少废气的有组织和无组织排放，减少废气污染物通过大气沉降落在地面，污染土壤。企业必须确保废气处理设施的正常运行，并达到评价要求的治理效果，定期检查废气处理设施，若废气处理设施发生故障或效率降低时，企业必须及时修复，在未修复前必须根据故障情况采取限产或停产措施。</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拟建项目在采取以上防控措施后，可有效防止土壤环境污染，土壤环境影响可接受环境影响较小。</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55" w:name="_Toc4397"/>
      <w:r>
        <w:rPr>
          <w:rFonts w:hint="default" w:ascii="Times New Roman" w:hAnsi="Times New Roman" w:eastAsia="宋体" w:cs="Times New Roman"/>
          <w:color w:val="000000" w:themeColor="text1"/>
          <w:sz w:val="24"/>
          <w:szCs w:val="24"/>
          <w:highlight w:val="none"/>
          <w14:textFill>
            <w14:solidFill>
              <w14:schemeClr w14:val="tx1"/>
            </w14:solidFill>
          </w14:textFill>
        </w:rPr>
        <w:t>5.3环境风险评价</w:t>
      </w:r>
      <w:bookmarkEnd w:id="151"/>
      <w:bookmarkEnd w:id="152"/>
      <w:bookmarkEnd w:id="153"/>
      <w:bookmarkEnd w:id="154"/>
      <w:bookmarkEnd w:id="155"/>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据《建设项目环境风险评价技术导则》（HJ169-2018）中关于风险评价工作等级的判定依据，判定拟建项目环境风险评价工作等级为“简单分析”，参照《建设项目环境风险评价技术导则》（HJ169-2018）附录A对项目环境风险进行分析。</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评价依据</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（1）风险调查</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产过程中所涉及的风险物质主要是化学品（油漆、固化剂、稀释剂）、空压油、危险废物，其主要风险因素为生产过程中产生的装置泄漏、物料散失等，环境风险评价主要针对生产过程中存在的风险因素进行分析。</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（2）风险潜势初判</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环境风险潜势划分</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建设项目环境风险潜势划分为Ⅰ、Ⅱ、Ⅲ、IV/IV+级。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根据建设项目涉及的物质和工艺系统的危险性及其所在地的环境敏感程度，结合事故情形下影响途径，对建设项目潜在环境危害程度进行概化分析，确定环境风险潜势。</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危险物质及工艺系统危险性（P）的分级确定危险物质数量与临界量比值（Q）：</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按照《建设项目环境风险评价技术导则》（HJ169-2018）附录B，结合各种物质的理化性质及毒理毒性，可识别出危险物质及临界量。</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根据下式计算危险物质及临界量的比值Q：</w:t>
      </w:r>
    </w:p>
    <w:p>
      <w:pPr>
        <w:pageBreakBefore w:val="0"/>
        <w:kinsoku/>
        <w:overflowPunct w:val="0"/>
        <w:bidi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1990725" cy="523875"/>
            <wp:effectExtent l="0" t="0" r="9525" b="952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28"/>
                    <a:srcRect b="3509"/>
                    <a:stretch>
                      <a:fillRect/>
                    </a:stretch>
                  </pic:blipFill>
                  <pic:spPr>
                    <a:xfrm>
                      <a:off x="0" y="0"/>
                      <a:ext cx="1990725" cy="523875"/>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式中：q1，q2，...，qn—每种危险物质的最大存在总量，t；</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Q1，Q2，...，Qn—每种危险物质的临界量，t。</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当Q&lt;1时，该项目环境风险潜势为Ⅰ。</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当Q≥1时，将Q值划分为：（1）1≤Q&lt;10，（2）10≤Q&lt;100，（3）Q≥100。</w:t>
      </w:r>
    </w:p>
    <w:p>
      <w:pPr>
        <w:keepNext w:val="0"/>
        <w:keepLines w:val="0"/>
        <w:pageBreakBefore w:val="0"/>
        <w:widowControl/>
        <w:kinsoku/>
        <w:wordWrap/>
        <w:overflowPunct w:val="0"/>
        <w:topLinePunct w:val="0"/>
        <w:autoSpaceDE w:val="0"/>
        <w:autoSpaceDN w:val="0"/>
        <w:bidi w:val="0"/>
        <w:adjustRightInd/>
        <w:snapToGrid/>
        <w:spacing w:line="240" w:lineRule="auto"/>
        <w:ind w:firstLine="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表</w:t>
      </w:r>
      <w:r>
        <w:rPr>
          <w:rFonts w:hint="default"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5.3-1</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危险物质及临界量比值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0"/>
        <w:gridCol w:w="1668"/>
        <w:gridCol w:w="1115"/>
        <w:gridCol w:w="1638"/>
        <w:gridCol w:w="1638"/>
        <w:gridCol w:w="17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tcBorders>
              <w:top w:val="single" w:color="auto" w:sz="4" w:space="0"/>
              <w:left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序号</w:t>
            </w:r>
          </w:p>
        </w:tc>
        <w:tc>
          <w:tcPr>
            <w:tcW w:w="978"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危险物质</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名称</w:t>
            </w:r>
          </w:p>
        </w:tc>
        <w:tc>
          <w:tcPr>
            <w:tcW w:w="654"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最大</w:t>
            </w: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存在总</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量q</w:t>
            </w:r>
            <w:r>
              <w:rPr>
                <w:rFonts w:hint="default" w:ascii="Times New Roman" w:hAnsi="Times New Roman" w:eastAsia="宋体" w:cs="Times New Roman"/>
                <w:b w:val="0"/>
                <w:bCs/>
                <w:snapToGrid w:val="0"/>
                <w:color w:val="000000" w:themeColor="text1"/>
                <w:kern w:val="0"/>
                <w:sz w:val="21"/>
                <w:szCs w:val="21"/>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/t</w:t>
            </w:r>
          </w:p>
        </w:tc>
        <w:tc>
          <w:tcPr>
            <w:tcW w:w="961"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醇、胺、酯类</w:t>
            </w:r>
          </w:p>
        </w:tc>
        <w:tc>
          <w:tcPr>
            <w:tcW w:w="961"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芳烃类溶剂（含二甲苯）</w:t>
            </w:r>
          </w:p>
        </w:tc>
        <w:tc>
          <w:tcPr>
            <w:tcW w:w="1032" w:type="pct"/>
            <w:tcBorders>
              <w:top w:val="single" w:color="auto" w:sz="4" w:space="0"/>
              <w:bottom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矿物油类，如汽油、柴油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p>
        </w:tc>
        <w:tc>
          <w:tcPr>
            <w:tcW w:w="978"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油性漆</w:t>
            </w:r>
          </w:p>
        </w:tc>
        <w:tc>
          <w:tcPr>
            <w:tcW w:w="654"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8</w:t>
            </w:r>
          </w:p>
        </w:tc>
        <w:tc>
          <w:tcPr>
            <w:tcW w:w="961"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0.928</w:t>
            </w:r>
          </w:p>
        </w:tc>
        <w:tc>
          <w:tcPr>
            <w:tcW w:w="961"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4.133</w:t>
            </w:r>
          </w:p>
        </w:tc>
        <w:tc>
          <w:tcPr>
            <w:tcW w:w="1032" w:type="pct"/>
            <w:tcBorders>
              <w:top w:val="single" w:color="auto" w:sz="4" w:space="0"/>
            </w:tcBorders>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0.443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固化剂</w:t>
            </w: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腻子</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0.1706</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0.00</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56</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3</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固化剂</w:t>
            </w:r>
            <w:r>
              <w:rPr>
                <w:rFonts w:hint="default" w:ascii="Times New Roman" w:hAnsi="Times New Roman" w:eastAsia="宋体" w:cs="Times New Roman"/>
                <w:b w:val="0"/>
                <w:bCs/>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油性漆</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0.925</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1.045</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4</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稀释剂</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1.5</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0.84</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0.488</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1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5</w:t>
            </w:r>
          </w:p>
        </w:tc>
        <w:tc>
          <w:tcPr>
            <w:tcW w:w="978"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腻子</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4</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0.242</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合计</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suppressLineNumbers w:val="0"/>
              <w:wordWrap/>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2.8636</w:t>
            </w:r>
          </w:p>
        </w:tc>
        <w:tc>
          <w:tcPr>
            <w:tcW w:w="961" w:type="pct"/>
            <w:noWrap w:val="0"/>
            <w:vAlign w:val="center"/>
          </w:tcPr>
          <w:p>
            <w:pPr>
              <w:keepNext w:val="0"/>
              <w:keepLines w:val="0"/>
              <w:pageBreakBefore w:val="0"/>
              <w:widowControl/>
              <w:suppressLineNumbers w:val="0"/>
              <w:wordWrap/>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5.9136</w:t>
            </w:r>
          </w:p>
        </w:tc>
        <w:tc>
          <w:tcPr>
            <w:tcW w:w="1032" w:type="pct"/>
            <w:noWrap w:val="0"/>
            <w:vAlign w:val="center"/>
          </w:tcPr>
          <w:p>
            <w:pPr>
              <w:keepNext w:val="0"/>
              <w:keepLines w:val="0"/>
              <w:pageBreakBefore w:val="0"/>
              <w:widowControl/>
              <w:suppressLineNumbers w:val="0"/>
              <w:wordWrap/>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i w:val="0"/>
                <w:iCs w:val="0"/>
                <w:snapToGrid w:val="0"/>
                <w:color w:val="000000" w:themeColor="text1"/>
                <w:kern w:val="0"/>
                <w:sz w:val="21"/>
                <w:szCs w:val="21"/>
                <w:highlight w:val="none"/>
                <w:u w:val="none"/>
                <w:lang w:val="en-US" w:eastAsia="zh-CN" w:bidi="ar"/>
                <w14:textFill>
                  <w14:solidFill>
                    <w14:schemeClr w14:val="tx1"/>
                  </w14:solidFill>
                </w14:textFill>
              </w:rPr>
              <w:t>0.458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临界量Q</w:t>
            </w:r>
            <w:r>
              <w:rPr>
                <w:rFonts w:hint="default" w:ascii="Times New Roman" w:hAnsi="Times New Roman" w:eastAsia="宋体" w:cs="Times New Roman"/>
                <w:b w:val="0"/>
                <w:bCs/>
                <w:snapToGrid w:val="0"/>
                <w:color w:val="000000" w:themeColor="text1"/>
                <w:kern w:val="0"/>
                <w:sz w:val="21"/>
                <w:szCs w:val="21"/>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/t</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10</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10</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t>q/Q</w:t>
            </w:r>
          </w:p>
        </w:tc>
        <w:tc>
          <w:tcPr>
            <w:tcW w:w="654"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0.28636</w:t>
            </w:r>
          </w:p>
        </w:tc>
        <w:tc>
          <w:tcPr>
            <w:tcW w:w="961"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0.59136</w:t>
            </w:r>
          </w:p>
        </w:tc>
        <w:tc>
          <w:tcPr>
            <w:tcW w:w="1032" w:type="pct"/>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0.0001832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390" w:type="pct"/>
            <w:gridSpan w:val="2"/>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Q</w:t>
            </w:r>
          </w:p>
        </w:tc>
        <w:tc>
          <w:tcPr>
            <w:tcW w:w="3609" w:type="pct"/>
            <w:gridSpan w:val="4"/>
            <w:noWrap w:val="0"/>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0.8779032</w:t>
            </w:r>
          </w:p>
        </w:tc>
      </w:tr>
    </w:tbl>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根据表</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5.3-1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中对项目风险物质的Q值的统计，危险物质及临界量的比值Q值＜1，所以直接判定该项目环境风险潜势为Ⅰ。</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（3）评价等级</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依据《建设项目环境风险评价技术导则》（HJ169-2018）中关于风险评价工作等级的判定依据，评价工作级别按表5.3-2划分</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pPr>
        <w:pageBreakBefore w:val="0"/>
        <w:kinsoku/>
        <w:overflowPunct w:val="0"/>
        <w:bidi w:val="0"/>
        <w:spacing w:before="1" w:line="201" w:lineRule="auto"/>
        <w:ind w:firstLine="2298"/>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5.3-2</w:t>
      </w:r>
      <w:r>
        <w:rPr>
          <w:rFonts w:hint="default" w:ascii="Times New Roman" w:hAnsi="Times New Roman" w:eastAsia="宋体" w:cs="Times New Roman"/>
          <w:b w:val="0"/>
          <w:bCs w:val="0"/>
          <w:color w:val="000000" w:themeColor="text1"/>
          <w:spacing w:val="34"/>
          <w:sz w:val="21"/>
          <w:szCs w:val="21"/>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环境风险评价工作等级划分</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环境风险潜势</w:t>
            </w:r>
          </w:p>
        </w:tc>
        <w:tc>
          <w:tcPr>
            <w:tcW w:w="170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Ⅳ</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、Ⅳ</w:t>
            </w:r>
          </w:p>
        </w:tc>
        <w:tc>
          <w:tcPr>
            <w:tcW w:w="170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170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w:t>
            </w:r>
          </w:p>
        </w:tc>
        <w:tc>
          <w:tcPr>
            <w:tcW w:w="1705"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评价工作等级</w:t>
            </w:r>
          </w:p>
        </w:tc>
        <w:tc>
          <w:tcPr>
            <w:tcW w:w="1704" w:type="dxa"/>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w:t>
            </w:r>
          </w:p>
        </w:tc>
        <w:tc>
          <w:tcPr>
            <w:tcW w:w="1704" w:type="dxa"/>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二</w:t>
            </w:r>
          </w:p>
        </w:tc>
        <w:tc>
          <w:tcPr>
            <w:tcW w:w="1705" w:type="dxa"/>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三</w:t>
            </w:r>
          </w:p>
        </w:tc>
        <w:tc>
          <w:tcPr>
            <w:tcW w:w="1705" w:type="dxa"/>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简单分析</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pageBreakBefore w:val="0"/>
              <w:kinsoku/>
              <w:overflowPunct w:val="0"/>
              <w:bidi w:val="0"/>
              <w:snapToGrid w:val="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a：是相对于详细评价工作内容而言，在描述危险物质、环境影响途径、环境危害后果、风险防范措施等方面给出定性的说明，见附录A</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根据表5.3-2风险评价工作级别划分依据，环境风险评价工作等级为“简单分析”。</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5.3.2环境敏感目标概况</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根据《建设项目环境风险评价技术导则》（HJ169-2018），本项目环境风险开展简单分析，不设风险评价范围。本项目不涉及危险物质发生泄漏进入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河流</w:t>
      </w:r>
      <w:r>
        <w:rPr>
          <w:rFonts w:hint="default" w:ascii="Times New Roman" w:hAnsi="Times New Roman" w:eastAsia="宋体" w:cs="Times New Roman"/>
          <w:color w:val="000000" w:themeColor="text1"/>
          <w:sz w:val="24"/>
          <w:szCs w:val="24"/>
          <w:highlight w:val="none"/>
          <w14:textFill>
            <w14:solidFill>
              <w14:schemeClr w14:val="tx1"/>
            </w14:solidFill>
          </w14:textFill>
        </w:rPr>
        <w:t>的可能，本项目附近不属于集中式饮用水水源保护区准保护区，无分散式饮用水水源地。</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5.3.3环境风险识别</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拟建项目主要危险物质及分布情况，可能影响环境的途径详见表5.3-3。</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表5.</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3-3</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环境风险识别一览表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139"/>
        <w:gridCol w:w="1146"/>
        <w:gridCol w:w="858"/>
        <w:gridCol w:w="740"/>
        <w:gridCol w:w="1265"/>
        <w:gridCol w:w="774"/>
        <w:gridCol w:w="800"/>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序号</w:t>
            </w:r>
          </w:p>
        </w:tc>
        <w:tc>
          <w:tcPr>
            <w:tcW w:w="66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装置名称</w:t>
            </w:r>
          </w:p>
        </w:tc>
        <w:tc>
          <w:tcPr>
            <w:tcW w:w="67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物料名称</w:t>
            </w:r>
          </w:p>
        </w:tc>
        <w:tc>
          <w:tcPr>
            <w:tcW w:w="50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储存量（t）</w:t>
            </w:r>
          </w:p>
        </w:tc>
        <w:tc>
          <w:tcPr>
            <w:tcW w:w="43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储存位置</w:t>
            </w:r>
          </w:p>
        </w:tc>
        <w:tc>
          <w:tcPr>
            <w:tcW w:w="74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包装及运输方式</w:t>
            </w:r>
          </w:p>
        </w:tc>
        <w:tc>
          <w:tcPr>
            <w:tcW w:w="45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作业特点</w:t>
            </w:r>
          </w:p>
        </w:tc>
        <w:tc>
          <w:tcPr>
            <w:tcW w:w="46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危险因素</w:t>
            </w:r>
          </w:p>
        </w:tc>
        <w:tc>
          <w:tcPr>
            <w:tcW w:w="75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66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废气处</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理单元</w:t>
            </w:r>
          </w:p>
        </w:tc>
        <w:tc>
          <w:tcPr>
            <w:tcW w:w="67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50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43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74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45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故障</w:t>
            </w:r>
          </w:p>
        </w:tc>
        <w:tc>
          <w:tcPr>
            <w:tcW w:w="46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泄露</w:t>
            </w:r>
          </w:p>
        </w:tc>
        <w:tc>
          <w:tcPr>
            <w:tcW w:w="75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66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线路故障</w:t>
            </w:r>
          </w:p>
        </w:tc>
        <w:tc>
          <w:tcPr>
            <w:tcW w:w="67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50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43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74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45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漏电、火花</w:t>
            </w:r>
          </w:p>
        </w:tc>
        <w:tc>
          <w:tcPr>
            <w:tcW w:w="46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火灾</w:t>
            </w:r>
          </w:p>
        </w:tc>
        <w:tc>
          <w:tcPr>
            <w:tcW w:w="75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火灾污染大气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66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化学品</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仓库</w:t>
            </w:r>
          </w:p>
        </w:tc>
        <w:tc>
          <w:tcPr>
            <w:tcW w:w="67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化学品仓库油漆、固化剂、稀释剂</w:t>
            </w:r>
          </w:p>
        </w:tc>
        <w:tc>
          <w:tcPr>
            <w:tcW w:w="50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12.5</w:t>
            </w:r>
          </w:p>
        </w:tc>
        <w:tc>
          <w:tcPr>
            <w:tcW w:w="43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化学品仓库</w:t>
            </w:r>
          </w:p>
        </w:tc>
        <w:tc>
          <w:tcPr>
            <w:tcW w:w="74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液态、桶装、汽运</w:t>
            </w:r>
          </w:p>
        </w:tc>
        <w:tc>
          <w:tcPr>
            <w:tcW w:w="45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泄漏</w:t>
            </w:r>
          </w:p>
        </w:tc>
        <w:tc>
          <w:tcPr>
            <w:tcW w:w="46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火灾、爆炸、泄漏</w:t>
            </w:r>
          </w:p>
        </w:tc>
        <w:tc>
          <w:tcPr>
            <w:tcW w:w="75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泄漏、火灾、污染土壤或大气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w:t>
            </w:r>
          </w:p>
        </w:tc>
        <w:tc>
          <w:tcPr>
            <w:tcW w:w="668"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危废暂存间</w:t>
            </w:r>
          </w:p>
        </w:tc>
        <w:tc>
          <w:tcPr>
            <w:tcW w:w="67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废漆桶、废空压油等</w:t>
            </w:r>
          </w:p>
        </w:tc>
        <w:tc>
          <w:tcPr>
            <w:tcW w:w="50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1.35</w:t>
            </w:r>
          </w:p>
        </w:tc>
        <w:tc>
          <w:tcPr>
            <w:tcW w:w="43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危废暂存间</w:t>
            </w:r>
          </w:p>
        </w:tc>
        <w:tc>
          <w:tcPr>
            <w:tcW w:w="742"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液态、桶</w:t>
            </w:r>
          </w:p>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装、汽运</w:t>
            </w:r>
          </w:p>
        </w:tc>
        <w:tc>
          <w:tcPr>
            <w:tcW w:w="454"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泄漏</w:t>
            </w:r>
          </w:p>
        </w:tc>
        <w:tc>
          <w:tcPr>
            <w:tcW w:w="469"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火灾、爆炸、泄漏</w:t>
            </w:r>
          </w:p>
        </w:tc>
        <w:tc>
          <w:tcPr>
            <w:tcW w:w="753" w:type="pc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泄漏、火灾、污染土壤或大气</w:t>
            </w:r>
          </w:p>
        </w:tc>
      </w:tr>
    </w:tbl>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5.3.4环境风险分析</w:t>
      </w:r>
    </w:p>
    <w:p>
      <w:pPr>
        <w:pageBreakBefore w:val="0"/>
        <w:kinsoku/>
        <w:overflowPunct w:val="0"/>
        <w:bidi w:val="0"/>
        <w:snapToGrid w:val="0"/>
        <w:spacing w:line="360" w:lineRule="auto"/>
        <w:outlineLvl w:val="3"/>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5.3.4.1最大可信事故</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全厂风险主要是泄漏、火灾、爆炸事故对环境的影响。项目顶端事故与基本事件关联见图5.3-1。从图5.3-1中可知，燃烧爆炸是由两个“中间事件”（设备泄漏、火源、高热）同时发生所造成的。防止设备物料泄漏是防止发生爆炸事故的关键。</w:t>
      </w:r>
    </w:p>
    <w:p>
      <w:pPr>
        <w:pageBreakBefore w:val="0"/>
        <w:kinsoku/>
        <w:overflowPunct w:val="0"/>
        <w:bidi w:val="0"/>
        <w:snapToGrid w:val="0"/>
        <w:spacing w:line="360" w:lineRule="auto"/>
        <w:ind w:firstLine="42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74310" cy="2910840"/>
            <wp:effectExtent l="0" t="0" r="2540" b="381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29"/>
                    <a:stretch>
                      <a:fillRect/>
                    </a:stretch>
                  </pic:blipFill>
                  <pic:spPr>
                    <a:xfrm>
                      <a:off x="0" y="0"/>
                      <a:ext cx="5274310" cy="2910840"/>
                    </a:xfrm>
                    <a:prstGeom prst="rect">
                      <a:avLst/>
                    </a:prstGeom>
                    <a:noFill/>
                    <a:ln>
                      <a:noFill/>
                    </a:ln>
                  </pic:spPr>
                </pic:pic>
              </a:graphicData>
            </a:graphic>
          </wp:inline>
        </w:drawing>
      </w:r>
    </w:p>
    <w:p>
      <w:pPr>
        <w:pageBreakBefore w:val="0"/>
        <w:kinsoku/>
        <w:overflowPunct w:val="0"/>
        <w:bidi w:val="0"/>
        <w:snapToGrid w:val="0"/>
        <w:spacing w:line="360" w:lineRule="auto"/>
        <w:ind w:firstLine="422" w:firstLineChars="20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图5.3-1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顶端事故与基本事件管理图</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最大可信事故概率可以通过事故树分析，确定顶上事件后用概率计算法求得，亦可以通过同类装置事故统计调查确定概率值，本评价采用后者来确定概率。基于本项目主要潜在事故为危废的储存区，采用事故树分析方法并结合类比资料确定本项目最大可信事故概率为1×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表5.3-4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最大可信事故及其发生概率</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8"/>
        <w:gridCol w:w="2495"/>
        <w:gridCol w:w="2129"/>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vMerge w:val="restart"/>
            <w:vAlign w:val="center"/>
          </w:tcPr>
          <w:p>
            <w:pPr>
              <w:keepNext w:val="0"/>
              <w:keepLines w:val="0"/>
              <w:pageBreakBefore w:val="0"/>
              <w:widowControl w:val="0"/>
              <w:tabs>
                <w:tab w:val="center" w:pos="955"/>
              </w:tabs>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位置</w:t>
            </w:r>
          </w:p>
        </w:tc>
        <w:tc>
          <w:tcPr>
            <w:tcW w:w="1464" w:type="pct"/>
            <w:vMerge w:val="restar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危险物质</w:t>
            </w:r>
          </w:p>
        </w:tc>
        <w:tc>
          <w:tcPr>
            <w:tcW w:w="2503" w:type="pct"/>
            <w:gridSpan w:val="2"/>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最大可信事故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vMerge w:val="continue"/>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464" w:type="pct"/>
            <w:vMerge w:val="continue"/>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49"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事故类别</w:t>
            </w:r>
          </w:p>
        </w:tc>
        <w:tc>
          <w:tcPr>
            <w:tcW w:w="1253"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发生概率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化学品仓库</w:t>
            </w:r>
          </w:p>
        </w:tc>
        <w:tc>
          <w:tcPr>
            <w:tcW w:w="1464"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油漆、固化剂、稀释剂</w:t>
            </w:r>
          </w:p>
        </w:tc>
        <w:tc>
          <w:tcPr>
            <w:tcW w:w="1249"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泄漏</w:t>
            </w:r>
          </w:p>
        </w:tc>
        <w:tc>
          <w:tcPr>
            <w:tcW w:w="1253"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废气处理单元</w:t>
            </w:r>
          </w:p>
        </w:tc>
        <w:tc>
          <w:tcPr>
            <w:tcW w:w="1464"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生产废气</w:t>
            </w:r>
          </w:p>
        </w:tc>
        <w:tc>
          <w:tcPr>
            <w:tcW w:w="1249"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故障</w:t>
            </w:r>
          </w:p>
        </w:tc>
        <w:tc>
          <w:tcPr>
            <w:tcW w:w="1253"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危废暂存间</w:t>
            </w:r>
          </w:p>
        </w:tc>
        <w:tc>
          <w:tcPr>
            <w:tcW w:w="1464"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废漆桶、废空压油等</w:t>
            </w:r>
          </w:p>
        </w:tc>
        <w:tc>
          <w:tcPr>
            <w:tcW w:w="1249"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泄漏</w:t>
            </w:r>
          </w:p>
        </w:tc>
        <w:tc>
          <w:tcPr>
            <w:tcW w:w="1253" w:type="pct"/>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-8</w:t>
            </w:r>
          </w:p>
        </w:tc>
      </w:tr>
    </w:tbl>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不考虑自然灾害如大地震、洪水、台风、雷击等引起的事故风险情况下，鉴于项目的工程特点，确定潜在风险类型为由于空压机机油、危废废物、稀释剂、废空压机油泄漏发生泄漏事故以及由此引发的火灾或者爆炸、废气处理单元出现故障导致失效引起生产废气事故排放。涉及风险事故的范围为危废暂存间、化学品仓库、柴油发电间、废气处理装置区域。</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5.3.4.2最大可信事故源项分析</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最大可信事故源项是对所识别选出的危险物质，在最大可信事故情况下的释放率和释放时间的设定。在本项目中，主要是化学品仓库泄漏引发火灾形成危险源、废气处理装置出现故障导致废气未经处理直接排放以及危险废物泄漏对地表水和地下水形成危险源。</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（1）废气处理装置出现故障</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生产废气处理装置出现故障导致废气事故排放，会对区域大气环境造成影响。</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（3）危废废物泄漏</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项目危废暂存间的危废废物一旦发生泄漏，对周边水体和地下水造成影响。</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5.3.5</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环境风险防范措施及应急要求</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5.3.5.1风险管理</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（1）物料泄露的预防措施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①在化学品仓库、空压机油储存区设置托盘，一旦发生泄漏迅速将物料控制在空压机油存区内，确保不排出原料仓库。稀释剂、固化剂、空压机机油泄漏时，迅速撤离泄漏污染区人员至安全区，并进行隔离，</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严格限制出入。切断火源。建议应急处理人员戴自给正压式呼吸器，穿消防防护服。尽可能切断泄漏源。防止进入下水道、排洪沟等限制性空间。小量泄漏：用砂土、蛭石或其它惰性材料吸收。</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②在危废暂存间、化学品仓库等所在区域严格做好防渗措施。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③储存注意事项：对各种原材料应分别储存于符合相应要求的库房中。加强防火，达到消防、安全等有关部门的要求。</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④跑冒滴漏处理措施：发生跑冒滴漏时，必须配戴防护用具进行处理，尽量回收物料。当发生严重泄露和灾害时，可直接与消防队联系，并要求予以指导和协助，以免事故影响扩大。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（2）火灾风险的管理</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完全燃烧的产物是CO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和H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O，不完全燃烧的产物有氮氧化物和一氧化碳等气体，氮氧化物和CO有毒性，当达到一定的浓度时，会影响人的造血功能及神经系统功能。所以，应加强防护措施和应急处理设施。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设备的安全管理：定期对设备进行安全检测，检测内容、时间、人员应有记录保存。安全检测应根据设备的安全性、危险性设定检测频次。</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应加强火源的管理，厂区禁止烟火，并张贴禁止烟火的标示，对设备需进行维修焊接，应经安全部门确认、准许，并有记录。</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要有完善的安全消防措施。平面布置应按国家消防安全规定，设置足够的安全距离和道路，以便安全疏散和消防。完善报警连锁系统以及水消防系统和ABC类干粉灭火器等。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加强职工安全素质教育和岗位操作能力培训。</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 应急处理：迅速撤离火灾污染区人员至上风处，并立即进行隔离，小泄漏时隔离50米，大泄漏时隔离150米，严格限制出入。应急处理人员戴自给正压式呼吸器，穿防毒服。尽可能切断泄漏源。合理通风，加速扩散。</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 防护措施：生产车间空气中浓度超标时，建议佩戴空气呼吸器或氧气呼吸器。紧急事态抢救或撤离时，必须佩戴氧气呼吸器。工作现场禁止吸烟、进食和饮水。保持良好的卫生习惯。进入高浓度区作业，须有人监护。</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⑦ 急救措施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急救方法：当人体吸入有毒气体引起中毒，须迅速脱离现场至空气新鲜处；情节严重的要立即就医。</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灭火方法：消防人员必须佩戴过滤式防毒面具（全面罩）或隔离式呼吸器、穿全身防火防毒服，用灭火器紧急处理，及时报告，根据情况向厂内应急中心求救或拨打119。</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（3）废气处理装置事故防范措施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废气处理装置事故措施如下：</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建立严格的操作规程，实行目标责任制，保证环境保护设施的正常运行。</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一旦废气处理装置出现故障，应立即停止生产对废气处理装置进行检修，待废气处理装置能正常运行后方能重新进行生产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应严格按工艺规程进行操作，特别在易发生事故工序，应坚决杜绝为了提高产量等而不严格按要求配料、操作等情况，同时，操作人员应穿戴好劳动防护用品。</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加强对职工的安全教育，制定严格的工作守则和个人卫生措施，所有操作人员必须了解接触化学品的有害作用及对患者的急救措施，以保证生产的正常运行和员工的身体健康。</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 事故发生时的行动计划：应当制定一个当事故发生时必须采取哪些行动的计划。这种行动计划应该得到地方紧急事故服务部门（例如消防、救护、交通以及公安等有关负责部门）的同意，并向他们提供有关有毒有害物质危害的资料，还需定期进行演习以检查行动计划的效果。</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行动计划的内容应包括</w:t>
      </w:r>
    </w:p>
    <w:p>
      <w:pPr>
        <w:pageBreakBefore w:val="0"/>
        <w:numPr>
          <w:ilvl w:val="0"/>
          <w:numId w:val="5"/>
        </w:numPr>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事故一发生就要立即对事故的级别，对厂内外职工和居民，对周围其它设备及邻近工厂的影</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响</w:t>
      </w:r>
      <w:r>
        <w:rPr>
          <w:rFonts w:hint="default" w:ascii="Times New Roman" w:hAnsi="Times New Roman" w:eastAsia="宋体" w:cs="Times New Roman"/>
          <w:color w:val="000000" w:themeColor="text1"/>
          <w:sz w:val="24"/>
          <w:szCs w:val="24"/>
          <w:highlight w:val="none"/>
          <w14:textFill>
            <w14:solidFill>
              <w14:schemeClr w14:val="tx1"/>
            </w14:solidFill>
          </w14:textFill>
        </w:rPr>
        <w:t>范围、影响的性质和程度等迅速作出估计和判断。</w:t>
      </w:r>
    </w:p>
    <w:p>
      <w:pPr>
        <w:pageBreakBefore w:val="0"/>
        <w:numPr>
          <w:ilvl w:val="0"/>
          <w:numId w:val="0"/>
        </w:numPr>
        <w:kinsoku/>
        <w:overflowPunct w:val="0"/>
        <w:bidi w:val="0"/>
        <w:snapToGrid w:val="0"/>
        <w:spacing w:line="360" w:lineRule="auto"/>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② 对控制事故和减缓影响所必须采取的行动，如发生火灾时，全厂紧急停工，及时报警，由消防队根据火灾的具体情况实施灭火方案，断绝火源，避免火灾扩大等。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对污染物向下风向的扩散不断进行监测。</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保护厂内外职工和可能受影响的居民所采取的措施（例如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疏散</w:t>
      </w:r>
      <w:r>
        <w:rPr>
          <w:rFonts w:hint="default" w:ascii="Times New Roman" w:hAnsi="Times New Roman" w:eastAsia="宋体" w:cs="Times New Roman"/>
          <w:color w:val="000000" w:themeColor="text1"/>
          <w:sz w:val="24"/>
          <w:szCs w:val="24"/>
          <w:highlight w:val="none"/>
          <w14:textFill>
            <w14:solidFill>
              <w14:schemeClr w14:val="tx1"/>
            </w14:solidFill>
          </w14:textFill>
        </w:rPr>
        <w:t>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 保护周围的设备和邻近的工厂所采取的措施。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 向地方紧急事故服务部门提供处理处置污染物的应急工具、仪器和设备。</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（4）危害物质渗漏的预防措施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厂内化学原料均为专用容器盛装，储存库地面为水泥、沥青、树脂砂浆地坪，在水泥地板上做防腐工艺，即采用涂刷环氧树脂5-6mm厚之方式，以防止化学品泄露，给土壤和地下水造成污染。</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危险废物厂内贮存执行《危险废物贮存污染控制标准》要求设置危险废物贮存场。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危险废物贮存等固废暂存场所地面与裙脚用坚固、防渗的材料建造，用以存放装载液体、半固体危险废物容器的地方，有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耐腐蚀</w:t>
      </w:r>
      <w:r>
        <w:rPr>
          <w:rFonts w:hint="default" w:ascii="Times New Roman" w:hAnsi="Times New Roman" w:eastAsia="宋体" w:cs="Times New Roman"/>
          <w:color w:val="000000" w:themeColor="text1"/>
          <w:sz w:val="24"/>
          <w:szCs w:val="24"/>
          <w:highlight w:val="none"/>
          <w14:textFill>
            <w14:solidFill>
              <w14:schemeClr w14:val="tx1"/>
            </w14:solidFill>
          </w14:textFill>
        </w:rPr>
        <w:t>的硬化地面，且表面无裂隙。基础必须防渗，防渗层为至少1米厚粘土层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港透系数＜10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，或2毫米厚高密度聚乙烯，或至少2毫米厚的其它人工材料，渗透系数＜10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cm/s。有泄漏液体收集装置，防止对土壤和地下水造成污染。</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设施内有安全照明设施和观察窗口。</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 从设计、管理中防止和减少污染物料的跑、冒、滴、漏而采取的各种措施，主要措施包括工艺、管道、设备、土建、给排水、总图布置等防止污染物泄漏的措施；运行期严格管理，加强巡检，及时发现污染物泄漏；定期检查检修设备，将污染物泄漏的环境风险事故降到最低。</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（5）危险废物风险防范措施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建设单位应结合本评价提出的措施建议，制定一套完善的固体废物风险防范措施。根据本项目实际情况，本评价提出如下风险防范措施：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加强管理工作，设专人负责危险废物的安全贮存、厂区内输运以及使用，按照其物化性质、危险特性等特征采取相应的安全贮存方式。</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针对危险废物的贮存、输运制定安全条例。</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制定严格的操作规程，操作人员进行必要的安全培训后方可进行使用。</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结合消防等专业制定事故应急预案，一旦发生事故后能够及时采取有效措施进行科学处置，将事故破坏降至最低限度，同时考虑各种处置方案的科学合理性以及有效性。</w:t>
      </w:r>
    </w:p>
    <w:p>
      <w:pPr>
        <w:pageBreakBefore w:val="0"/>
        <w:kinsoku/>
        <w:overflowPunct w:val="0"/>
        <w:bidi w:val="0"/>
        <w:snapToGrid w:val="0"/>
        <w:spacing w:line="360" w:lineRule="auto"/>
        <w:ind w:firstLine="482" w:firstLineChars="200"/>
        <w:jc w:val="both"/>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5.3.5.2事故防范措施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（1）废气事故防范措施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为避免项目外排废气出现事故排放时对周围环境空气质量造成严重影响，应对废气治理设施定期检修、保养，确保污染治理设施正常运转，生产废气达标排放；</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废气处理设施中，应设相应的备用设备，主要是风机等；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废气处理设施一旦发生故障，应立即停产，并应及时检修，尽快使其恢复运行。</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（2）其他事故防范措施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1）火灾和爆炸的预防</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设备的安全管理</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定期对设备进行安全检测，检测内容、时间、人员应有记录保存。安全检测应根据设备的安全性、危险性设定检测频次。</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控制物料输送流速，禁止高速输送，减少管道与物料之间摩擦，减少静电的产生。</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在管道以及其他设备上，设置永久性接地装置；在装物料作业时防止静电产生，防止操作人员带电作业；在危险操作时，操作人员应使用抗静电工作帽和具有导电性的作业鞋；要有防雷装置，特别防止雷击。</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火源的管理</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严禁火源进入生产区，对明火严格控制，明火发生源为火柴、打火机等，维修用火控制，对设备维修检查，需进行维修焊接，应经安全部门确认、准许，并有记录在案。汽车、拖拉机等机动车在装置区内行驶，须安装阻火器，必要设备安装防火、防爆装置。</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 在装置区内的所有运营设备，电气装置都应满足防爆防火的要求。</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 消防废水污染外界水体环境的预防</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消防废水是一个不容忽视的二次污染问题，由于消防水在灭火时产生，产生时间短，产生量巨大，不易控制和导向，一般进入火灾厂区雨水管网后直接进入雨水管网后进入外界水体环境，从而使带有化学品的消防废水对外界水体环境造成的严重的污染事故，根据这些事故特征，本评价提出如下预防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在厂区雨水管网集中汇入市政雨水管网的节点上安装可靠的隔断措施，可在灭火时将此隔断措施关闭，防止消防废水直接进入市政雨水管网；</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在厂区边界预先准备适量的沙包，在厂区灭火时堵住厂界围墙有泄漏的地方，防止消防废水向场外泄漏。</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3）废气处理设备发生火灾事故预防</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废气处理设备大都放置在防火防爆区域，必须考虑设备的运行安全，一是废气源本身的风险控制，二是环境风险控制。主要安全措施如下：</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 使用防爆型电气设备。如风机电机、水泵电机等动力设备采用防爆电机等。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O顶部设置爆破片，对系统实施保护。</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将废气治理设施的运行纳入正常的应急管理体系。当排放废气的生产装置发生能够引起废气源变化的波动或调整时，及时通知废气治理设施运行管理单位采取相应的应急措施。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将废气治理设施的设备（包括电仪）纳入正常的管理体系，包括备品备件管理、联锁管理、维修管理、可燃性气体检测仪校验管理等。</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 加强对废气治理设施岗位操作人员的安全培训，确保能熟练掌握相关设备的安全使用方法。</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4）车间防火防渗措施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主要防火防爆措施如下：</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①车间内严禁吸烟，挂有醒目的禁烟标志。</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 车间周围未经许可，严禁动用明火，严禁堆放，保持道路畅通。</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 不同性质的原料应分类堆放，不得混放。严禁储存其他易燃易爆物品。</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车间内照明灯具必须符合防爆，防火安全要求，严禁乱拉乱接电线。</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⑤工作人员离开时应进行防火安全检查，切断电源，关窗锁门，确认无安全隐患后，方可离开。</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 按规定配置相应种类和数量的灭火器材，挂放在醒目地方，定期检查保养，保持完好有效。</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⑦ 在运输、贮存、使用过程中发生渗漏遗撒时，当事人应及时用棉纱擦净，并将用过的棉纱收集送到危废存放处。</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⑧ 化学品等的使用，应根据产品的特性和保质期，按照工艺和配方要求实施配制。操作时做好通风、防火；并配戴相应的劳保用品。</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5）化学品管理制度</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①化学品和储存场所严禁烟火，并配备灭火设施。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化学品和入库前，由仓管员检查其是否有损坏、泄漏以及是否在有效期内，若不符合，应要求供货方退货，符合要求的安排入库，将其按性质分类别分开存放，堆垛之间的主要通道应当有安全距离，不得超量，危险标识置于显眼处。化学性质或防护、防火方法相抵触的危险化学品，不得在同一仓库或同一储存室存放，其中：a.氧化剂不得与易燃易爆物品同存一库；b.能自燃或遇火燃烧的物品不得与易燃易爆物品同存一库。</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③化学品应存放在专用仓库、专用场地或专用储存箱（槽）内，并设专人管理， 保持阴凉、干燥、通风。</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④化学品和仓库应有良好的通风、防雷击、防爆、防毒害监测等安全措施。</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⑤对易倒的化学品和不允许高层存放。</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⑥临时使用的少量化学物品，各部门可存放数量不得超过 24 小时的用量，存放时间不得超过 24 小时。</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⑦所有进出品仓库的人员必须具备相应的化学品和储存管理的常识或有相关人员的陪同，必须严格遵守《危险化学品管理制度》。</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⑧每月月末由仓管人员对化学品和的库存情况进行确认，并对下月的库存情况进行评估，及时报告生产部主要领导。</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⑨对于分装后的化学品，必须在封装瓶上标记该化学品的属性。</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⑩化学品使用：</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使用化学品的部门和个人，必须遵守各项安全生产制度和操作规程，严格执行化 学品管理要求。作业人员应尽量做到不洒落，避免泄漏；并按规定要求配备必要的安全防护用具，如口罩、防护眼镜、防护手套等。盛装化学物品的容器，在使用前后，必须进行检查，消除隐患，防止火灾、爆炸、中毒等事故发生。使用后的废料不得随意倾倒，应妥善存放在专门容器中，由指定协作单位回收；盛装化学物品的容器使用完毕，应将其空容器密封并存放指定地点，作为危废交由资质单位回收，不得随意露天摆放，或倾倒残余物。</w:t>
      </w:r>
    </w:p>
    <w:p>
      <w:pPr>
        <w:pageBreakBefore w:val="0"/>
        <w:kinsoku/>
        <w:overflowPunct w:val="0"/>
        <w:bidi w:val="0"/>
        <w:snapToGrid w:val="0"/>
        <w:spacing w:line="360" w:lineRule="auto"/>
        <w:jc w:val="both"/>
        <w:outlineLvl w:val="3"/>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5.3.5.2应急预案</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论预防工作如何周密，风险事故总是难以根本杜绝，企业必须制定风险事故应急预案。制定风险事故应急预案的目的是为了在发生风险事故时，能以最快的速度发挥最大的效能，有序地实施救援，尽快控制事态的发展，降低事故造成的危害，减少事故造成的损失。</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表5.3-5 环境风险突发事故应急预案</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575"/>
        <w:gridCol w:w="6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序号</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危险源情况</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应急计划区</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危险目标：危废暂存间、邻近地区、环境保护目标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应急组织</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企业：成立公司应急指挥小组，由公司最高领导层担任小组长，负责现场全面指挥，专业救援队伍负责事故控制、救援和善后处理。临近地区：地区指挥部—负责企业附近地区全面指挥，救援，管制和疏散。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应急状态分类</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应急响应程序规定环境风险事故的级别及相应的应急状态分类，以此制定相应的应急响应程序。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应急设施设备</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与材料生产车间和危废暂存间：防火灾、爆炸事故的应急设施、设备与材料，主要为消防器材、消防服等；防有毒有害物质外溢、扩散；中毒人员急救所用的一些药品、器材；配备必要的防毒面具。临界地区：烧伤、中毒人员急救所用的一些药品、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报警、应急通讯通告与交通</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规定应急状态下的报警通讯方式、通告方式和交通保障、管理等事项。可充分利用现代化的通信设施，如手机、固定电话、广播、电视等。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应急环境监测及事故后评价</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应急防护措施消除泄漏措施急需使用器材</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事故现场：控制事故发展，防止扩大、蔓延及连锁反应；清除现场泄露物，降低危害；相应的设施器材配备；临近地区：控制防火区域，控制和消除环境污染的措施及相应的设备配备。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应急剂量控制撤离组织计划医疗救护与保护公众健康</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事故现场：事故处理人员制定毒物的应急剂量、现场及临近装置人员的撤离组织计划和紧急救护方案；</w:t>
            </w:r>
          </w:p>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临近地区：制定受事故影响的临近地区内人员对毒物的应急剂量、公众的疏散组织计划和紧急救护方案。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应急状态中止恢复措施</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事故现场：规定应急状态终止秩序；事故现场善后处理，恢复生产措施；</w:t>
            </w:r>
          </w:p>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临近地区：解除事故警戒，公众返回和善后回复措施。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人员培训与演习</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应急计划制定后，平时安排事故出路人员进行相关知识培训并进行事故应急处理演习；对工厂工人进行安全卫生教育。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公众教育信息发布</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对工厂临近地区公众开展环境风险事故预防教育、应急知识培训并定期发布相关信息。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应急预案更新</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结合环境应急预案实施情况，至少每三年对环境应急预案进行一次回顾性评估。有变动情况的，须及时修订。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记录和报告</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p>
        </w:tc>
        <w:tc>
          <w:tcPr>
            <w:tcW w:w="1575"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附件</w:t>
            </w:r>
          </w:p>
        </w:tc>
        <w:tc>
          <w:tcPr>
            <w:tcW w:w="6252" w:type="dxa"/>
            <w:vAlign w:val="center"/>
          </w:tcPr>
          <w:p>
            <w:pPr>
              <w:keepNext w:val="0"/>
              <w:keepLines w:val="0"/>
              <w:pageBreakBefore w:val="0"/>
              <w:widowControl w:val="0"/>
              <w:kinsoku/>
              <w:wordWrap/>
              <w:overflowPunct w:val="0"/>
              <w:topLinePunct w:val="0"/>
              <w:autoSpaceDE w:val="0"/>
              <w:autoSpaceDN w:val="0"/>
              <w:bidi w:val="0"/>
              <w:adjustRightInd/>
              <w:snapToGrid/>
              <w:spacing w:line="240" w:lineRule="auto"/>
              <w:jc w:val="both"/>
              <w:textAlignment w:val="baseline"/>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准备并形成环境风险事故应急处理有关的附件材料。</w:t>
            </w:r>
          </w:p>
        </w:tc>
      </w:tr>
    </w:tbl>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5.3.6环境风险分析结论</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正常生产情况下，建设单位按照本环评要求加强管理和设备的维护，并设立完善的预防措施和预警系统，并配备必要的救护设备设施，制定严格的安全操作规程和维修维护措施，本项目的环境风险在可接受范围内。一旦发生事故，因为防护措施得力并反应迅速，可把事故造成的影响降到最低。所以本项目在环境风险方面来说是可行的。</w:t>
      </w:r>
    </w:p>
    <w:p>
      <w:pPr>
        <w:pageBreakBefore w:val="0"/>
        <w:kinsoku/>
        <w:overflowPunct w:val="0"/>
        <w:bidi w:val="0"/>
        <w:snapToGrid w:val="0"/>
        <w:spacing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综上环境风险分析内容，按照《建设项目环境风险评价技术导则》（HJ169-2018），填写下表5.3-6。</w:t>
      </w:r>
    </w:p>
    <w:p>
      <w:pPr>
        <w:pageBreakBefore w:val="0"/>
        <w:kinsoku/>
        <w:overflowPunct w:val="0"/>
        <w:bidi w:val="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表5.3-6</w:t>
      </w:r>
      <w:r>
        <w:rPr>
          <w:rFonts w:hint="default" w:ascii="Times New Roman" w:hAnsi="Times New Roman" w:eastAsia="宋体" w:cs="Times New Roman"/>
          <w:color w:val="000000" w:themeColor="text1"/>
          <w:highlight w:val="none"/>
          <w14:textFill>
            <w14:solidFill>
              <w14:schemeClr w14:val="tx1"/>
            </w14:solidFill>
          </w14:textFill>
        </w:rPr>
        <w:t xml:space="preserve">     建设项目环境风险简单分析内容表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709"/>
        <w:gridCol w:w="1546"/>
        <w:gridCol w:w="2277"/>
        <w:gridCol w:w="801"/>
        <w:gridCol w:w="218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建设项目名称</w:t>
            </w:r>
          </w:p>
        </w:tc>
        <w:tc>
          <w:tcPr>
            <w:tcW w:w="3996"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东方电气（新疆）新能源高端装备制造基地项目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建设地点</w:t>
            </w:r>
          </w:p>
        </w:tc>
        <w:tc>
          <w:tcPr>
            <w:tcW w:w="3996"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新疆昌吉州木垒哈萨克自治县民生工业园区新型产业及轻工业区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地理坐标</w:t>
            </w:r>
          </w:p>
        </w:tc>
        <w:tc>
          <w:tcPr>
            <w:tcW w:w="907"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经度</w:t>
            </w:r>
          </w:p>
        </w:tc>
        <w:tc>
          <w:tcPr>
            <w:tcW w:w="1336"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90°21′23.23853″</w:t>
            </w:r>
          </w:p>
        </w:tc>
        <w:tc>
          <w:tcPr>
            <w:tcW w:w="470"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纬度</w:t>
            </w:r>
          </w:p>
        </w:tc>
        <w:tc>
          <w:tcPr>
            <w:tcW w:w="128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43°56′59.40425″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主要危险物质及分布</w:t>
            </w:r>
          </w:p>
        </w:tc>
        <w:tc>
          <w:tcPr>
            <w:tcW w:w="3996"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危险废物（危废暂存间）、化学品仓库</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环境影响途径及危害后果（大气、地表水、地下水等）</w:t>
            </w:r>
          </w:p>
        </w:tc>
        <w:tc>
          <w:tcPr>
            <w:tcW w:w="3996"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空压机油、危险废物、化学品泄漏或发生火灾，可能污染大气或地表水，下渗可能污染地下水；废气处理装置出现故障导致废气事故排放，会对区域大气环境造成影响。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风险防范措施</w:t>
            </w:r>
          </w:p>
        </w:tc>
        <w:tc>
          <w:tcPr>
            <w:tcW w:w="3996"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①在危废暂存间、化学品仓库设置托盘或围堰，一旦发生泄漏确保无外排放；②运营后厂区配备相应环境风险应急物资；③制定环境风险突发事故应急预案。④厂区地势低洼处设立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00m</w:t>
            </w:r>
            <w:r>
              <w:rPr>
                <w:rFonts w:hint="default"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应急事故池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填表说明（列出项目相关信息及评价说明）</w:t>
            </w:r>
          </w:p>
        </w:tc>
        <w:tc>
          <w:tcPr>
            <w:tcW w:w="3996"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本项目危险物质数量与临界量比值Q＜1，本项目环境风险潜势为Ⅰ，环境风险评价等级为简单分析。</w:t>
            </w:r>
          </w:p>
        </w:tc>
      </w:tr>
    </w:tbl>
    <w:p>
      <w:pPr>
        <w:pageBreakBefore w:val="0"/>
        <w:kinsoku/>
        <w:overflowPunct w:val="0"/>
        <w:bidi w:val="0"/>
        <w:snapToGrid w:val="0"/>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156" w:name="_Toc15528"/>
      <w:bookmarkStart w:id="157" w:name="_Toc29332"/>
      <w:bookmarkStart w:id="158" w:name="_Toc20781"/>
      <w:bookmarkStart w:id="159" w:name="_Toc5128"/>
      <w:r>
        <w:rPr>
          <w:rFonts w:hint="default" w:ascii="Times New Roman" w:hAnsi="Times New Roman" w:eastAsia="宋体" w:cs="Times New Roman"/>
          <w:color w:val="000000" w:themeColor="text1"/>
          <w:sz w:val="30"/>
          <w:szCs w:val="30"/>
          <w:highlight w:val="none"/>
          <w14:textFill>
            <w14:solidFill>
              <w14:schemeClr w14:val="tx1"/>
            </w14:solidFill>
          </w14:textFill>
        </w:rPr>
        <w:t>6  环境保护措施及其可行性论证</w:t>
      </w:r>
      <w:bookmarkEnd w:id="156"/>
      <w:bookmarkEnd w:id="157"/>
      <w:bookmarkEnd w:id="158"/>
      <w:bookmarkEnd w:id="159"/>
    </w:p>
    <w:p>
      <w:pPr>
        <w:pStyle w:val="5"/>
        <w:pageBreakBefore w:val="0"/>
        <w:widowControl/>
        <w:kinsoku/>
        <w:wordWrap/>
        <w:overflowPunct w:val="0"/>
        <w:topLinePunct w:val="0"/>
        <w:autoSpaceDE w:val="0"/>
        <w:autoSpaceDN w:val="0"/>
        <w:bidi w:val="0"/>
        <w:adjustRightInd/>
        <w:snapToGrid/>
        <w:spacing w:before="0" w:after="0" w:line="360" w:lineRule="auto"/>
        <w:jc w:val="both"/>
        <w:textAlignment w:val="baseline"/>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60" w:name="_Toc27486"/>
      <w:bookmarkStart w:id="161" w:name="_Toc6411"/>
      <w:bookmarkStart w:id="162" w:name="_Toc5839"/>
      <w:bookmarkStart w:id="163" w:name="_Toc1484"/>
      <w:bookmarkStart w:id="164" w:name="_Toc23366"/>
      <w:r>
        <w:rPr>
          <w:rFonts w:hint="default" w:ascii="Times New Roman" w:hAnsi="Times New Roman" w:eastAsia="宋体" w:cs="Times New Roman"/>
          <w:color w:val="000000" w:themeColor="text1"/>
          <w:sz w:val="24"/>
          <w:szCs w:val="24"/>
          <w:highlight w:val="none"/>
          <w14:textFill>
            <w14:solidFill>
              <w14:schemeClr w14:val="tx1"/>
            </w14:solidFill>
          </w14:textFill>
        </w:rPr>
        <w:t>6.1施工期环境保护措施</w:t>
      </w:r>
      <w:bookmarkEnd w:id="160"/>
      <w:bookmarkEnd w:id="161"/>
      <w:bookmarkEnd w:id="162"/>
      <w:bookmarkEnd w:id="163"/>
      <w:bookmarkEnd w:id="164"/>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6.1.1施工期大气污染防治措施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（1）为防止施工期间产生的扬尘，需对施工现场进行维护，项目施工前建设单位需要根据实际情况制定项目施工扬尘污染控制方案，将防治扬尘污染的费用列入工程概算。</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根据气象、季节合理安排施工，风力大于4级时，停止有扬尘产生的各种施工。在居民区集中区域（主要为项目起点及中点处）施工时，严禁在大风天气下施工。储料场在雨天和大风日将堆放的易产生扬尘的材料用篷布遮盖。当空气质量中重度污染（空气质量指数151-300）和气象预报风速达4级以上时，停止土方施工，并做好覆盖工作，并每隔2小时对施工现场洒水1次；当空气质量为轻度污染（空气质量指数101-150）时，应每隔4小时对施工场地洒水1次。</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避免起尘原材料的露天堆放，所有来往施工场地的多尘物料均应加盖彩条膜、帆布等覆盖，控制扬尘污染。建设垃圾、工程渣土在48小时内不能完成清运的，必须设置临时堆放场，并采取围挡、覆盖等防尘措施施工单位要按计划及时对弃土进行处理，并在装运过程中对运输车辆采取帆布覆盖车辆（保持车辆封闭运输）和在非土质路面的运输线路上洒水的方法，同时尽量避免在起风的情况下开挖土方和装卸物料。</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（4）装运车辆不要超载，保证粉料、弃土运输车辆不沿途洒落。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（5）车辆驶出前应对车轮进行清洗，同时施工道路应实行保洁制度，定期清扫路面。</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（6）挖掘的土方堆放在道路一侧时应及时回填，及时恢复路面的软硬覆盖，不能及时回填的土方，要严格管理，不得随意堆放。</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（7）选用符合国家卫生防护标准的施工机械设备和运输工具，确保其废气排放符合国家有关标准。加强对机械设备的养护，减少不必要的空转时间，以控制尾气排放。</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本项目须在场地边界设置连续、封闭硬质围挡，围挡高度不低于2.5米，并配备扬尘污染控制负责人和专职保洁员工地周围设置符合标准的围挡，围挡与地面、围挡与围挡之间密封，较好的围挡可使周围地面尘土量比不围挡减少80%。</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6.1.2施工期水污染防治措施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施工废水通过隔油沉淀池进行处理，主要污染物SS去除率达到80%以上，油类等其它污染物浓度减小，经隔油沉淀处理后可用于施工场地洒水抑尘、车辆冲洗、混凝土养护、周边绿化，不外排。雨期不能回用的施工废水排入市政污水管网。</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为防止弃土等散体物料遇雨时随雨水流失，形成携带大量泥沙的地面径流进而影响地表水环境，物料堆场应配有草包蓬布等遮盖物，雨期加强散体物料遮盖措施，并在施工场地挖设明沟，在雨水排水口设置带格栅的沉淀池，对场地雨水进行简易沉淀处理。经沉淀后的雨水可用于场地洒水抑尘、车辆冲洗等。</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尽量选用先进的机械、设备，以有效地减少跑、冒、滴、漏的数量及机械维修的次数，从而减少含油污水的产生量。在不可避免跑、冒、滴、漏的施工过程中尽量采用固态吸油材料（如棉纱、木屑等）将废油收集转化到固态物质中，避免产生过多的含油污水。机械、设备及运输车辆的维修保养尽量集中于各路段的维修点进行，以方便含油污水的收集。对收集的浸油废料采取打包密封后连同施工其它危险固体废物一起外运的处理措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上述污染防治措施可避免施工期废水的无序排放，最大限度减小对外环境的影响。</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6.1.3施工期噪声污染防治措施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（1）优先选择低噪声的施工设备。</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（2）合理安排施工计划和作业面积。</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（3）施工时为避免施工噪声扰民，同时又不至于影响交通，要合理安排施工时间，合理布局施工现场，减少施工噪声对附近居民的影响。</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（4）运输车辆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途经</w:t>
      </w:r>
      <w:r>
        <w:rPr>
          <w:rFonts w:hint="default" w:ascii="Times New Roman" w:hAnsi="Times New Roman" w:eastAsia="宋体" w:cs="Times New Roman"/>
          <w:color w:val="000000" w:themeColor="text1"/>
          <w:sz w:val="24"/>
          <w:szCs w:val="24"/>
          <w:highlight w:val="none"/>
          <w14:textFill>
            <w14:solidFill>
              <w14:schemeClr w14:val="tx1"/>
            </w14:solidFill>
          </w14:textFill>
        </w:rPr>
        <w:t>学校、居民区、单位等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减速慢行</w:t>
      </w:r>
      <w:r>
        <w:rPr>
          <w:rFonts w:hint="default" w:ascii="Times New Roman" w:hAnsi="Times New Roman" w:eastAsia="宋体" w:cs="Times New Roman"/>
          <w:color w:val="000000" w:themeColor="text1"/>
          <w:sz w:val="24"/>
          <w:szCs w:val="24"/>
          <w:highlight w:val="none"/>
          <w14:textFill>
            <w14:solidFill>
              <w14:schemeClr w14:val="tx1"/>
            </w14:solidFill>
          </w14:textFill>
        </w:rPr>
        <w:t>、禁止鸣笛。</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（5）重型机动车制定运输线路和时段时，应避开敏感区和交通高峰期。</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6.1.4施工期固体废物污染防治措施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（1）工程建设方应积极与当地环卫办联系，及时把建筑垃圾和弃土外运并妥善处置。减少施工固废在施工场地区域的堆放时间。回填场地若暂时不予利用，应进行压实或覆盖，防止水土流失。</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（2）施工人员生活垃圾应配备垃圾桶集中收集，并及时清运至当地垃圾站妥善处置。</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（3）项目建筑垃圾由施工单位分类处理，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分拣</w:t>
      </w:r>
      <w:r>
        <w:rPr>
          <w:rFonts w:hint="default" w:ascii="Times New Roman" w:hAnsi="Times New Roman" w:eastAsia="宋体" w:cs="Times New Roman"/>
          <w:color w:val="000000" w:themeColor="text1"/>
          <w:sz w:val="24"/>
          <w:szCs w:val="24"/>
          <w:highlight w:val="none"/>
          <w14:textFill>
            <w14:solidFill>
              <w14:schemeClr w14:val="tx1"/>
            </w14:solidFill>
          </w14:textFill>
        </w:rPr>
        <w:t>出具有回收价值的废钢筋、废木材、废塑料、废包装材料等，送废品收购站回收利用，余下无回收价值的，送往城建部门指定地点进行堆存，妥善处置。</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6.1.5施工期水土流失防治措施</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工程施工期间，由于地表开挖量不大，且对植被破坏较小，施工单位应采取相应的水土保持措施，以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有效地控制</w:t>
      </w:r>
      <w:r>
        <w:rPr>
          <w:rFonts w:hint="default" w:ascii="Times New Roman" w:hAnsi="Times New Roman" w:eastAsia="宋体" w:cs="Times New Roman"/>
          <w:color w:val="000000" w:themeColor="text1"/>
          <w:sz w:val="24"/>
          <w:szCs w:val="24"/>
          <w:highlight w:val="none"/>
          <w14:textFill>
            <w14:solidFill>
              <w14:schemeClr w14:val="tx1"/>
            </w14:solidFill>
          </w14:textFill>
        </w:rPr>
        <w:t>水土流失的发生：</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（1）在开挖建设中，应尽量避开雨季施工。</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（2）工程施工中做好土石方平衡工作，开挖的土方尽量用于施工场地平整回填；管道铺设产生的多余弃土应及时清运，由管理部门统一调配。</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（3）施工结束后，临时占地都应进行清理整治，清扫地面，重新疏松被碾压后变得密实的土壤，洼地要覆土填平，并及时进行绿化，把水土流失降至最低水平。</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（4）充分考虑绿化对防治水土流失的作用，在可能的情况下，建议结合本厂区绿化方案，对不建设构筑物的区块首要继续绿化，其余区块逐步绿化，以达到尽量减少水土流失的目的。</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（5）施工场地应注意土方的合理堆置，距下水道保持一定距离，尽量避免流入河道，减少水土流失对雨水管网的影响；在砂石料场地周围堆置草包挡砂，场地四周可开挖简单的排水沟用于场地积水收集、排放。</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（6）在施工前全面踏勘电力、通讯设施，并与有关部门协调。</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1"/>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165" w:name="_Toc9092"/>
      <w:r>
        <w:rPr>
          <w:rFonts w:hint="default" w:ascii="Times New Roman" w:hAnsi="Times New Roman" w:eastAsia="宋体" w:cs="Times New Roman"/>
          <w:b/>
          <w:bCs/>
          <w:color w:val="000000" w:themeColor="text1"/>
          <w:sz w:val="24"/>
          <w:szCs w:val="24"/>
          <w:highlight w:val="none"/>
          <w14:textFill>
            <w14:solidFill>
              <w14:schemeClr w14:val="tx1"/>
            </w14:solidFill>
          </w14:textFill>
        </w:rPr>
        <w:t>6.2营运期环境保护措施</w:t>
      </w:r>
      <w:bookmarkEnd w:id="165"/>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6.2.1废气防治措施分析</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6.2.1.1修型、打磨工序产生的</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废气污染防治措施分析</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本项目切割打磨废气采取高负压打磨切割除尘措施，厂房工人在对风电叶片外表面进行打磨和切割时会生产大量的复合材料扬尘，对车间工人身体健康及工作环境带来极大影响，因此在车间设计布局除尘系统。</w:t>
      </w:r>
    </w:p>
    <w:p>
      <w:pPr>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本项目切割粉尘集气罩+布袋除尘+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m排气筒排放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打磨粉尘采用“Nederman 高负压除尘系统+打磨/清扫套件”工艺对粉尘进行收集，即设备源头采用套件形式包裹打磨工具，使得粉尘在产生的瞬间在工具处即刻被捕捉，收集的粉尘颗粒经中央集尘装置集中收集后采用圆筒形滤筒除尘器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后15m排气筒排放。</w:t>
      </w:r>
    </w:p>
    <w:p>
      <w:pPr>
        <w:pageBreakBefore w:val="0"/>
        <w:widowControl/>
        <w:kinsoku/>
        <w:wordWrap/>
        <w:overflowPunct w:val="0"/>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集气罩：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是烟气净化系统污染源的收集装置，可将粉尘及气体污染源导入净化系统，同时防止其向生产车间及大气扩散，造成污染。其性能对净化系统的技术经济指标有直接的影响。由于污染源设备结构和生产操作工艺的不同、集气罩的形式是多种多样的。集气罩的收集效率可达90%-95%。</w:t>
      </w:r>
    </w:p>
    <w:p>
      <w:pPr>
        <w:pageBreakBefore w:val="0"/>
        <w:widowControl/>
        <w:kinsoku/>
        <w:wordWrap/>
        <w:overflowPunct w:val="0"/>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布袋除尘：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是一种新型高效除尘净化设备，采用喷吹的清灰方式，具有清灰效果好、净化效率高、处理气量大、滤袋寿命长、维修工作量小、运行安全可靠等优点。除尘系统运行时，各扬尘点所产生的粉尘将被捕集并经吸尘管网输送进入恒压沉降输送槽。粗重料块将沉降至槽底，由恒压沉降槽卸料系统排出进入单链刮板，轻细粉尘则进入袋滤式除尘器进行再次分离。而经除尘器过滤后的洁净空气，则由引风机排入大气。被阻留过滤分离出来的粉尘则被沉降至除尘器下锥体，由卸料系统排出并汇入单链刮板输送系统，由单链刮板输送进入圆形储料仓。然后可以打包装袋处理。</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68595" cy="1623695"/>
            <wp:effectExtent l="0" t="0" r="8255" b="14605"/>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30"/>
                    <a:stretch>
                      <a:fillRect/>
                    </a:stretch>
                  </pic:blipFill>
                  <pic:spPr>
                    <a:xfrm>
                      <a:off x="0" y="0"/>
                      <a:ext cx="5268595" cy="1623695"/>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6.2-1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布袋除尘器结构示意图</w:t>
      </w: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360" w:lineRule="auto"/>
        <w:ind w:firstLine="482" w:firstLineChars="20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“Nederman 高负压除尘系统+打磨/清扫套件”工艺</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）工艺原理</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除尘系统由：带吸尘套件的工具，自动控制阀，传输管道，过滤系统，主风机和清灰设备组成。基本原理为：由打磨工具所产生的粉尘，在主风机产生的高真空吸力的作用下，经由吸尘口管道，传送至过滤器，被过滤器过滤的粉尘，集中在灰斗里，过滤器通过清灰装置保持清洁。客户只需定期清倒灰斗即可。</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带吸尘口的工具：其结构是，在客户原有的工具基础上，加装相应的工具套件，以便打磨切割时，在源头抽排粉尘。如下图所示</w:t>
      </w:r>
    </w:p>
    <w:p>
      <w:pPr>
        <w:pageBreakBefore w:val="0"/>
        <w:kinsoku/>
        <w:overflowPunct w:val="0"/>
        <w:bidi w:val="0"/>
        <w:snapToGrid w:val="0"/>
        <w:spacing w:line="360" w:lineRule="auto"/>
        <w:ind w:firstLine="42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69865" cy="1775460"/>
            <wp:effectExtent l="0" t="0" r="6985" b="1524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31"/>
                    <a:stretch>
                      <a:fillRect/>
                    </a:stretch>
                  </pic:blipFill>
                  <pic:spPr>
                    <a:xfrm>
                      <a:off x="0" y="0"/>
                      <a:ext cx="5269865" cy="1775460"/>
                    </a:xfrm>
                    <a:prstGeom prst="rect">
                      <a:avLst/>
                    </a:prstGeom>
                    <a:noFill/>
                    <a:ln>
                      <a:noFill/>
                    </a:ln>
                  </pic:spPr>
                </pic:pic>
              </a:graphicData>
            </a:graphic>
          </wp:inline>
        </w:drawing>
      </w:r>
    </w:p>
    <w:p>
      <w:pPr>
        <w:pageBreakBefore w:val="0"/>
        <w:kinsoku/>
        <w:overflowPunct w:val="0"/>
        <w:bidi w:val="0"/>
        <w:snapToGrid w:val="0"/>
        <w:spacing w:line="360" w:lineRule="auto"/>
        <w:ind w:firstLine="480" w:firstLineChars="20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图6.2-2 带吸尘口的工具图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此种套件方式不同于传统的打磨工具加布袋的抽吸的形式，套件旨在源头通过包裹打磨工具，并收集其离心出的粉尘颗粒，输送入过滤器。这种形式的优势在于：</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①源头套件紧密包裹，抽吸效率更高；</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②专业的过滤器相对于普通的PTFE布袋，过滤效率更高，以此保证了除尘效果。</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自动控制阀（选配）：利用自动控制阀与工具的随动，控制阀将此信号传送给主机，实现主机与系统的同步工作和停止，从而使系统实现智能化。即只有当控制阀打开时，主机才运行，否则只处于待机状态，从而达到远程控制，节能降耗。阀门仅有方便插拔软管的作用。如图：</w:t>
      </w:r>
    </w:p>
    <w:p>
      <w:pPr>
        <w:keepNext w:val="0"/>
        <w:keepLines w:val="0"/>
        <w:pageBreakBefore w:val="0"/>
        <w:widowControl/>
        <w:kinsoku/>
        <w:wordWrap/>
        <w:overflowPunct w:val="0"/>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191000" cy="1981200"/>
            <wp:effectExtent l="0" t="0" r="0" b="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32"/>
                    <a:stretch>
                      <a:fillRect/>
                    </a:stretch>
                  </pic:blipFill>
                  <pic:spPr>
                    <a:xfrm>
                      <a:off x="0" y="0"/>
                      <a:ext cx="4191000" cy="1981200"/>
                    </a:xfrm>
                    <a:prstGeom prst="rect">
                      <a:avLst/>
                    </a:prstGeom>
                    <a:noFill/>
                    <a:ln>
                      <a:noFill/>
                    </a:ln>
                  </pic:spPr>
                </pic:pic>
              </a:graphicData>
            </a:graphic>
          </wp:inline>
        </w:drawing>
      </w:r>
    </w:p>
    <w:p>
      <w:pPr>
        <w:keepNext w:val="0"/>
        <w:keepLines w:val="0"/>
        <w:pageBreakBefore w:val="0"/>
        <w:widowControl/>
        <w:kinsoku/>
        <w:wordWrap/>
        <w:overflowPunct w:val="0"/>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图6.2-3 自动控制阀图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传输管道：将有吸尘口收集的粉尘，传输到过滤系统。由软管Φ32-63MM、镀 锌钢管Φ63-100MM及各种接头、分支、紧固件和支架组成。之所以采用镀锌钢管，而不是普通的螺旋风管，是因为高负压的压力较大，用较软的管材，可能管道会被吸扁。如图：</w:t>
      </w:r>
    </w:p>
    <w:p>
      <w:pPr>
        <w:pageBreakBefore w:val="0"/>
        <w:kinsoku/>
        <w:overflowPunct w:val="0"/>
        <w:bidi w:val="0"/>
        <w:snapToGrid w:val="0"/>
        <w:spacing w:line="360" w:lineRule="auto"/>
        <w:ind w:firstLine="42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71135" cy="1286510"/>
            <wp:effectExtent l="0" t="0" r="5715" b="889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33"/>
                    <a:stretch>
                      <a:fillRect/>
                    </a:stretch>
                  </pic:blipFill>
                  <pic:spPr>
                    <a:xfrm>
                      <a:off x="0" y="0"/>
                      <a:ext cx="5271135" cy="1286510"/>
                    </a:xfrm>
                    <a:prstGeom prst="rect">
                      <a:avLst/>
                    </a:prstGeom>
                    <a:noFill/>
                    <a:ln>
                      <a:noFill/>
                    </a:ln>
                  </pic:spPr>
                </pic:pic>
              </a:graphicData>
            </a:graphic>
          </wp:inline>
        </w:drawing>
      </w:r>
    </w:p>
    <w:p>
      <w:pPr>
        <w:pageBreakBefore w:val="0"/>
        <w:kinsoku/>
        <w:overflowPunct w:val="0"/>
        <w:bidi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图6.2-4 传输管道图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过滤系统：尼的曼过滤系统采用二级过滤，即大的粉尘颗粒被一级过滤装置直接分离到灰斗中，而细的粉尘进入到二级过滤中，在这里尼的曼所独有的滤芯，可过滤99.5%直径小于0.5ΜM粒径的粉尘。这意味着滤芯寿命较长，一般为8000工作小时。</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该系统的优势在于：①FlexFilter 最大可以耐负压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50KPA；②无需要单独增加旋风 除尘器；③采用外界大气反吹清灰，所需的压缩空气用来驱动气动阀门的打开，每两个小时消耗0.5L/2H；而低负压滤筒除尘器的压缩空气反吹清灰，每次清灰所需消耗压缩空气10L/min，相比较而言，选择FlexFilter意味着更低的压缩空气消耗；④更高效的清灰方式。</w:t>
      </w:r>
    </w:p>
    <w:p>
      <w:pPr>
        <w:pageBreakBefore w:val="0"/>
        <w:kinsoku/>
        <w:overflowPunct w:val="0"/>
        <w:bidi w:val="0"/>
        <w:snapToGrid w:val="0"/>
        <w:spacing w:line="360" w:lineRule="auto"/>
        <w:ind w:firstLine="42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73040" cy="1679575"/>
            <wp:effectExtent l="0" t="0" r="3810" b="1587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34"/>
                    <a:stretch>
                      <a:fillRect/>
                    </a:stretch>
                  </pic:blipFill>
                  <pic:spPr>
                    <a:xfrm>
                      <a:off x="0" y="0"/>
                      <a:ext cx="5273040" cy="1679575"/>
                    </a:xfrm>
                    <a:prstGeom prst="rect">
                      <a:avLst/>
                    </a:prstGeom>
                    <a:noFill/>
                    <a:ln>
                      <a:noFill/>
                    </a:ln>
                  </pic:spPr>
                </pic:pic>
              </a:graphicData>
            </a:graphic>
          </wp:inline>
        </w:drawing>
      </w:r>
    </w:p>
    <w:p>
      <w:pPr>
        <w:pageBreakBefore w:val="0"/>
        <w:kinsoku/>
        <w:overflowPunct w:val="0"/>
        <w:bidi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图6.2-5 过滤系统图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E</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清灰装置：压缩空气控制反吹阀门的开闭，利用设备内的真空度，将空气吸入滤芯，从而实现滤芯的清灰，此种方式大大减少压缩空气的消耗量。</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p>
    <w:p>
      <w:pPr>
        <w:keepNext w:val="0"/>
        <w:keepLines w:val="0"/>
        <w:pageBreakBefore w:val="0"/>
        <w:widowControl/>
        <w:kinsoku/>
        <w:wordWrap/>
        <w:overflowPunct w:val="0"/>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5272405" cy="2667635"/>
            <wp:effectExtent l="0" t="0" r="4445" b="18415"/>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35"/>
                    <a:stretch>
                      <a:fillRect/>
                    </a:stretch>
                  </pic:blipFill>
                  <pic:spPr>
                    <a:xfrm>
                      <a:off x="0" y="0"/>
                      <a:ext cx="5272405" cy="2667635"/>
                    </a:xfrm>
                    <a:prstGeom prst="rect">
                      <a:avLst/>
                    </a:prstGeom>
                    <a:noFill/>
                    <a:ln>
                      <a:noFill/>
                    </a:ln>
                  </pic:spPr>
                </pic:pic>
              </a:graphicData>
            </a:graphic>
          </wp:inline>
        </w:drawing>
      </w:r>
    </w:p>
    <w:p>
      <w:pPr>
        <w:pageBreakBefore w:val="0"/>
        <w:kinsoku/>
        <w:overflowPunct w:val="0"/>
        <w:bidi w:val="0"/>
        <w:snapToGrid w:val="0"/>
        <w:spacing w:line="360" w:lineRule="auto"/>
        <w:ind w:firstLine="482" w:firstLineChars="20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图6.2-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Nederman方案效果图</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2）根据废气处理装置设计方案，本项目采取的“Nederman高负压除尘系统+打磨/清扫套件”工艺对粉尘的收集去除效率高达99%。</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因此，本项目有组织废气治理措施在技术上是可行的，在经济上是合理的。</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6.2.1.2有机废气污染防治措施分析</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工作原理：</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因为辊涂油漆利用率高，无喷漆雾扩散现象</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涂装车间及灌注</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车间有机废气通过管道收集后，经过预处理阶段和净化阶段两段处理。</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2" w:firstLineChars="20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）预处理阶段：粗效吸附箱</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考虑到当地冬季时间较长且气温非常低，并且设备是摆放在室外，如果采用水喷淋降尘则会导致冬天低温天气时喷淋塔无法工作，所以将采用粗效吸附的方式来进行降尘。当有机废气进入粗效吸附箱时，玻璃纤维棉的微孔将会隔离绝大部分的粉尘颗粒和部分有机废气，并且可以做到降低后端处理设备耗材的更换频率，从而降低后期运营成本。</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采用玻璃纤维以非织物方式制成，透风量大，其空气阻力小，对漆雾Over-spray捕尘效率佳，使用时间长。渐密式的结构具有弹性高、压损低的特色。在风速、气流及尘重下，不会压缩；变形，仍能保持高效能，增加纸箱过滤器的使用寿命。渐层性，疏密式的滤材结构，可根据尘埃大小，被阻挡在不同密度的层次，容纳较多的尘埃，而且阻力低，是过滤方式。</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干式过滤：为避免废气中的颗粒物堵塞蜂窝活性炭表面细孔通道，降低吸附效果，在活性炭吸附设备前端配置一套干式过滤器，过滤器共三级过滤，等级分别为G4板框式、F7 袋式过滤器、F9袋式过滤器，去除掉废气中的大颗粒物质以及水汽。袋式过滤器以无纺布、玻璃纤维等作为滤料，迎风面大、空尘量大、流速低，因此气体处理量大、体积小、容污量大，可承载更大的工作压力、压损小、运行费用低、节能效果十分明显。过滤器内部与废气接触的金属材料采用碳钢防腐制造，配有多个检修门便于更换不同位置的过滤器。过滤器全称空气过滤器，适用于过滤5μm以上尘埃粒子，主要用于中央空调和集中通风系统过滤、大型空压机过滤、洁净回风系统、中效和高效过滤装置的前置预过滤系统。</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2" w:firstLineChars="20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）VOCs净化处理阶段：</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有机废气在经过干式过滤器过滤后经过主风机送入活性炭吸附设备中，废气中的有机物被活性炭吸附，达标后经烟囱排放。活性炭吸附饱和后，引一股新风进入催化燃烧炉中加热用来脱附活性炭吸附箱，活性炭中的VOCs被脱附出来后重新送入催化燃烧炉中，在催化剂的作用下无焰燃烧生成CO</w:t>
      </w:r>
      <w:r>
        <w:rPr>
          <w:rFonts w:hint="default" w:ascii="Times New Roman" w:hAnsi="Times New Roman" w:eastAsia="宋体" w:cs="Times New Roman"/>
          <w:b w:val="0"/>
          <w:bCs w:val="0"/>
          <w:color w:val="000000" w:themeColor="text1"/>
          <w:sz w:val="24"/>
          <w:szCs w:val="24"/>
          <w:highlight w:val="none"/>
          <w:vertAlign w:val="subscript"/>
          <w:lang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和H</w:t>
      </w:r>
      <w:r>
        <w:rPr>
          <w:rFonts w:hint="default" w:ascii="Times New Roman" w:hAnsi="Times New Roman" w:eastAsia="宋体" w:cs="Times New Roman"/>
          <w:b w:val="0"/>
          <w:bCs w:val="0"/>
          <w:color w:val="000000" w:themeColor="text1"/>
          <w:sz w:val="24"/>
          <w:szCs w:val="24"/>
          <w:highlight w:val="none"/>
          <w:vertAlign w:val="subscript"/>
          <w:lang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O，整套设备主要处理单元如下：</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第一单元：活性炭吸附</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为保证吸附净化效果，废气进入活性炭吸附设备，通过蜂窝活性炭对有机物质的吸附作用，将有机废气中绝大多数的有机物质吸附在吸附剂的比表面上，从而气体得到净化，活性碳吸附饱和后定期更换。</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工作原理</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吸附过程：由于固体表面上存在着未平衡和未饱和的分子引力或化学键力，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其实质是一个吸附浓缩的过程。</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活性炭吸附装置主要由活性炭层和承托层组成。活性炭具有发达的空隙，比表面积大，具有很高的吸附能力。含尘气体由风机提供动力，正压或负压进入塔体，由于活性炭固体表面上存在着未平衡和未饱和的分子引力或</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化学键</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力，因此当此固体表面与气体接触时，就能吸引气体分子，使其浓聚并保持在固体表面，污染物质从而被吸附，废气经过滤器后，进入设备排尘系统，净化气体高空达标排放。</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第二单元：活性炭脱附—催化燃烧</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活性炭在经过一段时间的运行后会达到吸附饱和，此时开启脱附再生系统，对活性炭进行脱附再生，脱附出来的气体通过催化燃烧装置燃烧生成二氧化碳、水和部分的热量等无害气体，催化燃烧过程净化效率可达80%以上。</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工作原理</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催化燃烧是指在有催化剂存在的条件下，废气中可燃组分能在较低的温度下进行燃烧。通常借助催化剂在低温下</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200～400℃)，实现对有机物的完全氧化，因此，能耗少，操作简便，安全，净化效率高。</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催化剂是一种能提高化学反应速率，控制反应方向，在反应前后本身的化学性质不发生改变的物质。在一个化学反应过程中，催化剂的加入并不能改变原有的化学平衡，所改变的仅是化学反应的速度。催化剂本身参加了反应，正是由于它的参加，使反应改变了原有的途径，使反应的活化能降低，从而加速了反应速度。反应前后，催化剂本身化学性质并未改变。例如反应A+B→C是通过中间活性结合物</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AB</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过渡而成的，即：</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center"/>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A+B→[AB]→C</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其反应速度较慢。当加入催化剂K后，反应从一条很容易进行的途径实现：</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A+B+2K→[AK]+[BK]→[CK]+K→C+2K</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中间不再需要[AB]向C的过渡，从而加快了反应速度，而催化剂并未改变性质</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0" w:firstLineChars="0"/>
        <w:jc w:val="center"/>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drawing>
          <wp:inline distT="0" distB="0" distL="114300" distR="114300">
            <wp:extent cx="4916170" cy="2503805"/>
            <wp:effectExtent l="0" t="0" r="17780" b="10795"/>
            <wp:docPr id="1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
                    <pic:cNvPicPr>
                      <a:picLocks noChangeAspect="1"/>
                    </pic:cNvPicPr>
                  </pic:nvPicPr>
                  <pic:blipFill>
                    <a:blip r:embed="rId36"/>
                    <a:stretch>
                      <a:fillRect/>
                    </a:stretch>
                  </pic:blipFill>
                  <pic:spPr>
                    <a:xfrm>
                      <a:off x="0" y="0"/>
                      <a:ext cx="4916170" cy="2503805"/>
                    </a:xfrm>
                    <a:prstGeom prst="rect">
                      <a:avLst/>
                    </a:prstGeom>
                    <a:noFill/>
                    <a:ln>
                      <a:noFill/>
                    </a:ln>
                  </pic:spPr>
                </pic:pic>
              </a:graphicData>
            </a:graphic>
          </wp:inline>
        </w:drawing>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0" w:firstLineChars="0"/>
        <w:jc w:val="center"/>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图6.2-7    VOCs废气催化氧化清除技术工作原理图</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用于催化燃烧的催化剂以贵金属Pt、Pd催化剂使用最多，因为这些催化剂活性好，寿命长，使用稳定。目前研究较多的为稀土催化剂，并已取得一定成效。</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1）以Al</w:t>
      </w:r>
      <w:r>
        <w:rPr>
          <w:rFonts w:hint="default" w:ascii="Times New Roman" w:hAnsi="Times New Roman" w:eastAsia="宋体" w:cs="Times New Roman"/>
          <w:b w:val="0"/>
          <w:bCs w:val="0"/>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为载体的催化剂。此载体可作成蜂窝状或粒状等，然后将活性组分负载其上，现已使用的有蜂窝陶瓷钯催化剂、蜂窝陶瓷铅催化剂、蜂窝陶瓷非贵金属催化剂、y-Al</w:t>
      </w:r>
      <w:r>
        <w:rPr>
          <w:rFonts w:hint="default" w:ascii="Times New Roman" w:hAnsi="Times New Roman" w:eastAsia="宋体" w:cs="Times New Roman"/>
          <w:b w:val="0"/>
          <w:bCs w:val="0"/>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粒状铅催化剂、y-Al</w:t>
      </w:r>
      <w:r>
        <w:rPr>
          <w:rFonts w:hint="default" w:ascii="Times New Roman" w:hAnsi="Times New Roman" w:eastAsia="宋体" w:cs="Times New Roman"/>
          <w:b w:val="0"/>
          <w:bCs w:val="0"/>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稀土催化剂等。</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2）以金属作为载体的催化剂。可用镍铬合金、镍铬镍铝合金、不锈钢等金属作为载体，已经应用的有镍铬丝蓬体球钯催化剂、不锈钢丝网钯催化剂以及金属蜂窝体的催化剂等。</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当烃类有机废气浓度在2000～8000mg/m³、空速10000～20000h-1、反应气入口温度180～300℃条件下，催化剂净化效果≥99.5%，更换时间≥5年。</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灌注、辊涂车间为密闭车间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通过上进风+侧面吸风+粗效吸附箱+活性炭吸附/脱附+催化燃烧（热源采用电加热）+风机+27米排气筒，设计处理风量120000m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/h 套。</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0" w:firstLineChars="0"/>
        <w:jc w:val="center"/>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drawing>
          <wp:inline distT="0" distB="0" distL="114300" distR="114300">
            <wp:extent cx="5269230" cy="2141220"/>
            <wp:effectExtent l="0" t="0" r="7620" b="11430"/>
            <wp:docPr id="1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
                    <pic:cNvPicPr>
                      <a:picLocks noChangeAspect="1"/>
                    </pic:cNvPicPr>
                  </pic:nvPicPr>
                  <pic:blipFill>
                    <a:blip r:embed="rId37"/>
                    <a:stretch>
                      <a:fillRect/>
                    </a:stretch>
                  </pic:blipFill>
                  <pic:spPr>
                    <a:xfrm>
                      <a:off x="0" y="0"/>
                      <a:ext cx="5269230" cy="2141220"/>
                    </a:xfrm>
                    <a:prstGeom prst="rect">
                      <a:avLst/>
                    </a:prstGeom>
                    <a:noFill/>
                    <a:ln>
                      <a:noFill/>
                    </a:ln>
                  </pic:spPr>
                </pic:pic>
              </a:graphicData>
            </a:graphic>
          </wp:inline>
        </w:drawing>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2" w:firstLineChars="200"/>
        <w:jc w:val="center"/>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图6.2-8    有机废气处理工艺流程图</w:t>
      </w:r>
    </w:p>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firstLine="0" w:firstLineChars="0"/>
        <w:jc w:val="center"/>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表6.2-2   废气处理设备清单及参数</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3178"/>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4" w:type="pct"/>
            <w:gridSpan w:val="2"/>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名称</w:t>
            </w:r>
          </w:p>
        </w:tc>
        <w:tc>
          <w:tcPr>
            <w:tcW w:w="2445" w:type="pct"/>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4" w:type="pct"/>
            <w:gridSpan w:val="2"/>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处理设备型号 </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JTXF-6000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4" w:type="pct"/>
            <w:gridSpan w:val="2"/>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处理风量 </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120000m³/h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4" w:type="pct"/>
            <w:gridSpan w:val="2"/>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废气成分</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中、低浓度有机混合废气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过滤箱</w:t>
            </w: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玻璃纤维棉+纸箱过滤器 </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14000×1200×1500mm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过滤器外形尺寸 </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过滤风速 </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活性炭吸附-脱附</w:t>
            </w: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废气与活性炭接触速度</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0.3m/s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处理风量</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19000～21000m</w:t>
            </w:r>
            <w:r>
              <w:rPr>
                <w:rFonts w:hint="default" w:ascii="Times New Roman" w:hAnsi="Times New Roman" w:eastAsia="宋体" w:cs="Times New Roman"/>
                <w:snapToGrid w:val="0"/>
                <w:color w:val="000000" w:themeColor="text1"/>
                <w:kern w:val="0"/>
                <w:sz w:val="21"/>
                <w:szCs w:val="21"/>
                <w:u w:val="none"/>
                <w:shd w:val="clear" w:color="auto" w:fill="auto"/>
                <w:vertAlign w:val="superscript"/>
                <w:lang w:val="en-US" w:eastAsia="zh-CN" w:bidi="zh-TW"/>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活性炭床外形尺寸（单床）</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1830×1750×1300mm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活性炭床数量</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合计处理风量</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120000～127000m³/h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单床活性炭填充量</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1.7m³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工作方式</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6 箱体同时工作（备用 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吸附阻力损失</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800Pa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活性炭脱附温度</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~120℃（可调）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活性炭吸附周期</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48h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设备重量（含活性炭）</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≈2000kg（单箱）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吸附风机</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4-72-2000C N=132kw  Q=120000m³/h</w:t>
            </w:r>
          </w:p>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R=540r/min  P=3200Pa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脱附风机</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YX9-35NO.5C  N=7.5kw </w:t>
            </w:r>
          </w:p>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Q=3031m³/h  R=2240r/min  P=2109Pa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补冷风机</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N=3kw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restar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w w:val="100"/>
                <w:positio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催化燃烧系统</w:t>
            </w:r>
          </w:p>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t>CO炉</w:t>
            </w:r>
          </w:p>
        </w:tc>
        <w:tc>
          <w:tcPr>
            <w:tcW w:w="4310" w:type="pct"/>
            <w:gridSpan w:val="2"/>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HCH-300 型催化净化装置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处理风量</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6000m³/h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vAlign w:val="center"/>
          </w:tcPr>
          <w:p>
            <w:pPr>
              <w:keepNext w:val="0"/>
              <w:keepLines w:val="0"/>
              <w:pageBreakBefore w:val="0"/>
              <w:widowControl w:val="0"/>
              <w:wordWrap/>
              <w:topLinePunct w:val="0"/>
              <w:autoSpaceDE w:val="0"/>
              <w:autoSpaceDN w:val="0"/>
              <w:bidi w:val="0"/>
              <w:adjustRightInd/>
              <w:snapToGrid/>
              <w:spacing w:line="240" w:lineRule="auto"/>
              <w:ind w:lef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外型尺寸L*W*H</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0"/>
                <w:w w:val="100"/>
                <w:positio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1250X1050x2100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外壳材质</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2.0厚A3钢板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表面处理</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外壳静电喷涂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隔热处理</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填充 100厚保温岩棉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 xml:space="preserve">电加热功率 </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90KW/45*2KW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电热管材料</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304 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催化剂类型</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贵金属催化剂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催化剂容量</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300L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换热器规格</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￠25 翅片换热管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换热器面积</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进/排风口规格</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650X600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Merge w:val="continue"/>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left="0" w:right="0" w:firstLine="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去除效率</w:t>
            </w:r>
          </w:p>
        </w:tc>
        <w:tc>
          <w:tcPr>
            <w:tcW w:w="244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控制系统</w:t>
            </w:r>
          </w:p>
        </w:tc>
        <w:tc>
          <w:tcPr>
            <w:tcW w:w="1865" w:type="pct"/>
            <w:vAlign w:val="center"/>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en-US" w:bidi="en-US"/>
                <w14:textFill>
                  <w14:solidFill>
                    <w14:schemeClr w14:val="tx1"/>
                  </w14:solidFill>
                </w14:textFill>
              </w:rPr>
              <w:t>PLC</w:t>
            </w:r>
            <w:r>
              <w:rPr>
                <w:rFonts w:hint="default" w:ascii="Times New Roman" w:hAnsi="Times New Roman" w:eastAsia="宋体" w:cs="Times New Roman"/>
                <w:color w:val="000000" w:themeColor="text1"/>
                <w:spacing w:val="0"/>
                <w:w w:val="100"/>
                <w:position w:val="0"/>
                <w:sz w:val="21"/>
                <w:szCs w:val="21"/>
                <w14:textFill>
                  <w14:solidFill>
                    <w14:schemeClr w14:val="tx1"/>
                  </w14:solidFill>
                </w14:textFill>
              </w:rPr>
              <w:t>控制单元</w:t>
            </w:r>
          </w:p>
        </w:tc>
        <w:tc>
          <w:tcPr>
            <w:tcW w:w="2445" w:type="pct"/>
            <w:vAlign w:val="top"/>
          </w:tcPr>
          <w:p>
            <w:pPr>
              <w:pStyle w:val="60"/>
              <w:keepNext w:val="0"/>
              <w:keepLines w:val="0"/>
              <w:pageBreakBefore w:val="0"/>
              <w:widowControl w:val="0"/>
              <w:shd w:val="clear" w:color="auto" w:fill="auto"/>
              <w:wordWrap/>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u w:val="none"/>
                <w:shd w:val="clear" w:color="auto" w:fill="auto"/>
                <w:lang w:val="en-US" w:eastAsia="zh-CN" w:bidi="zh-TW"/>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lang w:val="en-US" w:eastAsia="en-US" w:bidi="en-US"/>
                <w14:textFill>
                  <w14:solidFill>
                    <w14:schemeClr w14:val="tx1"/>
                  </w14:solidFill>
                </w14:textFill>
              </w:rPr>
              <w:t>西门子PLC全自动化控制系统，配套触摸屏、电动调节阀、变送器、报警系统等，本系统包含试车模式、手动控制模式、待机模式、系统自动开/关机安全程序。</w:t>
            </w:r>
          </w:p>
        </w:tc>
      </w:tr>
    </w:tbl>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2" w:firstLineChars="20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达标可行性分析</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本项目采用蜂窝活性炭吸附—脱附再生+催化燃烧处理工艺进行</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有机</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废气处理。根据工程分析污染物排放核算以及大气环境影响分析估算结果，有机废气</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甲苯、二甲苯、</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排放浓度</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满足</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大气污染物综合排放标准》（GB16297- 1996）二级标准浓度限值。项目厂区内VOCs落地浓度均满足《挥发性有机物无组织排放控制标准》（GB37822-2019）附录A中的厂区内VOCs浓度特别排放限值要求。因此本项目采用蜂窝活性炭吸附—脱附再生+催化燃烧处理工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27</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m排气筒措施能够实现达标排放。</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参考《排污许可证申请与核发技术规范 金属铸造工业》（HJ1115—2020）中附录A表A.1废气防治可行技术参考表</w:t>
      </w:r>
    </w:p>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表6.2-1   废气防治可行技术参考表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887"/>
        <w:gridCol w:w="1063"/>
        <w:gridCol w:w="1432"/>
        <w:gridCol w:w="3546"/>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污染源名称</w:t>
            </w:r>
          </w:p>
        </w:tc>
        <w:tc>
          <w:tcPr>
            <w:tcW w:w="887"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污染源设备</w:t>
            </w:r>
          </w:p>
        </w:tc>
        <w:tc>
          <w:tcPr>
            <w:tcW w:w="1063"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主要污染物项目</w:t>
            </w:r>
          </w:p>
        </w:tc>
        <w:tc>
          <w:tcPr>
            <w:tcW w:w="1432"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可行技术</w:t>
            </w:r>
          </w:p>
        </w:tc>
        <w:tc>
          <w:tcPr>
            <w:tcW w:w="3546"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本项目情况</w:t>
            </w:r>
          </w:p>
        </w:tc>
        <w:tc>
          <w:tcPr>
            <w:tcW w:w="646"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5"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涂装工序</w:t>
            </w:r>
          </w:p>
        </w:tc>
        <w:tc>
          <w:tcPr>
            <w:tcW w:w="887"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喷枪</w:t>
            </w:r>
          </w:p>
        </w:tc>
        <w:tc>
          <w:tcPr>
            <w:tcW w:w="1063"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苯、苯系物、TVOC</w:t>
            </w:r>
          </w:p>
        </w:tc>
        <w:tc>
          <w:tcPr>
            <w:tcW w:w="1432"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在喷涂车间排气口设置催化燃烧或碳吸附等措施，需密闭</w:t>
            </w:r>
          </w:p>
        </w:tc>
        <w:tc>
          <w:tcPr>
            <w:tcW w:w="3546"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密闭辊涂室，依靠工作风机产生的负压将辊涂工作室挥发的有机气体通过上进风+侧面吸风+粗效吸附箱+活性炭吸附/脱附+催化燃烧（热源采用电加热）+风机+27米排气筒，设计处理风量120000m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 套。</w:t>
            </w:r>
          </w:p>
        </w:tc>
        <w:tc>
          <w:tcPr>
            <w:tcW w:w="646" w:type="dxa"/>
            <w:vAlign w:val="center"/>
          </w:tcPr>
          <w:p>
            <w:pPr>
              <w:pStyle w:val="11"/>
              <w:keepNext w:val="0"/>
              <w:keepLines w:val="0"/>
              <w:pageBreakBefore w:val="0"/>
              <w:widowControl/>
              <w:kinsoku/>
              <w:wordWrap/>
              <w:overflowPunct w:val="0"/>
              <w:topLinePunct w:val="0"/>
              <w:autoSpaceDE w:val="0"/>
              <w:autoSpaceDN w:val="0"/>
              <w:bidi w:val="0"/>
              <w:adjustRightInd/>
              <w:snapToGrid/>
              <w:spacing w:before="0" w:after="0" w:line="240" w:lineRule="auto"/>
              <w:ind w:right="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符合</w:t>
            </w:r>
          </w:p>
        </w:tc>
      </w:tr>
    </w:tbl>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6.2.1.3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无组织排放污染防治措施分析</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加强对无组织排放废气的控制监管，尽量减少无组织废气的排放，具体应做到以下几个方面：</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①生产开线先启动环保措施设施再开启加工机组，停线先停止生产机组再关闭环保设施设备；</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②经常检查设备工况，保证设备的完好率，防止泄露；</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③在生产过程中加强对废气收集装置的维护，保证有组织废气捕集效率，以尽量将无组织排放的废气量减小到最低限度；</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④加强车间通排风，通过加强车间气流通畅，为员工配备必要的防护用品</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⑤进行局部气体收集，废气排至除尘设施VOCs废气收集处理系统。</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通过以上分析，采取以上无组织废气控制措施后，无组织废气外排对周围环境影响较轻，即项目无组织废气治理工艺可行。</w:t>
      </w:r>
    </w:p>
    <w:p>
      <w:pPr>
        <w:pStyle w:val="11"/>
        <w:keepNext w:val="0"/>
        <w:keepLines w:val="0"/>
        <w:pageBreakBefore w:val="0"/>
        <w:widowControl/>
        <w:kinsoku/>
        <w:wordWrap/>
        <w:overflowPunct w:val="0"/>
        <w:topLinePunct w:val="0"/>
        <w:autoSpaceDE w:val="0"/>
        <w:autoSpaceDN w:val="0"/>
        <w:bidi w:val="0"/>
        <w:adjustRightInd/>
        <w:snapToGrid/>
        <w:spacing w:before="0" w:after="0" w:line="360" w:lineRule="auto"/>
        <w:ind w:right="0" w:firstLine="480" w:firstLineChars="200"/>
        <w:jc w:val="both"/>
        <w:textAlignment w:val="baseline"/>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项目在生产过程使用电加热设备，从源头上消减污染物的排放量，废气经废气处理系统后达标排放。同时对装置区生产设备密闭、车间通风</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厂区四周加强绿化、合理布局，以尽量减少无组织废气的排放。经过以上措施治理后，项目产生的废气可以实现达标排放，废气治理措施可行。项目产生的废气污染物对大气环境的影响较小。</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配套仓库，用于存储项目使用的油漆和稀释剂等挥发性物料。盛装VOCs物料的容器均存放于室内，在非取用状态时均加盖并封口，保持密闭。本次要求项目建成后企业须按照《挥发性有机物无组织排放控制标准》（GB 37822-2019）的要求建立台账，记录含VOCs原辅材料。</w:t>
      </w:r>
    </w:p>
    <w:p>
      <w:pPr>
        <w:keepNext w:val="0"/>
        <w:keepLines w:val="0"/>
        <w:pageBreakBefore w:val="0"/>
        <w:widowControl/>
        <w:kinsoku/>
        <w:wordWrap/>
        <w:overflowPunct w:val="0"/>
        <w:topLinePunct w:val="0"/>
        <w:autoSpaceDE w:val="0"/>
        <w:autoSpaceDN w:val="0"/>
        <w:bidi w:val="0"/>
        <w:adjustRightInd/>
        <w:snapToGrid/>
        <w:spacing w:line="360" w:lineRule="auto"/>
        <w:ind w:left="0" w:right="0" w:firstLine="472" w:firstLineChars="200"/>
        <w:jc w:val="both"/>
        <w:textAlignment w:val="baseline"/>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根据《挥发性有机物无组织排放控制标准》（GB37822-2019）中无废气收集处理要求。《排污许可证申请与核发技术规范 工业固体废物和危险废物治理》（HJ 1033—2019）附录C废气治理可行技术参考表中，贮存单元污染物治理无可行技术要求。故本项目采用活性炭吸附装置吸附</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处理危废暂存间产生的少量有机废气后</w:t>
      </w:r>
      <w:r>
        <w:rPr>
          <w:rFonts w:hint="default" w:ascii="Times New Roman" w:hAnsi="Times New Roman" w:eastAsia="宋体" w:cs="Times New Roman"/>
          <w:color w:val="000000" w:themeColor="text1"/>
          <w:spacing w:val="-2"/>
          <w:sz w:val="24"/>
          <w:szCs w:val="24"/>
          <w:highlight w:val="none"/>
          <w:shd w:val="clear" w:color="auto" w:fill="auto"/>
          <w14:textFill>
            <w14:solidFill>
              <w14:schemeClr w14:val="tx1"/>
            </w14:solidFill>
          </w14:textFill>
        </w:rPr>
        <w:t>进行无组织排放</w:t>
      </w:r>
      <w:r>
        <w:rPr>
          <w:rFonts w:hint="default" w:ascii="Times New Roman" w:hAnsi="Times New Roman" w:eastAsia="宋体" w:cs="Times New Roman"/>
          <w:color w:val="000000" w:themeColor="text1"/>
          <w:spacing w:val="-2"/>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shd w:val="clear" w:color="auto" w:fill="auto"/>
          <w:lang w:val="en-US" w:eastAsia="zh-CN"/>
          <w14:textFill>
            <w14:solidFill>
              <w14:schemeClr w14:val="tx1"/>
            </w14:solidFill>
          </w14:textFill>
        </w:rPr>
        <w:t>措施可行。</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项目建成后，若应项目所在地环境保护需要，针对企业厂区内、边界及周边VOCs进行监控，则须按照《挥发性有机物无组织排放控制标准》（GB 37822-2019）要求执行；同时本次要求项目建成后企业须按照《挥发性有机物无组织排放控制标准》（GB37822-2019）要求落实污染物监测。</w:t>
      </w:r>
    </w:p>
    <w:p>
      <w:pPr>
        <w:keepNext w:val="0"/>
        <w:keepLines w:val="0"/>
        <w:pageBreakBefore w:val="0"/>
        <w:widowControl/>
        <w:suppressLineNumbers w:val="0"/>
        <w:kinsoku/>
        <w:wordWrap/>
        <w:overflowPunct w:val="0"/>
        <w:topLinePunct w:val="0"/>
        <w:autoSpaceDE w:val="0"/>
        <w:autoSpaceDN w:val="0"/>
        <w:bidi w:val="0"/>
        <w:adjustRightInd/>
        <w:snapToGrid/>
        <w:spacing w:line="360" w:lineRule="auto"/>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highlight w:val="none"/>
          <w:lang w:val="en-US" w:eastAsia="zh-CN" w:bidi="ar"/>
          <w14:textFill>
            <w14:solidFill>
              <w14:schemeClr w14:val="tx1"/>
            </w14:solidFill>
          </w14:textFill>
        </w:rPr>
        <w:t xml:space="preserve">6.2.2废水防治措施分析 </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主要为生活污水。软水制备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浓水可作为清净下水排入下水管网，项目食堂废水经隔油池处理后和生活污水一并进入厂区自建化粪池处理达到《污水综合排放标准》（GB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-1996）表4的三级标准后排入园区污水处理厂处理。</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6.2.2.1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园区污水处理厂接收废水可行性分析</w:t>
      </w:r>
    </w:p>
    <w:p>
      <w:pPr>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民生工业园区污水处理厂位于木垒县城东北侧约12km，主要用于收纳木垒县城、民生工业园区（农副产品加工及民族特色旅游产业区、农畜产品及食品加工区、新型产业及轻工业区）的生活污水和生产废水。污水处理厂近期（2020年）污水处理规模为1万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/d，远期（2030年）污水处理规模为2万m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/d。污水处理工艺采用沉淀+水解酸化+A</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O生化+紫外线消毒，最终出水达到《城镇污水处理厂污染物排放标准》(GB189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-2002)中的一级A标准，作为木垒光伏产业园用水或下游绿化灌溉水源。</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所在的新型产业及轻工业区位于污水处理厂上游，相对高程差分别为36～91m。木垒县民生工业园区污水处理厂及配套管网工程管线已布设至新型产业及轻工业区管道长9.8km，均为重力排水管道，已铺设至项目所在区域。</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项目外排生活污水排放浓度可以达到民生工业园区污水管网接管标准，因此，本项目生活污水排至民生工业园区污水处理厂可行。</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6.2.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地下水污染防治措施分析</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通过对地下水环境影响分析可知，本项目对地下水环境的影响主要来自事故风险，灌注区、化学品仓库以及危险废物暂存场所的防腐防渗措施不当等。针对该类风险，本项目在特殊的生产、贮存场所设置专门的地下水污染防治措施如下。</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一、源头控制措施</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主要包括在工艺、管道、设备、储存及处理构筑物采取相应措施，防止和减少污染物的跑、冒、滴、漏，将污染物泄露的环境风险事故降到最低程度。</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二、分区防渗</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（1）分区防渗划分</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①重点防渗区</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本项目重点防渗区布置在灌注区、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涂装区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化学品仓库以及危险废物暂存场所。重点防渗区，可采用1m厚压实粘土，内表面涂刷水泥基渗透结晶型防渗涂层(≥1.0mm)，长丝无纺土工布、2mm厚HDPE防渗膜、防渗钢筋混凝土浇筑池体，C10混凝土垫层原土夯实（渗透系数不大于1.0x10-10cm/s）。</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②一般污染防渗区</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主要包括生产区、一般固体废物及公用辅助工程等，参照《一般工业固体废物贮存和填埋污染控制标准》（GB 18599-2020）Ⅱ类场进行设计。一般污染区防渗要求：当天然基础层的渗透系数大于1.0×10- 7cm/s时，应采用天然或人工材料构筑防渗层，防渗层的厚度应相当于渗透系数1.0×10-7cm/s和厚度1.5m的粘土层的防渗性能。</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一般污染防治区应以水泥硬化地面为基础，增加一层防渗混凝土，通过在抗渗钢纤维混凝土面层中掺水泥基渗透结晶型防水剂，其下铺砌砂石基层，原土夯实达到防渗的目的。对于混凝土中间的伸缩缝、缩缝和与实体基础的缝隙，通过填充柔性材料、防渗填塞料达到防渗的目的。</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（2）其他污染防治措施</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①加强管理，设置环保工作组，定期检查厂内的生产运行是否规范，禁止乱排垃圾，防止降雨淋溶产生的淋滤液下渗污染地下水。</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②重点防渗区的防渗使用寿命一般应在20年以上。</w:t>
      </w:r>
    </w:p>
    <w:p>
      <w:pPr>
        <w:keepNext w:val="0"/>
        <w:keepLines w:val="0"/>
        <w:pageBreakBefore w:val="0"/>
        <w:widowControl/>
        <w:kinsoku/>
        <w:wordWrap/>
        <w:overflowPunct w:val="0"/>
        <w:topLinePunct w:val="0"/>
        <w:autoSpaceDE w:val="0"/>
        <w:autoSpaceDN w:val="0"/>
        <w:bidi w:val="0"/>
        <w:adjustRightInd/>
        <w:snapToGrid/>
        <w:spacing w:line="360" w:lineRule="auto"/>
        <w:jc w:val="both"/>
        <w:textAlignment w:val="baseline"/>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6.2.3噪声污染防治措施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本项目主要噪声源为机械设备运行时产生的噪声。这些设备噪声防治原则</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应首先考虑选用低噪声设备，其次是采用消声、减震和使用隔声罩等措施，降</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低其噪声对周围环境的影响。为增强噪声防治效果，建议采用如下措施：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从声源上降噪</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了控制噪声，首先控制声源。企业在设备选型上除注意高效节能外，选用低噪声环保型设备，并维持设备处于良好的运转状态，因设备运转不正常时噪声往往增高。针对不同噪声源，根据其产生的性质和机理不同分别采用隔声、减振或加消声器等方式进行了降噪处理。通过安装减震垫、消声器来达到降低噪声的目的。</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从传播途径上降噪</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传播途径上加以控制。对某些高噪声设备进行隔音处理，风机和空压机用隔声罩降噪。采用“闹静分开”和“合理布局”的设计原则，车间高噪声区域近门窗一侧设置隔声屏障，车间采用隔声门窗，墙体采用双层隔声结构，窗采用双层铝固定窗，门采用双道隔声门，一般情况下关闭门窗。</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合理布局</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本项目占地面积大，建议将主要高噪声生产设备布置在厂区中部。采用“闹静分开” 和合理布局的设置原则，尽量将高噪声源远离噪声敏感区域或厂界。在车间、厂区周围建设一定高度的隔声屏障，如围墙，减少对车间外或厂区外声环境的影响，种植一定的植被，亦有利于减少噪声污染。</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4、加强管理</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平时加强对各噪声设备的保养、检修与润滑，保证设备良好运转，减轻运行噪声强度，杜绝因设备不正常运转时产生的高噪声现象。定期对各车间工人发放耳塞和耳帽等物品进行佩戴，以减轻各设备噪声对车间工人的影响。</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综上所述，采取上述噪声控制措施后，厂界噪声可以达到《工业企业厂界环境噪声排放标准》（GB12348-2008）3类标准的要求，不会对项目周围环境等造成声污染。</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6.2.4固体废物污染防治措施</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6.2.4.1固体废物处理处置方案</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项目固体废物分类收集、分类存放、分类处置，按照资源化、无害化原则处理处置。</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项目生活垃圾，交由当地环卫部门进行统一处理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一般工业固体废弃物统一收集后置于一般固废暂存间存放，定期处理。一般固废暂存间满足消防要求。按照《一般工业固体废物贮存和填埋污染控制标准》（GB 18599-2020）要求进行建设，地面进行了硬化，采取了防渗处理（采用人工材料构筑防渗层，防渗层的厚度应相当于渗透系数1.0×10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cm/s和厚度1.5m的粘土层的防渗性能）。危废委托有资质单位进行处置。通过以上措施处理后，项目固体废物可以做到零排放。</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垃圾填埋场位于木垒县城以东北，距离县城约18公里处的戈壁，库容约为105 万m³。中心地理坐标为东经90°24′28″，北纬43°57′1″。处理规模近期（2020年）生活垃圾设计规模为150.00吨/d，远期（2030年）生活垃圾设计规模为170.00吨/d，总处理规模76.35万吨，库容110.98万立方米。填埋库区总占地面积为23.63万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2017月7月，木垒县住房和城乡建设局委托新疆煤炭设计研究院有限责任公司编制完成《木垒哈萨克自治县新建生活垃圾处理工程环境影响报告书》；2017年12月15日昌吉州环境保护局以《关于木垒哈萨克自治县新建生活垃圾处理工程环境影响报告书的批复》（昌州环评「2017」109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进行了批复。2018年经过方案论证，建设单位又对渗滤液的处理方式做了变更，再次编制了《木垒哈萨克自治县新建生活垃圾处理工程变更环境影响评价报告书》，2018年9月14日昌吉州环境保护局以《关于木垒哈萨克自治县新建生活垃圾处理工程环境影响报告书的批复》（昌州环评「2018」51号）进行了批复。填埋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于</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通过了</w:t>
      </w:r>
      <w:r>
        <w:rPr>
          <w:rFonts w:hint="default" w:ascii="Times New Roman" w:hAnsi="Times New Roman" w:eastAsia="宋体" w:cs="Times New Roman"/>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验收</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3"/>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6.2.4.2危险废物收集、暂存、运输、处理污染防治措施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本项目危险废物拟委托有资质单位进行处置，建设单位应在项目建设完成投产前与危废处理单位签署委托处置协议。</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（1）危险废物收集污染防治措施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应分类收集，其产生现场应设置专用容器随时收集，不得乱丢乱弃，不得混入其它固废和生活垃圾。生产车间设置危险废物暂存间，分类收集的危险废物置于暂存间分类存放，不同类危险废物之间保持适当间隔。暂存间设置专用存储容器，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散装</w:t>
      </w: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危险废物进行安全包装，并在包装的明显位置附上危险废物标签，以方便委托处理单位处理。危险废物入库必须按照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highlight w:val="none"/>
          <w14:textFill>
            <w14:solidFill>
              <w14:schemeClr w14:val="tx1"/>
            </w14:solidFill>
          </w14:textFill>
        </w:rPr>
        <w:t>工段及数量做好登记。</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在收集时，需标清废物的类别和主要成份，并严格按《关于加强危险废物交换和转移管理工作的通知》要求，根据危险废物的性质和形态，采用不同大小和不同材质的容器进行安全包装，并在包装的明显位置附上危险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堆存可行性分析物标签。通过严格检查，严 防在装载、搬迁或运输中出现渗漏、溢出、抛洒或挥发等不利情况。</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（2）运输过程的污染防治措施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本项目生产过程中产生的危险废物均于车间内经容器收集后使用推车经指定路线运输至危险废物堆场内暂存。</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1）厂内危险废物收集过程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①应根据收集设备、转运车辆以及现场人员等实际情况确定相应作业区域，同时要设置作业界限标志和警示牌。</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②作业区域内应设置危险废物收集专用通道和人员避险通道。</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③收集时应配备必要的收集工具和包装物，以及必要的应急监测设备及应急装备。</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④收集结束后应清理和恢复收集作业区域，确保作业区域环境整洁安全。</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⑤收集过危险废物的容器、设备、设施、场所及其它物品转作它用时，应消除污染，确保其使用安全。</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2）厂内危险废物转运作业要求</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①危险废物内部转运应综合考虑厂区的实际情况确定转运路线，尽量避开办公区。</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②危险废物内部转运作业应采用专用的工具，危险废物内部转运应填写《危险废物厂内转运记录表》。</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③危险废物内部转运结束后，应对转运路线进行检查和清理，确保无危险废物遗失 在转运路线上，并对转运工具进行清洗。</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（3）贮存场所（设施）污染防治措施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危险废物应及时送往委托处置单位处理，不宜存放过长时间。暂存间的设置要求如下：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①贮存场所必须符合《危险废物贮存污染控制标准》（GB18597-2001）及其2013年修改单规定的贮存控制标准，必须有符合要求的专用标志。</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②贮存场所内禁止混放不相容危险废物，要防风、防雨、防晒。</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堆放危险废物的高度应根据地面承载能力确定，衬里放在一个基础或底座上，衬里要能够覆盖危险废物或其溶出物可能涉及到的范围。基础必须防渗，防渗层为至少1米厚粘土层（渗透系数≤10-7厘米/秒），或2毫米厚高密度聚乙烯，或至少2毫米厚的其它人工材料，渗透系数≤10-10厘米/秒。</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 贮存场所符合消防要求。</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危险废物的出厂运输可委托危废处置单位进行，符合相关规定。以上固体废物防治措施，符合固体废物处理处置的无害化、资源化、减量化的基本要求，措施可行。</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土壤污染防治措施分析</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为减轻或避免对土壤造成不利影响，评价根据土壤导则对项目建设提出相应的控制措施，主要从源头控制、过程控制以及跟踪监测三方面来说，具体如下：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（1）源头控制</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污染源主要为生产废气、生活污水、固废，企业应加强管理，做好节能减排和清洁生产工作，一方面减少污染物产生量，另一方面降低污染物排放浓度和排放量。源强的降低可以在发生泄漏时减轻对土壤的影响。</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（2）过程防控措施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本项目产生污染物种类为二甲苯、甲苯、非甲烷总烃、TSP，</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采用</w:t>
      </w:r>
      <w:r>
        <w:rPr>
          <w:rFonts w:hint="default" w:ascii="Times New Roman" w:hAnsi="Times New Roman" w:eastAsia="宋体" w:cs="Times New Roman"/>
          <w:color w:val="000000" w:themeColor="text1"/>
          <w:sz w:val="24"/>
          <w:szCs w:val="24"/>
          <w:highlight w:val="none"/>
          <w14:textFill>
            <w14:solidFill>
              <w14:schemeClr w14:val="tx1"/>
            </w14:solidFill>
          </w14:textFill>
        </w:rPr>
        <w:t>处理后经高空排气筒达标排放；项目食堂废水经隔油池处理后和生活污水一并进入厂区自建化粪池处理达到《污水综合排放标准》（GB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14:textFill>
            <w14:solidFill>
              <w14:schemeClr w14:val="tx1"/>
            </w14:solidFill>
          </w14:textFill>
        </w:rPr>
        <w:t>-1996）表4的三级标准排入污水处理厂。本项目固废均妥善处理，不会对土壤造成影响。厂区内采取绿化措施，对二甲苯、甲苯、非甲烷总烃、VOCS、TSP等污染物进行有效吸附。</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（3）跟踪监测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根据《环境影响评价技术导则土壤环境（试行）》（HJ964-2018）要求，评价工作等级为一级的建设项目一般每3年内开展1次监测工作，二级的每5年内开展1次，三级的必要时可开展跟踪监测。本项目评价工作等级为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4"/>
          <w:szCs w:val="24"/>
          <w:highlight w:val="none"/>
          <w14:textFill>
            <w14:solidFill>
              <w14:schemeClr w14:val="tx1"/>
            </w14:solidFill>
          </w14:textFill>
        </w:rPr>
        <w:t>级评价，评价建议企业每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年开展1次土壤监测工作。在严格落实环评提出的分区防渗等环保措施、加强管理的前提下，本项目实施后不会对项目区土壤环境的造成影响。</w:t>
      </w: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166" w:name="_Toc22808"/>
      <w:bookmarkStart w:id="167" w:name="_Toc939"/>
      <w:bookmarkStart w:id="168" w:name="_Toc11248"/>
      <w:bookmarkStart w:id="169" w:name="_Toc18704"/>
      <w:r>
        <w:rPr>
          <w:rFonts w:hint="default" w:ascii="Times New Roman" w:hAnsi="Times New Roman" w:eastAsia="宋体" w:cs="Times New Roman"/>
          <w:color w:val="000000" w:themeColor="text1"/>
          <w:sz w:val="30"/>
          <w:szCs w:val="30"/>
          <w:highlight w:val="none"/>
          <w14:textFill>
            <w14:solidFill>
              <w14:schemeClr w14:val="tx1"/>
            </w14:solidFill>
          </w14:textFill>
        </w:rPr>
        <w:t>7  环境影响经济损益分析</w:t>
      </w:r>
      <w:bookmarkEnd w:id="166"/>
      <w:bookmarkEnd w:id="167"/>
      <w:bookmarkEnd w:id="168"/>
      <w:bookmarkEnd w:id="169"/>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70" w:name="_Toc12934"/>
      <w:bookmarkStart w:id="171" w:name="_Toc14089"/>
      <w:bookmarkStart w:id="172" w:name="_Toc767"/>
      <w:bookmarkStart w:id="173" w:name="_Toc8449"/>
      <w:r>
        <w:rPr>
          <w:rFonts w:hint="default" w:ascii="Times New Roman" w:hAnsi="Times New Roman" w:eastAsia="宋体" w:cs="Times New Roman"/>
          <w:color w:val="000000" w:themeColor="text1"/>
          <w:sz w:val="24"/>
          <w:szCs w:val="24"/>
          <w:highlight w:val="none"/>
          <w14:textFill>
            <w14:solidFill>
              <w14:schemeClr w14:val="tx1"/>
            </w14:solidFill>
          </w14:textFill>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然而，经济效益比较直观，很容易用货币直接计算，而污染影响带来的损失一般是间接的，很难用货币直接计算。因而，环境影响经济具体定量化分析，目前难度还是较大的，多数是采用定性和半定量相结合的方法进行讨论。</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符合国家产业政策和城市总体规划的要求，对区域经济发展促进作用明显。因此，项目的建设蕴含着巨大的经济、社会效益，在充分认识这些正面效应的同时，项目积极推行清洁生产，加强环境管理，对产生的污水、噪声、废气、固体废物等污染影响因素采取一系列环保措施，由此可以实现环境、经济和社会效益的协调发展。</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74" w:name="_Toc23987"/>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7.1 </w:t>
      </w:r>
      <w:bookmarkEnd w:id="170"/>
      <w:bookmarkEnd w:id="171"/>
      <w:bookmarkEnd w:id="172"/>
      <w:bookmarkEnd w:id="173"/>
      <w:r>
        <w:rPr>
          <w:rFonts w:hint="default" w:ascii="Times New Roman" w:hAnsi="Times New Roman" w:eastAsia="宋体" w:cs="Times New Roman"/>
          <w:color w:val="000000" w:themeColor="text1"/>
          <w:sz w:val="24"/>
          <w:szCs w:val="24"/>
          <w:highlight w:val="none"/>
          <w14:textFill>
            <w14:solidFill>
              <w14:schemeClr w14:val="tx1"/>
            </w14:solidFill>
          </w14:textFill>
        </w:rPr>
        <w:t>环保措施投资估算</w:t>
      </w:r>
      <w:bookmarkEnd w:id="174"/>
    </w:p>
    <w:p>
      <w:pPr>
        <w:pageBreakBefore w:val="0"/>
        <w:kinsoku/>
        <w:overflowPunct w:val="0"/>
        <w:bidi w:val="0"/>
        <w:snapToGrid w:val="0"/>
        <w:spacing w:line="360" w:lineRule="auto"/>
        <w:ind w:firstLine="465"/>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本项目计划总投资为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sz w:val="24"/>
          <w:szCs w:val="24"/>
          <w:highlight w:val="none"/>
          <w14:textFill>
            <w14:solidFill>
              <w14:schemeClr w14:val="tx1"/>
            </w14:solidFill>
          </w14:textFill>
        </w:rPr>
        <w:t>000万元，其中环保投资约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913</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1.863</w:t>
      </w:r>
      <w:r>
        <w:rPr>
          <w:rFonts w:hint="default" w:ascii="Times New Roman" w:hAnsi="Times New Roman" w:eastAsia="宋体" w:cs="Times New Roman"/>
          <w:color w:val="000000" w:themeColor="text1"/>
          <w:sz w:val="24"/>
          <w:szCs w:val="24"/>
          <w:highlight w:val="none"/>
          <w14:textFill>
            <w14:solidFill>
              <w14:schemeClr w14:val="tx1"/>
            </w14:solidFill>
          </w14:textFill>
        </w:rPr>
        <w:t>%，包括废气治理、危废暂存间等，具体环保投资见表8.1-1。</w:t>
      </w:r>
    </w:p>
    <w:p>
      <w:pPr>
        <w:keepNext w:val="0"/>
        <w:keepLines w:val="0"/>
        <w:pageBreakBefore w:val="0"/>
        <w:widowControl/>
        <w:kinsoku/>
        <w:wordWrap/>
        <w:overflowPunct w:val="0"/>
        <w:topLinePunct w:val="0"/>
        <w:autoSpaceDE w:val="0"/>
        <w:autoSpaceDN w:val="0"/>
        <w:bidi w:val="0"/>
        <w:adjustRightInd w:val="0"/>
        <w:snapToGrid w:val="0"/>
        <w:spacing w:line="240" w:lineRule="auto"/>
        <w:ind w:firstLine="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表8.1-1 拟建项目环境保护投资</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3146"/>
        <w:gridCol w:w="1500"/>
        <w:gridCol w:w="1520"/>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9"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类别</w:t>
            </w:r>
          </w:p>
        </w:tc>
        <w:tc>
          <w:tcPr>
            <w:tcW w:w="1846"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主要设施</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设备</w:t>
            </w:r>
          </w:p>
        </w:tc>
        <w:tc>
          <w:tcPr>
            <w:tcW w:w="880"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环保投资（万元）</w:t>
            </w:r>
          </w:p>
        </w:tc>
        <w:tc>
          <w:tcPr>
            <w:tcW w:w="892"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治理效果</w:t>
            </w:r>
          </w:p>
        </w:tc>
        <w:tc>
          <w:tcPr>
            <w:tcW w:w="1001"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进度安排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废气处理</w:t>
            </w:r>
          </w:p>
        </w:tc>
        <w:tc>
          <w:tcPr>
            <w:tcW w:w="1846"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设置灌注、涂装车间为密闭车间，通过上进风+侧面吸风+粗效吸附箱+活性炭吸附/脱附+催化燃烧（热源采用电加热）+风机+一根27米排气筒排放。</w:t>
            </w:r>
          </w:p>
        </w:tc>
        <w:tc>
          <w:tcPr>
            <w:tcW w:w="880"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达标排放</w:t>
            </w:r>
          </w:p>
        </w:tc>
        <w:tc>
          <w:tcPr>
            <w:tcW w:w="1001" w:type="pct"/>
            <w:vMerge w:val="restar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本项目完成时同时实施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846"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密闭负压涂装车间，密闭负压灌注、合模车间</w:t>
            </w:r>
          </w:p>
        </w:tc>
        <w:tc>
          <w:tcPr>
            <w:tcW w:w="880"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达标排放</w:t>
            </w:r>
          </w:p>
        </w:tc>
        <w:tc>
          <w:tcPr>
            <w:tcW w:w="1001" w:type="pct"/>
            <w:vMerge w:val="continue"/>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846"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“Nederman高负压除尘系统</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含除尘器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+打磨/清扫套件”</w:t>
            </w:r>
          </w:p>
        </w:tc>
        <w:tc>
          <w:tcPr>
            <w:tcW w:w="880"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达标排放</w:t>
            </w:r>
          </w:p>
        </w:tc>
        <w:tc>
          <w:tcPr>
            <w:tcW w:w="1001" w:type="pct"/>
            <w:vMerge w:val="continue"/>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79"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846"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油烟净化器</w:t>
            </w:r>
          </w:p>
        </w:tc>
        <w:tc>
          <w:tcPr>
            <w:tcW w:w="880"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892"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达标排放</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w:t>
            </w:r>
          </w:p>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防治</w:t>
            </w:r>
          </w:p>
        </w:tc>
        <w:tc>
          <w:tcPr>
            <w:tcW w:w="1846"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隔油池、化粪池、下水管网</w:t>
            </w:r>
          </w:p>
        </w:tc>
        <w:tc>
          <w:tcPr>
            <w:tcW w:w="880"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45</w:t>
            </w:r>
          </w:p>
        </w:tc>
        <w:tc>
          <w:tcPr>
            <w:tcW w:w="892" w:type="pct"/>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达标排放</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厂区硬化，分区防渗建设，对生产区等重点防渗区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渗透系数</w:t>
            </w:r>
            <w:r>
              <w:rPr>
                <w:rFonts w:hint="default" w:ascii="Times New Roman" w:hAnsi="Times New Roman" w:eastAsia="宋体" w:cs="Times New Roman"/>
                <w:color w:val="000000" w:themeColor="text1"/>
                <w:sz w:val="21"/>
                <w:szCs w:val="21"/>
                <w:highlight w:val="none"/>
                <w14:textFill>
                  <w14:solidFill>
                    <w14:schemeClr w14:val="tx1"/>
                  </w14:solidFill>
                </w14:textFill>
              </w:rPr>
              <w:t>K≤10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减少污染</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消防水池、应急事故池</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减少污染</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控制</w:t>
            </w: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隔音降噪设施</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60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降低噪声污染</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废物</w:t>
            </w: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收集</w:t>
            </w:r>
            <w:r>
              <w:rPr>
                <w:rFonts w:hint="default" w:ascii="Times New Roman" w:hAnsi="Times New Roman" w:eastAsia="宋体" w:cs="Times New Roman"/>
                <w:color w:val="000000" w:themeColor="text1"/>
                <w:sz w:val="21"/>
                <w:szCs w:val="21"/>
                <w:highlight w:val="none"/>
                <w14:textFill>
                  <w14:solidFill>
                    <w14:schemeClr w14:val="tx1"/>
                  </w14:solidFill>
                </w14:textFill>
              </w:rPr>
              <w:t>桶</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箱</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0.5</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减少污染</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一般固废存储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室</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有效处置</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危废暂存间</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有效处置</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生态防治</w:t>
            </w: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绿化</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减少污染</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p>
        </w:tc>
        <w:tc>
          <w:tcPr>
            <w:tcW w:w="1846"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排污口标识牌</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0.5</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达标排放</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5" w:type="pct"/>
            <w:gridSpan w:val="2"/>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880"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913</w:t>
            </w:r>
          </w:p>
        </w:tc>
        <w:tc>
          <w:tcPr>
            <w:tcW w:w="892" w:type="pct"/>
            <w:vAlign w:val="center"/>
          </w:tcPr>
          <w:p>
            <w:pPr>
              <w:pStyle w:val="5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001" w:type="pct"/>
            <w:vMerge w:val="continue"/>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bl>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75" w:name="_Toc15552"/>
      <w:bookmarkStart w:id="176" w:name="_Toc18155"/>
      <w:bookmarkStart w:id="177" w:name="_Toc283"/>
      <w:bookmarkStart w:id="178" w:name="_Toc12683"/>
      <w:bookmarkStart w:id="179" w:name="_Toc30352"/>
      <w:r>
        <w:rPr>
          <w:rFonts w:hint="default" w:ascii="Times New Roman" w:hAnsi="Times New Roman" w:eastAsia="宋体" w:cs="Times New Roman"/>
          <w:color w:val="000000" w:themeColor="text1"/>
          <w:sz w:val="24"/>
          <w:szCs w:val="24"/>
          <w:highlight w:val="none"/>
          <w14:textFill>
            <w14:solidFill>
              <w14:schemeClr w14:val="tx1"/>
            </w14:solidFill>
          </w14:textFill>
        </w:rPr>
        <w:t>7.2</w:t>
      </w:r>
      <w:bookmarkEnd w:id="175"/>
      <w:bookmarkEnd w:id="176"/>
      <w:bookmarkEnd w:id="177"/>
      <w:bookmarkEnd w:id="178"/>
      <w:r>
        <w:rPr>
          <w:rFonts w:hint="default" w:ascii="Times New Roman" w:hAnsi="Times New Roman" w:eastAsia="宋体" w:cs="Times New Roman"/>
          <w:color w:val="000000" w:themeColor="text1"/>
          <w:sz w:val="24"/>
          <w:szCs w:val="24"/>
          <w:highlight w:val="none"/>
          <w14:textFill>
            <w14:solidFill>
              <w14:schemeClr w14:val="tx1"/>
            </w14:solidFill>
          </w14:textFill>
        </w:rPr>
        <w:t>环保措施的费用指标估算</w:t>
      </w:r>
      <w:bookmarkEnd w:id="179"/>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主要是设备的动力费、材料费和水费和电费等，合计约30万元/年。此外，维修费按环保</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设备</w:t>
      </w:r>
      <w:r>
        <w:rPr>
          <w:rFonts w:hint="default" w:ascii="Times New Roman" w:hAnsi="Times New Roman" w:eastAsia="宋体" w:cs="Times New Roman"/>
          <w:color w:val="000000" w:themeColor="text1"/>
          <w:sz w:val="24"/>
          <w:szCs w:val="24"/>
          <w:highlight w:val="none"/>
          <w14:textFill>
            <w14:solidFill>
              <w14:schemeClr w14:val="tx1"/>
            </w14:solidFill>
          </w14:textFill>
        </w:rPr>
        <w:t>投资的3%计，即维修费为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万元/年；从事环境保护工作人员的工资6万元/年；与环境保护有关的监测费、咨询费、学术交流费等预计3万元/年。环保措施的费用指标环保运转成本为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66</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万元/年。</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80" w:name="_Toc19759"/>
      <w:bookmarkStart w:id="181" w:name="_Toc3163"/>
      <w:bookmarkStart w:id="182" w:name="_Toc29998"/>
      <w:bookmarkStart w:id="183" w:name="_Toc22944"/>
      <w:bookmarkStart w:id="184" w:name="_Toc13278"/>
      <w:r>
        <w:rPr>
          <w:rFonts w:hint="default" w:ascii="Times New Roman" w:hAnsi="Times New Roman" w:eastAsia="宋体" w:cs="Times New Roman"/>
          <w:color w:val="000000" w:themeColor="text1"/>
          <w:sz w:val="24"/>
          <w:szCs w:val="24"/>
          <w:highlight w:val="none"/>
          <w14:textFill>
            <w14:solidFill>
              <w14:schemeClr w14:val="tx1"/>
            </w14:solidFill>
          </w14:textFill>
        </w:rPr>
        <w:t>7.3环境效益</w:t>
      </w:r>
      <w:bookmarkEnd w:id="180"/>
      <w:bookmarkEnd w:id="181"/>
      <w:bookmarkEnd w:id="182"/>
      <w:bookmarkEnd w:id="183"/>
      <w:bookmarkEnd w:id="184"/>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本项目工艺废气（粉尘颗粒物、有机废气）经处理后达标排放，对项目周围地区的环境空气质量影响较小。</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本项目外排废水主要来源于生活污水，项目食堂废水经隔油池处理后和生活污水一并进入厂区自建化粪池处理达到《污水综合排放标准》（GB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14:textFill>
            <w14:solidFill>
              <w14:schemeClr w14:val="tx1"/>
            </w14:solidFill>
          </w14:textFill>
        </w:rPr>
        <w:t>-1996）表4的三级标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准</w:t>
      </w:r>
      <w:r>
        <w:rPr>
          <w:rFonts w:hint="default" w:ascii="Times New Roman" w:hAnsi="Times New Roman" w:eastAsia="宋体" w:cs="Times New Roman"/>
          <w:color w:val="000000" w:themeColor="text1"/>
          <w:sz w:val="24"/>
          <w:szCs w:val="24"/>
          <w:highlight w:val="none"/>
          <w14:textFill>
            <w14:solidFill>
              <w14:schemeClr w14:val="tx1"/>
            </w14:solidFill>
          </w14:textFill>
        </w:rPr>
        <w:t>后排入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园区</w:t>
      </w:r>
      <w:r>
        <w:rPr>
          <w:rFonts w:hint="default" w:ascii="Times New Roman" w:hAnsi="Times New Roman" w:eastAsia="宋体" w:cs="Times New Roman"/>
          <w:color w:val="000000" w:themeColor="text1"/>
          <w:sz w:val="24"/>
          <w:szCs w:val="24"/>
          <w:highlight w:val="none"/>
          <w14:textFill>
            <w14:solidFill>
              <w14:schemeClr w14:val="tx1"/>
            </w14:solidFill>
          </w14:textFill>
        </w:rPr>
        <w:t>污水处理厂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highlight w:val="none"/>
          <w14:textFill>
            <w14:solidFill>
              <w14:schemeClr w14:val="tx1"/>
            </w14:solidFill>
          </w14:textFill>
        </w:rPr>
        <w:t>对项目周围地区的水环境质量影响较小。</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工程噪声主要产生于各种机械设备，为了保证运行安全和职工的身心健康，不但在设计上采取有效措施降低噪声，而且要订购设备时对制造厂提出噪声限值要求，安装时对噪声强度较高的设备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安装</w:t>
      </w:r>
      <w:r>
        <w:rPr>
          <w:rFonts w:hint="default" w:ascii="Times New Roman" w:hAnsi="Times New Roman" w:eastAsia="宋体" w:cs="Times New Roman"/>
          <w:color w:val="000000" w:themeColor="text1"/>
          <w:sz w:val="24"/>
          <w:szCs w:val="24"/>
          <w:highlight w:val="none"/>
          <w14:textFill>
            <w14:solidFill>
              <w14:schemeClr w14:val="tx1"/>
            </w14:solidFill>
          </w14:textFill>
        </w:rPr>
        <w:t>消声器、隔声罩。即解决了职工身心健康问题又保护厂界周围声环境不受影响。</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工程产生的各种固废等均采取措施处理处置，变废为宝，既有效地利用了资源、创造了一定经济效益，又减少和避免了堆放对环境的影响。</w:t>
      </w:r>
    </w:p>
    <w:p>
      <w:pPr>
        <w:pageBreakBefore w:val="0"/>
        <w:kinsoku/>
        <w:overflowPunct w:val="0"/>
        <w:bidi w:val="0"/>
        <w:snapToGrid w:val="0"/>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185" w:name="_Toc31391"/>
      <w:bookmarkStart w:id="186" w:name="_Toc12405"/>
      <w:bookmarkStart w:id="187" w:name="_Toc15644"/>
      <w:bookmarkStart w:id="188" w:name="_Toc5078"/>
      <w:r>
        <w:rPr>
          <w:rFonts w:hint="default" w:ascii="Times New Roman" w:hAnsi="Times New Roman" w:eastAsia="宋体" w:cs="Times New Roman"/>
          <w:color w:val="000000" w:themeColor="text1"/>
          <w:sz w:val="30"/>
          <w:szCs w:val="30"/>
          <w:highlight w:val="none"/>
          <w14:textFill>
            <w14:solidFill>
              <w14:schemeClr w14:val="tx1"/>
            </w14:solidFill>
          </w14:textFill>
        </w:rPr>
        <w:t>8  环境管理与监测计划</w:t>
      </w:r>
      <w:bookmarkEnd w:id="185"/>
      <w:bookmarkEnd w:id="186"/>
      <w:bookmarkEnd w:id="187"/>
      <w:bookmarkEnd w:id="188"/>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为使项目在促进当地经济建设的同时，尽可能减少对环境的负面影响，确保各项环保处理设施的正常运行，企业必须</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建立健全</w:t>
      </w:r>
      <w:r>
        <w:rPr>
          <w:rFonts w:hint="default" w:ascii="Times New Roman" w:hAnsi="Times New Roman" w:eastAsia="宋体" w:cs="Times New Roman"/>
          <w:color w:val="000000" w:themeColor="text1"/>
          <w:sz w:val="24"/>
          <w:szCs w:val="24"/>
          <w:highlight w:val="none"/>
          <w14:textFill>
            <w14:solidFill>
              <w14:schemeClr w14:val="tx1"/>
            </w14:solidFill>
          </w14:textFill>
        </w:rPr>
        <w:t>各项环境管理制度、制定详细的环境监测计划，务必使该项目做到经济效益、社会效益与环境效益的协调统一。</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89" w:name="_Toc8726"/>
      <w:bookmarkStart w:id="190" w:name="_Toc30878"/>
      <w:bookmarkStart w:id="191" w:name="_Toc32626"/>
      <w:bookmarkStart w:id="192" w:name="_Toc27326"/>
      <w:bookmarkStart w:id="193" w:name="_Toc24774"/>
      <w:r>
        <w:rPr>
          <w:rFonts w:hint="default" w:ascii="Times New Roman" w:hAnsi="Times New Roman" w:eastAsia="宋体" w:cs="Times New Roman"/>
          <w:color w:val="000000" w:themeColor="text1"/>
          <w:sz w:val="24"/>
          <w:szCs w:val="24"/>
          <w:highlight w:val="none"/>
          <w14:textFill>
            <w14:solidFill>
              <w14:schemeClr w14:val="tx1"/>
            </w14:solidFill>
          </w14:textFill>
        </w:rPr>
        <w:t>8.1环境管理</w:t>
      </w:r>
      <w:bookmarkEnd w:id="189"/>
      <w:bookmarkEnd w:id="190"/>
      <w:bookmarkEnd w:id="191"/>
      <w:bookmarkEnd w:id="192"/>
      <w:bookmarkEnd w:id="193"/>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8.1.1</w:t>
      </w:r>
      <w:r>
        <w:rPr>
          <w:rFonts w:hint="default" w:ascii="Times New Roman" w:hAnsi="Times New Roman" w:eastAsia="宋体" w:cs="Times New Roman"/>
          <w:b/>
          <w:color w:val="000000" w:themeColor="text1"/>
          <w:sz w:val="24"/>
          <w:szCs w:val="24"/>
          <w:highlight w:val="none"/>
          <w14:textFill>
            <w14:solidFill>
              <w14:schemeClr w14:val="tx1"/>
            </w14:solidFill>
          </w14:textFill>
        </w:rPr>
        <w:t>机构设置</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对同类项目的调查发现，本类项目主要污染为生产废气，因此拟建项目建成后，必须设置专门从事环境管理的机构，配备专职环保人员1-2名，负责环境监督管理工作，同时要加强对管理人员的环保培训，不断提高管理水平。</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管理机构主要职能是研究决策本公司环保工作的重大事宜，并负责公司环境保护的规划和管理以及环境保护治理设施管理、维修、操作，负责公司的环境监测，是环境管理工作的具体执行部门。其主要职责如下：</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（1）根据公司规模、性质、特点和国家法律、法规，制定全公司环保规划和环境方针，并负责以多种形式向相关方面</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宣传</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（2）负责获取、更新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适用</w:t>
      </w:r>
      <w:r>
        <w:rPr>
          <w:rFonts w:hint="default" w:ascii="Times New Roman" w:hAnsi="Times New Roman" w:eastAsia="宋体" w:cs="Times New Roman"/>
          <w:color w:val="000000" w:themeColor="text1"/>
          <w:sz w:val="24"/>
          <w:szCs w:val="24"/>
          <w:highlight w:val="none"/>
          <w14:textFill>
            <w14:solidFill>
              <w14:schemeClr w14:val="tx1"/>
            </w14:solidFill>
          </w14:textFill>
        </w:rPr>
        <w:t>于本企业的与环境相关的法律、法规，负责把适用的法律、法规发放到相关部门；</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（3）协助各车间制定车间的环保规划，并协调和监督各单位具体实施；</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制定营运期各污染治理设施的处理工艺技术规范和操作规程，建立各污染源监测制度，按环境监测部门的要求，制定各项化（检）验技术规程，按规定定期对各污染源排放点进行监测，保证处理效果达到设计要求，各污染源达标排放；</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（5）在生产运行阶段，定期检查各生产设备的运行状况，减少“跑、冒、滴、漏” 现象的发生，保证生产的正常运行；定期检测各治污设备的运行状况，如：废水处理设施和废气处理系统等，并建立各治污设备的运行档案，确保各污染处理设施的正常运行，杜绝污染事故的发生；</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（6）加强宣传教育，不断提高各级管理者和广大企业职工对环境保护的认识水平，定期培训环境管理人员，做到分工明确、责任清晰；</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负责制定和实施公司的年度环保培训计划，负责公司内外部的环境工作信。息交流；</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（7）监督检查各部门环保设施的运行管理，尤其是了解废气处理装置的运行状况；</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（8）编制突发性环境事故应急处理流程；对突发性环境污染事故，进行协调处理；负责应急计划的监督；</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（9）负责对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环保工程及其“三同时”执行情况进行环境监测、数据分析验收评估。</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工作计划和方案</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（1）报告制度</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建设项目环境保护管理条例》中第十七条、十八条规定：编制环境影响报告书、环境影响报告表的建设项目竣工后，建设单位应当按照国务院环境保护行政主管部门规定的标准和程序，对配套建设的环境保护设施进行验收，编制验收报告；分期建设、分期投入生产或者使用的建设项目，其相应的环境保护设施应当分期验收。</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企业排污发生重大变化、污染治理设施改变或生产运行计划改变等都必须向当地环保部门申报，经环保部门批同意后方可实施。</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（2）污染处理设施的管理制度</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对污染治理设施的管理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必须</w:t>
      </w:r>
      <w:r>
        <w:rPr>
          <w:rFonts w:hint="default" w:ascii="Times New Roman" w:hAnsi="Times New Roman" w:eastAsia="宋体" w:cs="Times New Roman"/>
          <w:color w:val="000000" w:themeColor="text1"/>
          <w:sz w:val="24"/>
          <w:szCs w:val="24"/>
          <w:highlight w:val="none"/>
          <w14:textFill>
            <w14:solidFill>
              <w14:schemeClr w14:val="tx1"/>
            </w14:solidFill>
          </w14:textFill>
        </w:rPr>
        <w:t>与生产经营活动一起纳入企业的日常管理中，要建立岗位责任制，制定操作规程，建立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管理台账</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（3）奖惩制度</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企业应设置环境保护奖惩制度，对爱护环保设施，节能降耗、改善环境者给予奖励；对不按环保要求管理，造成环保设施损坏、环境污染和资源、能源浪费者子以重罚。</w:t>
      </w:r>
    </w:p>
    <w:p>
      <w:pPr>
        <w:keepNext w:val="0"/>
        <w:keepLines w:val="0"/>
        <w:pageBreakBefore w:val="0"/>
        <w:widowControl/>
        <w:kinsoku/>
        <w:wordWrap/>
        <w:overflowPunct w:val="0"/>
        <w:topLinePunct w:val="0"/>
        <w:autoSpaceDE w:val="0"/>
        <w:autoSpaceDN w:val="0"/>
        <w:bidi w:val="0"/>
        <w:adjustRightInd w:val="0"/>
        <w:snapToGrid w:val="0"/>
        <w:spacing w:line="360" w:lineRule="auto"/>
        <w:ind w:firstLine="0" w:firstLineChars="0"/>
        <w:jc w:val="both"/>
        <w:textAlignment w:val="baseline"/>
        <w:outlineLvl w:val="1"/>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194" w:name="_Toc5124"/>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.2环境监测计划</w:t>
      </w:r>
      <w:bookmarkEnd w:id="194"/>
    </w:p>
    <w:p>
      <w:pPr>
        <w:keepNext w:val="0"/>
        <w:keepLines w:val="0"/>
        <w:pageBreakBefore w:val="0"/>
        <w:widowControl/>
        <w:kinsoku/>
        <w:wordWrap/>
        <w:overflowPunct w:val="0"/>
        <w:topLinePunct w:val="0"/>
        <w:autoSpaceDE w:val="0"/>
        <w:autoSpaceDN w:val="0"/>
        <w:bidi w:val="0"/>
        <w:adjustRightInd w:val="0"/>
        <w:snapToGrid w:val="0"/>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.2.1环境监测目的</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pPr>
        <w:keepNext w:val="0"/>
        <w:keepLines w:val="0"/>
        <w:pageBreakBefore w:val="0"/>
        <w:widowControl/>
        <w:kinsoku/>
        <w:wordWrap/>
        <w:overflowPunct w:val="0"/>
        <w:topLinePunct w:val="0"/>
        <w:autoSpaceDE w:val="0"/>
        <w:autoSpaceDN w:val="0"/>
        <w:bidi w:val="0"/>
        <w:adjustRightInd/>
        <w:snapToGrid/>
        <w:spacing w:line="360" w:lineRule="auto"/>
        <w:ind w:firstLine="0" w:firstLineChars="0"/>
        <w:jc w:val="both"/>
        <w:textAlignment w:val="baseline"/>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8.2.2监测项目及监测计划</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本项目建设时，建设单位必须按有关要求设置排污口。</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废水总排口附近醒目处应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竖立</w:t>
      </w:r>
      <w:r>
        <w:rPr>
          <w:rFonts w:hint="default" w:ascii="Times New Roman" w:hAnsi="Times New Roman" w:eastAsia="宋体" w:cs="Times New Roman"/>
          <w:color w:val="000000" w:themeColor="text1"/>
          <w:sz w:val="24"/>
          <w:szCs w:val="24"/>
          <w:highlight w:val="none"/>
          <w14:textFill>
            <w14:solidFill>
              <w14:schemeClr w14:val="tx1"/>
            </w14:solidFill>
          </w14:textFill>
        </w:rPr>
        <w:t>环保图形标志牌。</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B</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工程建成后，生产线中废气排气筒应设置永久采样、监测的采样口和采样监测平台。在排气筒附近地面醒目处设置环保图形标志牌。</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生产过程中产生的固体废物，处置前应当有防淋湿、防扬散、防流失等措施，暂时贮存（堆放）场所应采取防渗、防漏、防雨淋措施，设置标志牌。</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对非正常排放要加强管理、监督，如果发生异常情况，应及时监测并同时做好事故排放数据统计，以便采取应急措施，减轻事故的环境影响。</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排污单位采用自动监测的，应全天连续监测，并按照 HJ 75 开展自动监测数据的校验比对。按照《污染源自动监控设施运行管理办法》的要求，自动监测设施不能正常运行期间，应按要求将手工监测数据向生态环境主管部门报送。</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项目根据《排污单位自行监测技术指南 总则》（HJ819-2017）、《排污许可证申请与核发技术规范 涂料、油墨、颜料及类似产品制造业》（HJ1116-2020）和参考《排污许可证申请与核发技术规范 金属铸造工业》（HJ1115—2020）制定针项目营运期污染物监测计划，企业应按时进行监测，监测报告报当地环境主管部门备案。本工程营运期环境监测计划见表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.2-1</w:t>
      </w:r>
    </w:p>
    <w:p>
      <w:pPr>
        <w:pStyle w:val="58"/>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39"/>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8.2</w:t>
      </w:r>
      <w:r>
        <w:rPr>
          <w:rFonts w:hint="default" w:ascii="Times New Roman" w:hAnsi="Times New Roman" w:eastAsia="宋体" w:cs="Times New Roman"/>
          <w:color w:val="000000" w:themeColor="text1"/>
          <w:sz w:val="21"/>
          <w:szCs w:val="21"/>
          <w14:textFill>
            <w14:solidFill>
              <w14:schemeClr w14:val="tx1"/>
            </w14:solidFill>
          </w14:textFill>
        </w:rPr>
        <w:t>-1  项目环境监控计划一览表</w:t>
      </w:r>
    </w:p>
    <w:tbl>
      <w:tblPr>
        <w:tblStyle w:val="24"/>
        <w:tblW w:w="504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Layout w:type="autofit"/>
        <w:tblCellMar>
          <w:top w:w="0" w:type="dxa"/>
          <w:left w:w="0" w:type="dxa"/>
          <w:bottom w:w="0" w:type="dxa"/>
          <w:right w:w="0" w:type="dxa"/>
        </w:tblCellMar>
      </w:tblPr>
      <w:tblGrid>
        <w:gridCol w:w="674"/>
        <w:gridCol w:w="770"/>
        <w:gridCol w:w="2557"/>
        <w:gridCol w:w="2028"/>
        <w:gridCol w:w="1353"/>
        <w:gridCol w:w="10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jc w:val="center"/>
        </w:trPr>
        <w:tc>
          <w:tcPr>
            <w:tcW w:w="861" w:type="pct"/>
            <w:gridSpan w:val="2"/>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监测对象</w:t>
            </w:r>
          </w:p>
        </w:tc>
        <w:tc>
          <w:tcPr>
            <w:tcW w:w="1524"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污染源</w:t>
            </w:r>
          </w:p>
        </w:tc>
        <w:tc>
          <w:tcPr>
            <w:tcW w:w="1209"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监测项目</w:t>
            </w:r>
          </w:p>
        </w:tc>
        <w:tc>
          <w:tcPr>
            <w:tcW w:w="806"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监测位置</w:t>
            </w:r>
          </w:p>
        </w:tc>
        <w:tc>
          <w:tcPr>
            <w:tcW w:w="597"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trHeight w:val="256" w:hRule="atLeast"/>
          <w:jc w:val="center"/>
        </w:trPr>
        <w:tc>
          <w:tcPr>
            <w:tcW w:w="402" w:type="pct"/>
            <w:vMerge w:val="restar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w:t>
            </w:r>
          </w:p>
        </w:tc>
        <w:tc>
          <w:tcPr>
            <w:tcW w:w="459" w:type="pct"/>
            <w:vMerge w:val="restar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有组织</w:t>
            </w:r>
          </w:p>
        </w:tc>
        <w:tc>
          <w:tcPr>
            <w:tcW w:w="1524" w:type="pct"/>
            <w:tcBorders>
              <w:bottom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灌注、涂装车间排气筒</w:t>
            </w:r>
          </w:p>
        </w:tc>
        <w:tc>
          <w:tcPr>
            <w:tcW w:w="1209"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非甲烷总烃、总挥</w:t>
            </w:r>
          </w:p>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发性有机物b、苯、苯系物b</w:t>
            </w:r>
          </w:p>
        </w:tc>
        <w:tc>
          <w:tcPr>
            <w:tcW w:w="806"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DA001</w:t>
            </w:r>
          </w:p>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w:t>
            </w:r>
            <w:r>
              <w:rPr>
                <w:rFonts w:hint="default" w:ascii="Times New Roman" w:hAnsi="Times New Roman" w:eastAsia="宋体" w:cs="Times New Roman"/>
                <w:color w:val="000000" w:themeColor="text1"/>
                <w:lang w:val="en-US" w:eastAsia="zh-CN"/>
                <w14:textFill>
                  <w14:solidFill>
                    <w14:schemeClr w14:val="tx1"/>
                  </w14:solidFill>
                </w14:textFill>
              </w:rPr>
              <w:t>出口</w:t>
            </w:r>
          </w:p>
        </w:tc>
        <w:tc>
          <w:tcPr>
            <w:tcW w:w="597"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在线监测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trHeight w:val="151" w:hRule="atLeast"/>
          <w:jc w:val="center"/>
        </w:trPr>
        <w:tc>
          <w:tcPr>
            <w:tcW w:w="402" w:type="pct"/>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459" w:type="pct"/>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1524" w:type="pct"/>
            <w:tcBorders>
              <w:top w:val="single" w:color="auto" w:sz="4" w:space="0"/>
              <w:bottom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修型（切割）车间排气筒</w:t>
            </w:r>
          </w:p>
        </w:tc>
        <w:tc>
          <w:tcPr>
            <w:tcW w:w="1209" w:type="pct"/>
            <w:tcBorders>
              <w:top w:val="single" w:color="auto" w:sz="4" w:space="0"/>
              <w:bottom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806" w:type="pct"/>
            <w:tcBorders>
              <w:top w:val="single" w:color="auto" w:sz="4" w:space="0"/>
              <w:bottom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w:t>
            </w:r>
            <w:r>
              <w:rPr>
                <w:rFonts w:hint="default" w:ascii="Times New Roman" w:hAnsi="Times New Roman" w:eastAsia="宋体" w:cs="Times New Roman"/>
                <w:color w:val="000000" w:themeColor="text1"/>
                <w:lang w:val="en-US" w:eastAsia="zh-CN"/>
                <w14:textFill>
                  <w14:solidFill>
                    <w14:schemeClr w14:val="tx1"/>
                  </w14:solidFill>
                </w14:textFill>
              </w:rPr>
              <w:t>2</w:t>
            </w:r>
          </w:p>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w:t>
            </w:r>
            <w:r>
              <w:rPr>
                <w:rFonts w:hint="default" w:ascii="Times New Roman" w:hAnsi="Times New Roman" w:eastAsia="宋体" w:cs="Times New Roman"/>
                <w:color w:val="000000" w:themeColor="text1"/>
                <w:lang w:val="en-US" w:eastAsia="zh-CN"/>
                <w14:textFill>
                  <w14:solidFill>
                    <w14:schemeClr w14:val="tx1"/>
                  </w14:solidFill>
                </w14:textFill>
              </w:rPr>
              <w:t>出口</w:t>
            </w:r>
          </w:p>
        </w:tc>
        <w:tc>
          <w:tcPr>
            <w:tcW w:w="597"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w:t>
            </w:r>
            <w:r>
              <w:rPr>
                <w:rFonts w:hint="default" w:ascii="Times New Roman" w:hAnsi="Times New Roman" w:eastAsia="宋体" w:cs="Times New Roman"/>
                <w:color w:val="000000" w:themeColor="text1"/>
                <w:lang w:val="en-US" w:eastAsia="zh-CN"/>
                <w14:textFill>
                  <w14:solidFill>
                    <w14:schemeClr w14:val="tx1"/>
                  </w14:solidFill>
                </w14:textFill>
              </w:rPr>
              <w:t>半</w:t>
            </w:r>
            <w:r>
              <w:rPr>
                <w:rFonts w:hint="default" w:ascii="Times New Roman" w:hAnsi="Times New Roman" w:eastAsia="宋体" w:cs="Times New Roman"/>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trHeight w:val="343" w:hRule="atLeast"/>
          <w:jc w:val="center"/>
        </w:trPr>
        <w:tc>
          <w:tcPr>
            <w:tcW w:w="402" w:type="pct"/>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459" w:type="pct"/>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1524" w:type="pct"/>
            <w:tcBorders>
              <w:top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腻子打磨车间排气筒</w:t>
            </w:r>
          </w:p>
        </w:tc>
        <w:tc>
          <w:tcPr>
            <w:tcW w:w="1209" w:type="pct"/>
            <w:tcBorders>
              <w:top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806" w:type="pct"/>
            <w:tcBorders>
              <w:top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DA00</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排气筒</w:t>
            </w:r>
            <w:r>
              <w:rPr>
                <w:rFonts w:hint="default" w:ascii="Times New Roman" w:hAnsi="Times New Roman" w:eastAsia="宋体" w:cs="Times New Roman"/>
                <w:color w:val="000000" w:themeColor="text1"/>
                <w:lang w:val="en-US" w:eastAsia="zh-CN"/>
                <w14:textFill>
                  <w14:solidFill>
                    <w14:schemeClr w14:val="tx1"/>
                  </w14:solidFill>
                </w14:textFill>
              </w:rPr>
              <w:t>出口</w:t>
            </w:r>
          </w:p>
        </w:tc>
        <w:tc>
          <w:tcPr>
            <w:tcW w:w="597"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w:t>
            </w:r>
            <w:r>
              <w:rPr>
                <w:rFonts w:hint="default" w:ascii="Times New Roman" w:hAnsi="Times New Roman" w:eastAsia="宋体" w:cs="Times New Roman"/>
                <w:color w:val="000000" w:themeColor="text1"/>
                <w:lang w:val="en-US" w:eastAsia="zh-CN"/>
                <w14:textFill>
                  <w14:solidFill>
                    <w14:schemeClr w14:val="tx1"/>
                  </w14:solidFill>
                </w14:textFill>
              </w:rPr>
              <w:t>半</w:t>
            </w:r>
            <w:r>
              <w:rPr>
                <w:rFonts w:hint="default" w:ascii="Times New Roman" w:hAnsi="Times New Roman" w:eastAsia="宋体" w:cs="Times New Roman"/>
                <w:color w:val="000000" w:themeColor="text1"/>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jc w:val="center"/>
        </w:trPr>
        <w:tc>
          <w:tcPr>
            <w:tcW w:w="402" w:type="pct"/>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459" w:type="pct"/>
            <w:tcBorders>
              <w:top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w:t>
            </w:r>
          </w:p>
        </w:tc>
        <w:tc>
          <w:tcPr>
            <w:tcW w:w="1524" w:type="pct"/>
            <w:tcBorders>
              <w:top w:val="single" w:color="auto" w:sz="4" w:space="0"/>
            </w:tcBorders>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生产车间</w:t>
            </w:r>
          </w:p>
        </w:tc>
        <w:tc>
          <w:tcPr>
            <w:tcW w:w="1209"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vertAlign w:val="subscript"/>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非甲烷总烃、颗粒物</w:t>
            </w:r>
          </w:p>
        </w:tc>
        <w:tc>
          <w:tcPr>
            <w:tcW w:w="806"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w:t>
            </w:r>
          </w:p>
        </w:tc>
        <w:tc>
          <w:tcPr>
            <w:tcW w:w="597"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jc w:val="center"/>
        </w:trPr>
        <w:tc>
          <w:tcPr>
            <w:tcW w:w="861" w:type="pct"/>
            <w:gridSpan w:val="2"/>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w:t>
            </w:r>
          </w:p>
        </w:tc>
        <w:tc>
          <w:tcPr>
            <w:tcW w:w="1524"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机械设备</w:t>
            </w:r>
          </w:p>
        </w:tc>
        <w:tc>
          <w:tcPr>
            <w:tcW w:w="1209"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等效连续A声级</w:t>
            </w:r>
          </w:p>
        </w:tc>
        <w:tc>
          <w:tcPr>
            <w:tcW w:w="806"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厂界四周边界</w:t>
            </w:r>
          </w:p>
        </w:tc>
        <w:tc>
          <w:tcPr>
            <w:tcW w:w="597"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次/</w:t>
            </w:r>
            <w:r>
              <w:rPr>
                <w:rFonts w:hint="default" w:ascii="Times New Roman" w:hAnsi="Times New Roman" w:eastAsia="宋体" w:cs="Times New Roman"/>
                <w:color w:val="000000" w:themeColor="text1"/>
                <w:lang w:val="en-US" w:eastAsia="zh-CN"/>
                <w14:textFill>
                  <w14:solidFill>
                    <w14:schemeClr w14:val="tx1"/>
                  </w14:solidFill>
                </w14:textFill>
              </w:rPr>
              <w:t>季度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jc w:val="center"/>
        </w:trPr>
        <w:tc>
          <w:tcPr>
            <w:tcW w:w="861" w:type="pct"/>
            <w:gridSpan w:val="2"/>
            <w:vMerge w:val="restar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固体废物</w:t>
            </w:r>
          </w:p>
        </w:tc>
        <w:tc>
          <w:tcPr>
            <w:tcW w:w="1524"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各类固废</w:t>
            </w:r>
          </w:p>
        </w:tc>
        <w:tc>
          <w:tcPr>
            <w:tcW w:w="1209" w:type="pct"/>
            <w:vMerge w:val="restar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种类、产生量、处理方式、去向</w:t>
            </w:r>
          </w:p>
        </w:tc>
        <w:tc>
          <w:tcPr>
            <w:tcW w:w="1404" w:type="pct"/>
            <w:gridSpan w:val="2"/>
            <w:vMerge w:val="restar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自检1次/季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000000" w:fill="auto"/>
          <w:tblCellMar>
            <w:top w:w="0" w:type="dxa"/>
            <w:left w:w="0" w:type="dxa"/>
            <w:bottom w:w="0" w:type="dxa"/>
            <w:right w:w="0" w:type="dxa"/>
          </w:tblCellMar>
        </w:tblPrEx>
        <w:trPr>
          <w:jc w:val="center"/>
        </w:trPr>
        <w:tc>
          <w:tcPr>
            <w:tcW w:w="861" w:type="pct"/>
            <w:gridSpan w:val="2"/>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1524" w:type="pct"/>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w:t>
            </w:r>
          </w:p>
        </w:tc>
        <w:tc>
          <w:tcPr>
            <w:tcW w:w="1209" w:type="pct"/>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c>
          <w:tcPr>
            <w:tcW w:w="1404" w:type="pct"/>
            <w:gridSpan w:val="2"/>
            <w:vMerge w:val="continue"/>
            <w:shd w:val="clear" w:color="auto" w:fill="auto"/>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14:textFill>
                  <w14:solidFill>
                    <w14:schemeClr w14:val="tx1"/>
                  </w14:solidFill>
                </w14:textFill>
              </w:rPr>
            </w:pPr>
          </w:p>
        </w:tc>
      </w:tr>
    </w:tbl>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排污口规范化</w:t>
      </w:r>
    </w:p>
    <w:p>
      <w:pPr>
        <w:pageBreakBefore w:val="0"/>
        <w:kinsoku/>
        <w:overflowPunct w:val="0"/>
        <w:bidi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废水排放口、固定噪声源、固体废物贮存和排气筒应符合“一明显、二合理、三便于”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pPr>
        <w:pageBreakBefore w:val="0"/>
        <w:kinsoku/>
        <w:overflowPunct w:val="0"/>
        <w:bidi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排气筒设置取样口，并具备采样监测条件，排放口附近树立图形标志牌。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ageBreakBefore w:val="0"/>
        <w:kinsoku/>
        <w:overflowPunct w:val="0"/>
        <w:bidi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环境保护图形标志，在厂区的废水排放口、废气排放源、固体废物贮存处置场应设置环境保护图形标志，图形符号分为提示图形和警告图形符号两种</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应根据《“环境保护图形标志”实施细则》，设置国标化的环保标志牌。并应在地方环境管理部门注册登记，建立档案。</w:t>
      </w:r>
    </w:p>
    <w:p>
      <w:pPr>
        <w:pageBreakBefore w:val="0"/>
        <w:kinsoku/>
        <w:overflowPunct w:val="0"/>
        <w:bidi w:val="0"/>
        <w:snapToGrid w:val="0"/>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环境保护图形标志具体设置图形见表8.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表8.</w:t>
      </w: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 xml:space="preserve">2-2 </w:t>
      </w:r>
      <w:r>
        <w:rPr>
          <w:rFonts w:hint="default" w:ascii="Times New Roman" w:hAnsi="Times New Roman" w:eastAsia="宋体" w:cs="Times New Roman"/>
          <w:bCs/>
          <w:color w:val="000000" w:themeColor="text1"/>
          <w:szCs w:val="21"/>
          <w:highlight w:val="none"/>
          <w14:textFill>
            <w14:solidFill>
              <w14:schemeClr w14:val="tx1"/>
            </w14:solidFill>
          </w14:textFill>
        </w:rPr>
        <w:t xml:space="preserve">  环境保护图形标志设置图形表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757"/>
        <w:gridCol w:w="1757"/>
        <w:gridCol w:w="1759"/>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546"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排放口</w:t>
            </w:r>
          </w:p>
        </w:tc>
        <w:tc>
          <w:tcPr>
            <w:tcW w:w="1757"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废水排口</w:t>
            </w:r>
          </w:p>
        </w:tc>
        <w:tc>
          <w:tcPr>
            <w:tcW w:w="1757"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废气排口</w:t>
            </w:r>
          </w:p>
        </w:tc>
        <w:tc>
          <w:tcPr>
            <w:tcW w:w="1759"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噪声源</w:t>
            </w:r>
          </w:p>
        </w:tc>
        <w:tc>
          <w:tcPr>
            <w:tcW w:w="1703"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固废堆场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546"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图形符号</w:t>
            </w:r>
          </w:p>
        </w:tc>
        <w:tc>
          <w:tcPr>
            <w:tcW w:w="1757"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drawing>
                <wp:anchor distT="0" distB="0" distL="114300" distR="114300" simplePos="0" relativeHeight="251663360" behindDoc="0" locked="0" layoutInCell="1" allowOverlap="1">
                  <wp:simplePos x="0" y="0"/>
                  <wp:positionH relativeFrom="column">
                    <wp:posOffset>2540</wp:posOffset>
                  </wp:positionH>
                  <wp:positionV relativeFrom="paragraph">
                    <wp:posOffset>12700</wp:posOffset>
                  </wp:positionV>
                  <wp:extent cx="948055" cy="948055"/>
                  <wp:effectExtent l="0" t="0" r="4445" b="4445"/>
                  <wp:wrapNone/>
                  <wp:docPr id="50" name="Picture 166" descr="说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6" descr="说明: 001"/>
                          <pic:cNvPicPr>
                            <a:picLocks noChangeAspect="1" noChangeArrowheads="1"/>
                          </pic:cNvPicPr>
                        </pic:nvPicPr>
                        <pic:blipFill>
                          <a:blip r:embed="rId38" cstate="print">
                            <a:lum contrast="12000"/>
                          </a:blip>
                          <a:srcRect/>
                          <a:stretch>
                            <a:fillRect/>
                          </a:stretch>
                        </pic:blipFill>
                        <pic:spPr>
                          <a:xfrm>
                            <a:off x="0" y="0"/>
                            <a:ext cx="948055" cy="948055"/>
                          </a:xfrm>
                          <a:prstGeom prst="rect">
                            <a:avLst/>
                          </a:prstGeom>
                          <a:noFill/>
                          <a:ln w="9525" cmpd="sng">
                            <a:noFill/>
                            <a:miter lim="800000"/>
                            <a:headEnd/>
                            <a:tailEnd/>
                          </a:ln>
                        </pic:spPr>
                      </pic:pic>
                    </a:graphicData>
                  </a:graphic>
                </wp:anchor>
              </w:drawing>
            </w:r>
          </w:p>
        </w:tc>
        <w:tc>
          <w:tcPr>
            <w:tcW w:w="1757"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column">
                    <wp:posOffset>-3810</wp:posOffset>
                  </wp:positionH>
                  <wp:positionV relativeFrom="paragraph">
                    <wp:posOffset>13970</wp:posOffset>
                  </wp:positionV>
                  <wp:extent cx="952500" cy="944880"/>
                  <wp:effectExtent l="0" t="0" r="0" b="7620"/>
                  <wp:wrapNone/>
                  <wp:docPr id="51" name="Picture 167" descr="说明: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7" descr="说明: 002"/>
                          <pic:cNvPicPr>
                            <a:picLocks noChangeAspect="1" noChangeArrowheads="1"/>
                          </pic:cNvPicPr>
                        </pic:nvPicPr>
                        <pic:blipFill>
                          <a:blip r:embed="rId39" cstate="print"/>
                          <a:srcRect/>
                          <a:stretch>
                            <a:fillRect/>
                          </a:stretch>
                        </pic:blipFill>
                        <pic:spPr>
                          <a:xfrm>
                            <a:off x="0" y="0"/>
                            <a:ext cx="952500" cy="944880"/>
                          </a:xfrm>
                          <a:prstGeom prst="rect">
                            <a:avLst/>
                          </a:prstGeom>
                          <a:noFill/>
                          <a:ln w="9525" cmpd="sng">
                            <a:noFill/>
                            <a:miter lim="800000"/>
                            <a:headEnd/>
                            <a:tailEnd/>
                          </a:ln>
                        </pic:spPr>
                      </pic:pic>
                    </a:graphicData>
                  </a:graphic>
                </wp:anchor>
              </w:drawing>
            </w:r>
          </w:p>
        </w:tc>
        <w:tc>
          <w:tcPr>
            <w:tcW w:w="1759"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28575</wp:posOffset>
                  </wp:positionH>
                  <wp:positionV relativeFrom="paragraph">
                    <wp:posOffset>10795</wp:posOffset>
                  </wp:positionV>
                  <wp:extent cx="952500" cy="942975"/>
                  <wp:effectExtent l="0" t="0" r="0" b="9525"/>
                  <wp:wrapNone/>
                  <wp:docPr id="52" name="Picture 168" descr="说明: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8" descr="说明: 003"/>
                          <pic:cNvPicPr>
                            <a:picLocks noChangeAspect="1" noChangeArrowheads="1"/>
                          </pic:cNvPicPr>
                        </pic:nvPicPr>
                        <pic:blipFill>
                          <a:blip r:embed="rId40" cstate="print"/>
                          <a:srcRect/>
                          <a:stretch>
                            <a:fillRect/>
                          </a:stretch>
                        </pic:blipFill>
                        <pic:spPr>
                          <a:xfrm>
                            <a:off x="0" y="0"/>
                            <a:ext cx="952500" cy="942975"/>
                          </a:xfrm>
                          <a:prstGeom prst="rect">
                            <a:avLst/>
                          </a:prstGeom>
                          <a:noFill/>
                          <a:ln w="9525" cmpd="sng">
                            <a:noFill/>
                            <a:miter lim="800000"/>
                            <a:headEnd/>
                            <a:tailEnd/>
                          </a:ln>
                        </pic:spPr>
                      </pic:pic>
                    </a:graphicData>
                  </a:graphic>
                </wp:anchor>
              </w:drawing>
            </w:r>
          </w:p>
        </w:tc>
        <w:tc>
          <w:tcPr>
            <w:tcW w:w="1703"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-6350</wp:posOffset>
                  </wp:positionH>
                  <wp:positionV relativeFrom="paragraph">
                    <wp:posOffset>21590</wp:posOffset>
                  </wp:positionV>
                  <wp:extent cx="952500" cy="946785"/>
                  <wp:effectExtent l="0" t="0" r="0" b="5715"/>
                  <wp:wrapNone/>
                  <wp:docPr id="53" name="Picture 169" descr="说明: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69" descr="说明: 004"/>
                          <pic:cNvPicPr>
                            <a:picLocks noChangeAspect="1" noChangeArrowheads="1"/>
                          </pic:cNvPicPr>
                        </pic:nvPicPr>
                        <pic:blipFill>
                          <a:blip r:embed="rId41" cstate="print"/>
                          <a:srcRect/>
                          <a:stretch>
                            <a:fillRect/>
                          </a:stretch>
                        </pic:blipFill>
                        <pic:spPr>
                          <a:xfrm>
                            <a:off x="0" y="0"/>
                            <a:ext cx="952500" cy="946785"/>
                          </a:xfrm>
                          <a:prstGeom prst="rect">
                            <a:avLst/>
                          </a:prstGeom>
                          <a:noFill/>
                          <a:ln w="9525" cmpd="sng">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46"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背景颜色</w:t>
            </w:r>
          </w:p>
        </w:tc>
        <w:tc>
          <w:tcPr>
            <w:tcW w:w="6976" w:type="dxa"/>
            <w:gridSpan w:val="4"/>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546" w:type="dxa"/>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图形颜色</w:t>
            </w:r>
          </w:p>
        </w:tc>
        <w:tc>
          <w:tcPr>
            <w:tcW w:w="6976" w:type="dxa"/>
            <w:gridSpan w:val="4"/>
            <w:vAlign w:val="center"/>
          </w:tcPr>
          <w:p>
            <w:pPr>
              <w:pageBreakBefore w:val="0"/>
              <w:kinsoku/>
              <w:overflowPunct w:val="0"/>
              <w:bidi w:val="0"/>
              <w:snapToGrid w:val="0"/>
              <w:ind w:firstLine="420" w:firstLineChars="20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白色</w:t>
            </w:r>
          </w:p>
        </w:tc>
      </w:tr>
    </w:tbl>
    <w:p>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危险废物贮存间门口需张贴标准规范的危险废物标识和危废信息板。</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粘贴于危险废物贮存间门上的危险废物警告标志（边长是40cm）</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drawing>
          <wp:inline distT="0" distB="0" distL="114300" distR="114300">
            <wp:extent cx="2626995" cy="2057400"/>
            <wp:effectExtent l="0" t="0" r="1905" b="0"/>
            <wp:docPr id="1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pic:cNvPicPr>
                      <a:picLocks noChangeAspect="1"/>
                    </pic:cNvPicPr>
                  </pic:nvPicPr>
                  <pic:blipFill>
                    <a:blip r:embed="rId42"/>
                    <a:stretch>
                      <a:fillRect/>
                    </a:stretch>
                  </pic:blipFill>
                  <pic:spPr>
                    <a:xfrm>
                      <a:off x="0" y="0"/>
                      <a:ext cx="2626995" cy="2057400"/>
                    </a:xfrm>
                    <a:prstGeom prst="rect">
                      <a:avLst/>
                    </a:prstGeom>
                    <a:noFill/>
                    <a:ln>
                      <a:noFill/>
                    </a:ln>
                  </pic:spPr>
                </pic:pic>
              </a:graphicData>
            </a:graphic>
          </wp:inline>
        </w:drawing>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drawing>
          <wp:inline distT="0" distB="0" distL="114300" distR="114300">
            <wp:extent cx="2437130" cy="1936750"/>
            <wp:effectExtent l="0" t="0" r="1270" b="6350"/>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43"/>
                    <a:stretch>
                      <a:fillRect/>
                    </a:stretch>
                  </pic:blipFill>
                  <pic:spPr>
                    <a:xfrm>
                      <a:off x="0" y="0"/>
                      <a:ext cx="2437130" cy="19367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195" w:name="_Toc3431"/>
      <w:bookmarkStart w:id="196" w:name="_Toc7456"/>
      <w:bookmarkStart w:id="197" w:name="_Toc30239"/>
      <w:bookmarkStart w:id="198" w:name="_Toc23643"/>
      <w:bookmarkStart w:id="199" w:name="_Toc10351"/>
      <w:r>
        <w:rPr>
          <w:rFonts w:hint="default" w:ascii="Times New Roman" w:hAnsi="Times New Roman" w:eastAsia="宋体" w:cs="Times New Roman"/>
          <w:color w:val="000000" w:themeColor="text1"/>
          <w:sz w:val="24"/>
          <w:szCs w:val="24"/>
          <w:highlight w:val="none"/>
          <w14:textFill>
            <w14:solidFill>
              <w14:schemeClr w14:val="tx1"/>
            </w14:solidFill>
          </w14:textFill>
        </w:rPr>
        <w:t>8.3环境保护竣工验收</w:t>
      </w:r>
      <w:bookmarkEnd w:id="195"/>
      <w:bookmarkEnd w:id="196"/>
      <w:bookmarkEnd w:id="197"/>
      <w:bookmarkEnd w:id="198"/>
      <w:bookmarkEnd w:id="199"/>
    </w:p>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200" w:name="_Toc10979"/>
      <w:r>
        <w:rPr>
          <w:rFonts w:hint="default" w:ascii="Times New Roman" w:hAnsi="Times New Roman" w:eastAsia="宋体" w:cs="Times New Roman"/>
          <w:b/>
          <w:bCs/>
          <w:color w:val="000000" w:themeColor="text1"/>
          <w:sz w:val="24"/>
          <w:szCs w:val="24"/>
          <w:highlight w:val="none"/>
          <w14:textFill>
            <w14:solidFill>
              <w14:schemeClr w14:val="tx1"/>
            </w14:solidFill>
          </w14:textFill>
        </w:rPr>
        <w:t>8.3.1竣工验收管理及要求</w:t>
      </w:r>
      <w:bookmarkEnd w:id="200"/>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十三五”环境影响评价改革实施方案》指出取消环保竣工验收行政许可。建立环评、“三同时”和排污许可衔接的管理机制。对建设项目环评文件及其批复中污染物排放控制有关要求，在排污许可证中载明。将企业落实“三同时”作为申领排污许可证的前提。鼓励建设单位委托具备相应技术条件的第三方机构开展施工期环境监理。建设项目在投入生产或者使用前，建设单位应当依据环评文件及其审批意见，自行或委托第三方机构编制建设项目环境保护设施竣工验收报告，向社会公开并向环保部门备案。</w:t>
      </w:r>
    </w:p>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201" w:name="_Toc29543"/>
      <w:r>
        <w:rPr>
          <w:rFonts w:hint="default" w:ascii="Times New Roman" w:hAnsi="Times New Roman" w:eastAsia="宋体" w:cs="Times New Roman"/>
          <w:b/>
          <w:bCs/>
          <w:color w:val="000000" w:themeColor="text1"/>
          <w:sz w:val="24"/>
          <w:szCs w:val="24"/>
          <w:highlight w:val="none"/>
          <w14:textFill>
            <w14:solidFill>
              <w14:schemeClr w14:val="tx1"/>
            </w14:solidFill>
          </w14:textFill>
        </w:rPr>
        <w:t>8.3.2环保设施竣工验收</w:t>
      </w:r>
      <w:bookmarkEnd w:id="201"/>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（1）环境工程设计</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按照环评文件及其批复要求，落实工程环境设计，重点做好废气防治、废水处置与噪声治理和固体废物的安全处置等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各项</w:t>
      </w:r>
      <w:r>
        <w:rPr>
          <w:rFonts w:hint="default" w:ascii="Times New Roman" w:hAnsi="Times New Roman" w:eastAsia="宋体" w:cs="Times New Roman"/>
          <w:color w:val="000000" w:themeColor="text1"/>
          <w:sz w:val="24"/>
          <w:szCs w:val="24"/>
          <w:highlight w:val="none"/>
          <w14:textFill>
            <w14:solidFill>
              <w14:schemeClr w14:val="tx1"/>
            </w14:solidFill>
          </w14:textFill>
        </w:rPr>
        <w:t>工作，确保三废达标排放；污染治理设置必须与主体工程实现“三同时”。</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（2）验收标准与范围</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①按照《国务院关于修改《建设项目环境保护管理条例》的决定》（国令第682号）有关规定执行；</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②与工程有关的各项环保设施，包括为污染防治和保护环境设施建成或配套建成的工程、设备、装置，以及各项生态保护、水土保持绿化设施；</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③本报告书和有关设计文件规定应采取的其他各项环保措施。</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（3）竣工验收</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建设项目竣工后，建设单位应当按照国务院环境保护行政主管部门规定的标准和程序，对配套建设的环境保护设施进行验收，编制验收报告。</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建设单位在环境保护设施验收过程中，应当如实查验、监测、记载建设项目环境保护设施的建设和调试情况，不得弄虚作假。</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除按照国家规定需要保密的情形外，建设单位应当依法向社会公开验收报告。</w:t>
      </w:r>
    </w:p>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8.3.3“三同时”验收内容</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“三同时”验收针对全厂环保设施进行验收，验收内容见表8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overflowPunct w:val="0"/>
        <w:bidi w:val="0"/>
        <w:snapToGrid w:val="0"/>
        <w:ind w:firstLine="420" w:firstLineChars="20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表8.</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全厂环境保护竣工验收一览表</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2410"/>
        <w:gridCol w:w="1627"/>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gridSpan w:val="2"/>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污染源分类</w:t>
            </w:r>
          </w:p>
        </w:tc>
        <w:tc>
          <w:tcPr>
            <w:tcW w:w="241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环保措施</w:t>
            </w:r>
          </w:p>
        </w:tc>
        <w:tc>
          <w:tcPr>
            <w:tcW w:w="162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验收内容</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w:t>
            </w: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有机废气VOCs</w:t>
            </w:r>
          </w:p>
        </w:tc>
        <w:tc>
          <w:tcPr>
            <w:tcW w:w="2410" w:type="dxa"/>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snapToGrid w:val="0"/>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设置灌注、涂装车间为密闭车间，通过上进风+侧面吸风+粗效吸附箱+活性炭吸附/脱附+催化燃烧（热源采用电加热）+风机+一根27米排气筒排放。</w:t>
            </w:r>
          </w:p>
        </w:tc>
        <w:tc>
          <w:tcPr>
            <w:tcW w:w="1627" w:type="dxa"/>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snapToGrid w:val="0"/>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设置灌注、涂装车间为密闭车间，通过上进风+侧面吸风+粗效吸附箱+活性炭吸附/脱附+催化燃烧（热源采用电加热）+风机+一根27米排气筒排放（DA001）。</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《大气污染物综合排放标准》（GB16297- 1996）二级标准浓度限值</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；《挥发性有机物无组织排放控制标准》（GB37822-2019）附录A中的厂区内VOCs浓度排放限值。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切割、打磨粉尘</w:t>
            </w:r>
          </w:p>
        </w:tc>
        <w:tc>
          <w:tcPr>
            <w:tcW w:w="2410" w:type="dxa"/>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snapToGrid w:val="0"/>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“Nederman高负压除尘系统+打磨/清扫套件”</w:t>
            </w:r>
          </w:p>
        </w:tc>
        <w:tc>
          <w:tcPr>
            <w:tcW w:w="1627" w:type="dxa"/>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snapToGrid w:val="0"/>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“Nederman高负压除尘系统+打磨/清扫套件”</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+15米高排气筒（DA002、DA003）</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《大气污染物综合排放标准》（GB16297- 1996）二级标准浓度限值</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食堂油烟</w:t>
            </w:r>
          </w:p>
        </w:tc>
        <w:tc>
          <w:tcPr>
            <w:tcW w:w="2410" w:type="dxa"/>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油烟净化器</w:t>
            </w:r>
          </w:p>
        </w:tc>
        <w:tc>
          <w:tcPr>
            <w:tcW w:w="1627" w:type="dxa"/>
            <w:vAlign w:val="center"/>
          </w:tcPr>
          <w:p>
            <w:pPr>
              <w:keepNext w:val="0"/>
              <w:keepLines w:val="0"/>
              <w:pageBreakBefore w:val="0"/>
              <w:widowControl w:val="0"/>
              <w:kinsoku/>
              <w:wordWrap/>
              <w:overflowPunct w:val="0"/>
              <w:topLinePunct w:val="0"/>
              <w:bidi w:val="0"/>
              <w:adjustRightInd/>
              <w:snapToGrid/>
              <w:spacing w:line="240" w:lineRule="auto"/>
              <w:jc w:val="center"/>
              <w:rPr>
                <w:rFonts w:hint="default" w:ascii="Times New Roman" w:hAnsi="Times New Roman" w:eastAsia="宋体" w:cs="Times New Roman"/>
                <w:snapToGrid w:val="0"/>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油烟净化器</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《饮食业油烟排放标准》（试行）（GB18483-2001）表2限值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34"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废水</w:t>
            </w: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生活污水</w:t>
            </w:r>
          </w:p>
        </w:tc>
        <w:tc>
          <w:tcPr>
            <w:tcW w:w="2410"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隔油池+化粪池+下水管网</w:t>
            </w:r>
          </w:p>
        </w:tc>
        <w:tc>
          <w:tcPr>
            <w:tcW w:w="162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隔油池+化粪池+下水管网</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厂区硬化，分区防渗建设</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厂区硬化，分区防渗建设</w:t>
            </w:r>
          </w:p>
        </w:tc>
        <w:tc>
          <w:tcPr>
            <w:tcW w:w="2534"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对生产区等重点防渗区</w:t>
            </w:r>
            <w:r>
              <w:rPr>
                <w:rFonts w:hint="default" w:ascii="Times New Roman" w:hAnsi="Times New Roman" w:eastAsia="宋体" w:cs="Times New Roman"/>
                <w:color w:val="000000" w:themeColor="text1"/>
                <w:highlight w:val="none"/>
                <w:lang w:eastAsia="zh-CN"/>
                <w14:textFill>
                  <w14:solidFill>
                    <w14:schemeClr w14:val="tx1"/>
                  </w14:solidFill>
                </w14:textFill>
              </w:rPr>
              <w:t>渗透系数</w:t>
            </w:r>
            <w:r>
              <w:rPr>
                <w:rFonts w:hint="default" w:ascii="Times New Roman" w:hAnsi="Times New Roman" w:eastAsia="宋体" w:cs="Times New Roman"/>
                <w:color w:val="000000" w:themeColor="text1"/>
                <w:highlight w:val="none"/>
                <w14:textFill>
                  <w14:solidFill>
                    <w14:schemeClr w14:val="tx1"/>
                  </w14:solidFill>
                </w14:textFill>
              </w:rPr>
              <w:t>K≤10</w:t>
            </w:r>
            <w:r>
              <w:rPr>
                <w:rFonts w:hint="default" w:ascii="Times New Roman" w:hAnsi="Times New Roman" w:eastAsia="宋体" w:cs="Times New Roman"/>
                <w:color w:val="000000" w:themeColor="text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highlight w:val="none"/>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w:t>
            </w:r>
          </w:p>
        </w:tc>
        <w:tc>
          <w:tcPr>
            <w:tcW w:w="141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风机、泵</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生产设备</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机械噪声</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隔音降噪设施</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《工业企业厂界环境噪声排放标准》（GB12348-2008）中</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141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生活垃圾</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生活垃圾</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设置带盖塑料垃圾收集桶</w:t>
            </w:r>
          </w:p>
        </w:tc>
        <w:tc>
          <w:tcPr>
            <w:tcW w:w="2534"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一般工业固废</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一般工业固废</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设置一般固废</w:t>
            </w:r>
            <w:r>
              <w:rPr>
                <w:rFonts w:hint="default" w:ascii="Times New Roman" w:hAnsi="Times New Roman" w:eastAsia="宋体" w:cs="Times New Roman"/>
                <w:color w:val="000000" w:themeColor="text1"/>
                <w:highlight w:val="none"/>
                <w14:textFill>
                  <w14:solidFill>
                    <w14:schemeClr w14:val="tx1"/>
                  </w14:solidFill>
                </w14:textFill>
              </w:rPr>
              <w:t>收集箱</w:t>
            </w:r>
          </w:p>
        </w:tc>
        <w:tc>
          <w:tcPr>
            <w:tcW w:w="2534"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《一般工业固体废物贮存和填埋污染控制标准》（GB18599-2020）中的有关规定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危险废物暂存间</w:t>
            </w:r>
          </w:p>
        </w:tc>
        <w:tc>
          <w:tcPr>
            <w:tcW w:w="2534"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《危险废物贮存污染控制标准》（GB18597-2001）及其2013修改单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生态</w:t>
            </w:r>
          </w:p>
        </w:tc>
        <w:tc>
          <w:tcPr>
            <w:tcW w:w="1417" w:type="dxa"/>
            <w:vAlign w:val="center"/>
          </w:tcPr>
          <w:p>
            <w:pPr>
              <w:pageBreakBefore w:val="0"/>
              <w:kinsoku/>
              <w:overflowPunct w:val="0"/>
              <w:bidi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加强厂内绿化</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加强厂内绿化</w:t>
            </w:r>
          </w:p>
        </w:tc>
        <w:tc>
          <w:tcPr>
            <w:tcW w:w="2534"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pageBreakBefore w:val="0"/>
              <w:kinsoku/>
              <w:overflowPunct w:val="0"/>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41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环境管理</w:t>
            </w:r>
          </w:p>
        </w:tc>
        <w:tc>
          <w:tcPr>
            <w:tcW w:w="2410"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snapToGrid w:val="0"/>
                <w:color w:val="000000" w:themeColor="text1"/>
                <w:kern w:val="0"/>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废气、噪声、废水</w:t>
            </w:r>
            <w:r>
              <w:rPr>
                <w:rFonts w:hint="default" w:ascii="Times New Roman" w:hAnsi="Times New Roman" w:eastAsia="宋体" w:cs="Times New Roman"/>
                <w:color w:val="000000" w:themeColor="text1"/>
                <w:highlight w:val="none"/>
                <w14:textFill>
                  <w14:solidFill>
                    <w14:schemeClr w14:val="tx1"/>
                  </w14:solidFill>
                </w14:textFill>
              </w:rPr>
              <w:t>排污口</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w:t>
            </w:r>
            <w:r>
              <w:rPr>
                <w:rFonts w:hint="default" w:ascii="Times New Roman" w:hAnsi="Times New Roman" w:eastAsia="宋体" w:cs="Times New Roman"/>
                <w:color w:val="000000" w:themeColor="text1"/>
                <w:highlight w:val="none"/>
                <w14:textFill>
                  <w14:solidFill>
                    <w14:schemeClr w14:val="tx1"/>
                  </w14:solidFill>
                </w14:textFill>
              </w:rPr>
              <w:t>标识牌</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危废暂存间设置标识标牌</w:t>
            </w:r>
          </w:p>
        </w:tc>
        <w:tc>
          <w:tcPr>
            <w:tcW w:w="1627"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w:t>
            </w:r>
            <w:r>
              <w:rPr>
                <w:rFonts w:hint="default" w:ascii="Times New Roman" w:hAnsi="Times New Roman" w:eastAsia="宋体" w:cs="Times New Roman"/>
                <w:color w:val="000000" w:themeColor="text1"/>
                <w:highlight w:val="none"/>
                <w14:textFill>
                  <w14:solidFill>
                    <w14:schemeClr w14:val="tx1"/>
                  </w14:solidFill>
                </w14:textFill>
              </w:rPr>
              <w:t>标识牌</w:t>
            </w:r>
          </w:p>
        </w:tc>
        <w:tc>
          <w:tcPr>
            <w:tcW w:w="2534" w:type="dxa"/>
            <w:vAlign w:val="center"/>
          </w:tcPr>
          <w:p>
            <w:pPr>
              <w:pStyle w:val="53"/>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环境保护图形标志 排放口（源）</w:t>
            </w:r>
            <w:r>
              <w:rPr>
                <w:rFonts w:hint="default" w:ascii="Times New Roman" w:hAnsi="Times New Roman" w:eastAsia="宋体" w:cs="Times New Roman"/>
                <w:color w:val="000000" w:themeColor="text1"/>
                <w:highlight w:val="none"/>
                <w14:textFill>
                  <w14:solidFill>
                    <w14:schemeClr w14:val="tx1"/>
                  </w14:solidFill>
                </w14:textFill>
              </w:rPr>
              <w:t>》（GB15562.1-1995）</w:t>
            </w:r>
          </w:p>
        </w:tc>
      </w:tr>
    </w:tbl>
    <w:p>
      <w:pPr>
        <w:pageBreakBefore w:val="0"/>
        <w:kinsoku/>
        <w:overflowPunct w:val="0"/>
        <w:bidi w:val="0"/>
        <w:snapToGrid w:val="0"/>
        <w:spacing w:line="360" w:lineRule="auto"/>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202" w:name="_Toc27909"/>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8.3.4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污染物排放清单</w:t>
      </w:r>
      <w:bookmarkEnd w:id="202"/>
    </w:p>
    <w:p>
      <w:pPr>
        <w:pStyle w:val="58"/>
        <w:keepNext w:val="0"/>
        <w:keepLines w:val="0"/>
        <w:pageBreakBefore w:val="0"/>
        <w:kinsoku/>
        <w:wordWrap/>
        <w:autoSpaceDE/>
        <w:autoSpaceDN/>
        <w:bidi w:val="0"/>
        <w:adjustRightInd/>
        <w:snapToGrid/>
        <w:spacing w:before="0" w:beforeLines="-2147483648" w:after="0" w:afterLines="-2147483648" w:line="360" w:lineRule="auto"/>
        <w:ind w:firstLine="480" w:firstLineChars="200"/>
        <w:jc w:val="left"/>
        <w:textAlignment w:val="auto"/>
        <w:rPr>
          <w:rFonts w:hint="default" w:ascii="Times New Roman" w:hAnsi="Times New Roman" w:eastAsia="宋体" w:cs="Times New Roman"/>
          <w:snapToGrid/>
          <w:color w:val="000000" w:themeColor="text1"/>
          <w:spacing w:val="0"/>
          <w14:textFill>
            <w14:solidFill>
              <w14:schemeClr w14:val="tx1"/>
            </w14:solidFill>
          </w14:textFill>
        </w:rPr>
      </w:pPr>
      <w:r>
        <w:rPr>
          <w:rFonts w:hint="default" w:ascii="Times New Roman" w:hAnsi="Times New Roman" w:eastAsia="宋体" w:cs="Times New Roman"/>
          <w:b w:val="0"/>
          <w:bCs/>
          <w:snapToGrid/>
          <w:color w:val="000000" w:themeColor="text1"/>
          <w:spacing w:val="0"/>
          <w14:textFill>
            <w14:solidFill>
              <w14:schemeClr w14:val="tx1"/>
            </w14:solidFill>
          </w14:textFill>
        </w:rPr>
        <w:t>本项目污染物排放清单如表</w:t>
      </w:r>
      <w:r>
        <w:rPr>
          <w:rFonts w:hint="default" w:ascii="Times New Roman" w:hAnsi="Times New Roman" w:eastAsia="宋体" w:cs="Times New Roman"/>
          <w:b w:val="0"/>
          <w:bCs/>
          <w:snapToGrid/>
          <w:color w:val="000000" w:themeColor="text1"/>
          <w:spacing w:val="0"/>
          <w:lang w:val="en-US" w:eastAsia="zh-CN"/>
          <w14:textFill>
            <w14:solidFill>
              <w14:schemeClr w14:val="tx1"/>
            </w14:solidFill>
          </w14:textFill>
        </w:rPr>
        <w:t>8.3-3</w:t>
      </w:r>
      <w:r>
        <w:rPr>
          <w:rFonts w:hint="default" w:ascii="Times New Roman" w:hAnsi="Times New Roman" w:eastAsia="宋体" w:cs="Times New Roman"/>
          <w:b w:val="0"/>
          <w:bCs/>
          <w:snapToGrid/>
          <w:color w:val="000000" w:themeColor="text1"/>
          <w:spacing w:val="0"/>
          <w14:textFill>
            <w14:solidFill>
              <w14:schemeClr w14:val="tx1"/>
            </w14:solidFill>
          </w14:textFill>
        </w:rPr>
        <w:t>所示</w:t>
      </w:r>
    </w:p>
    <w:p>
      <w:pPr>
        <w:pStyle w:val="58"/>
        <w:keepNext w:val="0"/>
        <w:keepLines w:val="0"/>
        <w:pageBreakBefore w:val="0"/>
        <w:kinsoku/>
        <w:wordWrap/>
        <w:autoSpaceDE/>
        <w:autoSpaceDN/>
        <w:bidi w:val="0"/>
        <w:adjustRightInd/>
        <w:snapToGrid/>
        <w:spacing w:before="0" w:beforeLines="-2147483648" w:after="0" w:afterLines="-2147483648" w:line="360" w:lineRule="auto"/>
        <w:textAlignment w:val="auto"/>
        <w:rPr>
          <w:rFonts w:hint="default" w:ascii="Times New Roman" w:hAnsi="Times New Roman" w:eastAsia="宋体" w:cs="Times New Roman"/>
          <w:snapToGrid/>
          <w:color w:val="000000" w:themeColor="text1"/>
          <w:spacing w:val="0"/>
          <w:sz w:val="2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58"/>
        <w:keepNext w:val="0"/>
        <w:keepLines w:val="0"/>
        <w:pageBreakBefore w:val="0"/>
        <w:kinsoku/>
        <w:wordWrap/>
        <w:autoSpaceDE/>
        <w:autoSpaceDN/>
        <w:bidi w:val="0"/>
        <w:adjustRightInd/>
        <w:snapToGrid/>
        <w:spacing w:before="0" w:beforeLines="-2147483648" w:after="0" w:afterLines="-2147483648" w:line="360" w:lineRule="auto"/>
        <w:textAlignment w:val="auto"/>
        <w:rPr>
          <w:rFonts w:hint="default" w:ascii="Times New Roman" w:hAnsi="Times New Roman" w:eastAsia="宋体" w:cs="Times New Roman"/>
          <w:snapToGrid/>
          <w:color w:val="000000" w:themeColor="text1"/>
          <w:spacing w:val="0"/>
          <w:sz w:val="21"/>
          <w:szCs w:val="21"/>
          <w14:textFill>
            <w14:solidFill>
              <w14:schemeClr w14:val="tx1"/>
            </w14:solidFill>
          </w14:textFill>
        </w:rPr>
      </w:pPr>
      <w:r>
        <w:rPr>
          <w:rFonts w:hint="default" w:ascii="Times New Roman" w:hAnsi="Times New Roman" w:eastAsia="宋体" w:cs="Times New Roman"/>
          <w:snapToGrid/>
          <w:color w:val="000000" w:themeColor="text1"/>
          <w:spacing w:val="0"/>
          <w:sz w:val="21"/>
          <w:szCs w:val="21"/>
          <w14:textFill>
            <w14:solidFill>
              <w14:schemeClr w14:val="tx1"/>
            </w14:solidFill>
          </w14:textFill>
        </w:rPr>
        <w:t>表</w:t>
      </w:r>
      <w:r>
        <w:rPr>
          <w:rFonts w:hint="default" w:ascii="Times New Roman" w:hAnsi="Times New Roman" w:eastAsia="宋体" w:cs="Times New Roman"/>
          <w:snapToGrid/>
          <w:color w:val="000000" w:themeColor="text1"/>
          <w:spacing w:val="0"/>
          <w:sz w:val="21"/>
          <w:szCs w:val="21"/>
          <w:lang w:val="en-US" w:eastAsia="zh-CN"/>
          <w14:textFill>
            <w14:solidFill>
              <w14:schemeClr w14:val="tx1"/>
            </w14:solidFill>
          </w14:textFill>
        </w:rPr>
        <w:t>8.3-3</w:t>
      </w:r>
      <w:r>
        <w:rPr>
          <w:rFonts w:hint="default" w:ascii="Times New Roman" w:hAnsi="Times New Roman" w:eastAsia="宋体" w:cs="Times New Roman"/>
          <w:snapToGrid/>
          <w:color w:val="000000" w:themeColor="text1"/>
          <w:spacing w:val="0"/>
          <w:sz w:val="21"/>
          <w:szCs w:val="21"/>
          <w14:textFill>
            <w14:solidFill>
              <w14:schemeClr w14:val="tx1"/>
            </w14:solidFill>
          </w14:textFill>
        </w:rPr>
        <w:t xml:space="preserve"> 项目污染源排放清单</w:t>
      </w:r>
    </w:p>
    <w:tbl>
      <w:tblPr>
        <w:tblStyle w:val="24"/>
        <w:tblW w:w="52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1"/>
        <w:gridCol w:w="1445"/>
        <w:gridCol w:w="1451"/>
        <w:gridCol w:w="859"/>
        <w:gridCol w:w="786"/>
        <w:gridCol w:w="2649"/>
        <w:gridCol w:w="1089"/>
        <w:gridCol w:w="924"/>
        <w:gridCol w:w="1539"/>
        <w:gridCol w:w="2181"/>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25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污染物类型</w:t>
            </w:r>
          </w:p>
        </w:tc>
        <w:tc>
          <w:tcPr>
            <w:tcW w:w="49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污染物名称</w:t>
            </w: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产污环节</w:t>
            </w:r>
          </w:p>
        </w:tc>
        <w:tc>
          <w:tcPr>
            <w:tcW w:w="29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污染物类型</w:t>
            </w:r>
          </w:p>
        </w:tc>
        <w:tc>
          <w:tcPr>
            <w:tcW w:w="267"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排放形式/性质</w:t>
            </w:r>
          </w:p>
        </w:tc>
        <w:tc>
          <w:tcPr>
            <w:tcW w:w="90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拟采取的环境</w:t>
            </w:r>
          </w:p>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保护措施</w:t>
            </w:r>
          </w:p>
        </w:tc>
        <w:tc>
          <w:tcPr>
            <w:tcW w:w="37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排放浓度</w:t>
            </w:r>
          </w:p>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314"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排放量</w:t>
            </w:r>
          </w:p>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523"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排放标准</w:t>
            </w:r>
          </w:p>
        </w:tc>
        <w:tc>
          <w:tcPr>
            <w:tcW w:w="74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执行标准</w:t>
            </w:r>
          </w:p>
        </w:tc>
        <w:tc>
          <w:tcPr>
            <w:tcW w:w="35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7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14"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23"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浓度</w:t>
            </w: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mg/m</w:t>
            </w:r>
            <w:r>
              <w:rPr>
                <w:rFonts w:hint="default" w:ascii="Times New Roman" w:hAnsi="Times New Roman" w:eastAsia="宋体" w:cs="Times New Roman"/>
                <w:snapToGrid/>
                <w:color w:val="000000" w:themeColor="text1"/>
                <w:kern w:val="2"/>
                <w:szCs w:val="21"/>
                <w:vertAlign w:val="superscript"/>
                <w:lang w:val="en-US" w:eastAsia="zh-CN" w:bidi="ar-SA"/>
                <w14:textFill>
                  <w14:solidFill>
                    <w14:schemeClr w14:val="tx1"/>
                  </w14:solidFill>
                </w14:textFill>
              </w:rPr>
              <w:t>3</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5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大气污染物</w:t>
            </w:r>
          </w:p>
        </w:tc>
        <w:tc>
          <w:tcPr>
            <w:tcW w:w="49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有机废气</w:t>
            </w: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涂装车间：</w:t>
            </w:r>
          </w:p>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调漆、涂装、晾晒工序</w:t>
            </w:r>
          </w:p>
        </w:tc>
        <w:tc>
          <w:tcPr>
            <w:tcW w:w="29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甲苯</w:t>
            </w:r>
          </w:p>
        </w:tc>
        <w:tc>
          <w:tcPr>
            <w:tcW w:w="267"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有组织</w:t>
            </w:r>
          </w:p>
        </w:tc>
        <w:tc>
          <w:tcPr>
            <w:tcW w:w="90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设置灌注、涂装车间为密闭车间，通过上进风+侧面吸风+粗效吸附箱+活性炭吸附/脱附+催化燃烧（热源采用电加热）+风机+一根27米排气筒排放。</w:t>
            </w:r>
          </w:p>
        </w:tc>
        <w:tc>
          <w:tcPr>
            <w:tcW w:w="37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0.133</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0.034</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40（排气筒高度20m：5.2kg/h）</w:t>
            </w:r>
          </w:p>
        </w:tc>
        <w:tc>
          <w:tcPr>
            <w:tcW w:w="741" w:type="pct"/>
            <w:vMerge w:val="restart"/>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《大气污染物综合排放标准》（GB16297-1996）表2新污染源大气污染物排放限值</w:t>
            </w:r>
          </w:p>
        </w:tc>
        <w:tc>
          <w:tcPr>
            <w:tcW w:w="35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14:textFill>
                  <w14:solidFill>
                    <w14:schemeClr w14:val="tx1"/>
                  </w14:solidFill>
                </w14:textFill>
              </w:rPr>
            </w:pPr>
          </w:p>
        </w:tc>
        <w:tc>
          <w:tcPr>
            <w:tcW w:w="29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二甲苯</w:t>
            </w:r>
          </w:p>
        </w:tc>
        <w:tc>
          <w:tcPr>
            <w:tcW w:w="267"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1.358</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0.339</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70（排气筒高度20m：1.7kg/h）</w:t>
            </w:r>
          </w:p>
        </w:tc>
        <w:tc>
          <w:tcPr>
            <w:tcW w:w="741"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非甲烷总烃</w:t>
            </w:r>
          </w:p>
        </w:tc>
        <w:tc>
          <w:tcPr>
            <w:tcW w:w="267"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25.6</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6.403</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120（排气筒高度20m：17kg/h）</w:t>
            </w:r>
          </w:p>
        </w:tc>
        <w:tc>
          <w:tcPr>
            <w:tcW w:w="741"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甲苯</w:t>
            </w:r>
          </w:p>
        </w:tc>
        <w:tc>
          <w:tcPr>
            <w:tcW w:w="267"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无组织</w:t>
            </w:r>
          </w:p>
        </w:tc>
        <w:tc>
          <w:tcPr>
            <w:tcW w:w="90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加强控制监管，加强设备的维护</w:t>
            </w:r>
          </w:p>
        </w:tc>
        <w:tc>
          <w:tcPr>
            <w:tcW w:w="370" w:type="pct"/>
            <w:vMerge w:val="restar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0.006</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2.4</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52"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491"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493"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29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二甲苯</w:t>
            </w:r>
          </w:p>
        </w:tc>
        <w:tc>
          <w:tcPr>
            <w:tcW w:w="267"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900"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370"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0.058</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1.2</w:t>
            </w:r>
          </w:p>
        </w:tc>
        <w:tc>
          <w:tcPr>
            <w:tcW w:w="741"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353"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252"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491"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493"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292"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非甲烷总烃</w:t>
            </w:r>
          </w:p>
        </w:tc>
        <w:tc>
          <w:tcPr>
            <w:tcW w:w="267"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900"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370"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1.088</w:t>
            </w:r>
          </w:p>
        </w:tc>
        <w:tc>
          <w:tcPr>
            <w:tcW w:w="523"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10（在厂房外设置监控点，监控点处1h平均浓度值）</w:t>
            </w:r>
          </w:p>
        </w:tc>
        <w:tc>
          <w:tcPr>
            <w:tcW w:w="741"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《挥发性有机物无组织排放控制标准》（GB37822-2019）附录A中排放限值。</w:t>
            </w:r>
          </w:p>
        </w:tc>
        <w:tc>
          <w:tcPr>
            <w:tcW w:w="353"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252"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491"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493" w:type="pct"/>
            <w:vMerge w:val="restar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灌注车间：</w:t>
            </w:r>
          </w:p>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灌注、合膜工序</w:t>
            </w:r>
          </w:p>
        </w:tc>
        <w:tc>
          <w:tcPr>
            <w:tcW w:w="292"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t>非甲烷总烃</w:t>
            </w:r>
          </w:p>
        </w:tc>
        <w:tc>
          <w:tcPr>
            <w:tcW w:w="267" w:type="pc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有组织</w:t>
            </w:r>
          </w:p>
        </w:tc>
        <w:tc>
          <w:tcPr>
            <w:tcW w:w="900"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设置灌注、涂装车间为密闭车间，通过上进风+侧面吸风+粗效吸附箱+活性炭吸附/脱附+催化燃烧（热源采用电加热）+风机+一根27米排气筒排放。</w:t>
            </w:r>
          </w:p>
        </w:tc>
        <w:tc>
          <w:tcPr>
            <w:tcW w:w="37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4.917</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0.59</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120（排气筒高度20m：17kg/h）</w:t>
            </w:r>
          </w:p>
        </w:tc>
        <w:tc>
          <w:tcPr>
            <w:tcW w:w="741" w:type="pct"/>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《大气污染物综合排放标准》（GB16297-1996）表2新污染源大气污染物排放限值</w:t>
            </w:r>
          </w:p>
        </w:tc>
        <w:tc>
          <w:tcPr>
            <w:tcW w:w="353"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252"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491"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pacing w:val="-3"/>
                <w:sz w:val="21"/>
                <w:szCs w:val="21"/>
                <w:highlight w:val="none"/>
                <w:vertAlign w:val="baseline"/>
                <w14:textFill>
                  <w14:solidFill>
                    <w14:schemeClr w14:val="tx1"/>
                  </w14:solidFill>
                </w14:textFill>
              </w:rPr>
            </w:pPr>
          </w:p>
        </w:tc>
        <w:tc>
          <w:tcPr>
            <w:tcW w:w="267" w:type="pc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无组织</w:t>
            </w:r>
          </w:p>
        </w:tc>
        <w:tc>
          <w:tcPr>
            <w:tcW w:w="900" w:type="pc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加强控制监管，加强设备的维护</w:t>
            </w:r>
          </w:p>
        </w:tc>
        <w:tc>
          <w:tcPr>
            <w:tcW w:w="370"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t>0.1</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spacing w:val="-3"/>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10（在厂房外设置监控点，监控点处1h平均浓度值）</w:t>
            </w:r>
          </w:p>
        </w:tc>
        <w:tc>
          <w:tcPr>
            <w:tcW w:w="741" w:type="pct"/>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《挥发性有机物无组织排放控制标准》（GB37822-2019）附录A中排放限值。</w:t>
            </w:r>
          </w:p>
        </w:tc>
        <w:tc>
          <w:tcPr>
            <w:tcW w:w="353"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52"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491"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危废暂存间</w:t>
            </w:r>
          </w:p>
        </w:tc>
        <w:tc>
          <w:tcPr>
            <w:tcW w:w="292"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非甲烷总烃</w:t>
            </w:r>
          </w:p>
        </w:tc>
        <w:tc>
          <w:tcPr>
            <w:tcW w:w="267" w:type="pct"/>
            <w:vMerge w:val="restar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无组织</w:t>
            </w:r>
          </w:p>
        </w:tc>
        <w:tc>
          <w:tcPr>
            <w:tcW w:w="90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活性炭吸附箱</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0.048</w:t>
            </w:r>
          </w:p>
        </w:tc>
        <w:tc>
          <w:tcPr>
            <w:tcW w:w="523"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t>10（在厂房外设置监控点，监控点处1h平均浓度值）</w:t>
            </w:r>
          </w:p>
        </w:tc>
        <w:tc>
          <w:tcPr>
            <w:tcW w:w="741" w:type="pct"/>
            <w:vMerge w:val="restar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《挥发性有机物无组织排放控制标准》（GB37822-2019）附录A中排放限值。</w:t>
            </w:r>
          </w:p>
        </w:tc>
        <w:tc>
          <w:tcPr>
            <w:tcW w:w="35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52"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491"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49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腻子工序</w:t>
            </w:r>
          </w:p>
        </w:tc>
        <w:tc>
          <w:tcPr>
            <w:tcW w:w="292"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pPr>
          </w:p>
        </w:tc>
        <w:tc>
          <w:tcPr>
            <w:tcW w:w="267"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suppressLineNumbers w:val="0"/>
              <w:wordWrap/>
              <w:topLinePunct w:val="0"/>
              <w:autoSpaceDE w:val="0"/>
              <w:autoSpaceDN w:val="0"/>
              <w:bidi w:val="0"/>
              <w:adjustRightInd/>
              <w:snapToGrid/>
              <w:jc w:val="center"/>
              <w:textAlignment w:val="cente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0.08</w:t>
            </w:r>
          </w:p>
        </w:tc>
        <w:tc>
          <w:tcPr>
            <w:tcW w:w="523" w:type="pct"/>
            <w:vMerge w:val="continue"/>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p>
        </w:tc>
        <w:tc>
          <w:tcPr>
            <w:tcW w:w="741" w:type="pct"/>
            <w:vMerge w:val="continue"/>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p>
        </w:tc>
        <w:tc>
          <w:tcPr>
            <w:tcW w:w="35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颗粒物</w:t>
            </w: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修型工序</w:t>
            </w:r>
          </w:p>
        </w:tc>
        <w:tc>
          <w:tcPr>
            <w:tcW w:w="292" w:type="pct"/>
            <w:vMerge w:val="restar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颗粒物</w:t>
            </w:r>
          </w:p>
        </w:tc>
        <w:tc>
          <w:tcPr>
            <w:tcW w:w="267"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有组织</w:t>
            </w:r>
          </w:p>
        </w:tc>
        <w:tc>
          <w:tcPr>
            <w:tcW w:w="900"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“Nederman高负压除尘系统+打磨/清扫套件”工艺</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1.667</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0.016</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120</w:t>
            </w: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（3.5kg/h）</w:t>
            </w:r>
          </w:p>
        </w:tc>
        <w:tc>
          <w:tcPr>
            <w:tcW w:w="741" w:type="pct"/>
            <w:vMerge w:val="restart"/>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《大气污染物综合排放标准》（GB16297- 1996）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表2新污染源大气污染物排放限值</w:t>
            </w:r>
          </w:p>
        </w:tc>
        <w:tc>
          <w:tcPr>
            <w:tcW w:w="35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无组织</w:t>
            </w:r>
          </w:p>
        </w:tc>
        <w:tc>
          <w:tcPr>
            <w:tcW w:w="900"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加强控制监管，加强设备的维护</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0.174</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1.0</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腻子打磨工序</w:t>
            </w:r>
          </w:p>
        </w:tc>
        <w:tc>
          <w:tcPr>
            <w:tcW w:w="292" w:type="pct"/>
            <w:vMerge w:val="restar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颗粒物</w:t>
            </w:r>
          </w:p>
        </w:tc>
        <w:tc>
          <w:tcPr>
            <w:tcW w:w="267"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有组织</w:t>
            </w:r>
          </w:p>
        </w:tc>
        <w:tc>
          <w:tcPr>
            <w:tcW w:w="900"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“Nederman高负压除尘系统+打磨/清扫套件”工艺</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4</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0.037</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120</w:t>
            </w:r>
            <w:r>
              <w:rPr>
                <w:rFonts w:hint="default" w:ascii="Times New Roman" w:hAnsi="Times New Roman" w:eastAsia="宋体" w:cs="Times New Roman"/>
                <w:color w:val="000000" w:themeColor="text1"/>
                <w:spacing w:val="-3"/>
                <w:sz w:val="21"/>
                <w:szCs w:val="21"/>
                <w:highlight w:val="none"/>
                <w:vertAlign w:val="baseline"/>
                <w:lang w:val="en-US" w:eastAsia="zh-CN"/>
                <w14:textFill>
                  <w14:solidFill>
                    <w14:schemeClr w14:val="tx1"/>
                  </w14:solidFill>
                </w14:textFill>
              </w:rPr>
              <w:t>（3.5kg/h）</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67"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无组织</w:t>
            </w:r>
          </w:p>
        </w:tc>
        <w:tc>
          <w:tcPr>
            <w:tcW w:w="900"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加强控制监管，加强设备的维护</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000000" w:themeColor="text1"/>
                <w:ker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0.407</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1.0</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油烟</w:t>
            </w:r>
          </w:p>
        </w:tc>
        <w:tc>
          <w:tcPr>
            <w:tcW w:w="493"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食堂</w:t>
            </w:r>
          </w:p>
        </w:tc>
        <w:tc>
          <w:tcPr>
            <w:tcW w:w="292" w:type="pct"/>
            <w:vAlign w:val="center"/>
          </w:tcPr>
          <w:p>
            <w:pPr>
              <w:keepNext w:val="0"/>
              <w:keepLines w:val="0"/>
              <w:pageBreakBefore w:val="0"/>
              <w:widowControl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油烟</w:t>
            </w:r>
          </w:p>
        </w:tc>
        <w:tc>
          <w:tcPr>
            <w:tcW w:w="267"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有组织</w:t>
            </w:r>
          </w:p>
        </w:tc>
        <w:tc>
          <w:tcPr>
            <w:tcW w:w="900"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油烟净化器</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1.72</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0.031</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2.0</w:t>
            </w:r>
          </w:p>
        </w:tc>
        <w:tc>
          <w:tcPr>
            <w:tcW w:w="741" w:type="pct"/>
            <w:vAlign w:val="center"/>
          </w:tcPr>
          <w:p>
            <w:pPr>
              <w:keepNext w:val="0"/>
              <w:keepLines w:val="0"/>
              <w:pageBreakBefore w:val="0"/>
              <w:widowControl w:val="0"/>
              <w:kinsoku/>
              <w:wordWrap/>
              <w:overflowPunct/>
              <w:topLinePunct w:val="0"/>
              <w:autoSpaceDE/>
              <w:autoSpaceDN/>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《饮食业油烟排放标准》（GB18483-2001）</w:t>
            </w:r>
          </w:p>
        </w:tc>
        <w:tc>
          <w:tcPr>
            <w:tcW w:w="353"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水污染物</w:t>
            </w:r>
          </w:p>
        </w:tc>
        <w:tc>
          <w:tcPr>
            <w:tcW w:w="49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生活污水</w:t>
            </w: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生活污水</w:t>
            </w:r>
          </w:p>
        </w:tc>
        <w:tc>
          <w:tcPr>
            <w:tcW w:w="29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COD</w:t>
            </w:r>
          </w:p>
        </w:tc>
        <w:tc>
          <w:tcPr>
            <w:tcW w:w="267"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间歇排放</w:t>
            </w:r>
          </w:p>
        </w:tc>
        <w:tc>
          <w:tcPr>
            <w:tcW w:w="90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项目食堂废水经隔油池处理后和生活污水一并进入厂区自建化粪池处理达到《污水综合排放标准》（GB8978- 1996）表4的三级标准后排入园区污水处理厂处理。</w:t>
            </w:r>
          </w:p>
        </w:tc>
        <w:tc>
          <w:tcPr>
            <w:tcW w:w="370" w:type="pct"/>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400</w:t>
            </w:r>
          </w:p>
        </w:tc>
        <w:tc>
          <w:tcPr>
            <w:tcW w:w="314"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8.32</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500</w:t>
            </w:r>
          </w:p>
        </w:tc>
        <w:tc>
          <w:tcPr>
            <w:tcW w:w="741" w:type="pct"/>
            <w:vMerge w:val="restart"/>
            <w:vAlign w:val="center"/>
          </w:tcPr>
          <w:p>
            <w:pPr>
              <w:keepNext w:val="0"/>
              <w:keepLines w:val="0"/>
              <w:pageBreakBefore w:val="0"/>
              <w:widowControl/>
              <w:kinsoku/>
              <w:wordWrap/>
              <w:overflowPunct/>
              <w:topLinePunct w:val="0"/>
              <w:autoSpaceDE/>
              <w:autoSpaceDN/>
              <w:bidi w:val="0"/>
              <w:spacing w:after="0" w:line="360" w:lineRule="exact"/>
              <w:jc w:val="center"/>
              <w:rPr>
                <w:rFonts w:hint="default" w:ascii="Times New Roman" w:hAnsi="Times New Roman" w:eastAsia="宋体" w:cs="Times New Roman"/>
                <w:color w:val="000000" w:themeColor="text1"/>
                <w:kern w:val="2"/>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《污水综合排放标准》（GB8978-1996）三级标准</w:t>
            </w:r>
          </w:p>
        </w:tc>
        <w:tc>
          <w:tcPr>
            <w:tcW w:w="35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做好地面硬化、分区防渗，以防污染地下水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snapToGrid w:val="0"/>
                <w:color w:val="000000" w:themeColor="text1"/>
                <w:kern w:val="0"/>
                <w:sz w:val="21"/>
                <w:szCs w:val="21"/>
                <w:u w:val="none"/>
                <w:vertAlign w:val="subscript"/>
                <w:lang w:val="en-US" w:eastAsia="zh-CN" w:bidi="ar"/>
                <w14:textFill>
                  <w14:solidFill>
                    <w14:schemeClr w14:val="tx1"/>
                  </w14:solidFill>
                </w14:textFill>
              </w:rPr>
              <w:t>5</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70" w:type="pct"/>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200</w:t>
            </w:r>
          </w:p>
        </w:tc>
        <w:tc>
          <w:tcPr>
            <w:tcW w:w="314"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4.16</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300</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SS</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70" w:type="pct"/>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220</w:t>
            </w:r>
          </w:p>
        </w:tc>
        <w:tc>
          <w:tcPr>
            <w:tcW w:w="314"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4.576</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400</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氨氮</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70" w:type="pct"/>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w:t>
            </w:r>
          </w:p>
        </w:tc>
        <w:tc>
          <w:tcPr>
            <w:tcW w:w="314"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
                <w:szCs w:val="22"/>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0.416</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9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总磷</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70" w:type="pct"/>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w:t>
            </w:r>
          </w:p>
        </w:tc>
        <w:tc>
          <w:tcPr>
            <w:tcW w:w="314" w:type="pct"/>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0.0832</w:t>
            </w:r>
          </w:p>
        </w:tc>
        <w:tc>
          <w:tcPr>
            <w:tcW w:w="523"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25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固体废物</w:t>
            </w: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收集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t>生产过程</w:t>
            </w:r>
          </w:p>
        </w:tc>
        <w:tc>
          <w:tcPr>
            <w:tcW w:w="29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267"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一般固废</w:t>
            </w:r>
          </w:p>
        </w:tc>
        <w:tc>
          <w:tcPr>
            <w:tcW w:w="90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分类回收后综合利用</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0"/>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5.173</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0"/>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74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合理处置</w:t>
            </w: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边角废料</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包装废料</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spacing w:val="-4"/>
                <w:kern w:val="2"/>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生活垃圾</w:t>
            </w:r>
          </w:p>
        </w:tc>
        <w:tc>
          <w:tcPr>
            <w:tcW w:w="493"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生活区</w:t>
            </w: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267"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生活垃圾</w:t>
            </w:r>
          </w:p>
        </w:tc>
        <w:tc>
          <w:tcPr>
            <w:tcW w:w="900"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由环卫部门统一处理</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0"/>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0"/>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SA"/>
                <w14:textFill>
                  <w14:solidFill>
                    <w14:schemeClr w14:val="tx1"/>
                  </w14:solidFill>
                </w14:textFill>
              </w:rPr>
              <w:t>260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0"/>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restar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废灌注管（部分沾染未完全固化的树脂料）、废树脂及树脂固化剂（未完全固化）、脱模过程中产生的含未固化沾染性废树脂料废腻子及固化剂</w:t>
            </w:r>
          </w:p>
        </w:tc>
        <w:tc>
          <w:tcPr>
            <w:tcW w:w="49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危废暂存间</w:t>
            </w:r>
          </w:p>
        </w:tc>
        <w:tc>
          <w:tcPr>
            <w:tcW w:w="292"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危险废物</w:t>
            </w:r>
          </w:p>
        </w:tc>
        <w:tc>
          <w:tcPr>
            <w:tcW w:w="900"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暂存危废间</w:t>
            </w: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0"/>
                <w:szCs w:val="21"/>
                <w:lang w:val="en-US" w:eastAsia="zh-CN" w:bidi="ar"/>
                <w14:textFill>
                  <w14:solidFill>
                    <w14:schemeClr w14:val="tx1"/>
                  </w14:solidFill>
                </w14:textFill>
              </w:rPr>
              <w:t>-</w:t>
            </w:r>
          </w:p>
        </w:tc>
        <w:tc>
          <w:tcPr>
            <w:tcW w:w="741"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委托有资质单位定期拉运处置</w:t>
            </w:r>
          </w:p>
        </w:tc>
        <w:tc>
          <w:tcPr>
            <w:tcW w:w="353" w:type="pct"/>
            <w:vMerge w:val="restar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重点防渗区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Merge w:val="continue"/>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砂纸</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1.35</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废漆、</w:t>
            </w:r>
            <w:r>
              <w:rPr>
                <w:rFonts w:hint="default" w:ascii="Times New Roman" w:hAnsi="Times New Roman" w:eastAsia="宋体" w:cs="Times New Roman"/>
                <w:color w:val="000000" w:themeColor="text1"/>
                <w:sz w:val="21"/>
                <w:szCs w:val="21"/>
                <w:highlight w:val="none"/>
                <w14:textFill>
                  <w14:solidFill>
                    <w14:schemeClr w14:val="tx1"/>
                  </w14:solidFill>
                </w14:textFill>
              </w:rPr>
              <w:t>废漆桶</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废空压油、废机油</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1.35</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废铅蓄电池</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3.728</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252"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91"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p>
        </w:tc>
        <w:tc>
          <w:tcPr>
            <w:tcW w:w="49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92" w:type="pct"/>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267"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00"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70"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314" w:type="pct"/>
            <w:vAlign w:val="center"/>
          </w:tcPr>
          <w:p>
            <w:pPr>
              <w:keepNext w:val="0"/>
              <w:keepLines w:val="0"/>
              <w:pageBreakBefore w:val="0"/>
              <w:widowControl/>
              <w:kinsoku/>
              <w:wordWrap/>
              <w:overflowPunct w:val="0"/>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/4a</w:t>
            </w:r>
          </w:p>
        </w:tc>
        <w:tc>
          <w:tcPr>
            <w:tcW w:w="523" w:type="pct"/>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Cs w:val="21"/>
                <w:lang w:val="en-US" w:eastAsia="zh-CN" w:bidi="ar-SA"/>
                <w14:textFill>
                  <w14:solidFill>
                    <w14:schemeClr w14:val="tx1"/>
                  </w14:solidFill>
                </w14:textFill>
              </w:rPr>
              <w:t>-</w:t>
            </w:r>
          </w:p>
        </w:tc>
        <w:tc>
          <w:tcPr>
            <w:tcW w:w="741"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Merge w:val="continue"/>
            <w:vAlign w:val="center"/>
          </w:tcPr>
          <w:p>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pPr>
        <w:pStyle w:val="58"/>
        <w:keepNext w:val="0"/>
        <w:keepLines w:val="0"/>
        <w:pageBreakBefore w:val="0"/>
        <w:kinsoku/>
        <w:wordWrap/>
        <w:autoSpaceDE/>
        <w:autoSpaceDN/>
        <w:bidi w:val="0"/>
        <w:adjustRightInd/>
        <w:snapToGrid/>
        <w:spacing w:before="0" w:beforeLines="-2147483648" w:after="0" w:afterLines="-2147483648" w:line="360" w:lineRule="auto"/>
        <w:textAlignment w:val="auto"/>
        <w:rPr>
          <w:rFonts w:hint="default" w:ascii="Times New Roman" w:hAnsi="Times New Roman" w:eastAsia="宋体" w:cs="Times New Roman"/>
          <w:snapToGrid/>
          <w:color w:val="000000" w:themeColor="text1"/>
          <w:spacing w:val="0"/>
          <w:sz w:val="21"/>
          <w:szCs w:val="2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2"/>
        <w:pageBreakBefore w:val="0"/>
        <w:kinsoku/>
        <w:overflowPunct w:val="0"/>
        <w:bidi w:val="0"/>
        <w:spacing w:line="360" w:lineRule="auto"/>
        <w:rPr>
          <w:rFonts w:hint="default" w:ascii="Times New Roman" w:hAnsi="Times New Roman" w:eastAsia="宋体" w:cs="Times New Roman"/>
          <w:color w:val="000000" w:themeColor="text1"/>
          <w:sz w:val="30"/>
          <w:szCs w:val="30"/>
          <w:highlight w:val="none"/>
          <w14:textFill>
            <w14:solidFill>
              <w14:schemeClr w14:val="tx1"/>
            </w14:solidFill>
          </w14:textFill>
        </w:rPr>
      </w:pPr>
      <w:bookmarkStart w:id="203" w:name="_Toc14086"/>
      <w:bookmarkStart w:id="204" w:name="_Toc9034"/>
      <w:bookmarkStart w:id="205" w:name="_Toc6755"/>
      <w:bookmarkStart w:id="206" w:name="_Toc2835"/>
      <w:r>
        <w:rPr>
          <w:rFonts w:hint="default" w:ascii="Times New Roman" w:hAnsi="Times New Roman" w:eastAsia="宋体" w:cs="Times New Roman"/>
          <w:color w:val="000000" w:themeColor="text1"/>
          <w:sz w:val="30"/>
          <w:szCs w:val="30"/>
          <w:highlight w:val="none"/>
          <w14:textFill>
            <w14:solidFill>
              <w14:schemeClr w14:val="tx1"/>
            </w14:solidFill>
          </w14:textFill>
        </w:rPr>
        <w:t>9  环境影响评价结论</w:t>
      </w:r>
      <w:bookmarkEnd w:id="203"/>
      <w:bookmarkEnd w:id="204"/>
      <w:bookmarkEnd w:id="205"/>
      <w:bookmarkEnd w:id="206"/>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07" w:name="_Toc5130"/>
      <w:bookmarkStart w:id="208" w:name="_Toc26968"/>
      <w:bookmarkStart w:id="209" w:name="_Toc25836"/>
      <w:bookmarkStart w:id="210" w:name="_Toc5072"/>
      <w:r>
        <w:rPr>
          <w:rFonts w:hint="default" w:ascii="Times New Roman" w:hAnsi="Times New Roman" w:eastAsia="宋体" w:cs="Times New Roman"/>
          <w:color w:val="000000" w:themeColor="text1"/>
          <w:sz w:val="24"/>
          <w:szCs w:val="24"/>
          <w:highlight w:val="none"/>
          <w14:textFill>
            <w14:solidFill>
              <w14:schemeClr w14:val="tx1"/>
            </w14:solidFill>
          </w14:textFill>
        </w:rPr>
        <w:t>9.1建设项目概况</w:t>
      </w:r>
      <w:bookmarkEnd w:id="207"/>
      <w:bookmarkEnd w:id="208"/>
      <w:bookmarkEnd w:id="209"/>
      <w:bookmarkEnd w:id="210"/>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本项目为东方电气（新疆）新能源高端装备制造基地项目，位于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新疆昌吉州木垒哈萨克自治县民生工业园区新型产业及轻工业区</w:t>
      </w:r>
      <w:r>
        <w:rPr>
          <w:rFonts w:hint="default" w:ascii="Times New Roman" w:hAnsi="Times New Roman" w:eastAsia="宋体" w:cs="Times New Roman"/>
          <w:color w:val="000000" w:themeColor="text1"/>
          <w:sz w:val="24"/>
          <w:szCs w:val="24"/>
          <w:highlight w:val="none"/>
          <w14:textFill>
            <w14:solidFill>
              <w14:schemeClr w14:val="tx1"/>
            </w14:solidFill>
          </w14:textFill>
        </w:rPr>
        <w:t>。全厂总投资共计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49000</w:t>
      </w:r>
      <w:r>
        <w:rPr>
          <w:rFonts w:hint="default" w:ascii="Times New Roman" w:hAnsi="Times New Roman" w:eastAsia="宋体" w:cs="Times New Roman"/>
          <w:color w:val="000000" w:themeColor="text1"/>
          <w:sz w:val="24"/>
          <w:szCs w:val="24"/>
          <w:highlight w:val="none"/>
          <w14:textFill>
            <w14:solidFill>
              <w14:schemeClr w14:val="tx1"/>
            </w14:solidFill>
          </w14:textFill>
        </w:rPr>
        <w:t>万元。项目新建风电主机厂房、叶片厂房、综合楼（办公楼、食堂、倒班宿舍）、辅助厂房，以及配套的厂区管网、公用动力设施、环保和消防设施，本次新建总建筑面积约74470平方米，新增购置主模具、工艺装备系统，行车及重型龙门吊、真空灌注系统、处理及环保系统、运输周转设备、公用辅助生产设备等。建成投产后，可形成年产1500MW（陆上大兆瓦5MW-10M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11" w:name="_Toc16306"/>
      <w:bookmarkStart w:id="212" w:name="_Toc30346"/>
      <w:bookmarkStart w:id="213" w:name="_Toc2215"/>
      <w:bookmarkStart w:id="214" w:name="_Toc15306"/>
      <w:r>
        <w:rPr>
          <w:rFonts w:hint="default" w:ascii="Times New Roman" w:hAnsi="Times New Roman" w:eastAsia="宋体" w:cs="Times New Roman"/>
          <w:color w:val="000000" w:themeColor="text1"/>
          <w:sz w:val="24"/>
          <w:szCs w:val="24"/>
          <w:highlight w:val="none"/>
          <w14:textFill>
            <w14:solidFill>
              <w14:schemeClr w14:val="tx1"/>
            </w14:solidFill>
          </w14:textFill>
        </w:rPr>
        <w:t>9.2建设项目环境可行性分析</w:t>
      </w:r>
      <w:bookmarkEnd w:id="211"/>
      <w:bookmarkEnd w:id="212"/>
      <w:bookmarkEnd w:id="213"/>
      <w:bookmarkEnd w:id="214"/>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根据《国民经济行业分类》（GB/T 4754-2017），项目属于C3811发电机及发电机组制造中风力发电风轮叶片制造。根据《产业结构调整指导目录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2019年本</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2021年修改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国家发展和改革委员会令第49号，2021年12月31日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，本项目不属于鼓励类、限制类及淘汰类范围，属于允许类项目。</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15" w:name="_Toc14092"/>
      <w:bookmarkStart w:id="216" w:name="_Toc9696"/>
      <w:bookmarkStart w:id="217" w:name="_Toc17300"/>
      <w:bookmarkStart w:id="218" w:name="_Toc14717"/>
      <w:bookmarkStart w:id="219" w:name="_Toc3119"/>
      <w:bookmarkStart w:id="220" w:name="_Toc29005"/>
      <w:bookmarkStart w:id="221" w:name="_Toc17125"/>
      <w:r>
        <w:rPr>
          <w:rFonts w:hint="default" w:ascii="Times New Roman" w:hAnsi="Times New Roman" w:eastAsia="宋体" w:cs="Times New Roman"/>
          <w:color w:val="000000" w:themeColor="text1"/>
          <w:sz w:val="24"/>
          <w:szCs w:val="24"/>
          <w:highlight w:val="none"/>
          <w14:textFill>
            <w14:solidFill>
              <w14:schemeClr w14:val="tx1"/>
            </w14:solidFill>
          </w14:textFill>
        </w:rPr>
        <w:t>9.3环境质量现状</w:t>
      </w:r>
      <w:bookmarkEnd w:id="215"/>
      <w:bookmarkEnd w:id="216"/>
      <w:bookmarkEnd w:id="217"/>
      <w:bookmarkEnd w:id="218"/>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（1）环境空气</w:t>
      </w:r>
    </w:p>
    <w:p>
      <w:pPr>
        <w:pStyle w:val="29"/>
        <w:keepNext w:val="0"/>
        <w:keepLines w:val="0"/>
        <w:pageBreakBefore w:val="0"/>
        <w:widowControl w:val="0"/>
        <w:kinsoku/>
        <w:wordWrap/>
        <w:overflowPunct w:val="0"/>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t>2020年，木垒县指标均满足《环境空气质量标准》（GB3095-2012）二级标准</w:t>
      </w:r>
      <w:r>
        <w:rPr>
          <w:rFonts w:hint="default" w:ascii="Times New Roman" w:hAnsi="Times New Roman" w:eastAsia="宋体" w:cs="Times New Roman"/>
          <w:color w:val="000000" w:themeColor="text1"/>
          <w:kern w:val="2"/>
          <w:highlight w:val="none"/>
          <w14:textFill>
            <w14:solidFill>
              <w14:schemeClr w14:val="tx1"/>
            </w14:solidFill>
          </w14:textFill>
        </w:rPr>
        <w:t>项目区为空气质量达标区。</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评价范围污染物环境质量现状补充监测结果显示：评价区域内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甲苯、二甲苯</w:t>
      </w:r>
      <w:r>
        <w:rPr>
          <w:rFonts w:hint="default" w:ascii="Times New Roman" w:hAnsi="Times New Roman" w:eastAsia="宋体" w:cs="Times New Roman"/>
          <w:color w:val="000000" w:themeColor="text1"/>
          <w:sz w:val="24"/>
          <w:szCs w:val="24"/>
          <w:highlight w:val="none"/>
          <w14:textFill>
            <w14:solidFill>
              <w14:schemeClr w14:val="tx1"/>
            </w14:solidFill>
          </w14:textFill>
        </w:rPr>
        <w:t>的浓度能够满足《</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环境影响评价技术导则 大气环境</w:t>
      </w:r>
      <w:r>
        <w:rPr>
          <w:rFonts w:hint="default" w:ascii="Times New Roman" w:hAnsi="Times New Roman" w:eastAsia="宋体" w:cs="Times New Roman"/>
          <w:color w:val="000000" w:themeColor="text1"/>
          <w:sz w:val="24"/>
          <w:szCs w:val="24"/>
          <w:highlight w:val="none"/>
          <w14:textFill>
            <w14:solidFill>
              <w14:schemeClr w14:val="tx1"/>
            </w14:solidFill>
          </w14:textFill>
        </w:rPr>
        <w:t>》（HJ2.2-2018）附录D中其他污染物空气质量浓度参考限值；非甲烷总烃满足《大气污染物综合排放标准详解》中浓度限值；TSP浓度均能满足《环境空气质量标准》（GB3095-2012）二级标准限值要求。</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）声环境</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项目所在区域声环境质量现状均满足《声环境质量标准》（GB3096-2008）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类区标准限值，评价区域内的声环境质量较好。</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）土壤环境</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根据监测结果可知，项目所在地土壤中污染物的含量低于《土壤环境质量 建设用地土壤污染风险管控标准（试行）》（GB36600-2018）表1中第二类用地筛选值和管制值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222" w:name="_Toc18801"/>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9.4施工期环境影响结论</w:t>
      </w:r>
      <w:bookmarkEnd w:id="222"/>
    </w:p>
    <w:p>
      <w:pPr>
        <w:keepNext w:val="0"/>
        <w:keepLines w:val="0"/>
        <w:pageBreakBefore w:val="0"/>
        <w:widowControl/>
        <w:kinsoku/>
        <w:wordWrap/>
        <w:overflowPunct w:val="0"/>
        <w:topLinePunct w:val="0"/>
        <w:autoSpaceDE w:val="0"/>
        <w:autoSpaceDN w:val="0"/>
        <w:bidi w:val="0"/>
        <w:adjustRightInd/>
        <w:snapToGrid/>
        <w:spacing w:before="0" w:after="0" w:line="360" w:lineRule="auto"/>
        <w:ind w:firstLine="480" w:firstLineChars="200"/>
        <w:jc w:val="both"/>
        <w:textAlignment w:val="baseline"/>
        <w:outlineLvl w:val="9"/>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t>建设单位应切实按本环评提出的要求做好废气、废水、噪声、固废防治措施。加强管理，对环境影响很小。</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23" w:name="_Toc156"/>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营运期环境影响评价</w:t>
      </w:r>
      <w:bookmarkEnd w:id="219"/>
      <w:bookmarkEnd w:id="220"/>
      <w:bookmarkEnd w:id="221"/>
      <w:bookmarkEnd w:id="223"/>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.1大气环境影响预测结论</w:t>
      </w:r>
    </w:p>
    <w:p>
      <w:pPr>
        <w:pageBreakBefore w:val="0"/>
        <w:kinsoku/>
        <w:overflowPunct w:val="0"/>
        <w:bidi w:val="0"/>
        <w:snapToGrid w:val="0"/>
        <w:spacing w:line="360" w:lineRule="auto"/>
        <w:ind w:firstLine="48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本项目工艺废气污染物主要为TSP、</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VOC</w:t>
      </w:r>
      <w:r>
        <w:rPr>
          <w:rFonts w:hint="default" w:ascii="Times New Roman" w:hAnsi="Times New Roman" w:eastAsia="宋体" w:cs="Times New Roman"/>
          <w:color w:val="000000" w:themeColor="text1"/>
          <w:sz w:val="24"/>
          <w:szCs w:val="24"/>
          <w:highlight w:val="none"/>
          <w14:textFill>
            <w14:solidFill>
              <w14:schemeClr w14:val="tx1"/>
            </w14:solidFill>
          </w14:textFill>
        </w:rPr>
        <w:t>s</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非甲烷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、甲苯、二甲苯，根据《环境影响评价技术导则大气环境》(HJ2.2-2018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模型预测：</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（1）项目环境影响符合环境功能区划，主要污染物的保证率日平均质量浓度和年平均质量浓度均符合环境质量标准。</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（2）本项目无需设置大气环境防护距离。</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（3）考虑废气处理设施故障非正常工况情况，企业必须加强管理和监控，严格按照操作规范进行生产，确保废气处理设施正常运转，在废气处理设施发生故障时应立即停止相关工序的生产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.2地表水环境影响预测结论</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14:textFill>
            <w14:solidFill>
              <w14:schemeClr w14:val="tx1"/>
            </w14:solidFill>
          </w14:textFill>
        </w:rPr>
        <w:t>-1996）表4的三级标准排入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园区污水处理站</w:t>
      </w:r>
      <w:r>
        <w:rPr>
          <w:rFonts w:hint="default" w:ascii="Times New Roman" w:hAnsi="Times New Roman" w:eastAsia="宋体" w:cs="Times New Roman"/>
          <w:color w:val="000000" w:themeColor="text1"/>
          <w:sz w:val="24"/>
          <w:szCs w:val="24"/>
          <w:highlight w:val="none"/>
          <w14:textFill>
            <w14:solidFill>
              <w14:schemeClr w14:val="tx1"/>
            </w14:solidFill>
          </w14:textFill>
        </w:rPr>
        <w:t>。对地表水环境基本无影响。</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.3声</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环境</w:t>
      </w:r>
      <w:r>
        <w:rPr>
          <w:rFonts w:hint="default" w:ascii="Times New Roman" w:hAnsi="Times New Roman" w:eastAsia="宋体" w:cs="Times New Roman"/>
          <w:b/>
          <w:color w:val="000000" w:themeColor="text1"/>
          <w:sz w:val="24"/>
          <w:szCs w:val="24"/>
          <w:highlight w:val="none"/>
          <w14:textFill>
            <w14:solidFill>
              <w14:schemeClr w14:val="tx1"/>
            </w14:solidFill>
          </w14:textFill>
        </w:rPr>
        <w:t>影响预测结论</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厂界四周噪声贡献值均没有超标，能满足《工业企业厂界环境噪声排放标准》（GB12348-2008）中3类标准值要求。项目噪声对敏感目标声环境影响较小。</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.4固体废物环境影响预测结论</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项目产生的固体废物在采取相应措施后，对周围环境及敏感点的影响较小。</w:t>
      </w:r>
    </w:p>
    <w:p>
      <w:pPr>
        <w:pageBreakBefore w:val="0"/>
        <w:kinsoku/>
        <w:overflowPunct w:val="0"/>
        <w:bidi w:val="0"/>
        <w:snapToGrid w:val="0"/>
        <w:spacing w:line="360" w:lineRule="auto"/>
        <w:outlineLvl w:val="2"/>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.5地下水环境影响预测结论</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厂区渗漏发生后，污染范围较小，对地下水环境敏感目标基本未造成影响，对地下水环境影响总体较小。建设单位按照国家相关规范要求，做好相关防渗措施和恢复工作后，服务期满后不会对地下水产生影响。</w:t>
      </w:r>
    </w:p>
    <w:p>
      <w:pPr>
        <w:pStyle w:val="6"/>
        <w:pageBreakBefore w:val="0"/>
        <w:kinsoku/>
        <w:overflowPunct w:val="0"/>
        <w:bidi w:val="0"/>
        <w:snapToGrid w:val="0"/>
        <w:spacing w:before="0" w:after="0" w:line="360" w:lineRule="auto"/>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24" w:name="_Toc9207"/>
      <w:bookmarkStart w:id="225" w:name="_Toc4659"/>
      <w:bookmarkStart w:id="226" w:name="_Toc7166"/>
      <w:r>
        <w:rPr>
          <w:rFonts w:hint="default" w:ascii="Times New Roman" w:hAnsi="Times New Roman" w:eastAsia="宋体" w:cs="Times New Roman"/>
          <w:color w:val="000000" w:themeColor="text1"/>
          <w:sz w:val="24"/>
          <w:szCs w:val="24"/>
          <w:highlight w:val="none"/>
          <w14:textFill>
            <w14:solidFill>
              <w14:schemeClr w14:val="tx1"/>
            </w14:solidFill>
          </w14:textFill>
        </w:rPr>
        <w:t>9.</w:t>
      </w:r>
      <w:bookmarkEnd w:id="224"/>
      <w:bookmarkEnd w:id="225"/>
      <w:bookmarkEnd w:id="226"/>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5.6</w:t>
      </w:r>
      <w:r>
        <w:rPr>
          <w:rFonts w:hint="default" w:ascii="Times New Roman" w:hAnsi="Times New Roman" w:eastAsia="宋体" w:cs="Times New Roman"/>
          <w:color w:val="000000" w:themeColor="text1"/>
          <w:sz w:val="24"/>
          <w:szCs w:val="24"/>
          <w:highlight w:val="none"/>
          <w14:textFill>
            <w14:solidFill>
              <w14:schemeClr w14:val="tx1"/>
            </w14:solidFill>
          </w14:textFill>
        </w:rPr>
        <w:t>土壤环境影响预测结论</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企业加强管理，做好节能减排、厂区做好绿化对污染物进行有限吸附，在严格落实环评提出的分区防渗等环保措施、加强管理的前提下，本项目实施后不会对项目区土壤环境的造成影响。</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27" w:name="_Toc4532"/>
      <w:bookmarkStart w:id="228" w:name="_Toc429986041"/>
      <w:bookmarkStart w:id="229" w:name="_Toc21968"/>
      <w:bookmarkStart w:id="230" w:name="_Toc21276"/>
      <w:bookmarkStart w:id="231" w:name="_Toc28350"/>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6环境保护措施结论</w:t>
      </w:r>
      <w:bookmarkEnd w:id="227"/>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.1废气治理措施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本项目小部件切割粉尘，后道切割、打磨粉尘，精修粉尘均采用“Nederman 高负压除尘系统+打磨/清扫套件”工艺对粉尘进行收集后经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m高排气筒达标排放。本项目设置灌注、涂装车间为密闭车间，通过上进风+侧面吸风+粗效吸附箱+活性炭吸附/脱附+催化燃烧（热源采用电加热）+风机+一根27米排气筒排放。危险废物暂存间设有封闭门窗全封闭状态，并设置活性炭吸附装置，并设置安全照明设施和观察窗口</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废气经活性炭吸附装置吸附无组织排放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本次环评要求，废气做到应收尽收，最大限度降低有组织废气逸散产生的环境影响，对周围环境影响不大。</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9.6.2废水治理措施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项目食堂废水经隔油池处理后和生活污水一并进入厂区自建化粪池处理达到《污水综合排放标准》（GB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8978</w:t>
      </w:r>
      <w:r>
        <w:rPr>
          <w:rFonts w:hint="default" w:ascii="Times New Roman" w:hAnsi="Times New Roman" w:eastAsia="宋体" w:cs="Times New Roman"/>
          <w:color w:val="000000" w:themeColor="text1"/>
          <w:sz w:val="24"/>
          <w:szCs w:val="24"/>
          <w:highlight w:val="none"/>
          <w14:textFill>
            <w14:solidFill>
              <w14:schemeClr w14:val="tx1"/>
            </w14:solidFill>
          </w14:textFill>
        </w:rPr>
        <w:t>-1996）表4的三级标准排入污水处理厂处理。</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9.6.3噪声防治措施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本项目拟采取消声、隔声、减震和加强厂区绿化等降噪措施使厂界噪声排放达标，对周围环境及敏感点影响不大。</w:t>
      </w:r>
    </w:p>
    <w:p>
      <w:pPr>
        <w:keepNext w:val="0"/>
        <w:keepLines w:val="0"/>
        <w:pageBreakBefore w:val="0"/>
        <w:widowControl/>
        <w:kinsoku/>
        <w:wordWrap/>
        <w:overflowPunct w:val="0"/>
        <w:topLinePunct w:val="0"/>
        <w:autoSpaceDE w:val="0"/>
        <w:autoSpaceDN w:val="0"/>
        <w:bidi w:val="0"/>
        <w:adjustRightInd/>
        <w:snapToGrid/>
        <w:spacing w:line="360" w:lineRule="auto"/>
        <w:ind w:firstLine="0"/>
        <w:jc w:val="both"/>
        <w:textAlignment w:val="baseline"/>
        <w:outlineLvl w:val="2"/>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9.6.4固废防治措施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本项目产生的固体废物量较少，一般固废均得到综合利用，危险废物交由具有相关危险废物处理资质的单位处理并严格按“危险废物转移联单制度”转移产生的危险废物，并采取密闭防渗的运输车辆运输。</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32" w:name="_Toc14221"/>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bookmarkEnd w:id="228"/>
      <w:bookmarkEnd w:id="229"/>
      <w:bookmarkEnd w:id="230"/>
      <w:bookmarkEnd w:id="231"/>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总量控制</w:t>
      </w:r>
      <w:bookmarkEnd w:id="232"/>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根据国家环境部对实施污染物总量控制的要求并结合本项目的排污特点，本项目正式运行后，总量指标因子为废气中的挥发性有机物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和颗粒物</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本项目废气总量控制指标为：</w:t>
      </w:r>
      <w:r>
        <w:rPr>
          <w:rFonts w:hint="default" w:ascii="Times New Roman" w:hAnsi="Times New Roman" w:eastAsia="宋体" w:cs="Times New Roman"/>
          <w:b w:val="0"/>
          <w:bCs w:val="0"/>
          <w:snapToGrid w:val="0"/>
          <w:color w:val="000000" w:themeColor="text1"/>
          <w:kern w:val="0"/>
          <w:sz w:val="24"/>
          <w:szCs w:val="24"/>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排放量为：8.746t/a，颗粒物排放量为：0.634t/a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33" w:name="_Toc977"/>
      <w:bookmarkStart w:id="234" w:name="_Toc8980"/>
      <w:bookmarkStart w:id="235" w:name="_Toc471488332"/>
      <w:bookmarkStart w:id="236" w:name="_Toc429985532"/>
      <w:bookmarkStart w:id="237" w:name="_Toc32146"/>
      <w:bookmarkStart w:id="238" w:name="_Toc429985618"/>
      <w:bookmarkStart w:id="239" w:name="_Toc2250"/>
      <w:bookmarkStart w:id="240" w:name="_Toc429986042"/>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9.8</w:t>
      </w:r>
      <w:r>
        <w:rPr>
          <w:rFonts w:hint="default" w:ascii="Times New Roman" w:hAnsi="Times New Roman" w:eastAsia="宋体" w:cs="Times New Roman"/>
          <w:color w:val="000000" w:themeColor="text1"/>
          <w:sz w:val="24"/>
          <w:szCs w:val="24"/>
          <w:highlight w:val="none"/>
          <w14:textFill>
            <w14:solidFill>
              <w14:schemeClr w14:val="tx1"/>
            </w14:solidFill>
          </w14:textFill>
        </w:rPr>
        <w:t>公众参与结论</w:t>
      </w:r>
      <w:bookmarkEnd w:id="233"/>
    </w:p>
    <w:p>
      <w:pPr>
        <w:pStyle w:val="49"/>
        <w:keepNext w:val="0"/>
        <w:keepLines w:val="0"/>
        <w:pageBreakBefore w:val="0"/>
        <w:kinsoku/>
        <w:wordWrap/>
        <w:bidi w:val="0"/>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本项目采用</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次网上发布信息公示和发放公众参与调查表的方法征求公众对项目建设的意见和建议。被调查公众认为本项目具有较好的经济、社会、环境效益，污染物可以实现达标排放，项目对环境的影响在可接受的范围内。公众对该项目的建设持支持态度没有人对项目建设提出反对意见。公众同时要求切实加强各个环节的管理，特别是加强环保设施在项目投产</w:t>
      </w:r>
      <w:r>
        <w:rPr>
          <w:rFonts w:hint="default" w:ascii="Times New Roman" w:hAnsi="Times New Roman" w:eastAsia="宋体" w:cs="Times New Roman"/>
          <w:color w:val="000000" w:themeColor="text1"/>
          <w:lang w:eastAsia="zh-CN"/>
          <w14:textFill>
            <w14:solidFill>
              <w14:schemeClr w14:val="tx1"/>
            </w14:solidFill>
          </w14:textFill>
        </w:rPr>
        <w:t>后的</w:t>
      </w:r>
      <w:r>
        <w:rPr>
          <w:rFonts w:hint="default" w:ascii="Times New Roman" w:hAnsi="Times New Roman" w:eastAsia="宋体" w:cs="Times New Roman"/>
          <w:color w:val="000000" w:themeColor="text1"/>
          <w14:textFill>
            <w14:solidFill>
              <w14:schemeClr w14:val="tx1"/>
            </w14:solidFill>
          </w14:textFill>
        </w:rPr>
        <w:t>运行、监督、管理，降低项目的建设对环境的不利影响。</w:t>
      </w:r>
    </w:p>
    <w:p>
      <w:pPr>
        <w:pStyle w:val="5"/>
        <w:pageBreakBefore w:val="0"/>
        <w:kinsoku/>
        <w:overflowPunct w:val="0"/>
        <w:bidi w:val="0"/>
        <w:snapToGrid w:val="0"/>
        <w:spacing w:before="0" w:after="0" w:line="360" w:lineRule="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41" w:name="_Toc18956"/>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建议</w:t>
      </w:r>
      <w:bookmarkEnd w:id="234"/>
      <w:bookmarkEnd w:id="235"/>
      <w:bookmarkEnd w:id="236"/>
      <w:bookmarkEnd w:id="237"/>
      <w:bookmarkEnd w:id="238"/>
      <w:bookmarkEnd w:id="239"/>
      <w:bookmarkEnd w:id="240"/>
      <w:bookmarkEnd w:id="241"/>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（1）厂区工艺废气排气筒应设置永久采样监测孔，加强生产设施及污染防治设施运行的管理，定期对污染防治设施进行保养检修，确保污染物达标排放，避免污染事故发生。</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本项目的建设应重视引进和建立先进的环保管理模式，完善管理机制，强化企业职工自身的环保意识。配备必要的环境管理专职人员，落实、检查环保设施的运行状况，配合当地环保部门做好本厂的环境管理、验收、监督和检查工作。</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（3）建设单位严格执行环保“三同时”制度，确保环保资金落实到位，专款专用。</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（4）对危险废物实行从收集、运送、贮存、外运的全过程管理，新建符合要求的危险废物贮存设施，对危险废物分类收集、贮存，对项目产生的危险废物交由有资质的单位进行处置。</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（5）建设单位须建立完善的安全生产管理系统和自动化的事故安全监控系统。建立健全事故防范措施及应急措施。</w:t>
      </w:r>
    </w:p>
    <w:p>
      <w:pPr>
        <w:pageBreakBefore w:val="0"/>
        <w:kinsoku/>
        <w:overflowPunct w:val="0"/>
        <w:bidi w:val="0"/>
        <w:snapToGrid w:val="0"/>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（6）应落实本报告书中提出的各项安全防范措施和环保措施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bidi w:val="0"/>
        <w:rPr>
          <w:rFonts w:hint="default" w:ascii="Times New Roman" w:hAnsi="Times New Roman" w:eastAsia="宋体" w:cs="Times New Roman"/>
          <w:color w:val="000000" w:themeColor="text1"/>
          <w14:textFill>
            <w14:solidFill>
              <w14:schemeClr w14:val="tx1"/>
            </w14:solidFill>
          </w14:textFill>
        </w:rPr>
      </w:pPr>
    </w:p>
    <w:p>
      <w:pPr>
        <w:pageBreakBefore w:val="0"/>
        <w:kinsoku/>
        <w:overflowPunct w:val="0"/>
        <w:bidi w:val="0"/>
        <w:rPr>
          <w:rFonts w:hint="default" w:ascii="Times New Roman" w:hAnsi="Times New Roman" w:eastAsia="宋体" w:cs="Times New Roman"/>
          <w:color w:val="000000" w:themeColor="text1"/>
          <w:highlight w:val="none"/>
          <w14:textFill>
            <w14:solidFill>
              <w14:schemeClr w14:val="tx1"/>
            </w14:solidFill>
          </w14:textFill>
        </w:rPr>
      </w:pPr>
    </w:p>
    <w:p>
      <w:pPr>
        <w:pageBreakBefore w:val="0"/>
        <w:kinsoku/>
        <w:overflowPunct w:val="0"/>
        <w:bidi w:val="0"/>
        <w:rPr>
          <w:rFonts w:hint="default" w:ascii="Times New Roman" w:hAnsi="Times New Roman" w:eastAsia="宋体" w:cs="Times New Roman"/>
          <w:color w:val="000000" w:themeColor="text1"/>
          <w:highlight w:val="none"/>
          <w14:textFill>
            <w14:solidFill>
              <w14:schemeClr w14:val="tx1"/>
            </w14:solidFill>
          </w14:textFill>
        </w:rPr>
      </w:pPr>
    </w:p>
    <w:p>
      <w:pPr>
        <w:rPr>
          <w:rFonts w:hint="default" w:ascii="Times New Roman" w:hAnsi="Times New Roman" w:eastAsia="宋体" w:cs="Times New Roman"/>
          <w:color w:val="000000" w:themeColor="text1"/>
          <w:sz w:val="21"/>
          <w:highlight w:val="none"/>
          <w:lang w:eastAsia="zh-CN"/>
          <w14:textFill>
            <w14:solidFill>
              <w14:schemeClr w14:val="tx1"/>
            </w14:solidFill>
          </w14:textFill>
        </w:rPr>
      </w:pPr>
      <w:bookmarkStart w:id="242" w:name="_bookmark21"/>
      <w:bookmarkEnd w:id="242"/>
      <w:bookmarkStart w:id="243" w:name="_bookmark20"/>
      <w:bookmarkEnd w:id="243"/>
      <w:r>
        <w:rPr>
          <w:rFonts w:hint="default" w:ascii="Times New Roman" w:hAnsi="Times New Roman" w:eastAsia="宋体" w:cs="Times New Roman"/>
          <w:color w:val="000000" w:themeColor="text1"/>
          <w:sz w:val="21"/>
          <w:highlight w:val="none"/>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b/>
          <w:snapToGrid/>
          <w:color w:val="000000" w:themeColor="text1"/>
          <w:kern w:val="2"/>
          <w:lang w:val="en-US" w:eastAsia="zh-CN" w:bidi="ar-SA"/>
          <w14:textFill>
            <w14:solidFill>
              <w14:schemeClr w14:val="tx1"/>
            </w14:solidFill>
          </w14:textFill>
        </w:rPr>
        <w:t>附表1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b/>
          <w:snapToGrid/>
          <w:color w:val="000000" w:themeColor="text1"/>
          <w:kern w:val="2"/>
          <w:lang w:val="en-US" w:eastAsia="zh-CN" w:bidi="ar-SA"/>
          <w14:textFill>
            <w14:solidFill>
              <w14:schemeClr w14:val="tx1"/>
            </w14:solidFill>
          </w14:textFill>
        </w:rPr>
        <w:t>建设项目大气环境影响评价自查表</w:t>
      </w:r>
    </w:p>
    <w:tbl>
      <w:tblPr>
        <w:tblStyle w:val="24"/>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212"/>
        <w:gridCol w:w="800"/>
        <w:gridCol w:w="88"/>
        <w:gridCol w:w="412"/>
        <w:gridCol w:w="188"/>
        <w:gridCol w:w="87"/>
        <w:gridCol w:w="570"/>
        <w:gridCol w:w="123"/>
        <w:gridCol w:w="245"/>
        <w:gridCol w:w="14"/>
        <w:gridCol w:w="41"/>
        <w:gridCol w:w="857"/>
        <w:gridCol w:w="200"/>
        <w:gridCol w:w="138"/>
        <w:gridCol w:w="462"/>
        <w:gridCol w:w="219"/>
        <w:gridCol w:w="131"/>
        <w:gridCol w:w="525"/>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7" w:type="dxa"/>
            <w:gridSpan w:val="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工作内容</w:t>
            </w:r>
          </w:p>
        </w:tc>
        <w:tc>
          <w:tcPr>
            <w:tcW w:w="5867" w:type="dxa"/>
            <w:gridSpan w:val="1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评价等级范围</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评价等级</w:t>
            </w:r>
          </w:p>
        </w:tc>
        <w:tc>
          <w:tcPr>
            <w:tcW w:w="2145"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一级□</w:t>
            </w:r>
          </w:p>
        </w:tc>
        <w:tc>
          <w:tcPr>
            <w:tcW w:w="1618" w:type="dxa"/>
            <w:gridSpan w:val="7"/>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二级</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104"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eastAsia="zh-CN"/>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三级</w:t>
            </w:r>
            <w:r>
              <w:rPr>
                <w:rFonts w:hint="default" w:ascii="Times New Roman" w:hAnsi="Times New Roman" w:eastAsia="宋体" w:cs="Times New Roman"/>
                <w:snapToGrid/>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评价范围</w:t>
            </w:r>
          </w:p>
        </w:tc>
        <w:tc>
          <w:tcPr>
            <w:tcW w:w="2145"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边长=50km□</w:t>
            </w:r>
          </w:p>
        </w:tc>
        <w:tc>
          <w:tcPr>
            <w:tcW w:w="1618" w:type="dxa"/>
            <w:gridSpan w:val="7"/>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eastAsia="zh-CN"/>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边长5~50km</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104"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因子</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SO2+NOx排放量</w:t>
            </w:r>
          </w:p>
        </w:tc>
        <w:tc>
          <w:tcPr>
            <w:tcW w:w="2145"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≥2000t/a</w:t>
            </w:r>
          </w:p>
        </w:tc>
        <w:tc>
          <w:tcPr>
            <w:tcW w:w="1618" w:type="dxa"/>
            <w:gridSpan w:val="7"/>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500~2000t/a</w:t>
            </w:r>
          </w:p>
        </w:tc>
        <w:tc>
          <w:tcPr>
            <w:tcW w:w="2104"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评价因子</w:t>
            </w:r>
          </w:p>
        </w:tc>
        <w:tc>
          <w:tcPr>
            <w:tcW w:w="3763" w:type="dxa"/>
            <w:gridSpan w:val="1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eastAsia="zh-CN"/>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基本污染物（PM</w:t>
            </w:r>
            <w:r>
              <w:rPr>
                <w:rFonts w:hint="default" w:ascii="Times New Roman" w:hAnsi="Times New Roman" w:eastAsia="宋体" w:cs="Times New Roman"/>
                <w:snapToGrid/>
                <w:color w:val="000000" w:themeColor="text1"/>
                <w:vertAlign w:val="subscript"/>
                <w14:textFill>
                  <w14:solidFill>
                    <w14:schemeClr w14:val="tx1"/>
                  </w14:solidFill>
                </w14:textFill>
              </w:rPr>
              <w:t>10</w:t>
            </w:r>
            <w:r>
              <w:rPr>
                <w:rFonts w:hint="default" w:ascii="Times New Roman" w:hAnsi="Times New Roman" w:eastAsia="宋体" w:cs="Times New Roman"/>
                <w:snapToGrid/>
                <w:color w:val="000000" w:themeColor="text1"/>
                <w14:textFill>
                  <w14:solidFill>
                    <w14:schemeClr w14:val="tx1"/>
                  </w14:solidFill>
                </w14:textFill>
              </w:rPr>
              <w:t>）其他污染物</w:t>
            </w:r>
            <w:r>
              <w:rPr>
                <w:rFonts w:hint="default" w:ascii="Times New Roman" w:hAnsi="Times New Roman" w:eastAsia="宋体" w:cs="Times New Roman"/>
                <w:snapToGrid/>
                <w:color w:val="000000" w:themeColor="text1"/>
                <w:lang w:eastAsia="zh-CN"/>
                <w14:textFill>
                  <w14:solidFill>
                    <w14:schemeClr w14:val="tx1"/>
                  </w14:solidFill>
                </w14:textFill>
              </w:rPr>
              <w:t>（甲苯、二甲苯、非甲烷总烃）</w:t>
            </w:r>
          </w:p>
        </w:tc>
        <w:tc>
          <w:tcPr>
            <w:tcW w:w="2104"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包括二次PM2.5□</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不包括二次PM2.5□√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标准</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评价标准</w:t>
            </w:r>
          </w:p>
        </w:tc>
        <w:tc>
          <w:tcPr>
            <w:tcW w:w="1300"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国家标准</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1268" w:type="dxa"/>
            <w:gridSpan w:val="7"/>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地方标准□</w:t>
            </w:r>
          </w:p>
        </w:tc>
        <w:tc>
          <w:tcPr>
            <w:tcW w:w="1876"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附录D</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1423"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现状评价</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环境功能区</w:t>
            </w:r>
          </w:p>
        </w:tc>
        <w:tc>
          <w:tcPr>
            <w:tcW w:w="1300"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一类区□</w:t>
            </w:r>
          </w:p>
        </w:tc>
        <w:tc>
          <w:tcPr>
            <w:tcW w:w="2325" w:type="dxa"/>
            <w:gridSpan w:val="9"/>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二类区</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评价基准年</w:t>
            </w:r>
          </w:p>
        </w:tc>
        <w:tc>
          <w:tcPr>
            <w:tcW w:w="5867" w:type="dxa"/>
            <w:gridSpan w:val="1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val="en-US" w:eastAsia="zh-CN"/>
                <w14:textFill>
                  <w14:solidFill>
                    <w14:schemeClr w14:val="tx1"/>
                  </w14:solidFill>
                </w14:textFill>
              </w:rPr>
            </w:pPr>
            <w:r>
              <w:rPr>
                <w:rFonts w:hint="default" w:ascii="Times New Roman" w:hAnsi="Times New Roman" w:eastAsia="宋体" w:cs="Times New Roman"/>
                <w:snapToGrid/>
                <w:color w:val="000000" w:themeColor="text1"/>
                <w:lang w:val="en-US" w:eastAsia="zh-CN"/>
                <w14:textFill>
                  <w14:solidFill>
                    <w14:schemeClr w14:val="tx1"/>
                  </w14:solidFill>
                </w14:textFill>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环境空气质量现状调查数据来源</w:t>
            </w:r>
          </w:p>
        </w:tc>
        <w:tc>
          <w:tcPr>
            <w:tcW w:w="1300"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长期例行监测数据□</w:t>
            </w:r>
          </w:p>
        </w:tc>
        <w:tc>
          <w:tcPr>
            <w:tcW w:w="2325" w:type="dxa"/>
            <w:gridSpan w:val="9"/>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主管部门发布的数据</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现状评价</w:t>
            </w:r>
          </w:p>
        </w:tc>
        <w:tc>
          <w:tcPr>
            <w:tcW w:w="3625" w:type="dxa"/>
            <w:gridSpan w:val="1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eastAsia="zh-CN"/>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达标区</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不达标区</w:t>
            </w:r>
            <w:r>
              <w:rPr>
                <w:rFonts w:hint="default" w:ascii="Times New Roman" w:hAnsi="Times New Roman" w:eastAsia="宋体" w:cs="Times New Roman"/>
                <w:snapToGrid/>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污染源调查</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调查内容</w:t>
            </w:r>
          </w:p>
        </w:tc>
        <w:tc>
          <w:tcPr>
            <w:tcW w:w="2268" w:type="dxa"/>
            <w:gridSpan w:val="7"/>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本项目正常排放源</w:t>
            </w:r>
            <w:r>
              <w:rPr>
                <w:rFonts w:hint="default" w:ascii="Times New Roman" w:hAnsi="Times New Roman" w:eastAsia="宋体" w:cs="Times New Roman"/>
                <w:snapToGrid/>
                <w:color w:val="000000" w:themeColor="text1"/>
                <w:lang w:eastAsia="zh-CN"/>
                <w14:textFill>
                  <w14:solidFill>
                    <w14:schemeClr w14:val="tx1"/>
                  </w14:solidFill>
                </w14:textFill>
              </w:rPr>
              <w:t>☑</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本项目非正常排放源□</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现有污染源□</w:t>
            </w:r>
          </w:p>
        </w:tc>
        <w:tc>
          <w:tcPr>
            <w:tcW w:w="1357"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拟替代的污染源□</w:t>
            </w:r>
          </w:p>
        </w:tc>
        <w:tc>
          <w:tcPr>
            <w:tcW w:w="1475"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其他在建、拟建项目污染源□</w:t>
            </w:r>
          </w:p>
        </w:tc>
        <w:tc>
          <w:tcPr>
            <w:tcW w:w="767"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大气环境影响预测与评价</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预测模型</w:t>
            </w:r>
          </w:p>
        </w:tc>
        <w:tc>
          <w:tcPr>
            <w:tcW w:w="888" w:type="dxa"/>
            <w:gridSpan w:val="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AERMOD□</w:t>
            </w:r>
          </w:p>
        </w:tc>
        <w:tc>
          <w:tcPr>
            <w:tcW w:w="687"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ADMS□</w:t>
            </w:r>
          </w:p>
        </w:tc>
        <w:tc>
          <w:tcPr>
            <w:tcW w:w="938"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AUSTAL2000□</w:t>
            </w:r>
          </w:p>
        </w:tc>
        <w:tc>
          <w:tcPr>
            <w:tcW w:w="912"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EDMS/AEDT□</w:t>
            </w:r>
          </w:p>
        </w:tc>
        <w:tc>
          <w:tcPr>
            <w:tcW w:w="800"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CALPUFF□</w:t>
            </w:r>
          </w:p>
        </w:tc>
        <w:tc>
          <w:tcPr>
            <w:tcW w:w="875" w:type="dxa"/>
            <w:gridSpan w:val="3"/>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网格模型□</w:t>
            </w:r>
          </w:p>
        </w:tc>
        <w:tc>
          <w:tcPr>
            <w:tcW w:w="767"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eastAsia="zh-CN"/>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其他</w:t>
            </w:r>
            <w:r>
              <w:rPr>
                <w:rFonts w:hint="default" w:ascii="Times New Roman" w:hAnsi="Times New Roman" w:eastAsia="宋体" w:cs="Times New Roman"/>
                <w:snapToGrid/>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预测范围</w:t>
            </w:r>
          </w:p>
        </w:tc>
        <w:tc>
          <w:tcPr>
            <w:tcW w:w="1575" w:type="dxa"/>
            <w:gridSpan w:val="5"/>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边长≥50km□</w:t>
            </w:r>
          </w:p>
        </w:tc>
        <w:tc>
          <w:tcPr>
            <w:tcW w:w="2050" w:type="dxa"/>
            <w:gridSpan w:val="7"/>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lang w:eastAsia="zh-CN"/>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边长5~50km</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预测因子</w:t>
            </w:r>
          </w:p>
        </w:tc>
        <w:tc>
          <w:tcPr>
            <w:tcW w:w="3625" w:type="dxa"/>
            <w:gridSpan w:val="12"/>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预测因子（PM</w:t>
            </w:r>
            <w:r>
              <w:rPr>
                <w:rFonts w:hint="default" w:ascii="Times New Roman" w:hAnsi="Times New Roman" w:eastAsia="宋体" w:cs="Times New Roman"/>
                <w:snapToGrid/>
                <w:color w:val="000000" w:themeColor="text1"/>
                <w:kern w:val="2"/>
                <w:vertAlign w:val="subscript"/>
                <w:lang w:val="en-US" w:eastAsia="zh-CN" w:bidi="ar-SA"/>
                <w14:textFill>
                  <w14:solidFill>
                    <w14:schemeClr w14:val="tx1"/>
                  </w14:solidFill>
                </w14:textFill>
              </w:rPr>
              <w:t>10</w:t>
            </w:r>
            <w:r>
              <w:rPr>
                <w:rFonts w:hint="default" w:ascii="Times New Roman" w:hAnsi="Times New Roman" w:eastAsia="宋体" w:cs="Times New Roman"/>
                <w:snapToGrid/>
                <w:color w:val="000000" w:themeColor="text1"/>
                <w:kern w:val="2"/>
                <w:vertAlign w:val="baseline"/>
                <w:lang w:val="en-US" w:eastAsia="zh-CN" w:bidi="ar-SA"/>
                <w14:textFill>
                  <w14:solidFill>
                    <w14:schemeClr w14:val="tx1"/>
                  </w14:solidFill>
                </w14:textFill>
              </w:rPr>
              <w:t>、TSP、甲苯、二甲苯、非甲烷总烃</w:t>
            </w: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）其他污染物（/）</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包括二次PM2.5□</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不包括二次PM2.5□√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正常排放短期浓度贡献值</w:t>
            </w:r>
          </w:p>
        </w:tc>
        <w:tc>
          <w:tcPr>
            <w:tcW w:w="3625" w:type="dxa"/>
            <w:gridSpan w:val="1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C本项目最大占标率≤100%</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C本项目最大占标率＞100%□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正常排放年均浓度贡献值</w:t>
            </w:r>
          </w:p>
        </w:tc>
        <w:tc>
          <w:tcPr>
            <w:tcW w:w="800"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一类区</w:t>
            </w:r>
          </w:p>
        </w:tc>
        <w:tc>
          <w:tcPr>
            <w:tcW w:w="2825" w:type="dxa"/>
            <w:gridSpan w:val="11"/>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C本项目最大占标率≤10%□</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C本项目最大占标率＞10%□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800"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二类区</w:t>
            </w:r>
          </w:p>
        </w:tc>
        <w:tc>
          <w:tcPr>
            <w:tcW w:w="2825" w:type="dxa"/>
            <w:gridSpan w:val="11"/>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C本项目最大占标率≤30%</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C本项目最大占标率＞30%□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非正常排放1h浓度贡献值</w:t>
            </w:r>
          </w:p>
        </w:tc>
        <w:tc>
          <w:tcPr>
            <w:tcW w:w="1488" w:type="dxa"/>
            <w:gridSpan w:val="4"/>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非正常持续时长（）h</w:t>
            </w:r>
          </w:p>
        </w:tc>
        <w:tc>
          <w:tcPr>
            <w:tcW w:w="2137" w:type="dxa"/>
            <w:gridSpan w:val="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c非正常占标率≤100%□</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c非正常占标率＞100%□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保证率日平均浓度和年平均浓度叠加值</w:t>
            </w:r>
          </w:p>
        </w:tc>
        <w:tc>
          <w:tcPr>
            <w:tcW w:w="3625" w:type="dxa"/>
            <w:gridSpan w:val="1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C叠加达标□</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C叠加不达标□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区域环境质量的整体变化情况</w:t>
            </w:r>
          </w:p>
        </w:tc>
        <w:tc>
          <w:tcPr>
            <w:tcW w:w="3625" w:type="dxa"/>
            <w:gridSpan w:val="1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k≤-20%□</w:t>
            </w:r>
          </w:p>
        </w:tc>
        <w:tc>
          <w:tcPr>
            <w:tcW w:w="2242" w:type="dxa"/>
            <w:gridSpan w:val="6"/>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环境监测计划</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污染源监测</w:t>
            </w:r>
          </w:p>
        </w:tc>
        <w:tc>
          <w:tcPr>
            <w:tcW w:w="2513" w:type="dxa"/>
            <w:gridSpan w:val="8"/>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监测因子：（颗粒物、PM</w:t>
            </w:r>
            <w:r>
              <w:rPr>
                <w:rFonts w:hint="default" w:ascii="Times New Roman" w:hAnsi="Times New Roman" w:eastAsia="宋体" w:cs="Times New Roman"/>
                <w:snapToGrid/>
                <w:color w:val="000000" w:themeColor="text1"/>
                <w:kern w:val="2"/>
                <w:vertAlign w:val="subscript"/>
                <w:lang w:val="en-US" w:eastAsia="zh-CN" w:bidi="ar-SA"/>
                <w14:textFill>
                  <w14:solidFill>
                    <w14:schemeClr w14:val="tx1"/>
                  </w14:solidFill>
                </w14:textFill>
              </w:rPr>
              <w:t>10</w:t>
            </w:r>
            <w:r>
              <w:rPr>
                <w:rFonts w:hint="default" w:ascii="Times New Roman" w:hAnsi="Times New Roman" w:eastAsia="宋体" w:cs="Times New Roman"/>
                <w:snapToGrid/>
                <w:color w:val="000000" w:themeColor="text1"/>
                <w:kern w:val="2"/>
                <w:vertAlign w:val="baseline"/>
                <w:lang w:val="en-US" w:eastAsia="zh-CN" w:bidi="ar-SA"/>
                <w14:textFill>
                  <w14:solidFill>
                    <w14:schemeClr w14:val="tx1"/>
                  </w14:solidFill>
                </w14:textFill>
              </w:rPr>
              <w:t>、甲苯、二甲苯、非甲烷总烃</w:t>
            </w: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2062" w:type="dxa"/>
            <w:gridSpan w:val="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有组织废气监测</w:t>
            </w:r>
            <w:r>
              <w:rPr>
                <w:rFonts w:hint="default" w:ascii="Times New Roman" w:hAnsi="Times New Roman" w:eastAsia="宋体" w:cs="Times New Roman"/>
                <w:snapToGrid/>
                <w:color w:val="000000" w:themeColor="text1"/>
                <w:lang w:eastAsia="zh-CN"/>
                <w14:textFill>
                  <w14:solidFill>
                    <w14:schemeClr w14:val="tx1"/>
                  </w14:solidFill>
                </w14:textFill>
              </w:rPr>
              <w:t>☑</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无组织废气监测</w:t>
            </w:r>
            <w:r>
              <w:rPr>
                <w:rFonts w:hint="default" w:ascii="Times New Roman" w:hAnsi="Times New Roman" w:eastAsia="宋体" w:cs="Times New Roman"/>
                <w:snapToGrid/>
                <w:color w:val="000000" w:themeColor="text1"/>
                <w:lang w:eastAsia="zh-CN"/>
                <w14:textFill>
                  <w14:solidFill>
                    <w14:schemeClr w14:val="tx1"/>
                  </w14:solidFill>
                </w14:textFill>
              </w:rPr>
              <w:t>☑</w:t>
            </w:r>
          </w:p>
        </w:tc>
        <w:tc>
          <w:tcPr>
            <w:tcW w:w="1292" w:type="dxa"/>
            <w:gridSpan w:val="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环境质量监测</w:t>
            </w:r>
          </w:p>
        </w:tc>
        <w:tc>
          <w:tcPr>
            <w:tcW w:w="2513" w:type="dxa"/>
            <w:gridSpan w:val="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监测因子：（</w:t>
            </w:r>
            <w:r>
              <w:rPr>
                <w:rFonts w:hint="default" w:ascii="Times New Roman" w:hAnsi="Times New Roman" w:eastAsia="宋体" w:cs="Times New Roman"/>
                <w:snapToGrid/>
                <w:color w:val="000000" w:themeColor="text1"/>
                <w:lang w:val="en-US" w:eastAsia="zh-CN"/>
                <w14:textFill>
                  <w14:solidFill>
                    <w14:schemeClr w14:val="tx1"/>
                  </w14:solidFill>
                </w14:textFill>
              </w:rPr>
              <w:t>/</w:t>
            </w:r>
            <w:r>
              <w:rPr>
                <w:rFonts w:hint="default" w:ascii="Times New Roman" w:hAnsi="Times New Roman" w:eastAsia="宋体" w:cs="Times New Roman"/>
                <w:snapToGrid/>
                <w:color w:val="000000" w:themeColor="text1"/>
                <w14:textFill>
                  <w14:solidFill>
                    <w14:schemeClr w14:val="tx1"/>
                  </w14:solidFill>
                </w14:textFill>
              </w:rPr>
              <w:t>）</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其他污染物（/）</w:t>
            </w:r>
          </w:p>
        </w:tc>
        <w:tc>
          <w:tcPr>
            <w:tcW w:w="2062" w:type="dxa"/>
            <w:gridSpan w:val="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监测点位数（ ）</w:t>
            </w:r>
          </w:p>
        </w:tc>
        <w:tc>
          <w:tcPr>
            <w:tcW w:w="1292" w:type="dxa"/>
            <w:gridSpan w:val="2"/>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restart"/>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评价</w:t>
            </w:r>
          </w:p>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结论</w:t>
            </w: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环境影响</w:t>
            </w:r>
          </w:p>
        </w:tc>
        <w:tc>
          <w:tcPr>
            <w:tcW w:w="5867" w:type="dxa"/>
            <w:gridSpan w:val="1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可以接受</w:t>
            </w:r>
            <w:r>
              <w:rPr>
                <w:rFonts w:hint="default" w:ascii="Times New Roman" w:hAnsi="Times New Roman" w:eastAsia="宋体" w:cs="Times New Roman"/>
                <w:snapToGrid/>
                <w:color w:val="000000" w:themeColor="text1"/>
                <w:lang w:eastAsia="zh-CN"/>
                <w14:textFill>
                  <w14:solidFill>
                    <w14:schemeClr w14:val="tx1"/>
                  </w14:solidFill>
                </w14:textFill>
              </w:rPr>
              <w:t>☑</w:t>
            </w:r>
            <w:r>
              <w:rPr>
                <w:rFonts w:hint="default" w:ascii="Times New Roman" w:hAnsi="Times New Roman" w:eastAsia="宋体" w:cs="Times New Roman"/>
                <w:snapToGrid/>
                <w:color w:val="000000" w:themeColor="text1"/>
                <w14:textFill>
                  <w14:solidFill>
                    <w14:schemeClr w14:val="tx1"/>
                  </w14:solidFill>
                </w14:textFill>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大气环境防护距离</w:t>
            </w:r>
          </w:p>
        </w:tc>
        <w:tc>
          <w:tcPr>
            <w:tcW w:w="5867" w:type="dxa"/>
            <w:gridSpan w:val="18"/>
            <w:noWrap w:val="0"/>
            <w:vAlign w:val="center"/>
          </w:tcPr>
          <w:p>
            <w:pPr>
              <w:pStyle w:val="66"/>
              <w:kinsoku/>
              <w:autoSpaceDE/>
              <w:autoSpaceDN/>
              <w:adjustRightInd/>
              <w:snapToGrid/>
              <w:textAlignment w:val="auto"/>
              <w:rPr>
                <w:rFonts w:hint="default" w:ascii="Times New Roman" w:hAnsi="Times New Roman" w:eastAsia="宋体" w:cs="Times New Roman"/>
                <w:snapToGrid/>
                <w:color w:val="000000" w:themeColor="text1"/>
                <w14:textFill>
                  <w14:solidFill>
                    <w14:schemeClr w14:val="tx1"/>
                  </w14:solidFill>
                </w14:textFill>
              </w:rPr>
            </w:pPr>
            <w:r>
              <w:rPr>
                <w:rFonts w:hint="default" w:ascii="Times New Roman" w:hAnsi="Times New Roman" w:eastAsia="宋体" w:cs="Times New Roman"/>
                <w:snapToGrid/>
                <w:color w:val="000000" w:themeColor="text1"/>
                <w14:textFill>
                  <w14:solidFill>
                    <w14:schemeClr w14:val="tx1"/>
                  </w14:solidFill>
                </w14:textFill>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vMerge w:val="continue"/>
            <w:noWrap w:val="0"/>
            <w:vAlign w:val="center"/>
          </w:tcPr>
          <w:p>
            <w:pPr>
              <w:widowControl/>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2212" w:type="dxa"/>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污染源年排放量</w:t>
            </w:r>
          </w:p>
        </w:tc>
        <w:tc>
          <w:tcPr>
            <w:tcW w:w="2527" w:type="dxa"/>
            <w:gridSpan w:val="9"/>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颗粒物：（0.634）t/a</w:t>
            </w:r>
          </w:p>
        </w:tc>
        <w:tc>
          <w:tcPr>
            <w:tcW w:w="3340" w:type="dxa"/>
            <w:gridSpan w:val="9"/>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VOCs：（8.746）t/a</w:t>
            </w:r>
          </w:p>
        </w:tc>
      </w:tr>
    </w:tbl>
    <w:p>
      <w:pPr>
        <w:widowControl w:val="0"/>
        <w:kinsoku/>
        <w:autoSpaceDE/>
        <w:autoSpaceDN/>
        <w:adjustRightInd/>
        <w:snapToGrid/>
        <w:spacing w:line="240" w:lineRule="auto"/>
        <w:jc w:val="left"/>
        <w:textAlignment w:val="auto"/>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1"/>
          <w:szCs w:val="21"/>
          <w:lang w:val="en-US" w:eastAsia="zh-CN" w:bidi="ar-SA"/>
          <w14:textFill>
            <w14:solidFill>
              <w14:schemeClr w14:val="tx1"/>
            </w14:solidFill>
          </w14:textFill>
        </w:rPr>
        <w:t>附表2</w:t>
      </w:r>
    </w:p>
    <w:p>
      <w:pPr>
        <w:widowControl w:val="0"/>
        <w:kinsoku/>
        <w:autoSpaceDE/>
        <w:autoSpaceDN/>
        <w:adjustRightInd/>
        <w:snapToGrid/>
        <w:spacing w:line="240" w:lineRule="auto"/>
        <w:jc w:val="center"/>
        <w:textAlignment w:val="auto"/>
        <w:rPr>
          <w:rFonts w:hint="default" w:ascii="Times New Roman" w:hAnsi="Times New Roman" w:eastAsia="宋体" w:cs="Times New Roman"/>
          <w:b/>
          <w:bCs/>
          <w:snapToGrid/>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2"/>
          <w:sz w:val="24"/>
          <w:szCs w:val="24"/>
          <w:lang w:val="en-US" w:eastAsia="zh-CN" w:bidi="ar-SA"/>
          <w14:textFill>
            <w14:solidFill>
              <w14:schemeClr w14:val="tx1"/>
            </w14:solidFill>
          </w14:textFill>
        </w:rPr>
        <w:t>土壤环境影响评价自查表</w:t>
      </w:r>
    </w:p>
    <w:tbl>
      <w:tblPr>
        <w:tblStyle w:val="24"/>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1700"/>
        <w:gridCol w:w="1312"/>
        <w:gridCol w:w="1475"/>
        <w:gridCol w:w="1431"/>
        <w:gridCol w:w="148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工作内容</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完成情况</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restart"/>
            <w:tcBorders>
              <w:top w:val="nil"/>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影</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响</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识</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别</w:t>
            </w: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影响类型</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污染影响型√；生态影响型□；两种兼有□</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土地利用类型</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建设用地☑；农用地；未利用地□</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土地利用类型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占地规模</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vertAlign w:val="superscript"/>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highlight w:val="none"/>
                <w:lang w:val="en-US" w:eastAsia="zh-CN" w:bidi="ar-SA"/>
                <w14:textFill>
                  <w14:solidFill>
                    <w14:schemeClr w14:val="tx1"/>
                  </w14:solidFill>
                </w14:textFill>
              </w:rPr>
              <w:t>（14.7）hm</w:t>
            </w:r>
            <w:r>
              <w:rPr>
                <w:rFonts w:hint="default" w:ascii="Times New Roman" w:hAnsi="Times New Roman" w:eastAsia="宋体" w:cs="Times New Roman"/>
                <w:snapToGrid/>
                <w:color w:val="000000" w:themeColor="text1"/>
                <w:kern w:val="2"/>
                <w:highlight w:val="none"/>
                <w:vertAlign w:val="superscript"/>
                <w:lang w:val="en-US" w:eastAsia="zh-CN" w:bidi="ar-SA"/>
                <w14:textFill>
                  <w14:solidFill>
                    <w14:schemeClr w14:val="tx1"/>
                  </w14:solidFill>
                </w14:textFill>
              </w:rPr>
              <w:t>2</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敏感目标信息</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敏感目标（/）、方位（）、距离（）</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影响途径</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大气沉降☑；地面漫流□；垂直入渗；地下水位□；其他</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全部污染物</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COD、BOD、氨氮</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特征因子</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颗粒物、非甲烷总烃、苯系物</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所属土壤环境影响评价项目类别</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Ⅰ类☑；Ⅱ类□；Ⅲ类□；Ⅳ类□</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敏感程度</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敏感□；较敏感□；不敏感☑</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评价工作等级</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Ⅰ类□；Ⅱ类☑；Ⅲ类□；Ⅳ类□</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restart"/>
            <w:tcBorders>
              <w:top w:val="nil"/>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现状调查内容</w:t>
            </w: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资料收集</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a）□；b）□；c）□；d）□</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理化特性</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vMerge w:val="restart"/>
            <w:tcBorders>
              <w:top w:val="nil"/>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现状监测点位</w:t>
            </w:r>
          </w:p>
        </w:tc>
        <w:tc>
          <w:tcPr>
            <w:tcW w:w="131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475"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占地范围内</w:t>
            </w:r>
          </w:p>
        </w:tc>
        <w:tc>
          <w:tcPr>
            <w:tcW w:w="1431"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占地范围外</w:t>
            </w:r>
          </w:p>
        </w:tc>
        <w:tc>
          <w:tcPr>
            <w:tcW w:w="148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深度</w:t>
            </w:r>
          </w:p>
        </w:tc>
        <w:tc>
          <w:tcPr>
            <w:tcW w:w="1030" w:type="dxa"/>
            <w:vMerge w:val="restart"/>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vMerge w:val="continue"/>
            <w:tcBorders>
              <w:top w:val="nil"/>
              <w:left w:val="nil"/>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31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表层样点数</w:t>
            </w:r>
          </w:p>
        </w:tc>
        <w:tc>
          <w:tcPr>
            <w:tcW w:w="1475"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1</w:t>
            </w:r>
          </w:p>
        </w:tc>
        <w:tc>
          <w:tcPr>
            <w:tcW w:w="1431"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2</w:t>
            </w:r>
          </w:p>
        </w:tc>
        <w:tc>
          <w:tcPr>
            <w:tcW w:w="148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0-20cm</w:t>
            </w:r>
          </w:p>
        </w:tc>
        <w:tc>
          <w:tcPr>
            <w:tcW w:w="1030" w:type="dxa"/>
            <w:vMerge w:val="continue"/>
            <w:tcBorders>
              <w:top w:val="single" w:color="auto" w:sz="4" w:space="0"/>
              <w:left w:val="nil"/>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vMerge w:val="continue"/>
            <w:tcBorders>
              <w:top w:val="nil"/>
              <w:left w:val="nil"/>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31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柱状样点数</w:t>
            </w:r>
          </w:p>
        </w:tc>
        <w:tc>
          <w:tcPr>
            <w:tcW w:w="1475"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3</w:t>
            </w:r>
          </w:p>
        </w:tc>
        <w:tc>
          <w:tcPr>
            <w:tcW w:w="1431"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48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0-0.5m；0.5-1.5m；1.5-3m</w:t>
            </w:r>
          </w:p>
        </w:tc>
        <w:tc>
          <w:tcPr>
            <w:tcW w:w="1030" w:type="dxa"/>
            <w:vMerge w:val="continue"/>
            <w:tcBorders>
              <w:top w:val="single" w:color="auto" w:sz="4" w:space="0"/>
              <w:left w:val="nil"/>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现状监测因子</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45项因子</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restart"/>
            <w:tcBorders>
              <w:top w:val="nil"/>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现状评价</w:t>
            </w: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评价因子</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45项因子</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评价标准</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GB 15618；GB 36600☑；表D.1□；表D.2□；其他（）</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现状评价结论</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项目所在地土壤中污染物的含量低于《土壤环境质量 建设用地土壤污染风险管控标准（试行）》（GB36600-2018）表1中第二类用地筛选值和管制值。</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restart"/>
            <w:tcBorders>
              <w:top w:val="nil"/>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影响预测</w:t>
            </w: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预测因子</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苯系物</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预测方法</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附录E☑；附录F□；其他（）</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预测分析内容</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影响范围（200）</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影响程度（可接受）</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预测结论</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达标结论：a）□；b）□；c）□</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不达标结论：a）□；b）□</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restart"/>
            <w:tcBorders>
              <w:top w:val="nil"/>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防治措施</w:t>
            </w: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防控措施</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土壤环境质量现状保障□；源头控制☑；过程防控☑；其他（进行重点防渗）☑</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vMerge w:val="restart"/>
            <w:tcBorders>
              <w:top w:val="nil"/>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跟踪监测</w:t>
            </w:r>
          </w:p>
        </w:tc>
        <w:tc>
          <w:tcPr>
            <w:tcW w:w="2787" w:type="dxa"/>
            <w:gridSpan w:val="2"/>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监测点数</w:t>
            </w:r>
          </w:p>
        </w:tc>
        <w:tc>
          <w:tcPr>
            <w:tcW w:w="1431"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48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监测频次</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vMerge w:val="continue"/>
            <w:tcBorders>
              <w:top w:val="nil"/>
              <w:left w:val="nil"/>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31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475"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431"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482"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 w:type="dxa"/>
            <w:vMerge w:val="continue"/>
            <w:tcBorders>
              <w:top w:val="nil"/>
              <w:left w:val="single" w:color="auto" w:sz="4" w:space="0"/>
              <w:bottom w:val="single" w:color="auto" w:sz="4" w:space="0"/>
              <w:right w:val="single" w:color="auto" w:sz="4" w:space="0"/>
            </w:tcBorders>
            <w:noWrap w:val="0"/>
            <w:vAlign w:val="center"/>
          </w:tcPr>
          <w:p>
            <w:pPr>
              <w:widowControl/>
              <w:kinsoku/>
              <w:autoSpaceDE/>
              <w:autoSpaceDN/>
              <w:adjustRightInd/>
              <w:snapToGrid/>
              <w:spacing w:line="240" w:lineRule="auto"/>
              <w:jc w:val="left"/>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c>
          <w:tcPr>
            <w:tcW w:w="170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信息公开指标</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监测方案、监测报告</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评价结论</w:t>
            </w:r>
          </w:p>
        </w:tc>
        <w:tc>
          <w:tcPr>
            <w:tcW w:w="5700" w:type="dxa"/>
            <w:gridSpan w:val="4"/>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土壤环境影响可接受</w:t>
            </w:r>
          </w:p>
        </w:tc>
        <w:tc>
          <w:tcPr>
            <w:tcW w:w="1030" w:type="dxa"/>
            <w:tcBorders>
              <w:top w:val="single" w:color="auto" w:sz="4" w:space="0"/>
              <w:left w:val="nil"/>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7" w:type="dxa"/>
            <w:gridSpan w:val="7"/>
            <w:tcBorders>
              <w:top w:val="single" w:color="auto" w:sz="4" w:space="0"/>
              <w:left w:val="single" w:color="auto" w:sz="4" w:space="0"/>
              <w:bottom w:val="single" w:color="auto" w:sz="4" w:space="0"/>
              <w:right w:val="single" w:color="auto" w:sz="4" w:space="0"/>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注1：“□”为勾选项，可√；“（）”为内容填写项；“备注”为其他补充内容。</w:t>
            </w:r>
          </w:p>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t>注2：需要分别开展土壤环境影响评级工作的，分别填写自查表。</w:t>
            </w:r>
          </w:p>
        </w:tc>
      </w:tr>
    </w:tbl>
    <w:p>
      <w:pPr>
        <w:widowControl w:val="0"/>
        <w:kinsoku/>
        <w:autoSpaceDE/>
        <w:autoSpaceDN/>
        <w:adjustRightInd/>
        <w:snapToGrid/>
        <w:spacing w:line="240" w:lineRule="auto"/>
        <w:jc w:val="both"/>
        <w:textAlignment w:val="auto"/>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pPr>
      <w:r>
        <w:rPr>
          <w:rFonts w:hint="default" w:ascii="Times New Roman" w:hAnsi="Times New Roman" w:eastAsia="宋体" w:cs="Times New Roman"/>
          <w:snapToGrid/>
          <w:color w:val="000000" w:themeColor="text1"/>
          <w:kern w:val="2"/>
          <w:lang w:val="en-US" w:eastAsia="zh-CN" w:bidi="ar-SA"/>
          <w14:textFill>
            <w14:solidFill>
              <w14:schemeClr w14:val="tx1"/>
            </w14:solidFill>
          </w14:textFill>
        </w:rPr>
        <w:br w:type="page"/>
      </w:r>
    </w:p>
    <w:p>
      <w:pPr>
        <w:widowControl w:val="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附表3：</w:t>
      </w:r>
    </w:p>
    <w:p>
      <w:pPr>
        <w:widowControl w:val="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风险影响评价自查表</w:t>
      </w:r>
    </w:p>
    <w:tbl>
      <w:tblPr>
        <w:tblStyle w:val="24"/>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0"/>
        <w:gridCol w:w="79"/>
        <w:gridCol w:w="792"/>
        <w:gridCol w:w="1126"/>
        <w:gridCol w:w="360"/>
        <w:gridCol w:w="1146"/>
        <w:gridCol w:w="1533"/>
        <w:gridCol w:w="722"/>
        <w:gridCol w:w="107"/>
        <w:gridCol w:w="135"/>
        <w:gridCol w:w="174"/>
        <w:gridCol w:w="247"/>
        <w:gridCol w:w="541"/>
        <w:gridCol w:w="9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工作内容</w:t>
            </w:r>
          </w:p>
        </w:tc>
        <w:tc>
          <w:tcPr>
            <w:tcW w:w="4249" w:type="pct"/>
            <w:gridSpan w:val="11"/>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风险调查</w:t>
            </w:r>
          </w:p>
        </w:tc>
        <w:tc>
          <w:tcPr>
            <w:tcW w:w="525"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危险物质</w:t>
            </w: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名称</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油性漆</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固化剂-腻子</w:t>
            </w:r>
          </w:p>
        </w:tc>
        <w:tc>
          <w:tcPr>
            <w:tcW w:w="579"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固化剂-油性漆</w:t>
            </w:r>
          </w:p>
        </w:tc>
        <w:tc>
          <w:tcPr>
            <w:tcW w:w="580"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稀释剂</w:t>
            </w:r>
          </w:p>
        </w:tc>
        <w:tc>
          <w:tcPr>
            <w:tcW w:w="582"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腻子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存在总量/t</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t>8</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t>1</w:t>
            </w:r>
          </w:p>
        </w:tc>
        <w:tc>
          <w:tcPr>
            <w:tcW w:w="579"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t>2</w:t>
            </w:r>
          </w:p>
        </w:tc>
        <w:tc>
          <w:tcPr>
            <w:tcW w:w="580"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t>1.5</w:t>
            </w:r>
          </w:p>
        </w:tc>
        <w:tc>
          <w:tcPr>
            <w:tcW w:w="582"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en-US" w:eastAsia="zh-CN" w:bidi="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环境敏感性</w:t>
            </w:r>
          </w:p>
        </w:tc>
        <w:tc>
          <w:tcPr>
            <w:tcW w:w="67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大气</w:t>
            </w:r>
          </w:p>
        </w:tc>
        <w:tc>
          <w:tcPr>
            <w:tcW w:w="1828" w:type="pct"/>
            <w:gridSpan w:val="3"/>
            <w:vAlign w:val="center"/>
          </w:tcPr>
          <w:p>
            <w:pPr>
              <w:keepNext w:val="0"/>
              <w:keepLines w:val="0"/>
              <w:pageBreakBefore w:val="0"/>
              <w:widowControl w:val="0"/>
              <w:tabs>
                <w:tab w:val="left" w:pos="2682"/>
              </w:tabs>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500</w:t>
            </w:r>
            <w:r>
              <w:rPr>
                <w:rFonts w:hint="default" w:ascii="Times New Roman" w:hAnsi="Times New Roman" w:eastAsia="宋体" w:cs="Times New Roman"/>
                <w:snapToGrid/>
                <w:color w:val="000000" w:themeColor="text1"/>
                <w:spacing w:val="-2"/>
                <w:kern w:val="2"/>
                <w:sz w:val="21"/>
                <w:szCs w:val="21"/>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w:t>
            </w:r>
            <w:r>
              <w:rPr>
                <w:rFonts w:hint="default" w:ascii="Times New Roman" w:hAnsi="Times New Roman" w:eastAsia="宋体" w:cs="Times New Roman"/>
                <w:snapToGrid/>
                <w:color w:val="000000" w:themeColor="text1"/>
                <w:spacing w:val="-55"/>
                <w:kern w:val="2"/>
                <w:sz w:val="21"/>
                <w:szCs w:val="21"/>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范围内人口数</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u w:val="single"/>
                <w:lang w:val="en-US" w:eastAsia="zh-CN" w:bidi="zh-CN"/>
                <w14:textFill>
                  <w14:solidFill>
                    <w14:schemeClr w14:val="tx1"/>
                  </w14:solidFill>
                </w14:textFill>
              </w:rPr>
              <w:t>200</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人</w:t>
            </w:r>
          </w:p>
        </w:tc>
        <w:tc>
          <w:tcPr>
            <w:tcW w:w="1742" w:type="pct"/>
            <w:gridSpan w:val="7"/>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5km 范围内人口数</w:t>
            </w:r>
            <w:r>
              <w:rPr>
                <w:rFonts w:hint="default" w:ascii="Times New Roman" w:hAnsi="Times New Roman" w:eastAsia="宋体" w:cs="Times New Roman"/>
                <w:snapToGrid/>
                <w:color w:val="000000" w:themeColor="text1"/>
                <w:kern w:val="2"/>
                <w:sz w:val="21"/>
                <w:szCs w:val="21"/>
                <w:u w:val="single"/>
                <w:lang w:val="en-US" w:eastAsia="zh-CN" w:bidi="zh-CN"/>
                <w14:textFill>
                  <w14:solidFill>
                    <w14:schemeClr w14:val="tx1"/>
                  </w14:solidFill>
                </w14:textFill>
              </w:rPr>
              <w:t>10</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00</w:t>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 xml:space="preserve">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2661" w:type="pct"/>
            <w:gridSpan w:val="8"/>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每公里管段周边 200 m 范围内人口数（最大）</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w w:val="99"/>
                <w:kern w:val="2"/>
                <w:sz w:val="21"/>
                <w:szCs w:val="21"/>
                <w:lang w:val="zh-CN" w:eastAsia="zh-CN" w:bidi="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地表水</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地表水功能</w:t>
            </w: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敏感性</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F1 □</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F2 □</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F3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环境敏感目标</w:t>
            </w: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分级</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S1 □</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S2 □</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S3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地下水</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地下水功能</w:t>
            </w: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敏感性</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G1□</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G2□</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G3□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包气带防污性能</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D1 □</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D2□</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D3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物质及工艺系统危险性</w:t>
            </w: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Q 值</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Q＜1 ☑</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1≤Q＜10 □</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10≤Q＜100 □</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Q＞100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 值</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M1□</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M2 □</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M3 □</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P 值</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P1□</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P2 □</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P3 □</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P4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环境敏感程度</w:t>
            </w: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大气</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E1 □</w:t>
            </w:r>
          </w:p>
        </w:tc>
        <w:tc>
          <w:tcPr>
            <w:tcW w:w="1419"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E2□</w:t>
            </w:r>
          </w:p>
        </w:tc>
        <w:tc>
          <w:tcPr>
            <w:tcW w:w="1245"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地表水</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E1 □</w:t>
            </w:r>
          </w:p>
        </w:tc>
        <w:tc>
          <w:tcPr>
            <w:tcW w:w="1419"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E2 □</w:t>
            </w:r>
          </w:p>
        </w:tc>
        <w:tc>
          <w:tcPr>
            <w:tcW w:w="1245"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地下水</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E1 □</w:t>
            </w:r>
          </w:p>
        </w:tc>
        <w:tc>
          <w:tcPr>
            <w:tcW w:w="1419"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E2 □</w:t>
            </w:r>
          </w:p>
        </w:tc>
        <w:tc>
          <w:tcPr>
            <w:tcW w:w="1245"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50"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spacing w:val="-3"/>
                <w:kern w:val="2"/>
                <w:sz w:val="21"/>
                <w:szCs w:val="21"/>
                <w:lang w:val="zh-CN" w:eastAsia="zh-CN" w:bidi="zh-CN"/>
                <w14:textFill>
                  <w14:solidFill>
                    <w14:schemeClr w14:val="tx1"/>
                  </w14:solidFill>
                </w14:textFill>
              </w:rPr>
              <w:t>环境风险潜势</w:t>
            </w:r>
          </w:p>
        </w:tc>
        <w:tc>
          <w:tcPr>
            <w:tcW w:w="678"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spacing w:val="2"/>
                <w:w w:val="99"/>
                <w:kern w:val="2"/>
                <w:sz w:val="21"/>
                <w:szCs w:val="21"/>
                <w:lang w:val="zh-CN" w:eastAsia="zh-CN" w:bidi="zh-CN"/>
                <w14:textFill>
                  <w14:solidFill>
                    <w14:schemeClr w14:val="tx1"/>
                  </w14:solidFill>
                </w14:textFill>
              </w:rPr>
              <w:t>Ⅳ</w:t>
            </w:r>
            <w:r>
              <w:rPr>
                <w:rFonts w:hint="default" w:ascii="Times New Roman" w:hAnsi="Times New Roman" w:eastAsia="宋体" w:cs="Times New Roman"/>
                <w:snapToGrid/>
                <w:color w:val="000000" w:themeColor="text1"/>
                <w:spacing w:val="-3"/>
                <w:w w:val="106"/>
                <w:kern w:val="2"/>
                <w:position w:val="10"/>
                <w:sz w:val="21"/>
                <w:szCs w:val="21"/>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w w:val="99"/>
                <w:kern w:val="2"/>
                <w:sz w:val="21"/>
                <w:szCs w:val="21"/>
                <w:lang w:val="zh-CN" w:eastAsia="zh-CN" w:bidi="zh-CN"/>
                <w14:textFill>
                  <w14:solidFill>
                    <w14:schemeClr w14:val="tx1"/>
                  </w14:solidFill>
                </w14:textFill>
              </w:rPr>
              <w:t>☑</w:t>
            </w:r>
          </w:p>
        </w:tc>
        <w:tc>
          <w:tcPr>
            <w:tcW w:w="907"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Ⅳ□</w:t>
            </w:r>
          </w:p>
        </w:tc>
        <w:tc>
          <w:tcPr>
            <w:tcW w:w="921"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Ⅲ□</w:t>
            </w:r>
          </w:p>
        </w:tc>
        <w:tc>
          <w:tcPr>
            <w:tcW w:w="833"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Ⅱ□</w:t>
            </w:r>
          </w:p>
        </w:tc>
        <w:tc>
          <w:tcPr>
            <w:tcW w:w="909"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0" w:type="pct"/>
            <w:gridSpan w:val="3"/>
          </w:tcPr>
          <w:p>
            <w:pPr>
              <w:keepNext w:val="0"/>
              <w:keepLines w:val="0"/>
              <w:pageBreakBefore w:val="0"/>
              <w:widowControl w:val="0"/>
              <w:kinsoku/>
              <w:wordWrap/>
              <w:overflowPunct/>
              <w:topLinePunct w:val="0"/>
              <w:autoSpaceDE w:val="0"/>
              <w:autoSpaceDN w:val="0"/>
              <w:bidi w:val="0"/>
              <w:adjustRightInd/>
              <w:snapToGrid/>
              <w:spacing w:after="0" w:line="240" w:lineRule="auto"/>
              <w:ind w:left="217"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评价等级</w:t>
            </w:r>
          </w:p>
        </w:tc>
        <w:tc>
          <w:tcPr>
            <w:tcW w:w="895" w:type="pct"/>
            <w:gridSpan w:val="2"/>
          </w:tcPr>
          <w:p>
            <w:pPr>
              <w:keepNext w:val="0"/>
              <w:keepLines w:val="0"/>
              <w:pageBreakBefore w:val="0"/>
              <w:widowControl w:val="0"/>
              <w:kinsoku/>
              <w:wordWrap/>
              <w:overflowPunct/>
              <w:topLinePunct w:val="0"/>
              <w:autoSpaceDE w:val="0"/>
              <w:autoSpaceDN w:val="0"/>
              <w:bidi w:val="0"/>
              <w:adjustRightInd/>
              <w:snapToGrid/>
              <w:spacing w:after="0" w:line="240" w:lineRule="auto"/>
              <w:ind w:left="444"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一级□</w:t>
            </w:r>
          </w:p>
        </w:tc>
        <w:tc>
          <w:tcPr>
            <w:tcW w:w="689" w:type="pct"/>
          </w:tcPr>
          <w:p>
            <w:pPr>
              <w:keepNext w:val="0"/>
              <w:keepLines w:val="0"/>
              <w:pageBreakBefore w:val="0"/>
              <w:widowControl w:val="0"/>
              <w:kinsoku/>
              <w:wordWrap/>
              <w:overflowPunct/>
              <w:topLinePunct w:val="0"/>
              <w:autoSpaceDE w:val="0"/>
              <w:autoSpaceDN w:val="0"/>
              <w:bidi w:val="0"/>
              <w:adjustRightInd/>
              <w:snapToGrid/>
              <w:spacing w:after="0" w:line="240" w:lineRule="auto"/>
              <w:ind w:left="140" w:right="141"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二级□</w:t>
            </w:r>
          </w:p>
        </w:tc>
        <w:tc>
          <w:tcPr>
            <w:tcW w:w="1605" w:type="pct"/>
            <w:gridSpan w:val="5"/>
          </w:tcPr>
          <w:p>
            <w:pPr>
              <w:keepNext w:val="0"/>
              <w:keepLines w:val="0"/>
              <w:pageBreakBefore w:val="0"/>
              <w:widowControl w:val="0"/>
              <w:kinsoku/>
              <w:wordWrap/>
              <w:overflowPunct/>
              <w:topLinePunct w:val="0"/>
              <w:autoSpaceDE w:val="0"/>
              <w:autoSpaceDN w:val="0"/>
              <w:bidi w:val="0"/>
              <w:adjustRightInd/>
              <w:snapToGrid/>
              <w:spacing w:after="0" w:line="240" w:lineRule="auto"/>
              <w:ind w:left="919" w:right="917"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三级□</w:t>
            </w:r>
          </w:p>
        </w:tc>
        <w:tc>
          <w:tcPr>
            <w:tcW w:w="1059" w:type="pct"/>
            <w:gridSpan w:val="3"/>
          </w:tcPr>
          <w:p>
            <w:pPr>
              <w:keepNext w:val="0"/>
              <w:keepLines w:val="0"/>
              <w:pageBreakBefore w:val="0"/>
              <w:widowControl w:val="0"/>
              <w:kinsoku/>
              <w:wordWrap/>
              <w:overflowPunct/>
              <w:topLinePunct w:val="0"/>
              <w:autoSpaceDE w:val="0"/>
              <w:autoSpaceDN w:val="0"/>
              <w:bidi w:val="0"/>
              <w:adjustRightInd/>
              <w:snapToGrid/>
              <w:spacing w:after="0" w:line="240" w:lineRule="auto"/>
              <w:ind w:left="390"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简单分析☑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85" w:right="75" w:firstLine="0"/>
              <w:jc w:val="both"/>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风险识别</w:t>
            </w:r>
          </w:p>
        </w:tc>
        <w:tc>
          <w:tcPr>
            <w:tcW w:w="525"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7"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物质</w:t>
            </w:r>
          </w:p>
          <w:p>
            <w:pPr>
              <w:keepNext w:val="0"/>
              <w:keepLines w:val="0"/>
              <w:pageBreakBefore w:val="0"/>
              <w:widowControl w:val="0"/>
              <w:kinsoku/>
              <w:wordWrap/>
              <w:overflowPunct/>
              <w:topLinePunct w:val="0"/>
              <w:autoSpaceDE w:val="0"/>
              <w:autoSpaceDN w:val="0"/>
              <w:bidi w:val="0"/>
              <w:adjustRightInd/>
              <w:snapToGrid/>
              <w:spacing w:after="0" w:line="240" w:lineRule="auto"/>
              <w:ind w:left="7"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危险性</w:t>
            </w:r>
          </w:p>
        </w:tc>
        <w:tc>
          <w:tcPr>
            <w:tcW w:w="1585"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828"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有毒有害</w:t>
            </w:r>
          </w:p>
        </w:tc>
        <w:tc>
          <w:tcPr>
            <w:tcW w:w="2664" w:type="pct"/>
            <w:gridSpan w:val="8"/>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715" w:right="1711"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易燃易爆□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left"/>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4"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环境风险</w:t>
            </w:r>
          </w:p>
          <w:p>
            <w:pPr>
              <w:keepNext w:val="0"/>
              <w:keepLines w:val="0"/>
              <w:pageBreakBefore w:val="0"/>
              <w:widowControl w:val="0"/>
              <w:kinsoku/>
              <w:wordWrap/>
              <w:overflowPunct/>
              <w:topLinePunct w:val="0"/>
              <w:autoSpaceDE w:val="0"/>
              <w:autoSpaceDN w:val="0"/>
              <w:bidi w:val="0"/>
              <w:adjustRightInd/>
              <w:snapToGrid/>
              <w:spacing w:after="0" w:line="240" w:lineRule="auto"/>
              <w:ind w:left="7"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类别</w:t>
            </w:r>
          </w:p>
        </w:tc>
        <w:tc>
          <w:tcPr>
            <w:tcW w:w="1585"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018" w:right="1019"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泄漏</w:t>
            </w:r>
          </w:p>
        </w:tc>
        <w:tc>
          <w:tcPr>
            <w:tcW w:w="2664" w:type="pct"/>
            <w:gridSpan w:val="8"/>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435"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火灾、爆炸引发伴生/次生污染物排放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24"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left"/>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525"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4"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影响途径</w:t>
            </w:r>
          </w:p>
        </w:tc>
        <w:tc>
          <w:tcPr>
            <w:tcW w:w="1585"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018" w:right="1019"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大气</w:t>
            </w:r>
          </w:p>
        </w:tc>
        <w:tc>
          <w:tcPr>
            <w:tcW w:w="1355"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725"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地表水□</w:t>
            </w:r>
          </w:p>
        </w:tc>
        <w:tc>
          <w:tcPr>
            <w:tcW w:w="1308" w:type="pct"/>
            <w:gridSpan w:val="6"/>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706"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50" w:type="pct"/>
            <w:gridSpan w:val="3"/>
          </w:tcPr>
          <w:p>
            <w:pPr>
              <w:keepNext w:val="0"/>
              <w:keepLines w:val="0"/>
              <w:pageBreakBefore w:val="0"/>
              <w:widowControl w:val="0"/>
              <w:kinsoku/>
              <w:wordWrap/>
              <w:overflowPunct/>
              <w:topLinePunct w:val="0"/>
              <w:autoSpaceDE w:val="0"/>
              <w:autoSpaceDN w:val="0"/>
              <w:bidi w:val="0"/>
              <w:adjustRightInd/>
              <w:snapToGrid/>
              <w:spacing w:after="0" w:line="240" w:lineRule="auto"/>
              <w:ind w:left="6"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spacing w:val="-3"/>
                <w:kern w:val="2"/>
                <w:sz w:val="21"/>
                <w:szCs w:val="21"/>
                <w:lang w:val="zh-CN" w:eastAsia="zh-CN" w:bidi="zh-CN"/>
                <w14:textFill>
                  <w14:solidFill>
                    <w14:schemeClr w14:val="tx1"/>
                  </w14:solidFill>
                </w14:textFill>
              </w:rPr>
              <w:t>事故情形分析</w:t>
            </w:r>
          </w:p>
        </w:tc>
        <w:tc>
          <w:tcPr>
            <w:tcW w:w="895" w:type="pct"/>
            <w:gridSpan w:val="2"/>
          </w:tcPr>
          <w:p>
            <w:pPr>
              <w:keepNext w:val="0"/>
              <w:keepLines w:val="0"/>
              <w:pageBreakBefore w:val="0"/>
              <w:widowControl w:val="0"/>
              <w:kinsoku/>
              <w:wordWrap/>
              <w:overflowPunct/>
              <w:topLinePunct w:val="0"/>
              <w:autoSpaceDE w:val="0"/>
              <w:autoSpaceDN w:val="0"/>
              <w:bidi w:val="0"/>
              <w:adjustRightInd/>
              <w:snapToGrid/>
              <w:spacing w:after="0" w:line="240" w:lineRule="auto"/>
              <w:ind w:left="130"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源强设定方法</w:t>
            </w:r>
          </w:p>
        </w:tc>
        <w:tc>
          <w:tcPr>
            <w:tcW w:w="689" w:type="pct"/>
          </w:tcPr>
          <w:p>
            <w:pPr>
              <w:keepNext w:val="0"/>
              <w:keepLines w:val="0"/>
              <w:pageBreakBefore w:val="0"/>
              <w:widowControl w:val="0"/>
              <w:kinsoku/>
              <w:wordWrap/>
              <w:overflowPunct/>
              <w:topLinePunct w:val="0"/>
              <w:autoSpaceDE w:val="0"/>
              <w:autoSpaceDN w:val="0"/>
              <w:bidi w:val="0"/>
              <w:adjustRightInd/>
              <w:snapToGrid/>
              <w:spacing w:after="0" w:line="240" w:lineRule="auto"/>
              <w:ind w:left="140" w:right="141"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计算法□</w:t>
            </w:r>
          </w:p>
        </w:tc>
        <w:tc>
          <w:tcPr>
            <w:tcW w:w="1355" w:type="pct"/>
            <w:gridSpan w:val="2"/>
          </w:tcPr>
          <w:p>
            <w:pPr>
              <w:keepNext w:val="0"/>
              <w:keepLines w:val="0"/>
              <w:pageBreakBefore w:val="0"/>
              <w:widowControl w:val="0"/>
              <w:kinsoku/>
              <w:wordWrap/>
              <w:overflowPunct/>
              <w:topLinePunct w:val="0"/>
              <w:autoSpaceDE w:val="0"/>
              <w:autoSpaceDN w:val="0"/>
              <w:bidi w:val="0"/>
              <w:adjustRightInd/>
              <w:snapToGrid/>
              <w:spacing w:after="0" w:line="240" w:lineRule="auto"/>
              <w:ind w:left="516"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经验估算法□</w:t>
            </w:r>
          </w:p>
        </w:tc>
        <w:tc>
          <w:tcPr>
            <w:tcW w:w="1308" w:type="pct"/>
            <w:gridSpan w:val="6"/>
          </w:tcPr>
          <w:p>
            <w:pPr>
              <w:keepNext w:val="0"/>
              <w:keepLines w:val="0"/>
              <w:pageBreakBefore w:val="0"/>
              <w:widowControl w:val="0"/>
              <w:kinsoku/>
              <w:wordWrap/>
              <w:overflowPunct/>
              <w:topLinePunct w:val="0"/>
              <w:autoSpaceDE w:val="0"/>
              <w:autoSpaceDN w:val="0"/>
              <w:bidi w:val="0"/>
              <w:adjustRightInd/>
              <w:snapToGrid/>
              <w:spacing w:after="0" w:line="240" w:lineRule="auto"/>
              <w:ind w:left="485"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其他估算法□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7"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环境风险预测与评价</w:t>
            </w:r>
          </w:p>
        </w:tc>
        <w:tc>
          <w:tcPr>
            <w:tcW w:w="476"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236"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大气</w:t>
            </w:r>
          </w:p>
        </w:tc>
        <w:tc>
          <w:tcPr>
            <w:tcW w:w="895" w:type="pct"/>
            <w:gridSpan w:val="2"/>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预测模型</w:t>
            </w:r>
          </w:p>
        </w:tc>
        <w:tc>
          <w:tcPr>
            <w:tcW w:w="689"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37" w:right="141"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SLAB □</w:t>
            </w:r>
          </w:p>
        </w:tc>
        <w:tc>
          <w:tcPr>
            <w:tcW w:w="1605" w:type="pct"/>
            <w:gridSpan w:val="5"/>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919" w:right="918"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AFTOX□</w:t>
            </w:r>
          </w:p>
        </w:tc>
        <w:tc>
          <w:tcPr>
            <w:tcW w:w="1059"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589"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4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895"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预测结果</w:t>
            </w:r>
          </w:p>
        </w:tc>
        <w:tc>
          <w:tcPr>
            <w:tcW w:w="3354" w:type="pct"/>
            <w:gridSpan w:val="9"/>
            <w:vAlign w:val="center"/>
          </w:tcPr>
          <w:p>
            <w:pPr>
              <w:keepNext w:val="0"/>
              <w:keepLines w:val="0"/>
              <w:pageBreakBefore w:val="0"/>
              <w:widowControl w:val="0"/>
              <w:tabs>
                <w:tab w:val="left" w:pos="4585"/>
              </w:tabs>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大气毒性终点浓度-1</w:t>
            </w:r>
            <w:r>
              <w:rPr>
                <w:rFonts w:hint="default" w:ascii="Times New Roman" w:hAnsi="Times New Roman" w:eastAsia="宋体" w:cs="Times New Roman"/>
                <w:snapToGrid/>
                <w:color w:val="000000" w:themeColor="text1"/>
                <w:spacing w:val="-3"/>
                <w:kern w:val="2"/>
                <w:sz w:val="21"/>
                <w:szCs w:val="21"/>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最大影响范围</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73"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4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895"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3354" w:type="pct"/>
            <w:gridSpan w:val="9"/>
            <w:vAlign w:val="center"/>
          </w:tcPr>
          <w:p>
            <w:pPr>
              <w:keepNext w:val="0"/>
              <w:keepLines w:val="0"/>
              <w:pageBreakBefore w:val="0"/>
              <w:widowControl w:val="0"/>
              <w:tabs>
                <w:tab w:val="left" w:pos="4585"/>
              </w:tabs>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大气毒性终点浓度-2</w:t>
            </w:r>
            <w:r>
              <w:rPr>
                <w:rFonts w:hint="default" w:ascii="Times New Roman" w:hAnsi="Times New Roman" w:eastAsia="宋体" w:cs="Times New Roman"/>
                <w:snapToGrid/>
                <w:color w:val="000000" w:themeColor="text1"/>
                <w:spacing w:val="-3"/>
                <w:kern w:val="2"/>
                <w:sz w:val="21"/>
                <w:szCs w:val="21"/>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最大影响范围</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3"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476" w:type="pc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7"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地表水</w:t>
            </w:r>
          </w:p>
        </w:tc>
        <w:tc>
          <w:tcPr>
            <w:tcW w:w="4249" w:type="pct"/>
            <w:gridSpan w:val="11"/>
            <w:vAlign w:val="center"/>
          </w:tcPr>
          <w:p>
            <w:pPr>
              <w:keepNext w:val="0"/>
              <w:keepLines w:val="0"/>
              <w:pageBreakBefore w:val="0"/>
              <w:widowControl w:val="0"/>
              <w:tabs>
                <w:tab w:val="left" w:pos="3981"/>
                <w:tab w:val="left" w:pos="5344"/>
              </w:tabs>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最近环境敏感目标</w:t>
            </w:r>
            <w:r>
              <w:rPr>
                <w:rFonts w:hint="default" w:ascii="Times New Roman" w:hAnsi="Times New Roman" w:eastAsia="宋体" w:cs="Times New Roman"/>
                <w:snapToGrid/>
                <w:color w:val="000000" w:themeColor="text1"/>
                <w:spacing w:val="101"/>
                <w:kern w:val="2"/>
                <w:sz w:val="21"/>
                <w:szCs w:val="21"/>
                <w:u w:val="single"/>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，到达时间</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3"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476"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3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地下水</w:t>
            </w:r>
          </w:p>
        </w:tc>
        <w:tc>
          <w:tcPr>
            <w:tcW w:w="4249" w:type="pct"/>
            <w:gridSpan w:val="11"/>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下游厂区边界到达时间</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73" w:type="pct"/>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4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0"/>
                <w:sz w:val="21"/>
                <w:szCs w:val="21"/>
                <w:lang w:val="zh-CN" w:eastAsia="zh-CN" w:bidi="zh-CN"/>
                <w14:textFill>
                  <w14:solidFill>
                    <w14:schemeClr w14:val="tx1"/>
                  </w14:solidFill>
                </w14:textFill>
              </w:rPr>
            </w:pPr>
          </w:p>
        </w:tc>
        <w:tc>
          <w:tcPr>
            <w:tcW w:w="4249" w:type="pct"/>
            <w:gridSpan w:val="11"/>
            <w:vAlign w:val="center"/>
          </w:tcPr>
          <w:p>
            <w:pPr>
              <w:keepNext w:val="0"/>
              <w:keepLines w:val="0"/>
              <w:pageBreakBefore w:val="0"/>
              <w:widowControl w:val="0"/>
              <w:tabs>
                <w:tab w:val="left" w:pos="3876"/>
                <w:tab w:val="left" w:pos="5450"/>
              </w:tabs>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最近环境敏感目标</w:t>
            </w:r>
            <w:r>
              <w:rPr>
                <w:rFonts w:hint="default" w:ascii="Times New Roman" w:hAnsi="Times New Roman" w:eastAsia="宋体" w:cs="Times New Roman"/>
                <w:snapToGrid/>
                <w:color w:val="000000" w:themeColor="text1"/>
                <w:spacing w:val="102"/>
                <w:kern w:val="2"/>
                <w:sz w:val="21"/>
                <w:szCs w:val="21"/>
                <w:u w:val="single"/>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，到达时间</w:t>
            </w:r>
            <w:r>
              <w:rPr>
                <w:rFonts w:hint="default" w:ascii="Times New Roman" w:hAnsi="Times New Roman" w:eastAsia="宋体" w:cs="Times New Roman"/>
                <w:snapToGrid/>
                <w:color w:val="000000" w:themeColor="text1"/>
                <w:spacing w:val="104"/>
                <w:kern w:val="2"/>
                <w:sz w:val="21"/>
                <w:szCs w:val="21"/>
                <w:u w:val="single"/>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0" w:type="pct"/>
            <w:gridSpan w:val="3"/>
          </w:tcPr>
          <w:p>
            <w:pPr>
              <w:keepNext w:val="0"/>
              <w:keepLines w:val="0"/>
              <w:pageBreakBefore w:val="0"/>
              <w:widowControl w:val="0"/>
              <w:kinsoku/>
              <w:wordWrap/>
              <w:overflowPunct/>
              <w:topLinePunct w:val="0"/>
              <w:autoSpaceDE w:val="0"/>
              <w:autoSpaceDN w:val="0"/>
              <w:bidi w:val="0"/>
              <w:adjustRightInd/>
              <w:snapToGrid/>
              <w:spacing w:after="0" w:line="240" w:lineRule="auto"/>
              <w:ind w:left="5"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重点风险防范措施</w:t>
            </w:r>
          </w:p>
        </w:tc>
        <w:tc>
          <w:tcPr>
            <w:tcW w:w="4249" w:type="pct"/>
            <w:gridSpan w:val="11"/>
          </w:tcPr>
          <w:p>
            <w:pPr>
              <w:keepNext w:val="0"/>
              <w:keepLines w:val="0"/>
              <w:pageBreakBefore w:val="0"/>
              <w:widowControl w:val="0"/>
              <w:kinsoku/>
              <w:wordWrap/>
              <w:overflowPunct/>
              <w:topLinePunct w:val="0"/>
              <w:autoSpaceDE w:val="0"/>
              <w:autoSpaceDN w:val="0"/>
              <w:bidi w:val="0"/>
              <w:adjustRightInd/>
              <w:snapToGrid/>
              <w:spacing w:after="0" w:line="240" w:lineRule="auto"/>
              <w:ind w:left="425"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厂区采取分区防渗工业技术设计安全防范措施；运输、储存过程风险防控</w:t>
            </w:r>
          </w:p>
          <w:p>
            <w:pPr>
              <w:keepNext w:val="0"/>
              <w:keepLines w:val="0"/>
              <w:pageBreakBefore w:val="0"/>
              <w:widowControl w:val="0"/>
              <w:kinsoku/>
              <w:wordWrap/>
              <w:overflowPunct/>
              <w:topLinePunct w:val="0"/>
              <w:autoSpaceDE w:val="0"/>
              <w:autoSpaceDN w:val="0"/>
              <w:bidi w:val="0"/>
              <w:adjustRightInd/>
              <w:snapToGrid/>
              <w:spacing w:after="0" w:line="240" w:lineRule="auto"/>
              <w:ind w:left="5"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措施；消防火灾控制措施等。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50" w:type="pct"/>
            <w:gridSpan w:val="3"/>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评价结论与建议</w:t>
            </w:r>
          </w:p>
        </w:tc>
        <w:tc>
          <w:tcPr>
            <w:tcW w:w="4249" w:type="pct"/>
            <w:gridSpan w:val="11"/>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本项目属于一般建设项目，其生产设施和所涉及的物质存在风险的可能性是很有限的，在采取严格的防范措施后，事故发生概率较小，对人群健康及周围环境不会造成不良影响。因此，本项目环境风险可接受。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14"/>
          </w:tcPr>
          <w:p>
            <w:pPr>
              <w:keepNext w:val="0"/>
              <w:keepLines w:val="0"/>
              <w:pageBreakBefore w:val="0"/>
              <w:widowControl w:val="0"/>
              <w:tabs>
                <w:tab w:val="left" w:pos="2710"/>
              </w:tabs>
              <w:kinsoku/>
              <w:wordWrap/>
              <w:overflowPunct/>
              <w:topLinePunct w:val="0"/>
              <w:autoSpaceDE w:val="0"/>
              <w:autoSpaceDN w:val="0"/>
              <w:bidi w:val="0"/>
              <w:adjustRightInd/>
              <w:snapToGrid/>
              <w:spacing w:after="0" w:line="240" w:lineRule="auto"/>
              <w:ind w:left="3" w:right="0" w:firstLine="0"/>
              <w:jc w:val="left"/>
              <w:textAlignment w:val="auto"/>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注：“”为勾选项,；“</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 xml:space="preserve"> </w:t>
            </w:r>
            <w:r>
              <w:rPr>
                <w:rFonts w:hint="default" w:ascii="Times New Roman" w:hAnsi="Times New Roman" w:eastAsia="宋体" w:cs="Times New Roman"/>
                <w:snapToGrid/>
                <w:color w:val="000000" w:themeColor="text1"/>
                <w:kern w:val="2"/>
                <w:sz w:val="21"/>
                <w:szCs w:val="21"/>
                <w:u w:val="single"/>
                <w:lang w:val="zh-CN" w:eastAsia="zh-CN" w:bidi="zh-CN"/>
                <w14:textFill>
                  <w14:solidFill>
                    <w14:schemeClr w14:val="tx1"/>
                  </w14:solidFill>
                </w14:textFill>
              </w:rPr>
              <w:tab/>
            </w:r>
            <w:r>
              <w:rPr>
                <w:rFonts w:hint="default" w:ascii="Times New Roman" w:hAnsi="Times New Roman" w:eastAsia="宋体" w:cs="Times New Roman"/>
                <w:snapToGrid/>
                <w:color w:val="000000" w:themeColor="text1"/>
                <w:kern w:val="2"/>
                <w:sz w:val="21"/>
                <w:szCs w:val="21"/>
                <w:lang w:val="zh-CN" w:eastAsia="zh-CN" w:bidi="zh-CN"/>
                <w14:textFill>
                  <w14:solidFill>
                    <w14:schemeClr w14:val="tx1"/>
                  </w14:solidFill>
                </w14:textFill>
              </w:rPr>
              <w:t>”为填写项</w:t>
            </w:r>
          </w:p>
        </w:tc>
      </w:tr>
    </w:tbl>
    <w:p>
      <w:pPr>
        <w:pStyle w:val="27"/>
        <w:rPr>
          <w:rFonts w:hint="default" w:ascii="Times New Roman" w:hAnsi="Times New Roman" w:eastAsia="宋体" w:cs="Times New Roman"/>
          <w:color w:val="000000" w:themeColor="text1"/>
          <w:lang w:eastAsia="zh-CN"/>
          <w14:textFill>
            <w14:solidFill>
              <w14:schemeClr w14:val="tx1"/>
            </w14:solidFill>
          </w14:textFill>
        </w:rPr>
      </w:pPr>
    </w:p>
    <w:sectPr>
      <w:footerReference r:id="rId9"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Arial Narrow">
    <w:altName w:val="Arial"/>
    <w:panose1 w:val="00000000000000000000"/>
    <w:charset w:val="00"/>
    <w:family w:val="auto"/>
    <w:pitch w:val="default"/>
    <w:sig w:usb0="00000000" w:usb1="00000000" w:usb2="00000000" w:usb3="00000000" w:csb0="00000000" w:csb1="00000000"/>
  </w:font>
  <w:font w:name="华文隶书">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楷体_GB2312">
    <w:altName w:val="宋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pP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fldChar w:fldCharType="begin"/>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instrText xml:space="preserve"> PAGE  \* MERGEFORMAT </w:instrText>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fldChar w:fldCharType="separate"/>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t>1</w:t>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15"/>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pP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fldChar w:fldCharType="begin"/>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instrText xml:space="preserve"> PAGE  \* MERGEFORMAT </w:instrText>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fldChar w:fldCharType="separate"/>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t>1</w:t>
                    </w:r>
                    <w:r>
                      <w:rPr>
                        <w:rFonts w:hint="default" w:ascii="Times New Roman" w:hAnsi="Times New Roman" w:cs="Times New Roman"/>
                        <w:color w:val="404040" w:themeColor="text1" w:themeTint="BF"/>
                        <w:sz w:val="21"/>
                        <w:szCs w:val="21"/>
                        <w14:textFill>
                          <w14:solidFill>
                            <w14:schemeClr w14:val="tx1">
                              <w14:lumMod w14:val="75000"/>
                              <w14:lumOff w14:val="25000"/>
                            </w14:schemeClr>
                          </w14:solidFill>
                        </w14:textFill>
                      </w:rPr>
                      <w:fldChar w:fldCharType="end"/>
                    </w:r>
                  </w:p>
                </w:txbxContent>
              </v:textbox>
            </v:shape>
          </w:pict>
        </mc:Fallback>
      </mc:AlternateContent>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7" w:lineRule="exact"/>
      <w:ind w:firstLine="9568"/>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7" w:lineRule="exact"/>
      <w:ind w:firstLine="4087"/>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7441"/>
      </w:tabs>
      <w:jc w:val="left"/>
      <w:rPr>
        <w:rFonts w:hint="default" w:eastAsia="宋体"/>
        <w:lang w:val="en-US" w:eastAsia="zh-CN"/>
      </w:rPr>
    </w:pPr>
    <w:r>
      <w:rPr>
        <w:rFonts w:hint="eastAsia" w:eastAsia="宋体"/>
        <w:lang w:eastAsia="zh-CN"/>
      </w:rPr>
      <w:tab/>
    </w:r>
    <w:r>
      <w:rPr>
        <w:rFonts w:hint="eastAsia" w:eastAsia="宋体"/>
        <w:lang w:eastAsia="zh-CN"/>
      </w:rPr>
      <w:t>东方电气（新疆）新能源高端装备制造基地项目环境影响评价</w:t>
    </w:r>
    <w:r>
      <w:rPr>
        <w:rFonts w:hint="eastAsia" w:eastAsia="宋体"/>
        <w:lang w:val="en-US" w:eastAsia="zh-CN"/>
      </w:rP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04802"/>
    <w:multiLevelType w:val="singleLevel"/>
    <w:tmpl w:val="9EC04802"/>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A82AE565"/>
    <w:multiLevelType w:val="singleLevel"/>
    <w:tmpl w:val="A82AE565"/>
    <w:lvl w:ilvl="0" w:tentative="0">
      <w:start w:val="1"/>
      <w:numFmt w:val="decimalEnclosedCircleChinese"/>
      <w:suff w:val="space"/>
      <w:lvlText w:val="%1"/>
      <w:lvlJc w:val="left"/>
      <w:rPr>
        <w:rFonts w:hint="eastAsia"/>
      </w:rPr>
    </w:lvl>
  </w:abstractNum>
  <w:abstractNum w:abstractNumId="2">
    <w:nsid w:val="23DA397C"/>
    <w:multiLevelType w:val="singleLevel"/>
    <w:tmpl w:val="23DA397C"/>
    <w:lvl w:ilvl="0" w:tentative="0">
      <w:start w:val="1"/>
      <w:numFmt w:val="decimal"/>
      <w:pStyle w:val="3"/>
      <w:lvlText w:val="%1."/>
      <w:lvlJc w:val="left"/>
      <w:pPr>
        <w:tabs>
          <w:tab w:val="left" w:pos="2040"/>
        </w:tabs>
        <w:ind w:left="2040" w:hanging="360"/>
      </w:pPr>
    </w:lvl>
  </w:abstractNum>
  <w:abstractNum w:abstractNumId="3">
    <w:nsid w:val="3BB378F3"/>
    <w:multiLevelType w:val="multilevel"/>
    <w:tmpl w:val="3BB378F3"/>
    <w:lvl w:ilvl="0" w:tentative="0">
      <w:start w:val="1"/>
      <w:numFmt w:val="bullet"/>
      <w:pStyle w:val="28"/>
      <w:lvlText w:val=""/>
      <w:lvlJc w:val="left"/>
      <w:pPr>
        <w:widowControl/>
        <w:tabs>
          <w:tab w:val="left" w:pos="2040"/>
        </w:tabs>
        <w:ind w:left="2040" w:hanging="360"/>
        <w:textAlignment w:val="baseline"/>
      </w:pPr>
      <w:rPr>
        <w:rFonts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7B9B7B51"/>
    <w:multiLevelType w:val="singleLevel"/>
    <w:tmpl w:val="7B9B7B51"/>
    <w:lvl w:ilvl="0" w:tentative="0">
      <w:start w:val="1"/>
      <w:numFmt w:val="decimal"/>
      <w:suff w:val="nothing"/>
      <w:lvlText w:val="（%1）"/>
      <w:lvlJc w:val="left"/>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2ZmU0YzI5NDQxMWM3OTJlNDJjZDYzYWQxNDBlOWQifQ=="/>
  </w:docVars>
  <w:rsids>
    <w:rsidRoot w:val="00172A27"/>
    <w:rsid w:val="005744C6"/>
    <w:rsid w:val="02642BBC"/>
    <w:rsid w:val="026D5118"/>
    <w:rsid w:val="029951D1"/>
    <w:rsid w:val="042D5BA7"/>
    <w:rsid w:val="05512C1A"/>
    <w:rsid w:val="064443F5"/>
    <w:rsid w:val="07201CA4"/>
    <w:rsid w:val="0B802C55"/>
    <w:rsid w:val="0B81476F"/>
    <w:rsid w:val="0BAB6E12"/>
    <w:rsid w:val="0D083CDB"/>
    <w:rsid w:val="0ED7541F"/>
    <w:rsid w:val="0EF80318"/>
    <w:rsid w:val="0F5B6559"/>
    <w:rsid w:val="11F65459"/>
    <w:rsid w:val="12E13FF0"/>
    <w:rsid w:val="14BE0E1F"/>
    <w:rsid w:val="17191814"/>
    <w:rsid w:val="174B00F6"/>
    <w:rsid w:val="17F45D42"/>
    <w:rsid w:val="18BC2256"/>
    <w:rsid w:val="194F52F5"/>
    <w:rsid w:val="1CD008BF"/>
    <w:rsid w:val="1CD47E81"/>
    <w:rsid w:val="1D7B2840"/>
    <w:rsid w:val="1DC55869"/>
    <w:rsid w:val="1ED56DAE"/>
    <w:rsid w:val="21107C40"/>
    <w:rsid w:val="23F01703"/>
    <w:rsid w:val="26CF7759"/>
    <w:rsid w:val="27683A94"/>
    <w:rsid w:val="27D32ABB"/>
    <w:rsid w:val="2AA53716"/>
    <w:rsid w:val="2CDB6B41"/>
    <w:rsid w:val="2E2D1470"/>
    <w:rsid w:val="30207CF4"/>
    <w:rsid w:val="3137701A"/>
    <w:rsid w:val="334B2BD0"/>
    <w:rsid w:val="34E73EBF"/>
    <w:rsid w:val="3ACF133D"/>
    <w:rsid w:val="3B576ABE"/>
    <w:rsid w:val="3BC36543"/>
    <w:rsid w:val="3C6A3D54"/>
    <w:rsid w:val="3CB17FE5"/>
    <w:rsid w:val="3CF75C38"/>
    <w:rsid w:val="3F0A3FA6"/>
    <w:rsid w:val="400D432F"/>
    <w:rsid w:val="417619B0"/>
    <w:rsid w:val="42ED7B87"/>
    <w:rsid w:val="436E0F95"/>
    <w:rsid w:val="436F3991"/>
    <w:rsid w:val="450A7B38"/>
    <w:rsid w:val="46991A1D"/>
    <w:rsid w:val="47475855"/>
    <w:rsid w:val="47E46889"/>
    <w:rsid w:val="480F2D0E"/>
    <w:rsid w:val="481C0326"/>
    <w:rsid w:val="490B3EE1"/>
    <w:rsid w:val="490C4406"/>
    <w:rsid w:val="49AE76E3"/>
    <w:rsid w:val="4A595E2F"/>
    <w:rsid w:val="4B0366DE"/>
    <w:rsid w:val="4B5B0112"/>
    <w:rsid w:val="4E580FD2"/>
    <w:rsid w:val="4FC912E2"/>
    <w:rsid w:val="50C8498A"/>
    <w:rsid w:val="515D7906"/>
    <w:rsid w:val="5268469C"/>
    <w:rsid w:val="542A4F4B"/>
    <w:rsid w:val="560C4FC1"/>
    <w:rsid w:val="57342B3C"/>
    <w:rsid w:val="57D31768"/>
    <w:rsid w:val="5A061C3C"/>
    <w:rsid w:val="5D91064E"/>
    <w:rsid w:val="5EB02058"/>
    <w:rsid w:val="5F892D7C"/>
    <w:rsid w:val="5F924F70"/>
    <w:rsid w:val="5FF23E99"/>
    <w:rsid w:val="60F67746"/>
    <w:rsid w:val="61F83B02"/>
    <w:rsid w:val="622D4D58"/>
    <w:rsid w:val="63055AF5"/>
    <w:rsid w:val="636A1688"/>
    <w:rsid w:val="65096C69"/>
    <w:rsid w:val="652A3E6C"/>
    <w:rsid w:val="65D904A5"/>
    <w:rsid w:val="66BB663C"/>
    <w:rsid w:val="66D92813"/>
    <w:rsid w:val="67BC1279"/>
    <w:rsid w:val="6A2D4A02"/>
    <w:rsid w:val="6BAD3C8D"/>
    <w:rsid w:val="6BC61936"/>
    <w:rsid w:val="6C216967"/>
    <w:rsid w:val="6DDF62AB"/>
    <w:rsid w:val="6F451E31"/>
    <w:rsid w:val="71D025FE"/>
    <w:rsid w:val="73150593"/>
    <w:rsid w:val="73277680"/>
    <w:rsid w:val="76F66F2D"/>
    <w:rsid w:val="779C055E"/>
    <w:rsid w:val="7CDD5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hAnsi="Courier New" w:cs="Times New Roman"/>
      <w:kern w:val="2"/>
      <w:sz w:val="21"/>
      <w:szCs w:val="20"/>
    </w:rPr>
  </w:style>
  <w:style w:type="paragraph" w:styleId="3">
    <w:name w:val="List Number 5"/>
    <w:basedOn w:val="1"/>
    <w:qFormat/>
    <w:uiPriority w:val="0"/>
    <w:pPr>
      <w:numPr>
        <w:ilvl w:val="0"/>
        <w:numId w:val="1"/>
      </w:numPr>
    </w:pPr>
  </w:style>
  <w:style w:type="paragraph" w:styleId="8">
    <w:name w:val="Normal Indent"/>
    <w:basedOn w:val="1"/>
    <w:qFormat/>
    <w:uiPriority w:val="0"/>
    <w:pPr>
      <w:ind w:firstLine="420" w:firstLineChars="200"/>
    </w:pPr>
    <w:rPr>
      <w:rFonts w:eastAsia="宋体"/>
      <w:kern w:val="2"/>
      <w:sz w:val="21"/>
      <w:lang w:val="en-US" w:eastAsia="zh-CN"/>
    </w:rPr>
  </w:style>
  <w:style w:type="paragraph" w:styleId="9">
    <w:name w:val="caption"/>
    <w:basedOn w:val="1"/>
    <w:next w:val="1"/>
    <w:qFormat/>
    <w:uiPriority w:val="35"/>
    <w:pPr>
      <w:keepNext/>
      <w:spacing w:before="50" w:beforeLines="50"/>
      <w:jc w:val="center"/>
    </w:pPr>
    <w:rPr>
      <w:rFonts w:ascii="Times New Roman" w:hAnsi="Times New Roman" w:eastAsia="黑体" w:cs="Times New Roman"/>
      <w:szCs w:val="24"/>
    </w:rPr>
  </w:style>
  <w:style w:type="paragraph" w:styleId="10">
    <w:name w:val="annotation text"/>
    <w:basedOn w:val="1"/>
    <w:qFormat/>
    <w:uiPriority w:val="0"/>
    <w:pPr>
      <w:jc w:val="left"/>
    </w:pPr>
  </w:style>
  <w:style w:type="paragraph" w:styleId="11">
    <w:name w:val="Body Text"/>
    <w:basedOn w:val="1"/>
    <w:next w:val="12"/>
    <w:qFormat/>
    <w:uiPriority w:val="99"/>
    <w:pPr>
      <w:widowControl/>
      <w:snapToGrid w:val="0"/>
      <w:spacing w:before="60" w:after="160" w:line="259" w:lineRule="auto"/>
      <w:ind w:right="113"/>
    </w:pPr>
    <w:rPr>
      <w:kern w:val="0"/>
      <w:sz w:val="18"/>
      <w:szCs w:val="20"/>
    </w:rPr>
  </w:style>
  <w:style w:type="paragraph" w:styleId="12">
    <w:name w:val="List Bullet 5"/>
    <w:basedOn w:val="1"/>
    <w:qFormat/>
    <w:uiPriority w:val="0"/>
    <w:pPr>
      <w:numPr>
        <w:ilvl w:val="0"/>
        <w:numId w:val="2"/>
      </w:numPr>
    </w:pPr>
  </w:style>
  <w:style w:type="paragraph" w:styleId="13">
    <w:name w:val="Body Text Indent"/>
    <w:basedOn w:val="1"/>
    <w:next w:val="14"/>
    <w:qFormat/>
    <w:uiPriority w:val="0"/>
    <w:pPr>
      <w:spacing w:after="120"/>
      <w:ind w:left="420" w:leftChars="200"/>
    </w:pPr>
    <w:rPr>
      <w:rFonts w:ascii="Calibri" w:hAnsi="Calibri" w:cs="Times New Roman"/>
      <w:kern w:val="2"/>
    </w:rPr>
  </w:style>
  <w:style w:type="paragraph" w:styleId="14">
    <w:name w:val="Body Text First Indent 2"/>
    <w:basedOn w:val="13"/>
    <w:next w:val="1"/>
    <w:qFormat/>
    <w:uiPriority w:val="0"/>
    <w:pPr>
      <w:ind w:left="200" w:firstLine="200"/>
    </w:pPr>
    <w:rPr>
      <w:sz w:val="21"/>
    </w:rPr>
  </w:style>
  <w:style w:type="paragraph" w:styleId="15">
    <w:name w:val="footer"/>
    <w:basedOn w:val="1"/>
    <w:unhideWhenUsed/>
    <w:qFormat/>
    <w:uiPriority w:val="99"/>
    <w:pPr>
      <w:tabs>
        <w:tab w:val="center" w:pos="4153"/>
        <w:tab w:val="right" w:pos="8306"/>
      </w:tabs>
      <w:snapToGrid w:val="0"/>
      <w:jc w:val="left"/>
    </w:pPr>
    <w:rPr>
      <w:sz w:val="18"/>
      <w:szCs w:val="18"/>
    </w:rPr>
  </w:style>
  <w:style w:type="paragraph" w:styleId="16">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spacing w:line="360" w:lineRule="auto"/>
    </w:pPr>
    <w:rPr>
      <w:rFonts w:ascii="Times New Roman" w:hAnsi="Times New Roman" w:cs="Times New Roman"/>
      <w:b/>
      <w:sz w:val="24"/>
      <w:szCs w:val="24"/>
    </w:rPr>
  </w:style>
  <w:style w:type="paragraph" w:styleId="18">
    <w:name w:val="List"/>
    <w:basedOn w:val="1"/>
    <w:qFormat/>
    <w:uiPriority w:val="0"/>
    <w:pPr>
      <w:ind w:left="200" w:hanging="200" w:hangingChars="200"/>
    </w:pPr>
    <w:rPr>
      <w:szCs w:val="20"/>
    </w:rPr>
  </w:style>
  <w:style w:type="paragraph" w:styleId="19">
    <w:name w:val="toc 2"/>
    <w:basedOn w:val="1"/>
    <w:next w:val="1"/>
    <w:unhideWhenUsed/>
    <w:qFormat/>
    <w:uiPriority w:val="39"/>
    <w:pPr>
      <w:ind w:left="420" w:leftChars="200"/>
    </w:pPr>
  </w:style>
  <w:style w:type="paragraph" w:styleId="20">
    <w:name w:val="Body Text 2"/>
    <w:basedOn w:val="1"/>
    <w:qFormat/>
    <w:uiPriority w:val="0"/>
    <w:pPr>
      <w:spacing w:after="120" w:line="480" w:lineRule="auto"/>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styleId="23">
    <w:name w:val="Body Text First Indent"/>
    <w:next w:val="1"/>
    <w:qFormat/>
    <w:uiPriority w:val="0"/>
    <w:pPr>
      <w:widowControl w:val="0"/>
      <w:spacing w:after="120" w:line="240" w:lineRule="auto"/>
      <w:ind w:firstLine="420" w:firstLineChars="100"/>
      <w:jc w:val="both"/>
    </w:pPr>
    <w:rPr>
      <w:rFonts w:ascii="Times New Roman" w:hAnsi="Times New Roman" w:eastAsia="宋体" w:cs="Times New Roman"/>
      <w:kern w:val="2"/>
      <w:sz w:val="21"/>
      <w:szCs w:val="24"/>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BodyText"/>
    <w:basedOn w:val="1"/>
    <w:next w:val="28"/>
    <w:qFormat/>
    <w:uiPriority w:val="0"/>
    <w:pPr>
      <w:widowControl/>
      <w:spacing w:after="200" w:line="240" w:lineRule="auto"/>
      <w:jc w:val="center"/>
      <w:textAlignment w:val="baseline"/>
    </w:pPr>
    <w:rPr>
      <w:rFonts w:ascii="Calibri" w:hAnsi="Calibri" w:eastAsia="宋体"/>
      <w:kern w:val="0"/>
      <w:sz w:val="21"/>
      <w:szCs w:val="24"/>
      <w:lang w:val="en-US" w:eastAsia="en-US" w:bidi="en-US"/>
    </w:rPr>
  </w:style>
  <w:style w:type="paragraph" w:customStyle="1" w:styleId="28">
    <w:name w:val="ListBullet5"/>
    <w:basedOn w:val="1"/>
    <w:qFormat/>
    <w:uiPriority w:val="0"/>
    <w:pPr>
      <w:numPr>
        <w:ilvl w:val="0"/>
        <w:numId w:val="3"/>
      </w:numPr>
      <w:jc w:val="both"/>
      <w:textAlignment w:val="baseline"/>
    </w:pPr>
  </w:style>
  <w:style w:type="paragraph" w:customStyle="1" w:styleId="29">
    <w:name w:val="Default"/>
    <w:basedOn w:val="1"/>
    <w:qFormat/>
    <w:uiPriority w:val="0"/>
    <w:pPr>
      <w:keepNext w:val="0"/>
      <w:keepLines w:val="0"/>
      <w:widowControl w:val="0"/>
      <w:suppressLineNumbers w:val="0"/>
      <w:autoSpaceDE w:val="0"/>
      <w:autoSpaceDN w:val="0"/>
      <w:adjustRightInd w:val="0"/>
      <w:spacing w:before="0" w:beforeAutospacing="0" w:after="0" w:afterAutospacing="0" w:line="240" w:lineRule="auto"/>
      <w:ind w:left="0" w:right="0"/>
      <w:jc w:val="left"/>
    </w:pPr>
    <w:rPr>
      <w:rFonts w:hint="default" w:ascii="Arial" w:hAnsi="Arial" w:eastAsia="宋体" w:cs="Arial"/>
      <w:color w:val="000000"/>
      <w:kern w:val="0"/>
      <w:sz w:val="24"/>
      <w:szCs w:val="24"/>
      <w:lang w:val="en-US" w:eastAsia="zh-CN" w:bidi="ar"/>
    </w:rPr>
  </w:style>
  <w:style w:type="table" w:customStyle="1" w:styleId="30">
    <w:name w:val="Table Normal"/>
    <w:unhideWhenUsed/>
    <w:qFormat/>
    <w:uiPriority w:val="0"/>
    <w:tblPr>
      <w:tblCellMar>
        <w:top w:w="0" w:type="dxa"/>
        <w:left w:w="0" w:type="dxa"/>
        <w:bottom w:w="0" w:type="dxa"/>
        <w:right w:w="0" w:type="dxa"/>
      </w:tblCellMar>
    </w:tblPr>
  </w:style>
  <w:style w:type="character" w:customStyle="1" w:styleId="31">
    <w:name w:val="font11"/>
    <w:basedOn w:val="26"/>
    <w:qFormat/>
    <w:uiPriority w:val="0"/>
    <w:rPr>
      <w:rFonts w:hint="default" w:ascii="Arial Narrow" w:hAnsi="Arial Narrow" w:eastAsia="Arial Narrow" w:cs="Arial Narrow"/>
      <w:color w:val="000000"/>
      <w:sz w:val="21"/>
      <w:szCs w:val="21"/>
      <w:u w:val="none"/>
    </w:rPr>
  </w:style>
  <w:style w:type="character" w:customStyle="1" w:styleId="32">
    <w:name w:val="font21"/>
    <w:basedOn w:val="26"/>
    <w:qFormat/>
    <w:uiPriority w:val="0"/>
    <w:rPr>
      <w:rFonts w:hint="default" w:ascii="华文隶书" w:hAnsi="华文隶书" w:eastAsia="华文隶书" w:cs="华文隶书"/>
      <w:color w:val="000000"/>
      <w:sz w:val="21"/>
      <w:szCs w:val="21"/>
      <w:u w:val="none"/>
    </w:rPr>
  </w:style>
  <w:style w:type="paragraph" w:customStyle="1" w:styleId="33">
    <w:name w:val="正文新"/>
    <w:basedOn w:val="34"/>
    <w:qFormat/>
    <w:uiPriority w:val="0"/>
    <w:pPr>
      <w:spacing w:line="460" w:lineRule="exact"/>
      <w:ind w:firstLine="480" w:firstLineChars="200"/>
    </w:pPr>
    <w:rPr>
      <w:sz w:val="24"/>
    </w:rPr>
  </w:style>
  <w:style w:type="paragraph" w:customStyle="1" w:styleId="34">
    <w:name w:val="正文11"/>
    <w:basedOn w:val="1"/>
    <w:qFormat/>
    <w:uiPriority w:val="0"/>
    <w:pPr>
      <w:spacing w:line="480" w:lineRule="exact"/>
      <w:ind w:firstLine="200" w:firstLineChars="200"/>
    </w:pPr>
    <w:rPr>
      <w:rFonts w:ascii="宋体" w:hAnsi="宋体" w:eastAsia="宋体" w:cs="宋体"/>
      <w:sz w:val="24"/>
    </w:rPr>
  </w:style>
  <w:style w:type="character" w:customStyle="1" w:styleId="35">
    <w:name w:val="font31"/>
    <w:basedOn w:val="26"/>
    <w:qFormat/>
    <w:uiPriority w:val="0"/>
    <w:rPr>
      <w:rFonts w:ascii="Arial" w:hAnsi="Arial" w:cs="Arial"/>
      <w:color w:val="000000"/>
      <w:sz w:val="18"/>
      <w:szCs w:val="18"/>
      <w:u w:val="none"/>
    </w:rPr>
  </w:style>
  <w:style w:type="paragraph" w:customStyle="1" w:styleId="36">
    <w:name w:val="正文-ls"/>
    <w:basedOn w:val="1"/>
    <w:qFormat/>
    <w:uiPriority w:val="0"/>
    <w:pPr>
      <w:spacing w:line="360" w:lineRule="auto"/>
      <w:ind w:firstLine="200" w:firstLineChars="200"/>
    </w:pPr>
    <w:rPr>
      <w:rFonts w:hAnsi="宋体" w:cs="宋体"/>
      <w:sz w:val="24"/>
      <w:szCs w:val="20"/>
    </w:rPr>
  </w:style>
  <w:style w:type="paragraph" w:customStyle="1" w:styleId="37">
    <w:name w:val="表头"/>
    <w:basedOn w:val="38"/>
    <w:next w:val="1"/>
    <w:qFormat/>
    <w:uiPriority w:val="1"/>
    <w:pPr>
      <w:adjustRightInd w:val="0"/>
      <w:snapToGrid w:val="0"/>
      <w:spacing w:before="312" w:beforeLines="100" w:after="312" w:afterLines="100"/>
      <w:jc w:val="center"/>
    </w:pPr>
    <w:rPr>
      <w:rFonts w:ascii="宋体" w:hAnsi="Times New Roman" w:eastAsia="宋体" w:cs="Times New Roman"/>
      <w:spacing w:val="10"/>
      <w:sz w:val="24"/>
      <w:lang w:val="en-US" w:eastAsia="zh-CN" w:bidi="ar-SA"/>
    </w:rPr>
  </w:style>
  <w:style w:type="paragraph" w:customStyle="1" w:styleId="38">
    <w:name w:val="报告正文"/>
    <w:basedOn w:val="1"/>
    <w:qFormat/>
    <w:uiPriority w:val="0"/>
    <w:pPr>
      <w:spacing w:line="360" w:lineRule="auto"/>
      <w:ind w:firstLine="536"/>
    </w:pPr>
    <w:rPr>
      <w:rFonts w:ascii="Calibri" w:hAnsi="Calibri" w:cs="Times New Roman"/>
      <w:spacing w:val="14"/>
      <w:kern w:val="2"/>
      <w:szCs w:val="20"/>
    </w:rPr>
  </w:style>
  <w:style w:type="character" w:customStyle="1" w:styleId="39">
    <w:name w:val="font51"/>
    <w:basedOn w:val="26"/>
    <w:qFormat/>
    <w:uiPriority w:val="0"/>
    <w:rPr>
      <w:rFonts w:hint="eastAsia" w:ascii="宋体" w:hAnsi="宋体" w:eastAsia="宋体" w:cs="宋体"/>
      <w:b/>
      <w:color w:val="000000"/>
      <w:sz w:val="16"/>
      <w:szCs w:val="16"/>
    </w:rPr>
  </w:style>
  <w:style w:type="paragraph" w:customStyle="1" w:styleId="40">
    <w:name w:val="5表文"/>
    <w:basedOn w:val="1"/>
    <w:qFormat/>
    <w:uiPriority w:val="0"/>
    <w:pPr>
      <w:jc w:val="center"/>
    </w:pPr>
  </w:style>
  <w:style w:type="character" w:customStyle="1" w:styleId="41">
    <w:name w:val="院表头单位 Char Char"/>
    <w:basedOn w:val="26"/>
    <w:link w:val="42"/>
    <w:qFormat/>
    <w:uiPriority w:val="0"/>
    <w:rPr>
      <w:rFonts w:ascii="宋体" w:eastAsia="黑体" w:cs="宋体"/>
      <w:szCs w:val="24"/>
    </w:rPr>
  </w:style>
  <w:style w:type="paragraph" w:customStyle="1" w:styleId="42">
    <w:name w:val="院表头单位"/>
    <w:basedOn w:val="1"/>
    <w:link w:val="41"/>
    <w:qFormat/>
    <w:uiPriority w:val="0"/>
    <w:pPr>
      <w:autoSpaceDE w:val="0"/>
      <w:autoSpaceDN w:val="0"/>
      <w:adjustRightInd w:val="0"/>
      <w:spacing w:line="360" w:lineRule="auto"/>
      <w:ind w:firstLine="200" w:firstLineChars="200"/>
      <w:jc w:val="left"/>
    </w:pPr>
    <w:rPr>
      <w:rFonts w:ascii="宋体" w:eastAsia="黑体" w:cs="宋体"/>
      <w:szCs w:val="24"/>
    </w:rPr>
  </w:style>
  <w:style w:type="paragraph" w:customStyle="1" w:styleId="43">
    <w:name w:val="表格标题"/>
    <w:basedOn w:val="44"/>
    <w:qFormat/>
    <w:uiPriority w:val="0"/>
    <w:pPr>
      <w:spacing w:line="240" w:lineRule="auto"/>
      <w:ind w:firstLine="0" w:firstLineChars="0"/>
      <w:jc w:val="center"/>
    </w:pPr>
    <w:rPr>
      <w:rFonts w:ascii="Times New Roman" w:hAnsi="Times New Roman" w:eastAsia="黑体"/>
      <w:b/>
      <w:sz w:val="21"/>
    </w:rPr>
  </w:style>
  <w:style w:type="paragraph" w:customStyle="1" w:styleId="44">
    <w:name w:val="大标题"/>
    <w:basedOn w:val="1"/>
    <w:qFormat/>
    <w:uiPriority w:val="0"/>
    <w:pPr>
      <w:jc w:val="center"/>
    </w:pPr>
    <w:rPr>
      <w:rFonts w:ascii="Calibri" w:hAnsi="Calibri"/>
      <w:sz w:val="44"/>
    </w:rPr>
  </w:style>
  <w:style w:type="paragraph" w:customStyle="1" w:styleId="45">
    <w:name w:val="表格"/>
    <w:basedOn w:val="43"/>
    <w:next w:val="20"/>
    <w:qFormat/>
    <w:uiPriority w:val="0"/>
    <w:pPr>
      <w:adjustRightInd w:val="0"/>
      <w:snapToGrid w:val="0"/>
      <w:spacing w:beforeLines="10" w:afterLines="10" w:line="259" w:lineRule="auto"/>
      <w:jc w:val="center"/>
    </w:pPr>
    <w:rPr>
      <w:rFonts w:ascii="宋体"/>
      <w:kern w:val="0"/>
      <w:szCs w:val="20"/>
    </w:rPr>
  </w:style>
  <w:style w:type="paragraph" w:styleId="46">
    <w:name w:val="List Paragraph"/>
    <w:basedOn w:val="1"/>
    <w:qFormat/>
    <w:uiPriority w:val="99"/>
    <w:pPr>
      <w:ind w:firstLine="420" w:firstLineChars="200"/>
    </w:pPr>
  </w:style>
  <w:style w:type="paragraph" w:customStyle="1" w:styleId="47">
    <w:name w:val="表题"/>
    <w:basedOn w:val="1"/>
    <w:qFormat/>
    <w:uiPriority w:val="0"/>
    <w:pPr>
      <w:tabs>
        <w:tab w:val="left" w:pos="0"/>
      </w:tabs>
      <w:spacing w:line="240" w:lineRule="auto"/>
      <w:ind w:firstLine="0" w:firstLineChars="0"/>
    </w:pPr>
    <w:rPr>
      <w:rFonts w:ascii="Times New Roman" w:hAnsi="Times New Roman"/>
      <w:b/>
      <w:sz w:val="21"/>
      <w:szCs w:val="21"/>
    </w:rPr>
  </w:style>
  <w:style w:type="paragraph" w:customStyle="1" w:styleId="48">
    <w:name w:val="1正文"/>
    <w:qFormat/>
    <w:uiPriority w:val="0"/>
    <w:pPr>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49">
    <w:name w:val="正文A"/>
    <w:basedOn w:val="50"/>
    <w:qFormat/>
    <w:uiPriority w:val="0"/>
    <w:rPr>
      <w:rFonts w:ascii="Times New Roman" w:hAnsi="Times New Roman" w:eastAsia="宋体"/>
    </w:rPr>
  </w:style>
  <w:style w:type="paragraph" w:customStyle="1" w:styleId="50">
    <w:name w:val="正文!!!!!!!!!!!"/>
    <w:basedOn w:val="51"/>
    <w:qFormat/>
    <w:uiPriority w:val="0"/>
    <w:pPr>
      <w:ind w:firstLine="480"/>
    </w:pPr>
    <w:rPr>
      <w:rFonts w:ascii="华文仿宋" w:hAnsi="华文仿宋" w:eastAsia="华文仿宋" w:cs="华文仿宋"/>
    </w:rPr>
  </w:style>
  <w:style w:type="paragraph" w:customStyle="1" w:styleId="51">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52">
    <w:name w:val="正文格式"/>
    <w:qFormat/>
    <w:uiPriority w:val="0"/>
    <w:pPr>
      <w:widowControl w:val="0"/>
      <w:spacing w:after="0" w:line="360" w:lineRule="auto"/>
      <w:ind w:firstLine="200" w:firstLineChars="200"/>
      <w:jc w:val="both"/>
    </w:pPr>
    <w:rPr>
      <w:rFonts w:ascii="宋体" w:hAnsi="Times New Roman" w:eastAsia="宋体" w:cs="Times New Roman"/>
      <w:kern w:val="2"/>
      <w:sz w:val="24"/>
      <w:szCs w:val="24"/>
      <w:lang w:val="en-US" w:eastAsia="zh-CN" w:bidi="ar-SA"/>
    </w:rPr>
  </w:style>
  <w:style w:type="paragraph" w:customStyle="1" w:styleId="53">
    <w:name w:val="表内字"/>
    <w:basedOn w:val="1"/>
    <w:qFormat/>
    <w:uiPriority w:val="0"/>
    <w:pPr>
      <w:jc w:val="center"/>
    </w:pPr>
    <w:rPr>
      <w:kern w:val="0"/>
      <w:szCs w:val="24"/>
    </w:rPr>
  </w:style>
  <w:style w:type="paragraph" w:customStyle="1" w:styleId="54">
    <w:name w:val="表格内"/>
    <w:basedOn w:val="1"/>
    <w:qFormat/>
    <w:uiPriority w:val="0"/>
    <w:pPr>
      <w:spacing w:line="360" w:lineRule="exact"/>
      <w:jc w:val="center"/>
    </w:pPr>
    <w:rPr>
      <w:snapToGrid w:val="0"/>
      <w:szCs w:val="21"/>
    </w:rPr>
  </w:style>
  <w:style w:type="paragraph" w:customStyle="1" w:styleId="55">
    <w:name w:val="我"/>
    <w:basedOn w:val="1"/>
    <w:qFormat/>
    <w:uiPriority w:val="0"/>
    <w:pPr>
      <w:ind w:firstLine="640"/>
    </w:pPr>
    <w:rPr>
      <w:kern w:val="0"/>
      <w:szCs w:val="20"/>
    </w:rPr>
  </w:style>
  <w:style w:type="paragraph" w:customStyle="1" w:styleId="56">
    <w:name w:val="Table Paragraph"/>
    <w:basedOn w:val="1"/>
    <w:qFormat/>
    <w:uiPriority w:val="1"/>
    <w:pPr>
      <w:autoSpaceDE w:val="0"/>
      <w:autoSpaceDN w:val="0"/>
      <w:spacing w:line="240" w:lineRule="auto"/>
      <w:jc w:val="center"/>
    </w:pPr>
    <w:rPr>
      <w:rFonts w:ascii="宋体" w:hAnsi="宋体" w:cs="宋体"/>
      <w:kern w:val="0"/>
      <w:sz w:val="22"/>
      <w:lang w:val="zh-CN" w:bidi="zh-CN"/>
    </w:rPr>
  </w:style>
  <w:style w:type="paragraph" w:customStyle="1" w:styleId="57">
    <w:name w:val="标题二A"/>
    <w:qFormat/>
    <w:uiPriority w:val="0"/>
    <w:pPr>
      <w:widowControl w:val="0"/>
      <w:spacing w:before="120" w:after="120" w:line="500" w:lineRule="exact"/>
      <w:jc w:val="both"/>
      <w:outlineLvl w:val="1"/>
    </w:pPr>
    <w:rPr>
      <w:rFonts w:ascii="Times New Roman" w:hAnsi="Times New Roman" w:eastAsia="宋体" w:cs="楷体_GB2312"/>
      <w:b/>
      <w:bCs/>
      <w:kern w:val="2"/>
      <w:sz w:val="30"/>
      <w:szCs w:val="30"/>
      <w:lang w:val="en-US" w:eastAsia="zh-CN" w:bidi="ar-SA"/>
    </w:rPr>
  </w:style>
  <w:style w:type="paragraph" w:customStyle="1" w:styleId="58">
    <w:name w:val="表头A"/>
    <w:basedOn w:val="37"/>
    <w:qFormat/>
    <w:uiPriority w:val="0"/>
    <w:pPr>
      <w:widowControl w:val="0"/>
      <w:spacing w:line="400" w:lineRule="exact"/>
      <w:jc w:val="center"/>
    </w:pPr>
    <w:rPr>
      <w:rFonts w:ascii="Times New Roman" w:hAnsi="Times New Roman" w:eastAsia="宋体" w:cs="Times New Roman"/>
      <w:b/>
      <w:kern w:val="2"/>
      <w:sz w:val="24"/>
      <w:szCs w:val="24"/>
      <w:lang w:val="en-US" w:eastAsia="zh-CN" w:bidi="ar-SA"/>
    </w:rPr>
  </w:style>
  <w:style w:type="paragraph" w:customStyle="1" w:styleId="59">
    <w:name w:val="标题三A"/>
    <w:basedOn w:val="6"/>
    <w:qFormat/>
    <w:uiPriority w:val="0"/>
    <w:pPr>
      <w:keepNext w:val="0"/>
      <w:keepLines w:val="0"/>
      <w:spacing w:before="0" w:after="0" w:line="500" w:lineRule="exact"/>
    </w:pPr>
    <w:rPr>
      <w:rFonts w:ascii="Times New Roman" w:hAnsi="Times New Roman"/>
      <w:sz w:val="28"/>
      <w:szCs w:val="28"/>
    </w:rPr>
  </w:style>
  <w:style w:type="paragraph" w:customStyle="1" w:styleId="60">
    <w:name w:val="Other|1"/>
    <w:basedOn w:val="1"/>
    <w:qFormat/>
    <w:uiPriority w:val="0"/>
    <w:pPr>
      <w:widowControl w:val="0"/>
      <w:shd w:val="clear" w:color="auto" w:fill="auto"/>
    </w:pPr>
    <w:rPr>
      <w:rFonts w:ascii="宋体" w:hAnsi="宋体" w:eastAsia="宋体" w:cs="宋体"/>
      <w:sz w:val="16"/>
      <w:szCs w:val="16"/>
      <w:u w:val="none"/>
      <w:shd w:val="clear" w:color="auto" w:fill="auto"/>
      <w:lang w:val="zh-TW" w:eastAsia="zh-TW" w:bidi="zh-TW"/>
    </w:rPr>
  </w:style>
  <w:style w:type="paragraph" w:customStyle="1" w:styleId="61">
    <w:name w:val="4刘群正文*"/>
    <w:basedOn w:val="1"/>
    <w:qFormat/>
    <w:uiPriority w:val="0"/>
    <w:pPr>
      <w:spacing w:line="520" w:lineRule="exact"/>
      <w:ind w:firstLine="480" w:firstLineChars="200"/>
    </w:pPr>
    <w:rPr>
      <w:rFonts w:hint="default"/>
      <w:sz w:val="24"/>
      <w:lang w:val="zh-CN"/>
    </w:rPr>
  </w:style>
  <w:style w:type="paragraph" w:customStyle="1" w:styleId="62">
    <w:name w:val="YJ正文*"/>
    <w:basedOn w:val="1"/>
    <w:qFormat/>
    <w:uiPriority w:val="0"/>
    <w:pPr>
      <w:spacing w:line="520" w:lineRule="exact"/>
      <w:ind w:firstLine="200" w:firstLineChars="200"/>
    </w:pPr>
    <w:rPr>
      <w:rFonts w:ascii="宋体" w:hAnsi="宋体"/>
      <w:sz w:val="24"/>
    </w:rPr>
  </w:style>
  <w:style w:type="paragraph" w:customStyle="1" w:styleId="63">
    <w:name w:val="表中字体"/>
    <w:basedOn w:val="8"/>
    <w:qFormat/>
    <w:uiPriority w:val="0"/>
    <w:pPr>
      <w:tabs>
        <w:tab w:val="left" w:pos="8176"/>
      </w:tabs>
      <w:spacing w:line="280" w:lineRule="exact"/>
      <w:ind w:firstLine="0" w:firstLineChars="0"/>
      <w:jc w:val="center"/>
    </w:pPr>
    <w:rPr>
      <w:rFonts w:hint="eastAsia" w:ascii="宋体" w:eastAsia="宋体"/>
    </w:rPr>
  </w:style>
  <w:style w:type="paragraph" w:customStyle="1" w:styleId="64">
    <w:name w:val="表格文字"/>
    <w:basedOn w:val="8"/>
    <w:qFormat/>
    <w:uiPriority w:val="0"/>
    <w:pPr>
      <w:tabs>
        <w:tab w:val="left" w:pos="5738"/>
        <w:tab w:val="left" w:pos="5902"/>
      </w:tabs>
      <w:autoSpaceDE w:val="0"/>
      <w:autoSpaceDN w:val="0"/>
      <w:adjustRightInd w:val="0"/>
      <w:snapToGrid w:val="0"/>
      <w:ind w:firstLine="0" w:firstLineChars="0"/>
      <w:jc w:val="center"/>
    </w:pPr>
    <w:rPr>
      <w:rFonts w:hint="eastAsia" w:ascii="宋体" w:hAnsi="Arial" w:eastAsia="宋体"/>
      <w:kern w:val="2"/>
      <w:sz w:val="21"/>
    </w:rPr>
  </w:style>
  <w:style w:type="paragraph" w:customStyle="1" w:styleId="65">
    <w:name w:val="中文报告书样式"/>
    <w:qFormat/>
    <w:uiPriority w:val="0"/>
    <w:pPr>
      <w:widowControl w:val="0"/>
      <w:adjustRightInd w:val="0"/>
      <w:spacing w:line="480" w:lineRule="atLeast"/>
      <w:ind w:firstLine="482"/>
      <w:jc w:val="both"/>
      <w:textAlignment w:val="baseline"/>
    </w:pPr>
    <w:rPr>
      <w:rFonts w:ascii="Times New Roman" w:hAnsi="Times New Roman" w:eastAsia="宋体" w:cs="Times New Roman"/>
      <w:kern w:val="24"/>
      <w:sz w:val="24"/>
      <w:szCs w:val="20"/>
      <w:lang w:val="en-US" w:eastAsia="zh-CN" w:bidi="ar-SA"/>
    </w:rPr>
  </w:style>
  <w:style w:type="paragraph" w:customStyle="1" w:styleId="66">
    <w:name w:val="表文6"/>
    <w:qFormat/>
    <w:uiPriority w:val="0"/>
    <w:pPr>
      <w:widowControl w:val="0"/>
      <w:spacing w:line="240" w:lineRule="auto"/>
      <w:ind w:firstLine="0" w:firstLineChars="0"/>
      <w:jc w:val="center"/>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8.pn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image" Target="media/image11.wmf"/><Relationship Id="rId25" Type="http://schemas.openxmlformats.org/officeDocument/2006/relationships/oleObject" Target="embeddings/oleObject5.bin"/><Relationship Id="rId24" Type="http://schemas.openxmlformats.org/officeDocument/2006/relationships/oleObject" Target="embeddings/oleObject4.bin"/><Relationship Id="rId23" Type="http://schemas.openxmlformats.org/officeDocument/2006/relationships/image" Target="media/image10.wmf"/><Relationship Id="rId22" Type="http://schemas.openxmlformats.org/officeDocument/2006/relationships/oleObject" Target="embeddings/oleObject3.bin"/><Relationship Id="rId21" Type="http://schemas.openxmlformats.org/officeDocument/2006/relationships/image" Target="media/image9.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1.bin"/><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152</Pages>
  <Words>87739</Words>
  <Characters>108957</Characters>
  <Lines>0</Lines>
  <Paragraphs>0</Paragraphs>
  <TotalTime>0</TotalTime>
  <ScaleCrop>false</ScaleCrop>
  <LinksUpToDate>false</LinksUpToDate>
  <CharactersWithSpaces>109797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2022-03-20T15:43:00Z</dcterms:created>
  <dc:creator>起风了</dc:creator>
  <cp:lastModifiedBy>起风了</cp:lastModifiedBy>
  <cp:lastPrinted>2022-06-07T10:08:00Z</cp:lastPrinted>
  <dcterms:modified xsi:type="dcterms:W3CDTF">2022-07-06T12:04:50Z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1F9FF7C5EA03423EA05823EB9A911A2A</vt:lpwstr>
  </property>
  <property fmtid="{D5CDD505-2E9C-101B-9397-08002B2CF9AE}" pid="4" name="commondata">
    <vt:lpwstr>eyJoZGlkIjoiZDQ2ZmU0YzI5NDQxMWM3OTJlNDJjZDYzYWQxNDBlOWQifQ==</vt:lpwstr>
  </property>
</Properties>
</file>