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adjustRightInd w:val="0"/>
        <w:snapToGrid w:val="0"/>
        <w:jc w:val="center"/>
        <w:outlineLvl w:val="0"/>
        <w:rPr>
          <w:rFonts w:ascii="方正小标宋_GBK" w:eastAsia="方正小标宋_GBK"/>
          <w:bCs/>
          <w:sz w:val="44"/>
          <w:szCs w:val="44"/>
        </w:rPr>
      </w:pPr>
      <w:r>
        <w:rPr>
          <w:rFonts w:hint="eastAsia" w:ascii="方正小标宋_GBK" w:eastAsia="方正小标宋_GBK"/>
          <w:bCs/>
          <w:sz w:val="44"/>
          <w:szCs w:val="44"/>
        </w:rPr>
        <w:t>建设项目环境影响报告表</w:t>
      </w:r>
    </w:p>
    <w:p>
      <w:pPr>
        <w:adjustRightInd w:val="0"/>
        <w:snapToGrid w:val="0"/>
        <w:spacing w:before="192" w:beforeLines="80"/>
        <w:jc w:val="center"/>
        <w:rPr>
          <w:rFonts w:ascii="楷体_GB2312" w:eastAsia="楷体_GB2312"/>
          <w:bCs/>
          <w:sz w:val="44"/>
          <w:szCs w:val="44"/>
        </w:rPr>
      </w:pPr>
      <w:r>
        <w:rPr>
          <w:rFonts w:hint="eastAsia" w:ascii="楷体_GB2312" w:eastAsia="楷体_GB2312"/>
          <w:bCs/>
          <w:sz w:val="44"/>
          <w:szCs w:val="44"/>
        </w:rPr>
        <w:t>（污染影响类）</w:t>
      </w:r>
    </w:p>
    <w:p>
      <w:pPr>
        <w:adjustRightInd w:val="0"/>
        <w:snapToGrid w:val="0"/>
        <w:spacing w:before="192" w:beforeLines="80"/>
        <w:jc w:val="center"/>
        <w:rPr>
          <w:rFonts w:ascii="楷体_GB2312" w:eastAsia="楷体_GB2312"/>
          <w:bCs/>
          <w:sz w:val="44"/>
          <w:szCs w:val="44"/>
        </w:rPr>
      </w:pPr>
      <w:r>
        <w:rPr>
          <w:rFonts w:hint="eastAsia" w:ascii="楷体_GB2312" w:eastAsia="楷体_GB2312"/>
          <w:bCs/>
          <w:sz w:val="44"/>
          <w:szCs w:val="44"/>
        </w:rPr>
        <w:t>（</w:t>
      </w:r>
      <w:r>
        <w:rPr>
          <w:rFonts w:hint="eastAsia" w:ascii="楷体_GB2312" w:eastAsia="楷体_GB2312"/>
          <w:bCs/>
          <w:sz w:val="44"/>
          <w:szCs w:val="44"/>
          <w:lang w:val="en-US" w:eastAsia="zh-CN"/>
        </w:rPr>
        <w:t>报批稿</w:t>
      </w:r>
      <w:r>
        <w:rPr>
          <w:rFonts w:hint="eastAsia" w:ascii="楷体_GB2312" w:eastAsia="楷体_GB2312"/>
          <w:bCs/>
          <w:sz w:val="44"/>
          <w:szCs w:val="44"/>
        </w:rPr>
        <w:t>）</w:t>
      </w:r>
    </w:p>
    <w:p>
      <w:pPr>
        <w:adjustRightInd w:val="0"/>
        <w:snapToGrid w:val="0"/>
        <w:spacing w:line="288" w:lineRule="auto"/>
        <w:jc w:val="center"/>
        <w:outlineLvl w:val="0"/>
        <w:rPr>
          <w:rFonts w:ascii="华文仿宋" w:hAnsi="华文仿宋" w:eastAsia="华文仿宋" w:cs="华文仿宋"/>
          <w:kern w:val="44"/>
          <w:sz w:val="44"/>
          <w:szCs w:val="44"/>
        </w:rPr>
      </w:pP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spacing w:line="288" w:lineRule="auto"/>
        <w:ind w:left="2997" w:leftChars="513" w:hanging="1920" w:hangingChars="600"/>
        <w:rPr>
          <w:rFonts w:ascii="仿宋_GB2312" w:eastAsia="仿宋_GB2312"/>
          <w:sz w:val="32"/>
          <w:szCs w:val="32"/>
          <w:u w:val="single"/>
        </w:rPr>
      </w:pPr>
      <w:r>
        <w:rPr>
          <w:rFonts w:hint="eastAsia" w:ascii="仿宋_GB2312" w:eastAsia="仿宋_GB2312"/>
          <w:sz w:val="32"/>
          <w:szCs w:val="32"/>
        </w:rPr>
        <w:t>项目名称：</w:t>
      </w:r>
      <w:r>
        <w:rPr>
          <w:rFonts w:hint="eastAsia" w:ascii="仿宋_GB2312" w:eastAsia="仿宋_GB2312"/>
          <w:sz w:val="32"/>
          <w:szCs w:val="32"/>
          <w:u w:val="single"/>
        </w:rPr>
        <w:t xml:space="preserve">新疆墙冠建材有限公司年加工复合模板60万平米建设项目 </w:t>
      </w:r>
      <w:r>
        <w:rPr>
          <w:rFonts w:ascii="仿宋_GB2312" w:eastAsia="仿宋_GB2312"/>
          <w:sz w:val="32"/>
          <w:szCs w:val="32"/>
          <w:u w:val="single"/>
        </w:rPr>
        <w:t xml:space="preserve">   </w:t>
      </w:r>
      <w:r>
        <w:rPr>
          <w:rFonts w:hint="eastAsia" w:ascii="仿宋_GB2312" w:eastAsia="仿宋_GB2312"/>
          <w:sz w:val="32"/>
          <w:szCs w:val="32"/>
          <w:u w:val="single"/>
        </w:rPr>
        <w:t xml:space="preserve">    </w:t>
      </w:r>
      <w:r>
        <w:rPr>
          <w:rFonts w:hint="eastAsia" w:ascii="仿宋_GB2312" w:eastAsia="仿宋_GB2312"/>
          <w:sz w:val="32"/>
          <w:szCs w:val="32"/>
          <w:u w:val="single"/>
          <w:lang w:val="en-US" w:eastAsia="zh-CN"/>
        </w:rPr>
        <w:t xml:space="preserve">             </w:t>
      </w:r>
      <w:r>
        <w:rPr>
          <w:rFonts w:hint="eastAsia" w:ascii="仿宋_GB2312" w:eastAsia="仿宋_GB2312"/>
          <w:sz w:val="32"/>
          <w:szCs w:val="32"/>
          <w:u w:val="single"/>
        </w:rPr>
        <w:t xml:space="preserve">   </w:t>
      </w:r>
    </w:p>
    <w:p>
      <w:pPr>
        <w:adjustRightInd w:val="0"/>
        <w:snapToGrid w:val="0"/>
        <w:spacing w:line="288" w:lineRule="auto"/>
        <w:ind w:firstLine="1040"/>
        <w:rPr>
          <w:rFonts w:ascii="仿宋_GB2312" w:eastAsia="仿宋_GB2312"/>
          <w:sz w:val="32"/>
          <w:szCs w:val="32"/>
          <w:u w:val="single"/>
        </w:rPr>
      </w:pPr>
      <w:r>
        <w:rPr>
          <w:rFonts w:hint="eastAsia" w:ascii="仿宋_GB2312" w:eastAsia="仿宋_GB2312"/>
          <w:sz w:val="32"/>
          <w:szCs w:val="32"/>
        </w:rPr>
        <w:t>建设单位（盖章）：</w:t>
      </w:r>
      <w:r>
        <w:rPr>
          <w:rFonts w:hint="eastAsia" w:ascii="仿宋_GB2312" w:eastAsia="仿宋_GB2312"/>
          <w:sz w:val="32"/>
          <w:szCs w:val="32"/>
          <w:u w:val="single"/>
          <w:lang w:val="en-US" w:eastAsia="zh-CN"/>
        </w:rPr>
        <w:t>新疆墙冠建材有限公司</w:t>
      </w:r>
      <w:r>
        <w:rPr>
          <w:rFonts w:hint="eastAsia" w:ascii="仿宋_GB2312" w:eastAsia="仿宋_GB2312"/>
          <w:sz w:val="32"/>
          <w:szCs w:val="32"/>
          <w:u w:val="single"/>
        </w:rPr>
        <w:t xml:space="preserve">  </w:t>
      </w:r>
      <w:r>
        <w:rPr>
          <w:rFonts w:hint="eastAsia" w:ascii="仿宋_GB2312" w:eastAsia="仿宋_GB2312"/>
          <w:sz w:val="32"/>
          <w:szCs w:val="32"/>
          <w:u w:val="single"/>
          <w:lang w:val="en-US" w:eastAsia="zh-CN"/>
        </w:rPr>
        <w:t xml:space="preserve">       </w:t>
      </w:r>
      <w:r>
        <w:rPr>
          <w:rFonts w:hint="eastAsia" w:ascii="仿宋_GB2312" w:eastAsia="仿宋_GB2312"/>
          <w:sz w:val="32"/>
          <w:szCs w:val="32"/>
          <w:u w:val="single"/>
        </w:rPr>
        <w:t xml:space="preserve"> </w:t>
      </w:r>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2"/>
          <w:szCs w:val="32"/>
        </w:rPr>
        <w:t>编制日期：</w:t>
      </w:r>
      <w:r>
        <w:rPr>
          <w:rFonts w:hint="eastAsia" w:ascii="仿宋_GB2312" w:eastAsia="仿宋_GB2312"/>
          <w:sz w:val="32"/>
          <w:szCs w:val="32"/>
          <w:u w:val="single"/>
        </w:rPr>
        <w:t xml:space="preserve">          202</w:t>
      </w:r>
      <w:r>
        <w:rPr>
          <w:rFonts w:hint="eastAsia" w:ascii="仿宋_GB2312" w:eastAsia="仿宋_GB2312"/>
          <w:sz w:val="32"/>
          <w:szCs w:val="32"/>
          <w:u w:val="single"/>
          <w:lang w:val="en-US" w:eastAsia="zh-CN"/>
        </w:rPr>
        <w:t>2</w:t>
      </w:r>
      <w:r>
        <w:rPr>
          <w:rFonts w:hint="eastAsia" w:ascii="仿宋_GB2312" w:eastAsia="仿宋_GB2312"/>
          <w:sz w:val="32"/>
          <w:szCs w:val="32"/>
          <w:u w:val="single"/>
        </w:rPr>
        <w:t>年</w:t>
      </w:r>
      <w:r>
        <w:rPr>
          <w:rFonts w:hint="eastAsia" w:ascii="仿宋_GB2312" w:eastAsia="仿宋_GB2312"/>
          <w:sz w:val="32"/>
          <w:szCs w:val="32"/>
          <w:u w:val="single"/>
          <w:lang w:val="en-US" w:eastAsia="zh-CN"/>
        </w:rPr>
        <w:t>7</w:t>
      </w:r>
      <w:r>
        <w:rPr>
          <w:rFonts w:hint="eastAsia" w:ascii="仿宋_GB2312" w:eastAsia="仿宋_GB2312"/>
          <w:sz w:val="32"/>
          <w:szCs w:val="32"/>
          <w:u w:val="single"/>
        </w:rPr>
        <w:t>月</w:t>
      </w:r>
      <w:r>
        <w:rPr>
          <w:rFonts w:ascii="仿宋_GB2312" w:eastAsia="仿宋_GB2312"/>
          <w:sz w:val="32"/>
          <w:szCs w:val="32"/>
          <w:u w:val="single"/>
        </w:rPr>
        <w:t xml:space="preserve">                  </w:t>
      </w:r>
    </w:p>
    <w:p>
      <w:pPr>
        <w:adjustRightInd w:val="0"/>
        <w:snapToGrid w:val="0"/>
        <w:spacing w:line="288" w:lineRule="auto"/>
        <w:ind w:firstLine="1040"/>
        <w:rPr>
          <w:rFonts w:ascii="仿宋_GB2312" w:eastAsia="仿宋_GB2312"/>
          <w:sz w:val="36"/>
          <w:szCs w:val="36"/>
          <w:u w:val="single"/>
        </w:rPr>
      </w:pPr>
      <w:bookmarkStart w:id="0" w:name="_Hlk57884087"/>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bookmarkEnd w:id="0"/>
    <w:p>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6"/>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drawing>
          <wp:inline distT="0" distB="0" distL="114300" distR="114300">
            <wp:extent cx="5495925" cy="7639050"/>
            <wp:effectExtent l="0" t="0" r="9525" b="0"/>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10"/>
                    <a:stretch>
                      <a:fillRect/>
                    </a:stretch>
                  </pic:blipFill>
                  <pic:spPr>
                    <a:xfrm>
                      <a:off x="0" y="0"/>
                      <a:ext cx="5495925" cy="7639050"/>
                    </a:xfrm>
                    <a:prstGeom prst="rect">
                      <a:avLst/>
                    </a:prstGeom>
                    <a:noFill/>
                    <a:ln>
                      <a:noFill/>
                    </a:ln>
                  </pic:spPr>
                </pic:pic>
              </a:graphicData>
            </a:graphic>
          </wp:inline>
        </w:drawing>
      </w:r>
    </w:p>
    <w:tbl>
      <w:tblPr>
        <w:tblStyle w:val="31"/>
        <w:tblW w:w="0" w:type="auto"/>
        <w:jc w:val="center"/>
        <w:tblLayout w:type="fixed"/>
        <w:tblCellMar>
          <w:top w:w="0" w:type="dxa"/>
          <w:left w:w="108" w:type="dxa"/>
          <w:bottom w:w="0" w:type="dxa"/>
          <w:right w:w="108" w:type="dxa"/>
        </w:tblCellMar>
      </w:tblPr>
      <w:tblGrid>
        <w:gridCol w:w="4535"/>
        <w:gridCol w:w="4535"/>
      </w:tblGrid>
      <w:tr>
        <w:tblPrEx>
          <w:tblCellMar>
            <w:top w:w="0" w:type="dxa"/>
            <w:left w:w="108" w:type="dxa"/>
            <w:bottom w:w="0" w:type="dxa"/>
            <w:right w:w="108" w:type="dxa"/>
          </w:tblCellMar>
        </w:tblPrEx>
        <w:trPr>
          <w:jc w:val="center"/>
        </w:trPr>
        <w:tc>
          <w:tcPr>
            <w:tcW w:w="4535" w:type="dxa"/>
          </w:tcPr>
          <w:p>
            <w:pPr>
              <w:rPr>
                <w:rFonts w:hint="eastAsia" w:eastAsia="宋体"/>
                <w:lang w:eastAsia="zh-CN"/>
              </w:rPr>
            </w:pPr>
            <w:r>
              <w:rPr>
                <w:rFonts w:hint="eastAsia" w:eastAsia="宋体"/>
                <w:lang w:eastAsia="zh-CN"/>
              </w:rPr>
              <w:drawing>
                <wp:inline distT="0" distB="0" distL="114300" distR="114300">
                  <wp:extent cx="2729865" cy="2045335"/>
                  <wp:effectExtent l="0" t="0" r="13335" b="12065"/>
                  <wp:docPr id="11" name="图片 11" descr="微信图片_2022052712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20527122330"/>
                          <pic:cNvPicPr>
                            <a:picLocks noChangeAspect="1"/>
                          </pic:cNvPicPr>
                        </pic:nvPicPr>
                        <pic:blipFill>
                          <a:blip r:embed="rId11"/>
                          <a:stretch>
                            <a:fillRect/>
                          </a:stretch>
                        </pic:blipFill>
                        <pic:spPr>
                          <a:xfrm>
                            <a:off x="0" y="0"/>
                            <a:ext cx="2729865" cy="2045335"/>
                          </a:xfrm>
                          <a:prstGeom prst="rect">
                            <a:avLst/>
                          </a:prstGeom>
                        </pic:spPr>
                      </pic:pic>
                    </a:graphicData>
                  </a:graphic>
                </wp:inline>
              </w:drawing>
            </w:r>
          </w:p>
        </w:tc>
        <w:tc>
          <w:tcPr>
            <w:tcW w:w="4535" w:type="dxa"/>
          </w:tcPr>
          <w:p>
            <w:pPr>
              <w:rPr>
                <w:rFonts w:hint="eastAsia" w:eastAsia="宋体"/>
                <w:lang w:eastAsia="zh-CN"/>
              </w:rPr>
            </w:pPr>
            <w:r>
              <w:rPr>
                <w:rFonts w:hint="eastAsia" w:eastAsia="宋体"/>
                <w:lang w:eastAsia="zh-CN"/>
              </w:rPr>
              <w:drawing>
                <wp:inline distT="0" distB="0" distL="114300" distR="114300">
                  <wp:extent cx="2729865" cy="2045335"/>
                  <wp:effectExtent l="0" t="0" r="13335" b="12065"/>
                  <wp:docPr id="30" name="图片 30" descr="微信图片_2022052712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图片_20220527122324"/>
                          <pic:cNvPicPr>
                            <a:picLocks noChangeAspect="1"/>
                          </pic:cNvPicPr>
                        </pic:nvPicPr>
                        <pic:blipFill>
                          <a:blip r:embed="rId12"/>
                          <a:stretch>
                            <a:fillRect/>
                          </a:stretch>
                        </pic:blipFill>
                        <pic:spPr>
                          <a:xfrm>
                            <a:off x="0" y="0"/>
                            <a:ext cx="2729865" cy="2045335"/>
                          </a:xfrm>
                          <a:prstGeom prst="rect">
                            <a:avLst/>
                          </a:prstGeom>
                        </pic:spPr>
                      </pic:pic>
                    </a:graphicData>
                  </a:graphic>
                </wp:inline>
              </w:drawing>
            </w:r>
          </w:p>
        </w:tc>
      </w:tr>
      <w:tr>
        <w:tblPrEx>
          <w:tblCellMar>
            <w:top w:w="0" w:type="dxa"/>
            <w:left w:w="108" w:type="dxa"/>
            <w:bottom w:w="0" w:type="dxa"/>
            <w:right w:w="108" w:type="dxa"/>
          </w:tblCellMar>
        </w:tblPrEx>
        <w:trPr>
          <w:trHeight w:val="459" w:hRule="atLeast"/>
          <w:jc w:val="center"/>
        </w:trPr>
        <w:tc>
          <w:tcPr>
            <w:tcW w:w="4535" w:type="dxa"/>
          </w:tcPr>
          <w:p>
            <w:pPr>
              <w:jc w:val="center"/>
              <w:rPr>
                <w:rFonts w:hint="default" w:eastAsia="宋体"/>
                <w:sz w:val="24"/>
                <w:lang w:val="en-US" w:eastAsia="zh-CN"/>
              </w:rPr>
            </w:pPr>
            <w:r>
              <w:rPr>
                <w:rFonts w:hint="eastAsia"/>
                <w:sz w:val="24"/>
              </w:rPr>
              <w:t>项目区东侧</w:t>
            </w:r>
            <w:r>
              <w:rPr>
                <w:rFonts w:hint="eastAsia"/>
                <w:sz w:val="24"/>
                <w:lang w:val="en-US" w:eastAsia="zh-CN"/>
              </w:rPr>
              <w:t>园区道路</w:t>
            </w:r>
          </w:p>
        </w:tc>
        <w:tc>
          <w:tcPr>
            <w:tcW w:w="4535" w:type="dxa"/>
          </w:tcPr>
          <w:p>
            <w:pPr>
              <w:jc w:val="center"/>
              <w:rPr>
                <w:rFonts w:hint="default" w:eastAsia="宋体"/>
                <w:sz w:val="24"/>
                <w:lang w:val="en-US" w:eastAsia="zh-CN"/>
              </w:rPr>
            </w:pPr>
            <w:r>
              <w:rPr>
                <w:rFonts w:hint="eastAsia"/>
                <w:sz w:val="24"/>
              </w:rPr>
              <w:t>项目区</w:t>
            </w:r>
            <w:r>
              <w:rPr>
                <w:rFonts w:hint="eastAsia"/>
                <w:sz w:val="24"/>
                <w:lang w:val="en-US" w:eastAsia="zh-CN"/>
              </w:rPr>
              <w:t>南侧吉成仓储设备制造有限公司</w:t>
            </w:r>
          </w:p>
        </w:tc>
      </w:tr>
      <w:tr>
        <w:trPr>
          <w:jc w:val="center"/>
        </w:trPr>
        <w:tc>
          <w:tcPr>
            <w:tcW w:w="4535" w:type="dxa"/>
          </w:tcPr>
          <w:p>
            <w:pPr>
              <w:rPr>
                <w:rFonts w:hint="eastAsia" w:eastAsia="宋体"/>
                <w:lang w:eastAsia="zh-CN"/>
              </w:rPr>
            </w:pPr>
            <w:r>
              <w:rPr>
                <w:rFonts w:hint="eastAsia" w:eastAsia="宋体"/>
                <w:lang w:eastAsia="zh-CN"/>
              </w:rPr>
              <w:drawing>
                <wp:inline distT="0" distB="0" distL="114300" distR="114300">
                  <wp:extent cx="2729865" cy="2045335"/>
                  <wp:effectExtent l="0" t="0" r="13335" b="12065"/>
                  <wp:docPr id="33" name="图片 33" descr="微信图片_2022052712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图片_20220527122320"/>
                          <pic:cNvPicPr>
                            <a:picLocks noChangeAspect="1"/>
                          </pic:cNvPicPr>
                        </pic:nvPicPr>
                        <pic:blipFill>
                          <a:blip r:embed="rId13"/>
                          <a:stretch>
                            <a:fillRect/>
                          </a:stretch>
                        </pic:blipFill>
                        <pic:spPr>
                          <a:xfrm>
                            <a:off x="0" y="0"/>
                            <a:ext cx="2729865" cy="2045335"/>
                          </a:xfrm>
                          <a:prstGeom prst="rect">
                            <a:avLst/>
                          </a:prstGeom>
                        </pic:spPr>
                      </pic:pic>
                    </a:graphicData>
                  </a:graphic>
                </wp:inline>
              </w:drawing>
            </w:r>
          </w:p>
        </w:tc>
        <w:tc>
          <w:tcPr>
            <w:tcW w:w="4535" w:type="dxa"/>
          </w:tcPr>
          <w:p>
            <w:pPr>
              <w:rPr>
                <w:rFonts w:hint="eastAsia" w:eastAsia="宋体"/>
                <w:lang w:eastAsia="zh-CN"/>
              </w:rPr>
            </w:pPr>
            <w:r>
              <w:rPr>
                <w:rFonts w:hint="eastAsia" w:eastAsia="宋体"/>
                <w:lang w:eastAsia="zh-CN"/>
              </w:rPr>
              <w:drawing>
                <wp:inline distT="0" distB="0" distL="114300" distR="114300">
                  <wp:extent cx="2729865" cy="2045335"/>
                  <wp:effectExtent l="0" t="0" r="13335" b="12065"/>
                  <wp:docPr id="39" name="图片 39" descr="微信图片_2022052712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20527122225"/>
                          <pic:cNvPicPr>
                            <a:picLocks noChangeAspect="1"/>
                          </pic:cNvPicPr>
                        </pic:nvPicPr>
                        <pic:blipFill>
                          <a:blip r:embed="rId14"/>
                          <a:stretch>
                            <a:fillRect/>
                          </a:stretch>
                        </pic:blipFill>
                        <pic:spPr>
                          <a:xfrm>
                            <a:off x="0" y="0"/>
                            <a:ext cx="2729865" cy="2045335"/>
                          </a:xfrm>
                          <a:prstGeom prst="rect">
                            <a:avLst/>
                          </a:prstGeom>
                        </pic:spPr>
                      </pic:pic>
                    </a:graphicData>
                  </a:graphic>
                </wp:inline>
              </w:drawing>
            </w:r>
          </w:p>
        </w:tc>
      </w:tr>
      <w:tr>
        <w:tblPrEx>
          <w:tblCellMar>
            <w:top w:w="0" w:type="dxa"/>
            <w:left w:w="108" w:type="dxa"/>
            <w:bottom w:w="0" w:type="dxa"/>
            <w:right w:w="108" w:type="dxa"/>
          </w:tblCellMar>
        </w:tblPrEx>
        <w:trPr>
          <w:trHeight w:val="455" w:hRule="atLeast"/>
          <w:jc w:val="center"/>
        </w:trPr>
        <w:tc>
          <w:tcPr>
            <w:tcW w:w="4535" w:type="dxa"/>
          </w:tcPr>
          <w:p>
            <w:pPr>
              <w:jc w:val="center"/>
              <w:rPr>
                <w:rFonts w:hint="default" w:eastAsia="宋体"/>
                <w:b/>
                <w:sz w:val="24"/>
                <w:lang w:val="en-US" w:eastAsia="zh-CN"/>
              </w:rPr>
            </w:pPr>
            <w:r>
              <w:rPr>
                <w:rFonts w:hint="eastAsia"/>
                <w:sz w:val="24"/>
              </w:rPr>
              <w:t>项目区西侧</w:t>
            </w:r>
            <w:r>
              <w:rPr>
                <w:rFonts w:hint="eastAsia"/>
                <w:sz w:val="24"/>
                <w:lang w:val="en-US" w:eastAsia="zh-CN"/>
              </w:rPr>
              <w:t>新疆三维包装有限公司</w:t>
            </w:r>
          </w:p>
        </w:tc>
        <w:tc>
          <w:tcPr>
            <w:tcW w:w="4535" w:type="dxa"/>
          </w:tcPr>
          <w:p>
            <w:pPr>
              <w:jc w:val="center"/>
              <w:rPr>
                <w:rFonts w:hint="eastAsia" w:eastAsia="宋体"/>
                <w:sz w:val="24"/>
                <w:lang w:val="en-US" w:eastAsia="zh-CN"/>
              </w:rPr>
            </w:pPr>
            <w:r>
              <w:rPr>
                <w:rFonts w:hint="eastAsia"/>
                <w:sz w:val="24"/>
              </w:rPr>
              <w:t>项目区北侧</w:t>
            </w:r>
            <w:r>
              <w:rPr>
                <w:rFonts w:hint="eastAsia"/>
                <w:sz w:val="24"/>
                <w:lang w:val="en-US" w:eastAsia="zh-CN"/>
              </w:rPr>
              <w:t>闲置厂房</w:t>
            </w:r>
          </w:p>
        </w:tc>
      </w:tr>
      <w:tr>
        <w:tblPrEx>
          <w:tblCellMar>
            <w:top w:w="0" w:type="dxa"/>
            <w:left w:w="108" w:type="dxa"/>
            <w:bottom w:w="0" w:type="dxa"/>
            <w:right w:w="108" w:type="dxa"/>
          </w:tblCellMar>
        </w:tblPrEx>
        <w:trPr>
          <w:jc w:val="center"/>
        </w:trPr>
        <w:tc>
          <w:tcPr>
            <w:tcW w:w="4535" w:type="dxa"/>
          </w:tcPr>
          <w:p>
            <w:pPr>
              <w:rPr>
                <w:rFonts w:hint="eastAsia" w:eastAsia="宋体"/>
                <w:lang w:eastAsia="zh-CN"/>
              </w:rPr>
            </w:pPr>
            <w:r>
              <w:rPr>
                <w:rFonts w:hint="eastAsia" w:eastAsia="宋体"/>
                <w:lang w:eastAsia="zh-CN"/>
              </w:rPr>
              <w:drawing>
                <wp:inline distT="0" distB="0" distL="114300" distR="114300">
                  <wp:extent cx="2729865" cy="2045335"/>
                  <wp:effectExtent l="0" t="0" r="13335" b="12065"/>
                  <wp:docPr id="51" name="图片 51" descr="微信图片_2022052712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微信图片_20220527122250"/>
                          <pic:cNvPicPr>
                            <a:picLocks noChangeAspect="1"/>
                          </pic:cNvPicPr>
                        </pic:nvPicPr>
                        <pic:blipFill>
                          <a:blip r:embed="rId15"/>
                          <a:stretch>
                            <a:fillRect/>
                          </a:stretch>
                        </pic:blipFill>
                        <pic:spPr>
                          <a:xfrm>
                            <a:off x="0" y="0"/>
                            <a:ext cx="2729865" cy="2045335"/>
                          </a:xfrm>
                          <a:prstGeom prst="rect">
                            <a:avLst/>
                          </a:prstGeom>
                        </pic:spPr>
                      </pic:pic>
                    </a:graphicData>
                  </a:graphic>
                </wp:inline>
              </w:drawing>
            </w:r>
          </w:p>
        </w:tc>
        <w:tc>
          <w:tcPr>
            <w:tcW w:w="4535" w:type="dxa"/>
          </w:tcPr>
          <w:p>
            <w:pPr>
              <w:rPr>
                <w:rFonts w:hint="eastAsia" w:eastAsia="宋体"/>
                <w:lang w:eastAsia="zh-CN"/>
              </w:rPr>
            </w:pPr>
            <w:r>
              <w:rPr>
                <w:rFonts w:hint="eastAsia" w:eastAsia="宋体"/>
                <w:lang w:eastAsia="zh-CN"/>
              </w:rPr>
              <w:drawing>
                <wp:inline distT="0" distB="0" distL="114300" distR="114300">
                  <wp:extent cx="2729865" cy="2045335"/>
                  <wp:effectExtent l="0" t="0" r="13335" b="12065"/>
                  <wp:docPr id="53" name="图片 53" descr="微信图片_2022052712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微信图片_20220527122300"/>
                          <pic:cNvPicPr>
                            <a:picLocks noChangeAspect="1"/>
                          </pic:cNvPicPr>
                        </pic:nvPicPr>
                        <pic:blipFill>
                          <a:blip r:embed="rId16"/>
                          <a:stretch>
                            <a:fillRect/>
                          </a:stretch>
                        </pic:blipFill>
                        <pic:spPr>
                          <a:xfrm>
                            <a:off x="0" y="0"/>
                            <a:ext cx="2729865" cy="2045335"/>
                          </a:xfrm>
                          <a:prstGeom prst="rect">
                            <a:avLst/>
                          </a:prstGeom>
                        </pic:spPr>
                      </pic:pic>
                    </a:graphicData>
                  </a:graphic>
                </wp:inline>
              </w:drawing>
            </w:r>
          </w:p>
        </w:tc>
      </w:tr>
      <w:tr>
        <w:tblPrEx>
          <w:tblCellMar>
            <w:top w:w="0" w:type="dxa"/>
            <w:left w:w="108" w:type="dxa"/>
            <w:bottom w:w="0" w:type="dxa"/>
            <w:right w:w="108" w:type="dxa"/>
          </w:tblCellMar>
        </w:tblPrEx>
        <w:trPr>
          <w:trHeight w:val="267" w:hRule="atLeast"/>
          <w:jc w:val="center"/>
        </w:trPr>
        <w:tc>
          <w:tcPr>
            <w:tcW w:w="4535" w:type="dxa"/>
          </w:tcPr>
          <w:p>
            <w:pPr>
              <w:jc w:val="center"/>
              <w:rPr>
                <w:sz w:val="24"/>
              </w:rPr>
            </w:pPr>
            <w:r>
              <w:rPr>
                <w:rFonts w:hint="eastAsia"/>
                <w:sz w:val="24"/>
              </w:rPr>
              <w:t>厂区现状（1）</w:t>
            </w:r>
          </w:p>
        </w:tc>
        <w:tc>
          <w:tcPr>
            <w:tcW w:w="4535" w:type="dxa"/>
          </w:tcPr>
          <w:p>
            <w:pPr>
              <w:ind w:firstLine="1440" w:firstLineChars="600"/>
              <w:rPr>
                <w:b/>
                <w:sz w:val="28"/>
                <w:szCs w:val="28"/>
              </w:rPr>
            </w:pPr>
            <w:r>
              <w:rPr>
                <w:rFonts w:hint="eastAsia"/>
                <w:sz w:val="24"/>
              </w:rPr>
              <w:t>厂区现状（2）</w:t>
            </w:r>
          </w:p>
        </w:tc>
      </w:tr>
    </w:tbl>
    <w:p>
      <w:pPr>
        <w:pStyle w:val="79"/>
        <w:ind w:firstLine="562"/>
        <w:jc w:val="center"/>
        <w:rPr>
          <w:rFonts w:eastAsia="宋体"/>
          <w:b/>
          <w:bCs/>
        </w:rPr>
      </w:pPr>
    </w:p>
    <w:p>
      <w:pPr>
        <w:pStyle w:val="79"/>
        <w:ind w:firstLine="562"/>
        <w:jc w:val="center"/>
        <w:rPr>
          <w:rFonts w:eastAsia="宋体"/>
          <w:b/>
          <w:bCs/>
        </w:rPr>
      </w:pPr>
      <w:r>
        <w:rPr>
          <w:rFonts w:hint="eastAsia" w:eastAsia="宋体"/>
          <w:b/>
          <w:bCs/>
        </w:rPr>
        <w:t>现场勘查照片</w:t>
      </w:r>
    </w:p>
    <w:p>
      <w:pPr>
        <w:pStyle w:val="30"/>
        <w:ind w:firstLine="480"/>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26"/>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31"/>
        <w:tblW w:w="899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281"/>
        <w:gridCol w:w="2139"/>
        <w:gridCol w:w="1811"/>
        <w:gridCol w:w="27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建设项目名称</w:t>
            </w:r>
          </w:p>
        </w:tc>
        <w:tc>
          <w:tcPr>
            <w:tcW w:w="6718" w:type="dxa"/>
            <w:gridSpan w:val="3"/>
            <w:vAlign w:val="center"/>
          </w:tcPr>
          <w:p>
            <w:pPr>
              <w:adjustRightInd w:val="0"/>
              <w:snapToGrid w:val="0"/>
              <w:jc w:val="center"/>
              <w:rPr>
                <w:sz w:val="24"/>
              </w:rPr>
            </w:pPr>
            <w:r>
              <w:rPr>
                <w:rFonts w:hint="eastAsia"/>
                <w:sz w:val="24"/>
              </w:rPr>
              <w:t>新疆墙冠建材有限公司年加工复合模板60万平米建设项目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项目代码</w:t>
            </w:r>
          </w:p>
        </w:tc>
        <w:tc>
          <w:tcPr>
            <w:tcW w:w="6718" w:type="dxa"/>
            <w:gridSpan w:val="3"/>
            <w:vAlign w:val="center"/>
          </w:tcPr>
          <w:p>
            <w:pPr>
              <w:adjustRightInd w:val="0"/>
              <w:snapToGrid w:val="0"/>
              <w:jc w:val="center"/>
              <w:rPr>
                <w:sz w:val="24"/>
              </w:rPr>
            </w:pPr>
            <w:r>
              <w:rPr>
                <w:rFonts w:hint="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建设单位联系人</w:t>
            </w:r>
          </w:p>
        </w:tc>
        <w:tc>
          <w:tcPr>
            <w:tcW w:w="2139" w:type="dxa"/>
            <w:vAlign w:val="center"/>
          </w:tcPr>
          <w:p>
            <w:pPr>
              <w:adjustRightInd w:val="0"/>
              <w:snapToGrid w:val="0"/>
              <w:jc w:val="center"/>
              <w:rPr>
                <w:rFonts w:hint="default" w:eastAsia="宋体"/>
                <w:sz w:val="24"/>
                <w:lang w:val="en-US" w:eastAsia="zh-CN"/>
              </w:rPr>
            </w:pPr>
            <w:r>
              <w:rPr>
                <w:rFonts w:hint="eastAsia"/>
                <w:sz w:val="24"/>
                <w:lang w:val="en-US" w:eastAsia="zh-CN"/>
              </w:rPr>
              <w:t>陈英</w:t>
            </w:r>
          </w:p>
        </w:tc>
        <w:tc>
          <w:tcPr>
            <w:tcW w:w="1811" w:type="dxa"/>
            <w:vAlign w:val="center"/>
          </w:tcPr>
          <w:p>
            <w:pPr>
              <w:adjustRightInd w:val="0"/>
              <w:snapToGrid w:val="0"/>
              <w:jc w:val="center"/>
              <w:rPr>
                <w:sz w:val="24"/>
              </w:rPr>
            </w:pPr>
            <w:r>
              <w:rPr>
                <w:sz w:val="24"/>
              </w:rPr>
              <w:t>联系方式</w:t>
            </w:r>
          </w:p>
        </w:tc>
        <w:tc>
          <w:tcPr>
            <w:tcW w:w="2765" w:type="dxa"/>
            <w:vAlign w:val="center"/>
          </w:tcPr>
          <w:p>
            <w:pPr>
              <w:adjustRightInd w:val="0"/>
              <w:snapToGrid w:val="0"/>
              <w:jc w:val="center"/>
              <w:rPr>
                <w:rFonts w:hint="default" w:eastAsia="宋体"/>
                <w:sz w:val="24"/>
                <w:lang w:val="en-US" w:eastAsia="zh-CN"/>
              </w:rPr>
            </w:pPr>
            <w:r>
              <w:rPr>
                <w:rFonts w:hint="eastAsia"/>
                <w:sz w:val="24"/>
                <w:lang w:val="en-US" w:eastAsia="zh-CN"/>
              </w:rPr>
              <w:t>13699986817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建设地点</w:t>
            </w:r>
          </w:p>
        </w:tc>
        <w:tc>
          <w:tcPr>
            <w:tcW w:w="6718" w:type="dxa"/>
            <w:gridSpan w:val="3"/>
            <w:vAlign w:val="center"/>
          </w:tcPr>
          <w:p>
            <w:pPr>
              <w:adjustRightInd w:val="0"/>
              <w:snapToGrid w:val="0"/>
              <w:jc w:val="center"/>
              <w:rPr>
                <w:rFonts w:hint="default" w:eastAsia="宋体"/>
                <w:sz w:val="24"/>
                <w:lang w:val="en-US" w:eastAsia="zh-CN"/>
              </w:rPr>
            </w:pPr>
            <w:r>
              <w:rPr>
                <w:sz w:val="24"/>
              </w:rPr>
              <w:t>新疆昌吉</w:t>
            </w:r>
            <w:r>
              <w:rPr>
                <w:rFonts w:hint="eastAsia"/>
                <w:sz w:val="24"/>
              </w:rPr>
              <w:t>回族自治</w:t>
            </w:r>
            <w:r>
              <w:rPr>
                <w:sz w:val="24"/>
              </w:rPr>
              <w:t>州</w:t>
            </w:r>
            <w:r>
              <w:rPr>
                <w:rFonts w:hint="eastAsia"/>
                <w:sz w:val="24"/>
              </w:rPr>
              <w:t>甘泉堡工业园区（阜康阜西产业园区）</w:t>
            </w:r>
            <w:r>
              <w:rPr>
                <w:rFonts w:hint="eastAsia" w:ascii="Times New Roman" w:hAnsi="Times New Roman" w:cs="Times New Roman"/>
                <w:sz w:val="24"/>
                <w:szCs w:val="24"/>
              </w:rPr>
              <w:t>小微企业创新区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地理坐标</w:t>
            </w:r>
          </w:p>
        </w:tc>
        <w:tc>
          <w:tcPr>
            <w:tcW w:w="6718" w:type="dxa"/>
            <w:gridSpan w:val="3"/>
            <w:vAlign w:val="center"/>
          </w:tcPr>
          <w:p>
            <w:pPr>
              <w:jc w:val="center"/>
              <w:rPr>
                <w:sz w:val="24"/>
              </w:rPr>
            </w:pPr>
            <w:r>
              <w:rPr>
                <w:sz w:val="24"/>
              </w:rPr>
              <w:t>（</w:t>
            </w:r>
            <w:r>
              <w:rPr>
                <w:rFonts w:hint="eastAsia"/>
                <w:sz w:val="24"/>
                <w:u w:val="single"/>
                <w:lang w:val="en-US" w:eastAsia="zh-CN"/>
              </w:rPr>
              <w:t>87</w:t>
            </w:r>
            <w:r>
              <w:rPr>
                <w:sz w:val="24"/>
              </w:rPr>
              <w:t>度</w:t>
            </w:r>
            <w:r>
              <w:rPr>
                <w:rFonts w:hint="eastAsia"/>
                <w:sz w:val="24"/>
                <w:u w:val="single"/>
                <w:lang w:val="en-US" w:eastAsia="zh-CN"/>
              </w:rPr>
              <w:t>49</w:t>
            </w:r>
            <w:r>
              <w:rPr>
                <w:sz w:val="24"/>
              </w:rPr>
              <w:t>分</w:t>
            </w:r>
            <w:r>
              <w:rPr>
                <w:rFonts w:hint="eastAsia"/>
                <w:sz w:val="24"/>
                <w:u w:val="single"/>
                <w:lang w:val="en-US" w:eastAsia="zh-CN"/>
              </w:rPr>
              <w:t>13.403</w:t>
            </w:r>
            <w:r>
              <w:rPr>
                <w:sz w:val="24"/>
              </w:rPr>
              <w:t>秒，</w:t>
            </w:r>
            <w:r>
              <w:rPr>
                <w:rFonts w:hint="eastAsia"/>
                <w:sz w:val="24"/>
                <w:u w:val="single"/>
                <w:lang w:val="en-US" w:eastAsia="zh-CN"/>
              </w:rPr>
              <w:t>44</w:t>
            </w:r>
            <w:r>
              <w:rPr>
                <w:sz w:val="24"/>
              </w:rPr>
              <w:t>度</w:t>
            </w:r>
            <w:r>
              <w:rPr>
                <w:rFonts w:hint="eastAsia"/>
                <w:sz w:val="24"/>
                <w:u w:val="single"/>
                <w:lang w:val="en-US" w:eastAsia="zh-CN"/>
              </w:rPr>
              <w:t>9</w:t>
            </w:r>
            <w:r>
              <w:rPr>
                <w:sz w:val="24"/>
              </w:rPr>
              <w:t>分</w:t>
            </w:r>
            <w:r>
              <w:rPr>
                <w:rFonts w:hint="eastAsia"/>
                <w:sz w:val="24"/>
                <w:u w:val="single"/>
                <w:lang w:val="en-US" w:eastAsia="zh-CN"/>
              </w:rPr>
              <w:t>36.088</w:t>
            </w:r>
            <w:r>
              <w:rPr>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国民经济</w:t>
            </w:r>
          </w:p>
          <w:p>
            <w:pPr>
              <w:adjustRightInd w:val="0"/>
              <w:snapToGrid w:val="0"/>
              <w:jc w:val="center"/>
              <w:rPr>
                <w:sz w:val="24"/>
              </w:rPr>
            </w:pPr>
            <w:r>
              <w:rPr>
                <w:sz w:val="24"/>
              </w:rPr>
              <w:t>行业类别</w:t>
            </w:r>
          </w:p>
        </w:tc>
        <w:tc>
          <w:tcPr>
            <w:tcW w:w="2139" w:type="dxa"/>
            <w:vAlign w:val="center"/>
          </w:tcPr>
          <w:p>
            <w:pPr>
              <w:adjustRightInd w:val="0"/>
              <w:snapToGrid w:val="0"/>
              <w:jc w:val="center"/>
              <w:rPr>
                <w:rFonts w:hint="default" w:eastAsia="宋体"/>
                <w:sz w:val="24"/>
                <w:lang w:val="en-US" w:eastAsia="zh-CN"/>
              </w:rPr>
            </w:pPr>
            <w:r>
              <w:rPr>
                <w:sz w:val="24"/>
              </w:rPr>
              <w:t>C</w:t>
            </w:r>
            <w:r>
              <w:rPr>
                <w:rFonts w:hint="eastAsia"/>
                <w:sz w:val="24"/>
                <w:lang w:val="en-US" w:eastAsia="zh-CN"/>
              </w:rPr>
              <w:t>3024轻质建筑材料制造</w:t>
            </w:r>
          </w:p>
        </w:tc>
        <w:tc>
          <w:tcPr>
            <w:tcW w:w="1811" w:type="dxa"/>
            <w:vAlign w:val="center"/>
          </w:tcPr>
          <w:p>
            <w:pPr>
              <w:adjustRightInd w:val="0"/>
              <w:snapToGrid w:val="0"/>
              <w:jc w:val="center"/>
              <w:rPr>
                <w:sz w:val="24"/>
              </w:rPr>
            </w:pPr>
            <w:bookmarkStart w:id="1" w:name="_Hlk49843745"/>
            <w:r>
              <w:rPr>
                <w:sz w:val="24"/>
              </w:rPr>
              <w:t>建设项目</w:t>
            </w:r>
          </w:p>
          <w:p>
            <w:pPr>
              <w:adjustRightInd w:val="0"/>
              <w:snapToGrid w:val="0"/>
              <w:jc w:val="center"/>
              <w:rPr>
                <w:sz w:val="24"/>
              </w:rPr>
            </w:pPr>
            <w:r>
              <w:rPr>
                <w:sz w:val="24"/>
              </w:rPr>
              <w:t>行业类别</w:t>
            </w:r>
            <w:bookmarkEnd w:id="1"/>
          </w:p>
        </w:tc>
        <w:tc>
          <w:tcPr>
            <w:tcW w:w="2765" w:type="dxa"/>
            <w:vAlign w:val="center"/>
          </w:tcPr>
          <w:p>
            <w:pPr>
              <w:adjustRightInd w:val="0"/>
              <w:snapToGrid w:val="0"/>
              <w:jc w:val="left"/>
              <w:rPr>
                <w:rFonts w:hint="default" w:eastAsia="宋体"/>
                <w:sz w:val="24"/>
                <w:lang w:val="en-US" w:eastAsia="zh-CN"/>
              </w:rPr>
            </w:pPr>
            <w:r>
              <w:rPr>
                <w:sz w:val="24"/>
              </w:rPr>
              <w:t>二十七、非金属矿物制品业：</w:t>
            </w:r>
            <w:r>
              <w:rPr>
                <w:rFonts w:hint="eastAsia"/>
                <w:sz w:val="24"/>
                <w:lang w:val="en-US" w:eastAsia="zh-CN"/>
              </w:rPr>
              <w:t>55、石膏、水泥制品及类似制品制造302</w:t>
            </w:r>
          </w:p>
          <w:p>
            <w:pPr>
              <w:adjustRightInd w:val="0"/>
              <w:snapToGrid w:val="0"/>
              <w:jc w:val="left"/>
              <w:rPr>
                <w:rFonts w:hint="default" w:eastAsia="宋体"/>
                <w:sz w:val="24"/>
                <w:lang w:val="en-US" w:eastAsia="zh-CN"/>
              </w:rPr>
            </w:pPr>
            <w:r>
              <w:rPr>
                <w:rFonts w:hint="eastAsia"/>
                <w:sz w:val="24"/>
                <w:lang w:val="en-US" w:eastAsia="zh-CN"/>
              </w:rPr>
              <w:t>水泥制品制造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建设性质</w:t>
            </w:r>
          </w:p>
        </w:tc>
        <w:tc>
          <w:tcPr>
            <w:tcW w:w="2139" w:type="dxa"/>
            <w:vAlign w:val="center"/>
          </w:tcPr>
          <w:p>
            <w:pPr>
              <w:jc w:val="left"/>
              <w:rPr>
                <w:sz w:val="24"/>
              </w:rPr>
            </w:pPr>
            <w:r>
              <w:rPr>
                <w:sz w:val="24"/>
              </w:rPr>
              <w:sym w:font="Wingdings 2" w:char="0052"/>
            </w:r>
            <w:r>
              <w:rPr>
                <w:sz w:val="24"/>
              </w:rPr>
              <w:t>新建（迁建）</w:t>
            </w:r>
          </w:p>
          <w:p>
            <w:pPr>
              <w:jc w:val="left"/>
              <w:rPr>
                <w:sz w:val="24"/>
              </w:rPr>
            </w:pPr>
            <w:r>
              <w:rPr>
                <w:sz w:val="24"/>
              </w:rPr>
              <w:sym w:font="Wingdings 2" w:char="00A3"/>
            </w:r>
            <w:r>
              <w:rPr>
                <w:sz w:val="24"/>
              </w:rPr>
              <w:t>改建</w:t>
            </w:r>
          </w:p>
          <w:p>
            <w:pPr>
              <w:jc w:val="left"/>
              <w:rPr>
                <w:sz w:val="24"/>
              </w:rPr>
            </w:pPr>
            <w:r>
              <w:rPr>
                <w:sz w:val="24"/>
              </w:rPr>
              <w:sym w:font="Wingdings 2" w:char="00A3"/>
            </w:r>
            <w:r>
              <w:rPr>
                <w:sz w:val="24"/>
              </w:rPr>
              <w:t>扩建</w:t>
            </w:r>
          </w:p>
          <w:p>
            <w:pPr>
              <w:jc w:val="left"/>
              <w:rPr>
                <w:sz w:val="24"/>
              </w:rPr>
            </w:pPr>
            <w:r>
              <w:rPr>
                <w:sz w:val="24"/>
              </w:rPr>
              <w:sym w:font="Wingdings 2" w:char="00A3"/>
            </w:r>
            <w:r>
              <w:rPr>
                <w:sz w:val="24"/>
              </w:rPr>
              <w:t>技术改造</w:t>
            </w:r>
          </w:p>
        </w:tc>
        <w:tc>
          <w:tcPr>
            <w:tcW w:w="1811"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2765" w:type="dxa"/>
            <w:vAlign w:val="center"/>
          </w:tcPr>
          <w:p>
            <w:pPr>
              <w:jc w:val="left"/>
              <w:rPr>
                <w:sz w:val="24"/>
              </w:rPr>
            </w:pPr>
            <w:r>
              <w:rPr>
                <w:sz w:val="24"/>
              </w:rPr>
              <w:sym w:font="Wingdings 2" w:char="0052"/>
            </w:r>
            <w:r>
              <w:rPr>
                <w:sz w:val="24"/>
              </w:rPr>
              <w:t xml:space="preserve">首次申报项目             </w:t>
            </w:r>
          </w:p>
          <w:p>
            <w:pPr>
              <w:jc w:val="left"/>
              <w:rPr>
                <w:sz w:val="24"/>
              </w:rPr>
            </w:pPr>
            <w:r>
              <w:rPr>
                <w:sz w:val="24"/>
              </w:rPr>
              <w:sym w:font="Wingdings 2" w:char="00A3"/>
            </w:r>
            <w:r>
              <w:rPr>
                <w:sz w:val="24"/>
              </w:rPr>
              <w:t>不予批准后再次申报项目</w:t>
            </w:r>
          </w:p>
          <w:p>
            <w:pPr>
              <w:jc w:val="left"/>
              <w:rPr>
                <w:sz w:val="24"/>
              </w:rPr>
            </w:pPr>
            <w:r>
              <w:rPr>
                <w:sz w:val="24"/>
              </w:rPr>
              <w:sym w:font="Wingdings 2" w:char="00A3"/>
            </w:r>
            <w:r>
              <w:rPr>
                <w:sz w:val="24"/>
              </w:rPr>
              <w:t xml:space="preserve">超五年重新审核项目     </w:t>
            </w:r>
          </w:p>
          <w:p>
            <w:pPr>
              <w:jc w:val="left"/>
              <w:rPr>
                <w:sz w:val="24"/>
              </w:rPr>
            </w:pPr>
            <w:r>
              <w:rPr>
                <w:sz w:val="24"/>
              </w:rPr>
              <w:sym w:font="Wingdings 2" w:char="00A3"/>
            </w: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备案）部门（选填）</w:t>
            </w:r>
          </w:p>
        </w:tc>
        <w:tc>
          <w:tcPr>
            <w:tcW w:w="2139" w:type="dxa"/>
            <w:vAlign w:val="center"/>
          </w:tcPr>
          <w:p>
            <w:pPr>
              <w:adjustRightInd w:val="0"/>
              <w:snapToGrid w:val="0"/>
              <w:jc w:val="center"/>
              <w:rPr>
                <w:sz w:val="24"/>
              </w:rPr>
            </w:pPr>
            <w:r>
              <w:rPr>
                <w:rFonts w:hint="eastAsia"/>
                <w:sz w:val="24"/>
              </w:rPr>
              <w:t>阜康市发展和改革委员会</w:t>
            </w:r>
          </w:p>
        </w:tc>
        <w:tc>
          <w:tcPr>
            <w:tcW w:w="1811" w:type="dxa"/>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备案）文号（选填）</w:t>
            </w:r>
          </w:p>
        </w:tc>
        <w:tc>
          <w:tcPr>
            <w:tcW w:w="2765" w:type="dxa"/>
            <w:vAlign w:val="center"/>
          </w:tcPr>
          <w:p>
            <w:pPr>
              <w:adjustRightInd w:val="0"/>
              <w:snapToGrid w:val="0"/>
              <w:jc w:val="center"/>
              <w:rPr>
                <w:sz w:val="24"/>
              </w:rPr>
            </w:pPr>
            <w:r>
              <w:rPr>
                <w:rFonts w:hint="eastAsia"/>
                <w:sz w:val="24"/>
              </w:rPr>
              <w:t>阜发改投资〔202</w:t>
            </w:r>
            <w:r>
              <w:rPr>
                <w:rFonts w:hint="eastAsia"/>
                <w:sz w:val="24"/>
                <w:lang w:val="en-US" w:eastAsia="zh-CN"/>
              </w:rPr>
              <w:t>2</w:t>
            </w:r>
            <w:r>
              <w:rPr>
                <w:rFonts w:hint="eastAsia"/>
                <w:sz w:val="24"/>
              </w:rPr>
              <w:t>〕</w:t>
            </w:r>
            <w:r>
              <w:rPr>
                <w:rFonts w:hint="eastAsia"/>
                <w:sz w:val="24"/>
                <w:lang w:val="en-US" w:eastAsia="zh-CN"/>
              </w:rPr>
              <w:t>111</w:t>
            </w:r>
            <w:r>
              <w:rPr>
                <w:rFonts w:hint="eastAsia"/>
                <w:sz w:val="24"/>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总投资（万元）</w:t>
            </w:r>
          </w:p>
        </w:tc>
        <w:tc>
          <w:tcPr>
            <w:tcW w:w="2139" w:type="dxa"/>
            <w:vAlign w:val="center"/>
          </w:tcPr>
          <w:p>
            <w:pPr>
              <w:adjustRightInd w:val="0"/>
              <w:snapToGrid w:val="0"/>
              <w:jc w:val="center"/>
              <w:rPr>
                <w:rFonts w:hint="default" w:eastAsia="宋体"/>
                <w:sz w:val="24"/>
                <w:lang w:val="en-US" w:eastAsia="zh-CN"/>
              </w:rPr>
            </w:pPr>
            <w:r>
              <w:rPr>
                <w:rFonts w:hint="eastAsia"/>
                <w:sz w:val="24"/>
                <w:lang w:val="en-US" w:eastAsia="zh-CN"/>
              </w:rPr>
              <w:t>1000</w:t>
            </w:r>
          </w:p>
        </w:tc>
        <w:tc>
          <w:tcPr>
            <w:tcW w:w="1811" w:type="dxa"/>
            <w:tcMar>
              <w:top w:w="16" w:type="dxa"/>
              <w:left w:w="16" w:type="dxa"/>
              <w:right w:w="16" w:type="dxa"/>
            </w:tcMar>
            <w:vAlign w:val="center"/>
          </w:tcPr>
          <w:p>
            <w:pPr>
              <w:adjustRightInd w:val="0"/>
              <w:snapToGrid w:val="0"/>
              <w:jc w:val="center"/>
              <w:rPr>
                <w:sz w:val="24"/>
              </w:rPr>
            </w:pPr>
            <w:r>
              <w:rPr>
                <w:sz w:val="24"/>
              </w:rPr>
              <w:t>环保投资（万元）</w:t>
            </w:r>
          </w:p>
        </w:tc>
        <w:tc>
          <w:tcPr>
            <w:tcW w:w="2765" w:type="dxa"/>
            <w:vAlign w:val="center"/>
          </w:tcPr>
          <w:p>
            <w:pPr>
              <w:adjustRightInd w:val="0"/>
              <w:snapToGrid w:val="0"/>
              <w:jc w:val="center"/>
              <w:rPr>
                <w:rFonts w:hint="default" w:eastAsia="宋体"/>
                <w:sz w:val="24"/>
                <w:lang w:val="en-US" w:eastAsia="zh-CN"/>
              </w:rPr>
            </w:pPr>
            <w:r>
              <w:rPr>
                <w:rFonts w:hint="eastAsia"/>
                <w:sz w:val="24"/>
                <w:lang w:val="en-US" w:eastAsia="zh-CN"/>
              </w:rPr>
              <w:t>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环保投资占比（%）</w:t>
            </w:r>
          </w:p>
        </w:tc>
        <w:tc>
          <w:tcPr>
            <w:tcW w:w="2139" w:type="dxa"/>
            <w:vAlign w:val="center"/>
          </w:tcPr>
          <w:p>
            <w:pPr>
              <w:adjustRightInd w:val="0"/>
              <w:snapToGrid w:val="0"/>
              <w:jc w:val="center"/>
              <w:rPr>
                <w:rFonts w:hint="default" w:eastAsia="宋体"/>
                <w:sz w:val="24"/>
                <w:lang w:val="en-US" w:eastAsia="zh-CN"/>
              </w:rPr>
            </w:pPr>
            <w:r>
              <w:rPr>
                <w:rFonts w:hint="eastAsia"/>
                <w:sz w:val="24"/>
                <w:lang w:val="en-US" w:eastAsia="zh-CN"/>
              </w:rPr>
              <w:t>4.7</w:t>
            </w:r>
          </w:p>
        </w:tc>
        <w:tc>
          <w:tcPr>
            <w:tcW w:w="1811" w:type="dxa"/>
            <w:tcMar>
              <w:top w:w="16" w:type="dxa"/>
              <w:left w:w="16" w:type="dxa"/>
              <w:right w:w="16" w:type="dxa"/>
            </w:tcMar>
            <w:vAlign w:val="center"/>
          </w:tcPr>
          <w:p>
            <w:pPr>
              <w:adjustRightInd w:val="0"/>
              <w:snapToGrid w:val="0"/>
              <w:jc w:val="center"/>
              <w:rPr>
                <w:sz w:val="24"/>
              </w:rPr>
            </w:pPr>
            <w:r>
              <w:rPr>
                <w:sz w:val="24"/>
              </w:rPr>
              <w:t>施工工期</w:t>
            </w:r>
          </w:p>
        </w:tc>
        <w:tc>
          <w:tcPr>
            <w:tcW w:w="2765" w:type="dxa"/>
            <w:vAlign w:val="center"/>
          </w:tcPr>
          <w:p>
            <w:pPr>
              <w:adjustRightInd w:val="0"/>
              <w:snapToGrid w:val="0"/>
              <w:jc w:val="center"/>
              <w:rPr>
                <w:rFonts w:hint="default" w:eastAsia="宋体"/>
                <w:sz w:val="24"/>
                <w:lang w:val="en-US" w:eastAsia="zh-CN"/>
              </w:rPr>
            </w:pPr>
            <w:r>
              <w:rPr>
                <w:rFonts w:hint="eastAsia"/>
                <w:sz w:val="24"/>
                <w:lang w:val="en-US" w:eastAsia="zh-CN"/>
              </w:rPr>
              <w:t>2022年7月~2022年10月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是否开工建设</w:t>
            </w:r>
          </w:p>
        </w:tc>
        <w:tc>
          <w:tcPr>
            <w:tcW w:w="2139" w:type="dxa"/>
            <w:vAlign w:val="center"/>
          </w:tcPr>
          <w:p>
            <w:pPr>
              <w:adjustRightInd w:val="0"/>
              <w:snapToGrid w:val="0"/>
            </w:pPr>
            <w:r>
              <w:rPr>
                <w:sz w:val="24"/>
              </w:rPr>
              <w:sym w:font="Wingdings 2" w:char="0052"/>
            </w:r>
            <w:r>
              <w:rPr>
                <w:sz w:val="24"/>
              </w:rPr>
              <w:t>否</w:t>
            </w:r>
          </w:p>
          <w:p>
            <w:pPr>
              <w:adjustRightInd w:val="0"/>
              <w:snapToGrid w:val="0"/>
              <w:rPr>
                <w:sz w:val="24"/>
              </w:rPr>
            </w:pPr>
            <w:r>
              <w:rPr>
                <w:sz w:val="24"/>
              </w:rPr>
              <w:sym w:font="Wingdings 2" w:char="00A3"/>
            </w:r>
            <w:r>
              <w:rPr>
                <w:sz w:val="24"/>
              </w:rPr>
              <w:t>是</w:t>
            </w:r>
          </w:p>
        </w:tc>
        <w:tc>
          <w:tcPr>
            <w:tcW w:w="1811"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2765" w:type="dxa"/>
            <w:vAlign w:val="center"/>
          </w:tcPr>
          <w:p>
            <w:pPr>
              <w:adjustRightInd w:val="0"/>
              <w:snapToGrid w:val="0"/>
              <w:ind w:firstLine="240" w:firstLineChars="100"/>
              <w:jc w:val="center"/>
              <w:rPr>
                <w:rFonts w:hint="default" w:eastAsia="宋体"/>
                <w:sz w:val="24"/>
                <w:lang w:val="en-US" w:eastAsia="zh-CN"/>
              </w:rPr>
            </w:pPr>
            <w:r>
              <w:rPr>
                <w:rFonts w:hint="eastAsia"/>
                <w:sz w:val="24"/>
                <w:lang w:val="en-US" w:eastAsia="zh-CN"/>
              </w:rPr>
              <w:t>2628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281" w:type="dxa"/>
            <w:vAlign w:val="center"/>
          </w:tcPr>
          <w:p>
            <w:pPr>
              <w:autoSpaceDE w:val="0"/>
              <w:autoSpaceDN w:val="0"/>
              <w:adjustRightInd w:val="0"/>
              <w:snapToGrid w:val="0"/>
              <w:rPr>
                <w:sz w:val="24"/>
              </w:rPr>
            </w:pPr>
            <w:r>
              <w:rPr>
                <w:sz w:val="24"/>
              </w:rPr>
              <w:t>专项评价设置情况</w:t>
            </w:r>
          </w:p>
        </w:tc>
        <w:tc>
          <w:tcPr>
            <w:tcW w:w="6718" w:type="dxa"/>
            <w:gridSpan w:val="3"/>
            <w:vAlign w:val="center"/>
          </w:tcPr>
          <w:p>
            <w:pPr>
              <w:autoSpaceDE w:val="0"/>
              <w:autoSpaceDN w:val="0"/>
              <w:adjustRightInd w:val="0"/>
              <w:snapToGrid w:val="0"/>
              <w:spacing w:line="520" w:lineRule="exact"/>
              <w:jc w:val="center"/>
            </w:pPr>
            <w:r>
              <w:rPr>
                <w:rFonts w:hint="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281" w:type="dxa"/>
            <w:vAlign w:val="center"/>
          </w:tcPr>
          <w:p>
            <w:pPr>
              <w:autoSpaceDE w:val="0"/>
              <w:autoSpaceDN w:val="0"/>
              <w:adjustRightInd w:val="0"/>
              <w:snapToGrid w:val="0"/>
              <w:jc w:val="center"/>
              <w:rPr>
                <w:kern w:val="0"/>
                <w:sz w:val="24"/>
              </w:rPr>
            </w:pPr>
            <w:r>
              <w:rPr>
                <w:sz w:val="24"/>
              </w:rPr>
              <w:t>规划情况</w:t>
            </w:r>
          </w:p>
        </w:tc>
        <w:tc>
          <w:tcPr>
            <w:tcW w:w="6718" w:type="dxa"/>
            <w:gridSpan w:val="3"/>
            <w:vAlign w:val="center"/>
          </w:tcPr>
          <w:p>
            <w:pPr>
              <w:autoSpaceDE w:val="0"/>
              <w:autoSpaceDN w:val="0"/>
              <w:adjustRightInd w:val="0"/>
              <w:snapToGrid w:val="0"/>
              <w:jc w:val="center"/>
              <w:rPr>
                <w:rFonts w:hint="eastAsia" w:eastAsia="宋体"/>
                <w:kern w:val="0"/>
                <w:sz w:val="24"/>
                <w:lang w:eastAsia="zh-CN"/>
              </w:rPr>
            </w:pPr>
            <w:r>
              <w:rPr>
                <w:rFonts w:hint="eastAsia"/>
                <w:sz w:val="24"/>
                <w:lang w:eastAsia="zh-CN"/>
              </w:rPr>
              <w:t>《</w:t>
            </w:r>
            <w:r>
              <w:rPr>
                <w:rFonts w:hint="eastAsia"/>
                <w:sz w:val="24"/>
                <w:lang w:val="en-US" w:eastAsia="zh-CN"/>
              </w:rPr>
              <w:t>甘泉堡工业园区总体规划</w:t>
            </w:r>
            <w:r>
              <w:rPr>
                <w:rFonts w:hint="eastAsia"/>
                <w:sz w:val="24"/>
                <w:lang w:eastAsia="zh-CN"/>
              </w:rPr>
              <w:t>（</w:t>
            </w:r>
            <w:r>
              <w:rPr>
                <w:sz w:val="24"/>
              </w:rPr>
              <w:t>201</w:t>
            </w:r>
            <w:r>
              <w:rPr>
                <w:rFonts w:hint="eastAsia"/>
                <w:sz w:val="24"/>
                <w:lang w:val="en-US" w:eastAsia="zh-CN"/>
              </w:rPr>
              <w:t>6</w:t>
            </w:r>
            <w:r>
              <w:rPr>
                <w:sz w:val="24"/>
              </w:rPr>
              <w:t>-2030</w:t>
            </w:r>
            <w:r>
              <w:rPr>
                <w:rFonts w:hint="eastAsia"/>
                <w:sz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81" w:type="dxa"/>
            <w:vAlign w:val="center"/>
          </w:tcPr>
          <w:p>
            <w:pPr>
              <w:adjustRightInd w:val="0"/>
              <w:snapToGrid w:val="0"/>
              <w:jc w:val="center"/>
              <w:rPr>
                <w:sz w:val="24"/>
              </w:rPr>
            </w:pPr>
            <w:r>
              <w:rPr>
                <w:sz w:val="24"/>
              </w:rPr>
              <w:t>规划环境影响</w:t>
            </w:r>
          </w:p>
          <w:p>
            <w:pPr>
              <w:adjustRightInd w:val="0"/>
              <w:snapToGrid w:val="0"/>
              <w:jc w:val="center"/>
              <w:rPr>
                <w:kern w:val="0"/>
                <w:sz w:val="24"/>
              </w:rPr>
            </w:pPr>
            <w:r>
              <w:rPr>
                <w:sz w:val="24"/>
              </w:rPr>
              <w:t>评价情况</w:t>
            </w:r>
          </w:p>
        </w:tc>
        <w:tc>
          <w:tcPr>
            <w:tcW w:w="6718" w:type="dxa"/>
            <w:gridSpan w:val="3"/>
            <w:vAlign w:val="center"/>
          </w:tcPr>
          <w:p>
            <w:pPr>
              <w:autoSpaceDE w:val="0"/>
              <w:autoSpaceDN w:val="0"/>
              <w:adjustRightInd w:val="0"/>
              <w:snapToGrid w:val="0"/>
              <w:spacing w:line="520" w:lineRule="exact"/>
              <w:ind w:firstLine="480" w:firstLineChars="200"/>
              <w:rPr>
                <w:kern w:val="0"/>
                <w:sz w:val="24"/>
              </w:rPr>
            </w:pPr>
            <w:r>
              <w:rPr>
                <w:sz w:val="24"/>
              </w:rPr>
              <w:t>本项目位于</w:t>
            </w:r>
            <w:r>
              <w:rPr>
                <w:rFonts w:hint="eastAsia"/>
                <w:sz w:val="24"/>
                <w:lang w:val="en-US" w:eastAsia="zh-CN"/>
              </w:rPr>
              <w:t>甘泉堡工业园区</w:t>
            </w:r>
            <w:r>
              <w:rPr>
                <w:sz w:val="24"/>
              </w:rPr>
              <w:t>，该园区规划环评已于20</w:t>
            </w:r>
            <w:r>
              <w:rPr>
                <w:rFonts w:hint="eastAsia"/>
                <w:sz w:val="24"/>
                <w:lang w:val="en-US" w:eastAsia="zh-CN"/>
              </w:rPr>
              <w:t>18</w:t>
            </w:r>
            <w:r>
              <w:rPr>
                <w:sz w:val="24"/>
              </w:rPr>
              <w:t>年</w:t>
            </w:r>
            <w:r>
              <w:rPr>
                <w:rFonts w:hint="eastAsia"/>
                <w:sz w:val="24"/>
                <w:lang w:val="en-US" w:eastAsia="zh-CN"/>
              </w:rPr>
              <w:t>3</w:t>
            </w:r>
            <w:r>
              <w:rPr>
                <w:sz w:val="24"/>
              </w:rPr>
              <w:t>月</w:t>
            </w:r>
            <w:r>
              <w:rPr>
                <w:rFonts w:hint="eastAsia"/>
                <w:sz w:val="24"/>
                <w:lang w:val="en-US" w:eastAsia="zh-CN"/>
              </w:rPr>
              <w:t>27</w:t>
            </w:r>
            <w:r>
              <w:rPr>
                <w:sz w:val="24"/>
              </w:rPr>
              <w:t>日取得自治区生态环境厅</w:t>
            </w:r>
            <w:r>
              <w:rPr>
                <w:rFonts w:hint="eastAsia"/>
                <w:sz w:val="24"/>
                <w:lang w:eastAsia="zh-CN"/>
              </w:rPr>
              <w:t>《</w:t>
            </w:r>
            <w:r>
              <w:rPr>
                <w:sz w:val="24"/>
              </w:rPr>
              <w:t>关于</w:t>
            </w:r>
            <w:r>
              <w:rPr>
                <w:rFonts w:hint="eastAsia"/>
                <w:sz w:val="24"/>
                <w:lang w:val="en-US" w:eastAsia="zh-CN"/>
              </w:rPr>
              <w:t>甘泉堡工业园</w:t>
            </w:r>
            <w:r>
              <w:rPr>
                <w:sz w:val="24"/>
              </w:rPr>
              <w:t>总体规</w:t>
            </w:r>
            <w:r>
              <w:rPr>
                <w:rFonts w:hint="eastAsia"/>
                <w:sz w:val="24"/>
                <w:lang w:eastAsia="zh-CN"/>
              </w:rPr>
              <w:t>（</w:t>
            </w:r>
            <w:r>
              <w:rPr>
                <w:sz w:val="24"/>
              </w:rPr>
              <w:t>201</w:t>
            </w:r>
            <w:r>
              <w:rPr>
                <w:rFonts w:hint="eastAsia"/>
                <w:sz w:val="24"/>
                <w:lang w:val="en-US" w:eastAsia="zh-CN"/>
              </w:rPr>
              <w:t>6</w:t>
            </w:r>
            <w:r>
              <w:rPr>
                <w:sz w:val="24"/>
              </w:rPr>
              <w:t>-2030年</w:t>
            </w:r>
            <w:r>
              <w:rPr>
                <w:rFonts w:hint="eastAsia"/>
                <w:sz w:val="24"/>
                <w:lang w:eastAsia="zh-CN"/>
              </w:rPr>
              <w:t>）</w:t>
            </w:r>
            <w:r>
              <w:rPr>
                <w:sz w:val="24"/>
              </w:rPr>
              <w:t>环境影响报告书的审查意见</w:t>
            </w:r>
            <w:r>
              <w:rPr>
                <w:rFonts w:hint="eastAsia"/>
                <w:sz w:val="24"/>
                <w:lang w:eastAsia="zh-CN"/>
              </w:rPr>
              <w:t>》</w:t>
            </w:r>
            <w:r>
              <w:rPr>
                <w:sz w:val="24"/>
              </w:rPr>
              <w:t>（新环</w:t>
            </w:r>
            <w:r>
              <w:rPr>
                <w:rFonts w:hint="eastAsia"/>
                <w:sz w:val="24"/>
                <w:lang w:val="en-US" w:eastAsia="zh-CN"/>
              </w:rPr>
              <w:t>函</w:t>
            </w:r>
            <w:r>
              <w:rPr>
                <w:rFonts w:eastAsia="仿宋"/>
                <w:sz w:val="24"/>
              </w:rPr>
              <w:t>〔</w:t>
            </w:r>
            <w:r>
              <w:rPr>
                <w:sz w:val="24"/>
              </w:rPr>
              <w:t>20</w:t>
            </w:r>
            <w:r>
              <w:rPr>
                <w:rFonts w:hint="eastAsia"/>
                <w:sz w:val="24"/>
                <w:lang w:val="en-US" w:eastAsia="zh-CN"/>
              </w:rPr>
              <w:t>18</w:t>
            </w:r>
            <w:r>
              <w:rPr>
                <w:rFonts w:eastAsia="仿宋"/>
                <w:sz w:val="24"/>
              </w:rPr>
              <w:t>〕</w:t>
            </w:r>
            <w:r>
              <w:rPr>
                <w:rFonts w:hint="eastAsia" w:eastAsia="仿宋"/>
                <w:sz w:val="24"/>
                <w:lang w:val="en-US" w:eastAsia="zh-CN"/>
              </w:rPr>
              <w:t>368</w:t>
            </w:r>
            <w:r>
              <w:rPr>
                <w:sz w:val="24"/>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81" w:type="dxa"/>
            <w:vAlign w:val="center"/>
          </w:tcPr>
          <w:p>
            <w:pPr>
              <w:autoSpaceDE w:val="0"/>
              <w:autoSpaceDN w:val="0"/>
              <w:adjustRightInd w:val="0"/>
              <w:snapToGrid w:val="0"/>
              <w:jc w:val="center"/>
              <w:rPr>
                <w:kern w:val="0"/>
                <w:sz w:val="24"/>
              </w:rPr>
            </w:pPr>
            <w:r>
              <w:rPr>
                <w:kern w:val="0"/>
                <w:sz w:val="24"/>
              </w:rPr>
              <w:t>规划及规划环境</w:t>
            </w:r>
          </w:p>
          <w:p>
            <w:pPr>
              <w:autoSpaceDE w:val="0"/>
              <w:autoSpaceDN w:val="0"/>
              <w:adjustRightInd w:val="0"/>
              <w:snapToGrid w:val="0"/>
              <w:jc w:val="center"/>
              <w:rPr>
                <w:kern w:val="0"/>
                <w:sz w:val="24"/>
              </w:rPr>
            </w:pPr>
            <w:r>
              <w:rPr>
                <w:kern w:val="0"/>
                <w:sz w:val="24"/>
              </w:rPr>
              <w:t>影响评价符合性分析</w:t>
            </w:r>
          </w:p>
        </w:tc>
        <w:tc>
          <w:tcPr>
            <w:tcW w:w="6718" w:type="dxa"/>
            <w:gridSpan w:val="3"/>
            <w:vAlign w:val="center"/>
          </w:tcPr>
          <w:p>
            <w:pPr>
              <w:pStyle w:val="60"/>
              <w:spacing w:line="520" w:lineRule="atLeast"/>
              <w:ind w:firstLine="480"/>
              <w:rPr>
                <w:rFonts w:hint="eastAsia"/>
                <w:szCs w:val="21"/>
                <w:lang w:eastAsia="zh-CN"/>
              </w:rPr>
            </w:pPr>
            <w:r>
              <w:rPr>
                <w:rFonts w:hint="eastAsia"/>
              </w:rPr>
              <w:t>根据《</w:t>
            </w:r>
            <w:r>
              <w:rPr>
                <w:rFonts w:hint="eastAsia"/>
                <w:sz w:val="24"/>
                <w:lang w:val="en-US" w:eastAsia="zh-CN"/>
              </w:rPr>
              <w:t>甘泉堡工业园区总体规划</w:t>
            </w:r>
            <w:r>
              <w:rPr>
                <w:rFonts w:hint="eastAsia"/>
                <w:sz w:val="24"/>
                <w:lang w:eastAsia="zh-CN"/>
              </w:rPr>
              <w:t>（</w:t>
            </w:r>
            <w:r>
              <w:rPr>
                <w:sz w:val="24"/>
              </w:rPr>
              <w:t>201</w:t>
            </w:r>
            <w:r>
              <w:rPr>
                <w:rFonts w:hint="eastAsia"/>
                <w:sz w:val="24"/>
                <w:lang w:val="en-US" w:eastAsia="zh-CN"/>
              </w:rPr>
              <w:t>6</w:t>
            </w:r>
            <w:r>
              <w:rPr>
                <w:sz w:val="24"/>
              </w:rPr>
              <w:t>-2030</w:t>
            </w:r>
            <w:r>
              <w:rPr>
                <w:rFonts w:hint="eastAsia"/>
                <w:sz w:val="24"/>
                <w:lang w:eastAsia="zh-CN"/>
              </w:rPr>
              <w:t>）</w:t>
            </w:r>
            <w:r>
              <w:rPr>
                <w:rFonts w:hint="eastAsia"/>
              </w:rPr>
              <w:t>》，园区</w:t>
            </w:r>
            <w:r>
              <w:rPr>
                <w:rFonts w:hint="eastAsia" w:ascii="Times New Roman" w:hAnsi="Times New Roman" w:cs="Times New Roman"/>
                <w:sz w:val="24"/>
                <w:szCs w:val="24"/>
              </w:rPr>
              <w:t>规划区划分成九个功能区，分别是：优势资源转化工业区</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经济合作与产业孵化区</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新能源工业区</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高新技术产业区</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科教综合服务新区</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物流仓储区</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小微企业创新区</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生态保育区</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协调发展区</w:t>
            </w:r>
            <w:r>
              <w:rPr>
                <w:rFonts w:hint="eastAsia"/>
              </w:rPr>
              <w:t>，</w:t>
            </w:r>
            <w:r>
              <w:rPr>
                <w:rFonts w:hint="eastAsia"/>
                <w:lang w:val="en-US" w:eastAsia="zh-CN"/>
              </w:rPr>
              <w:t>本项目位于小微企业创新区，该园区</w:t>
            </w:r>
            <w:r>
              <w:rPr>
                <w:rFonts w:hint="eastAsia" w:ascii="Times New Roman" w:hAnsi="Times New Roman" w:cs="Times New Roman"/>
                <w:sz w:val="24"/>
                <w:szCs w:val="24"/>
              </w:rPr>
              <w:t>以新型建材产业为主导的集研发孵化、生产加工、商贸交易、物流配送为一体的小微新兴产业企业园</w:t>
            </w:r>
            <w:r>
              <w:rPr>
                <w:rFonts w:hint="eastAsia"/>
              </w:rPr>
              <w:t>。</w:t>
            </w:r>
            <w:r>
              <w:rPr>
                <w:rFonts w:hint="eastAsia"/>
                <w:lang w:val="en-US" w:eastAsia="zh-CN"/>
              </w:rPr>
              <w:t>本项目新型建材生产项目，符合该园区发展定位。</w:t>
            </w:r>
          </w:p>
          <w:p>
            <w:pPr>
              <w:pStyle w:val="60"/>
              <w:spacing w:line="520" w:lineRule="atLeast"/>
              <w:ind w:firstLine="480"/>
            </w:pPr>
            <w:r>
              <w:rPr>
                <w:rFonts w:hint="eastAsia"/>
              </w:rPr>
              <w:t>因此选址符合</w:t>
            </w:r>
            <w:r>
              <w:rPr>
                <w:rFonts w:hint="eastAsia"/>
                <w:sz w:val="24"/>
                <w:lang w:val="en-US" w:eastAsia="zh-CN"/>
              </w:rPr>
              <w:t>甘泉堡工业园区</w:t>
            </w:r>
            <w:r>
              <w:rPr>
                <w:rFonts w:hint="eastAsia"/>
              </w:rPr>
              <w:t>总体规划的要求，详见附图</w:t>
            </w:r>
            <w:r>
              <w:rPr>
                <w:rFonts w:hint="eastAsia"/>
                <w:lang w:val="en-US" w:eastAsia="zh-CN"/>
              </w:rPr>
              <w:t>3</w:t>
            </w:r>
            <w:r>
              <w:rPr>
                <w:rFonts w:hint="eastAsia"/>
                <w:sz w:val="24"/>
                <w:lang w:val="en-US" w:eastAsia="zh-CN"/>
              </w:rPr>
              <w:t>甘泉堡工业园区</w:t>
            </w:r>
            <w:r>
              <w:rPr>
                <w:rFonts w:hint="eastAsia"/>
              </w:rPr>
              <w:t>产业布局规划图。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81" w:type="dxa"/>
            <w:vAlign w:val="center"/>
          </w:tcPr>
          <w:p>
            <w:pPr>
              <w:autoSpaceDE w:val="0"/>
              <w:autoSpaceDN w:val="0"/>
              <w:adjustRightInd w:val="0"/>
              <w:snapToGrid w:val="0"/>
              <w:jc w:val="center"/>
              <w:rPr>
                <w:kern w:val="0"/>
                <w:sz w:val="24"/>
              </w:rPr>
            </w:pPr>
            <w:r>
              <w:rPr>
                <w:kern w:val="0"/>
                <w:sz w:val="24"/>
              </w:rPr>
              <w:t>其他符合性分析</w:t>
            </w:r>
          </w:p>
        </w:tc>
        <w:tc>
          <w:tcPr>
            <w:tcW w:w="6718" w:type="dxa"/>
            <w:gridSpan w:val="3"/>
            <w:vAlign w:val="center"/>
          </w:tcPr>
          <w:p>
            <w:pPr>
              <w:numPr>
                <w:ilvl w:val="0"/>
                <w:numId w:val="3"/>
              </w:numPr>
              <w:autoSpaceDE w:val="0"/>
              <w:autoSpaceDN w:val="0"/>
              <w:adjustRightInd w:val="0"/>
              <w:snapToGrid w:val="0"/>
              <w:spacing w:line="520" w:lineRule="exact"/>
              <w:rPr>
                <w:b/>
                <w:bCs/>
                <w:sz w:val="24"/>
              </w:rPr>
            </w:pPr>
            <w:r>
              <w:rPr>
                <w:b/>
                <w:bCs/>
                <w:sz w:val="24"/>
              </w:rPr>
              <w:t>项目“三线一单”符合性分析</w:t>
            </w:r>
          </w:p>
          <w:p>
            <w:pPr>
              <w:autoSpaceDE w:val="0"/>
              <w:autoSpaceDN w:val="0"/>
              <w:adjustRightInd w:val="0"/>
              <w:snapToGrid w:val="0"/>
              <w:spacing w:line="520" w:lineRule="exact"/>
              <w:ind w:firstLine="480" w:firstLineChars="200"/>
              <w:rPr>
                <w:sz w:val="24"/>
              </w:rPr>
            </w:pPr>
            <w:r>
              <w:rPr>
                <w:rFonts w:hint="eastAsia"/>
                <w:sz w:val="24"/>
              </w:rPr>
              <w:t>根据《新疆维吾尔自治区“三线一单”生态环境分区管控方案》（新政发〔2021〕18号）</w:t>
            </w:r>
            <w:r>
              <w:rPr>
                <w:rFonts w:hint="eastAsia"/>
                <w:sz w:val="24"/>
                <w:lang w:eastAsia="zh-CN"/>
              </w:rPr>
              <w:t>、</w:t>
            </w:r>
            <w:r>
              <w:rPr>
                <w:rFonts w:hint="eastAsia"/>
                <w:sz w:val="24"/>
              </w:rPr>
              <w:t>《昌吉回族自治州“三线一单”生态环境分区管控方案及生态环境准入清单》、《新疆维吾尔自治区七大片区“三线一单”生态环境分区管控要求》</w:t>
            </w:r>
            <w:r>
              <w:rPr>
                <w:rFonts w:hint="eastAsia"/>
                <w:sz w:val="24"/>
                <w:lang w:eastAsia="zh-CN"/>
              </w:rPr>
              <w:t>（</w:t>
            </w:r>
            <w:r>
              <w:rPr>
                <w:rFonts w:hint="eastAsia"/>
                <w:sz w:val="24"/>
              </w:rPr>
              <w:t>新环环评发</w:t>
            </w:r>
            <w:r>
              <w:rPr>
                <w:rFonts w:hint="eastAsia"/>
                <w:sz w:val="24"/>
                <w:lang w:eastAsia="zh-CN"/>
              </w:rPr>
              <w:t>（</w:t>
            </w:r>
            <w:r>
              <w:rPr>
                <w:rFonts w:hint="eastAsia"/>
                <w:sz w:val="24"/>
              </w:rPr>
              <w:t>2021</w:t>
            </w:r>
            <w:r>
              <w:rPr>
                <w:rFonts w:hint="eastAsia"/>
                <w:sz w:val="24"/>
                <w:lang w:eastAsia="zh-CN"/>
              </w:rPr>
              <w:t>）</w:t>
            </w:r>
            <w:r>
              <w:rPr>
                <w:rFonts w:hint="eastAsia"/>
                <w:sz w:val="24"/>
              </w:rPr>
              <w:t>162号</w:t>
            </w:r>
            <w:r>
              <w:rPr>
                <w:rFonts w:hint="eastAsia"/>
                <w:sz w:val="24"/>
                <w:lang w:eastAsia="zh-CN"/>
              </w:rPr>
              <w:t>）、</w:t>
            </w:r>
            <w:r>
              <w:rPr>
                <w:sz w:val="24"/>
              </w:rPr>
              <w:t>《关于以改善环境质量为核心加强环境影响评价管理的通知》（环环评</w:t>
            </w:r>
            <w:r>
              <w:rPr>
                <w:rFonts w:hint="default" w:ascii="Times New Roman" w:hAnsi="Times New Roman" w:eastAsia="宋体" w:cs="Times New Roman"/>
                <w:sz w:val="24"/>
              </w:rPr>
              <w:t>〔2016〕</w:t>
            </w:r>
            <w:r>
              <w:rPr>
                <w:sz w:val="24"/>
              </w:rPr>
              <w:t>150号）</w:t>
            </w:r>
            <w:r>
              <w:rPr>
                <w:rFonts w:hint="eastAsia"/>
                <w:sz w:val="24"/>
              </w:rPr>
              <w:t>中“</w:t>
            </w:r>
            <w:r>
              <w:rPr>
                <w:sz w:val="24"/>
              </w:rPr>
              <w:t>为适应以改善环境质量为核心的环境管理要求，切实加强环境影响评价管理，落实生态保护红线、环境质量底线、资源利用上线和</w:t>
            </w:r>
            <w:r>
              <w:rPr>
                <w:rFonts w:hint="eastAsia"/>
                <w:sz w:val="24"/>
              </w:rPr>
              <w:t>生态环境准入清单</w:t>
            </w:r>
            <w:r>
              <w:rPr>
                <w:sz w:val="24"/>
              </w:rPr>
              <w:t>约束</w:t>
            </w:r>
            <w:r>
              <w:rPr>
                <w:rFonts w:hint="eastAsia"/>
                <w:sz w:val="24"/>
              </w:rPr>
              <w:t>”</w:t>
            </w:r>
            <w:r>
              <w:rPr>
                <w:sz w:val="24"/>
              </w:rPr>
              <w:t>。</w:t>
            </w:r>
          </w:p>
          <w:p>
            <w:pPr>
              <w:autoSpaceDE w:val="0"/>
              <w:autoSpaceDN w:val="0"/>
              <w:adjustRightInd w:val="0"/>
              <w:snapToGrid w:val="0"/>
              <w:spacing w:line="520" w:lineRule="exact"/>
              <w:ind w:firstLine="480" w:firstLineChars="200"/>
              <w:rPr>
                <w:rFonts w:hint="eastAsia" w:eastAsia="宋体"/>
                <w:sz w:val="24"/>
                <w:lang w:eastAsia="zh-CN"/>
              </w:rPr>
            </w:pPr>
            <w:r>
              <w:rPr>
                <w:rFonts w:hint="eastAsia"/>
                <w:sz w:val="24"/>
              </w:rPr>
              <w:t>根据以上文件要求，对本建设项目进行“三线一单”符合性分析，具体见表</w:t>
            </w:r>
            <w:r>
              <w:rPr>
                <w:rFonts w:hint="eastAsia"/>
                <w:sz w:val="24"/>
                <w:lang w:val="en-US" w:eastAsia="zh-CN"/>
              </w:rPr>
              <w:t>1-1、1-2、1-3</w:t>
            </w:r>
            <w:r>
              <w:rPr>
                <w:rFonts w:hint="eastAsia"/>
                <w:sz w:val="24"/>
                <w:lang w:eastAsia="zh-CN"/>
              </w:rPr>
              <w:t>。</w:t>
            </w:r>
          </w:p>
          <w:p>
            <w:pPr>
              <w:pStyle w:val="12"/>
              <w:adjustRightInd w:val="0"/>
              <w:snapToGrid w:val="0"/>
              <w:ind w:firstLine="480" w:firstLineChars="200"/>
              <w:jc w:val="center"/>
              <w:rPr>
                <w:rFonts w:ascii="黑体" w:hAnsi="黑体" w:eastAsia="黑体" w:cs="黑体"/>
                <w:bCs/>
              </w:rPr>
            </w:pPr>
            <w:r>
              <w:rPr>
                <w:rFonts w:hint="eastAsia" w:ascii="黑体" w:hAnsi="黑体" w:eastAsia="黑体" w:cs="黑体"/>
                <w:bCs/>
              </w:rPr>
              <w:t>表1-1  “三线一单”符合性分析表</w:t>
            </w:r>
          </w:p>
          <w:tbl>
            <w:tblPr>
              <w:tblStyle w:val="31"/>
              <w:tblW w:w="494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4480"/>
              <w:gridCol w:w="7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952" w:type="pct"/>
                  <w:vAlign w:val="center"/>
                </w:tcPr>
                <w:p>
                  <w:pPr>
                    <w:pStyle w:val="12"/>
                    <w:adjustRightInd w:val="0"/>
                    <w:snapToGrid w:val="0"/>
                    <w:jc w:val="center"/>
                    <w:rPr>
                      <w:sz w:val="21"/>
                      <w:szCs w:val="21"/>
                    </w:rPr>
                  </w:pPr>
                  <w:r>
                    <w:rPr>
                      <w:sz w:val="21"/>
                      <w:szCs w:val="21"/>
                    </w:rPr>
                    <w:t>内容</w:t>
                  </w:r>
                </w:p>
              </w:tc>
              <w:tc>
                <w:tcPr>
                  <w:tcW w:w="3483" w:type="pct"/>
                  <w:vAlign w:val="center"/>
                </w:tcPr>
                <w:p>
                  <w:pPr>
                    <w:pStyle w:val="12"/>
                    <w:adjustRightInd w:val="0"/>
                    <w:snapToGrid w:val="0"/>
                    <w:jc w:val="center"/>
                    <w:rPr>
                      <w:sz w:val="21"/>
                      <w:szCs w:val="21"/>
                    </w:rPr>
                  </w:pPr>
                  <w:r>
                    <w:rPr>
                      <w:sz w:val="21"/>
                      <w:szCs w:val="21"/>
                    </w:rPr>
                    <w:t>符合性分析</w:t>
                  </w:r>
                </w:p>
              </w:tc>
              <w:tc>
                <w:tcPr>
                  <w:tcW w:w="563" w:type="pct"/>
                  <w:vAlign w:val="center"/>
                </w:tcPr>
                <w:p>
                  <w:pPr>
                    <w:pStyle w:val="12"/>
                    <w:adjustRightInd w:val="0"/>
                    <w:snapToGrid w:val="0"/>
                    <w:jc w:val="center"/>
                    <w:rPr>
                      <w:sz w:val="21"/>
                      <w:szCs w:val="21"/>
                    </w:rPr>
                  </w:pPr>
                  <w:r>
                    <w:rPr>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2"/>
                    <w:adjustRightInd w:val="0"/>
                    <w:snapToGrid w:val="0"/>
                    <w:jc w:val="center"/>
                    <w:rPr>
                      <w:sz w:val="21"/>
                      <w:szCs w:val="21"/>
                    </w:rPr>
                  </w:pPr>
                  <w:r>
                    <w:rPr>
                      <w:sz w:val="21"/>
                      <w:szCs w:val="21"/>
                    </w:rPr>
                    <w:t>生态保</w:t>
                  </w:r>
                </w:p>
                <w:p>
                  <w:pPr>
                    <w:pStyle w:val="12"/>
                    <w:adjustRightInd w:val="0"/>
                    <w:snapToGrid w:val="0"/>
                    <w:jc w:val="center"/>
                    <w:rPr>
                      <w:sz w:val="21"/>
                      <w:szCs w:val="21"/>
                    </w:rPr>
                  </w:pPr>
                  <w:r>
                    <w:rPr>
                      <w:sz w:val="21"/>
                      <w:szCs w:val="21"/>
                    </w:rPr>
                    <w:t>护红线</w:t>
                  </w:r>
                </w:p>
              </w:tc>
              <w:tc>
                <w:tcPr>
                  <w:tcW w:w="3483" w:type="pct"/>
                  <w:vAlign w:val="center"/>
                </w:tcPr>
                <w:p>
                  <w:pPr>
                    <w:pStyle w:val="12"/>
                    <w:adjustRightInd w:val="0"/>
                    <w:snapToGrid w:val="0"/>
                    <w:jc w:val="both"/>
                    <w:rPr>
                      <w:sz w:val="21"/>
                      <w:szCs w:val="21"/>
                    </w:rPr>
                  </w:pPr>
                  <w:r>
                    <w:rPr>
                      <w:bCs/>
                      <w:sz w:val="21"/>
                      <w:szCs w:val="21"/>
                    </w:rPr>
                    <w:t>本项目厂址位于</w:t>
                  </w:r>
                  <w:r>
                    <w:rPr>
                      <w:sz w:val="21"/>
                      <w:szCs w:val="21"/>
                    </w:rPr>
                    <w:t>新疆</w:t>
                  </w:r>
                  <w:r>
                    <w:rPr>
                      <w:rFonts w:hint="eastAsia"/>
                      <w:sz w:val="21"/>
                      <w:szCs w:val="21"/>
                    </w:rPr>
                    <w:t>昌吉回族自治州</w:t>
                  </w:r>
                  <w:r>
                    <w:rPr>
                      <w:rFonts w:hint="eastAsia"/>
                      <w:sz w:val="21"/>
                      <w:szCs w:val="21"/>
                      <w:lang w:val="en-US" w:eastAsia="zh-CN"/>
                    </w:rPr>
                    <w:t>甘泉堡工业园区（阜康阜西产业园区）</w:t>
                  </w:r>
                  <w:r>
                    <w:rPr>
                      <w:bCs/>
                      <w:sz w:val="21"/>
                      <w:szCs w:val="21"/>
                    </w:rPr>
                    <w:t>，项目建设区域不涉及自然保护区、风景名胜区、饮用水水源保护区等需要特别保护的区域，不属于禁止建设开发区和限制建设开发区，属于适宜建设开发区，符合生态保护红线的要求。</w:t>
                  </w:r>
                </w:p>
              </w:tc>
              <w:tc>
                <w:tcPr>
                  <w:tcW w:w="563" w:type="pct"/>
                  <w:vAlign w:val="center"/>
                </w:tcPr>
                <w:p>
                  <w:pPr>
                    <w:pStyle w:val="12"/>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2"/>
                    <w:adjustRightInd w:val="0"/>
                    <w:snapToGrid w:val="0"/>
                    <w:jc w:val="center"/>
                    <w:rPr>
                      <w:sz w:val="21"/>
                      <w:szCs w:val="21"/>
                    </w:rPr>
                  </w:pPr>
                  <w:r>
                    <w:rPr>
                      <w:sz w:val="21"/>
                      <w:szCs w:val="21"/>
                    </w:rPr>
                    <w:t>资源利</w:t>
                  </w:r>
                </w:p>
                <w:p>
                  <w:pPr>
                    <w:pStyle w:val="12"/>
                    <w:adjustRightInd w:val="0"/>
                    <w:snapToGrid w:val="0"/>
                    <w:jc w:val="center"/>
                    <w:rPr>
                      <w:sz w:val="21"/>
                      <w:szCs w:val="21"/>
                    </w:rPr>
                  </w:pPr>
                  <w:r>
                    <w:rPr>
                      <w:sz w:val="21"/>
                      <w:szCs w:val="21"/>
                    </w:rPr>
                    <w:t>用上线</w:t>
                  </w:r>
                </w:p>
              </w:tc>
              <w:tc>
                <w:tcPr>
                  <w:tcW w:w="3483" w:type="pct"/>
                  <w:vAlign w:val="center"/>
                </w:tcPr>
                <w:p>
                  <w:pPr>
                    <w:pStyle w:val="12"/>
                    <w:adjustRightInd w:val="0"/>
                    <w:snapToGrid w:val="0"/>
                    <w:jc w:val="both"/>
                    <w:rPr>
                      <w:sz w:val="21"/>
                      <w:szCs w:val="21"/>
                    </w:rPr>
                  </w:pPr>
                  <w:r>
                    <w:rPr>
                      <w:rFonts w:hint="eastAsia"/>
                      <w:sz w:val="21"/>
                      <w:szCs w:val="16"/>
                    </w:rPr>
                    <w:t>本项目运营期用水主要为员工生活和工艺用水，由园区供水管网供给，生活用水排入园区管网</w:t>
                  </w:r>
                  <w:r>
                    <w:rPr>
                      <w:sz w:val="21"/>
                      <w:szCs w:val="16"/>
                    </w:rPr>
                    <w:t>，不会影响区域水环境质量。</w:t>
                  </w:r>
                  <w:r>
                    <w:rPr>
                      <w:rFonts w:hint="eastAsia"/>
                      <w:sz w:val="21"/>
                      <w:szCs w:val="21"/>
                    </w:rPr>
                    <w:t>符合资源利用上线要求，项目</w:t>
                  </w:r>
                  <w:r>
                    <w:rPr>
                      <w:sz w:val="21"/>
                      <w:szCs w:val="21"/>
                    </w:rPr>
                    <w:t>运营过程中消耗</w:t>
                  </w:r>
                  <w:r>
                    <w:rPr>
                      <w:rFonts w:hint="eastAsia"/>
                      <w:sz w:val="21"/>
                      <w:szCs w:val="21"/>
                    </w:rPr>
                    <w:t>少量</w:t>
                  </w:r>
                  <w:r>
                    <w:rPr>
                      <w:sz w:val="21"/>
                      <w:szCs w:val="21"/>
                    </w:rPr>
                    <w:t>的电、水等资源，</w:t>
                  </w:r>
                  <w:r>
                    <w:rPr>
                      <w:rFonts w:hint="eastAsia"/>
                      <w:sz w:val="21"/>
                      <w:szCs w:val="21"/>
                      <w:lang w:val="en-US" w:eastAsia="zh-CN"/>
                    </w:rPr>
                    <w:t>项目占地为工业用地，</w:t>
                  </w:r>
                  <w:r>
                    <w:rPr>
                      <w:rFonts w:hint="eastAsia"/>
                      <w:sz w:val="21"/>
                      <w:szCs w:val="21"/>
                    </w:rPr>
                    <w:t>不会突破区域的资源利用上线，则本项目的建设对能源、水、土地等资源影响不大</w:t>
                  </w:r>
                  <w:r>
                    <w:rPr>
                      <w:sz w:val="21"/>
                      <w:szCs w:val="21"/>
                    </w:rPr>
                    <w:t>。</w:t>
                  </w:r>
                </w:p>
              </w:tc>
              <w:tc>
                <w:tcPr>
                  <w:tcW w:w="563" w:type="pct"/>
                  <w:vAlign w:val="center"/>
                </w:tcPr>
                <w:p>
                  <w:pPr>
                    <w:pStyle w:val="12"/>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2"/>
                    <w:adjustRightInd w:val="0"/>
                    <w:snapToGrid w:val="0"/>
                    <w:jc w:val="center"/>
                    <w:rPr>
                      <w:sz w:val="21"/>
                      <w:szCs w:val="21"/>
                    </w:rPr>
                  </w:pPr>
                  <w:r>
                    <w:rPr>
                      <w:sz w:val="21"/>
                      <w:szCs w:val="21"/>
                    </w:rPr>
                    <w:t>环境质</w:t>
                  </w:r>
                </w:p>
                <w:p>
                  <w:pPr>
                    <w:pStyle w:val="12"/>
                    <w:adjustRightInd w:val="0"/>
                    <w:snapToGrid w:val="0"/>
                    <w:jc w:val="center"/>
                    <w:rPr>
                      <w:sz w:val="21"/>
                      <w:szCs w:val="21"/>
                    </w:rPr>
                  </w:pPr>
                  <w:r>
                    <w:rPr>
                      <w:sz w:val="21"/>
                      <w:szCs w:val="21"/>
                    </w:rPr>
                    <w:t>量底线</w:t>
                  </w:r>
                </w:p>
              </w:tc>
              <w:tc>
                <w:tcPr>
                  <w:tcW w:w="3483" w:type="pct"/>
                  <w:vAlign w:val="center"/>
                </w:tcPr>
                <w:p>
                  <w:pPr>
                    <w:adjustRightInd w:val="0"/>
                    <w:snapToGrid w:val="0"/>
                    <w:rPr>
                      <w:szCs w:val="21"/>
                    </w:rPr>
                  </w:pPr>
                  <w:r>
                    <w:rPr>
                      <w:szCs w:val="21"/>
                    </w:rPr>
                    <w:t>根据环境质量现状监测，环境空气质量</w:t>
                  </w:r>
                  <w:r>
                    <w:rPr>
                      <w:rFonts w:hint="eastAsia"/>
                      <w:szCs w:val="21"/>
                    </w:rPr>
                    <w:t>除PM</w:t>
                  </w:r>
                  <w:r>
                    <w:rPr>
                      <w:rFonts w:hint="eastAsia"/>
                      <w:szCs w:val="21"/>
                      <w:vertAlign w:val="subscript"/>
                    </w:rPr>
                    <w:t>10</w:t>
                  </w:r>
                  <w:r>
                    <w:rPr>
                      <w:rFonts w:hint="eastAsia"/>
                      <w:szCs w:val="21"/>
                    </w:rPr>
                    <w:t>均能满足</w:t>
                  </w:r>
                  <w:r>
                    <w:rPr>
                      <w:szCs w:val="21"/>
                    </w:rPr>
                    <w:t>《环境空气质量标准》（GB3095-2012）中二级标准</w:t>
                  </w:r>
                  <w:r>
                    <w:rPr>
                      <w:rFonts w:hint="eastAsia"/>
                      <w:szCs w:val="21"/>
                    </w:rPr>
                    <w:t>，该区域为不达标区</w:t>
                  </w:r>
                  <w:r>
                    <w:rPr>
                      <w:szCs w:val="21"/>
                    </w:rPr>
                    <w:t>。</w:t>
                  </w:r>
                  <w:r>
                    <w:rPr>
                      <w:rFonts w:hint="eastAsia"/>
                      <w:szCs w:val="21"/>
                    </w:rPr>
                    <w:t>超标主要是与当地气候条件和地理位置有关，评价区大气由于受到当地干旱气候的影响，空气中PM</w:t>
                  </w:r>
                  <w:r>
                    <w:rPr>
                      <w:rFonts w:hint="eastAsia"/>
                      <w:szCs w:val="21"/>
                      <w:vertAlign w:val="subscript"/>
                    </w:rPr>
                    <w:t>10</w:t>
                  </w:r>
                  <w:r>
                    <w:rPr>
                      <w:rFonts w:hint="eastAsia"/>
                      <w:szCs w:val="21"/>
                    </w:rPr>
                    <w:t>的本底值偏高，尤其在沙尘暴和浮尘天气，会出现严重超标</w:t>
                  </w:r>
                  <w:r>
                    <w:rPr>
                      <w:szCs w:val="21"/>
                    </w:rPr>
                    <w:t>。</w:t>
                  </w:r>
                </w:p>
              </w:tc>
              <w:tc>
                <w:tcPr>
                  <w:tcW w:w="563" w:type="pct"/>
                  <w:vAlign w:val="center"/>
                </w:tcPr>
                <w:p>
                  <w:pPr>
                    <w:pStyle w:val="12"/>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2"/>
                    <w:adjustRightInd w:val="0"/>
                    <w:snapToGrid w:val="0"/>
                    <w:jc w:val="center"/>
                    <w:rPr>
                      <w:sz w:val="21"/>
                      <w:szCs w:val="21"/>
                    </w:rPr>
                  </w:pPr>
                  <w:r>
                    <w:rPr>
                      <w:rFonts w:hint="eastAsia"/>
                      <w:sz w:val="21"/>
                      <w:szCs w:val="21"/>
                    </w:rPr>
                    <w:t>生态环境</w:t>
                  </w:r>
                </w:p>
                <w:p>
                  <w:pPr>
                    <w:pStyle w:val="12"/>
                    <w:adjustRightInd w:val="0"/>
                    <w:snapToGrid w:val="0"/>
                    <w:jc w:val="center"/>
                    <w:rPr>
                      <w:sz w:val="21"/>
                      <w:szCs w:val="21"/>
                    </w:rPr>
                  </w:pPr>
                  <w:r>
                    <w:rPr>
                      <w:sz w:val="21"/>
                      <w:szCs w:val="21"/>
                    </w:rPr>
                    <w:t>准入清单</w:t>
                  </w:r>
                </w:p>
              </w:tc>
              <w:tc>
                <w:tcPr>
                  <w:tcW w:w="3483" w:type="pct"/>
                  <w:vAlign w:val="center"/>
                </w:tcPr>
                <w:p>
                  <w:pPr>
                    <w:pStyle w:val="12"/>
                    <w:adjustRightInd w:val="0"/>
                    <w:snapToGrid w:val="0"/>
                    <w:jc w:val="both"/>
                    <w:rPr>
                      <w:sz w:val="21"/>
                      <w:szCs w:val="21"/>
                    </w:rPr>
                  </w:pPr>
                  <w:r>
                    <w:rPr>
                      <w:rFonts w:hint="eastAsia"/>
                      <w:bCs/>
                      <w:sz w:val="21"/>
                      <w:szCs w:val="21"/>
                    </w:rPr>
                    <w:t>本项目符合产业政策，且项目所在地不属于《新疆维吾尔自治区28个国家重点生态功能区县（市）产业准入负面清单（试行）》以及《新疆维吾尔自治区17个新增纳入国家重点生态功能区县（市）产业准入负面清单（试行）》中准入负面清单内。</w:t>
                  </w:r>
                </w:p>
              </w:tc>
              <w:tc>
                <w:tcPr>
                  <w:tcW w:w="563" w:type="pct"/>
                  <w:vAlign w:val="center"/>
                </w:tcPr>
                <w:p>
                  <w:pPr>
                    <w:pStyle w:val="12"/>
                    <w:adjustRightInd w:val="0"/>
                    <w:snapToGrid w:val="0"/>
                    <w:jc w:val="center"/>
                    <w:rPr>
                      <w:sz w:val="21"/>
                      <w:szCs w:val="21"/>
                    </w:rPr>
                  </w:pPr>
                  <w:r>
                    <w:rPr>
                      <w:sz w:val="21"/>
                      <w:szCs w:val="21"/>
                    </w:rPr>
                    <w:t>符合</w:t>
                  </w:r>
                </w:p>
              </w:tc>
            </w:tr>
          </w:tbl>
          <w:p>
            <w:pPr>
              <w:spacing w:line="240" w:lineRule="auto"/>
              <w:jc w:val="both"/>
              <w:rPr>
                <w:rFonts w:hint="default" w:ascii="Times New Roman" w:hAnsi="Times New Roman" w:eastAsia="黑体" w:cs="Times New Roman"/>
                <w:b w:val="0"/>
                <w:bCs w:val="0"/>
                <w:color w:val="auto"/>
                <w:sz w:val="24"/>
                <w:szCs w:val="24"/>
                <w:lang w:val="en-US" w:eastAsia="zh-CN"/>
              </w:rPr>
            </w:pPr>
            <w:r>
              <w:rPr>
                <w:rFonts w:hint="eastAsia" w:eastAsia="黑体" w:cs="Times New Roman"/>
                <w:b w:val="0"/>
                <w:bCs w:val="0"/>
                <w:color w:val="auto"/>
                <w:sz w:val="24"/>
                <w:szCs w:val="24"/>
                <w:lang w:val="en-US" w:eastAsia="zh-CN"/>
              </w:rPr>
              <w:t>表1-2  七大片区-乌昌石片区三线一单管控要求符合性分析</w:t>
            </w:r>
          </w:p>
          <w:tbl>
            <w:tblPr>
              <w:tblStyle w:val="31"/>
              <w:tblW w:w="494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14"/>
              <w:gridCol w:w="1665"/>
              <w:gridCol w:w="6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3200" w:type="pct"/>
                  <w:vAlign w:val="center"/>
                </w:tcPr>
                <w:p>
                  <w:pPr>
                    <w:pStyle w:val="12"/>
                    <w:adjustRightInd w:val="0"/>
                    <w:snapToGrid w:val="0"/>
                    <w:jc w:val="center"/>
                    <w:rPr>
                      <w:sz w:val="21"/>
                      <w:szCs w:val="21"/>
                    </w:rPr>
                  </w:pPr>
                  <w:r>
                    <w:rPr>
                      <w:sz w:val="21"/>
                      <w:szCs w:val="21"/>
                    </w:rPr>
                    <w:t>内容</w:t>
                  </w:r>
                </w:p>
              </w:tc>
              <w:tc>
                <w:tcPr>
                  <w:tcW w:w="1295" w:type="pct"/>
                  <w:vAlign w:val="center"/>
                </w:tcPr>
                <w:p>
                  <w:pPr>
                    <w:pStyle w:val="12"/>
                    <w:adjustRightInd w:val="0"/>
                    <w:snapToGrid w:val="0"/>
                    <w:jc w:val="center"/>
                    <w:rPr>
                      <w:sz w:val="21"/>
                      <w:szCs w:val="21"/>
                    </w:rPr>
                  </w:pPr>
                  <w:r>
                    <w:rPr>
                      <w:sz w:val="21"/>
                      <w:szCs w:val="21"/>
                    </w:rPr>
                    <w:t>符合性分析</w:t>
                  </w:r>
                </w:p>
              </w:tc>
              <w:tc>
                <w:tcPr>
                  <w:tcW w:w="504" w:type="pct"/>
                  <w:vAlign w:val="center"/>
                </w:tcPr>
                <w:p>
                  <w:pPr>
                    <w:pStyle w:val="12"/>
                    <w:adjustRightInd w:val="0"/>
                    <w:snapToGrid w:val="0"/>
                    <w:jc w:val="center"/>
                    <w:rPr>
                      <w:sz w:val="21"/>
                      <w:szCs w:val="21"/>
                    </w:rPr>
                  </w:pPr>
                  <w:r>
                    <w:rPr>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3200" w:type="pct"/>
                  <w:vAlign w:val="center"/>
                </w:tcPr>
                <w:p>
                  <w:pPr>
                    <w:pStyle w:val="12"/>
                    <w:adjustRightInd w:val="0"/>
                    <w:snapToGrid w:val="0"/>
                    <w:jc w:val="center"/>
                    <w:rPr>
                      <w:rFonts w:hint="eastAsia"/>
                      <w:sz w:val="21"/>
                      <w:szCs w:val="21"/>
                    </w:rPr>
                  </w:pPr>
                  <w:r>
                    <w:rPr>
                      <w:rFonts w:hint="eastAsia"/>
                      <w:sz w:val="21"/>
                      <w:szCs w:val="21"/>
                    </w:rPr>
                    <w:t>除国家规划项目外，乌鲁木齐市七区一县、昌吉市、阜康市、玛纳斯县、呼图壁县、沙湾市建成区及周边敏感区域内不再布局建设煤化工、电解铝、燃煤纯发电机组、金属硅、碳化硅、聚氯乙烯（电石法）、焦炭（含半焦）等新增产能项目，具备风光电清洁供暖建设条件的区域原则上不新批热电联产项目。坚持属地负责与区域大气污染联防联控相结合，以明显降低细颗粒物浓度为重点，协同推进“乌-昌-石”区域大气环境治理，强化与生产建设兵团第六师、第八师、第十一师、第十二师的同防同治，确保区域环境空气质量持续改善。所有新建、改建、扩建工业项目执行最严格的大气污染物排放标准。强化氮氧化物深度治理。强化挥发性有机物污染防治措施。推广使用低挥发性有机物原辅料，推动有条件的园区（工业集聚区）建设集中喷涂工程中心，配备高效治污设施，替代企业独立喷涂工序。</w:t>
                  </w:r>
                </w:p>
                <w:p>
                  <w:pPr>
                    <w:pStyle w:val="12"/>
                    <w:adjustRightInd w:val="0"/>
                    <w:snapToGrid w:val="0"/>
                    <w:jc w:val="center"/>
                    <w:rPr>
                      <w:rFonts w:hint="eastAsia"/>
                      <w:sz w:val="21"/>
                      <w:szCs w:val="21"/>
                    </w:rPr>
                  </w:pPr>
                  <w:r>
                    <w:rPr>
                      <w:rFonts w:hint="eastAsia"/>
                      <w:sz w:val="21"/>
                      <w:szCs w:val="21"/>
                    </w:rPr>
                    <w:t>强化企业清洁生产改造，推进节水型企业、节水型工业园区建设，提高资源集约节约利用水平。积极推进地下水超采治理，逐步压减地下水超采量，实现地下水采补平衡。</w:t>
                  </w:r>
                </w:p>
                <w:p>
                  <w:pPr>
                    <w:pStyle w:val="12"/>
                    <w:adjustRightInd w:val="0"/>
                    <w:snapToGrid w:val="0"/>
                    <w:jc w:val="center"/>
                    <w:rPr>
                      <w:rFonts w:hint="eastAsia"/>
                      <w:sz w:val="21"/>
                      <w:szCs w:val="21"/>
                    </w:rPr>
                  </w:pPr>
                  <w:r>
                    <w:rPr>
                      <w:rFonts w:hint="eastAsia"/>
                      <w:sz w:val="21"/>
                      <w:szCs w:val="21"/>
                    </w:rPr>
                    <w:t>强化油（气）资源开发区土壤环境污染综合整治。加强涉重金属行业污染防控与工业废物处理处置。</w:t>
                  </w:r>
                </w:p>
                <w:p>
                  <w:pPr>
                    <w:pStyle w:val="12"/>
                    <w:adjustRightInd w:val="0"/>
                    <w:snapToGrid w:val="0"/>
                    <w:jc w:val="center"/>
                    <w:rPr>
                      <w:sz w:val="21"/>
                      <w:szCs w:val="21"/>
                    </w:rPr>
                  </w:pPr>
                  <w:r>
                    <w:rPr>
                      <w:rFonts w:hint="eastAsia"/>
                      <w:sz w:val="21"/>
                      <w:szCs w:val="21"/>
                    </w:rPr>
                    <w:t>煤炭、石油、天然气开发单位应当制定生态保护和恢复治理方案，并予以实施。生态保护和恢复治理方案内容应当向社会公布，接受社会监督。</w:t>
                  </w:r>
                </w:p>
              </w:tc>
              <w:tc>
                <w:tcPr>
                  <w:tcW w:w="1295" w:type="pct"/>
                  <w:vAlign w:val="center"/>
                </w:tcPr>
                <w:p>
                  <w:pPr>
                    <w:pStyle w:val="12"/>
                    <w:adjustRightInd w:val="0"/>
                    <w:snapToGrid w:val="0"/>
                    <w:jc w:val="both"/>
                    <w:rPr>
                      <w:rFonts w:hint="default" w:eastAsia="宋体"/>
                      <w:sz w:val="21"/>
                      <w:szCs w:val="21"/>
                      <w:lang w:val="en-US" w:eastAsia="zh-CN"/>
                    </w:rPr>
                  </w:pPr>
                  <w:r>
                    <w:rPr>
                      <w:rFonts w:hint="eastAsia"/>
                      <w:sz w:val="21"/>
                      <w:szCs w:val="21"/>
                      <w:lang w:val="en-US" w:eastAsia="zh-CN"/>
                    </w:rPr>
                    <w:t>本项目不属于管控要求中提及的</w:t>
                  </w:r>
                  <w:r>
                    <w:rPr>
                      <w:rFonts w:hint="eastAsia"/>
                      <w:sz w:val="21"/>
                      <w:szCs w:val="21"/>
                    </w:rPr>
                    <w:t>煤化工、电解铝、燃煤纯发电机组、金属硅、碳化硅、聚氯乙烯（电石法）、焦炭（含半焦）等</w:t>
                  </w:r>
                  <w:r>
                    <w:rPr>
                      <w:rFonts w:hint="eastAsia"/>
                      <w:sz w:val="21"/>
                      <w:szCs w:val="21"/>
                      <w:lang w:val="en-US" w:eastAsia="zh-CN"/>
                    </w:rPr>
                    <w:t>项目，本项目颗粒物排放执行</w:t>
                  </w:r>
                  <w:r>
                    <w:rPr>
                      <w:rFonts w:hint="eastAsia"/>
                      <w:sz w:val="21"/>
                      <w:szCs w:val="21"/>
                    </w:rPr>
                    <w:t>水泥工业大气污染物排放标准》（GB4915-2013）表2的大气污染物颗粒物特别排放限值</w:t>
                  </w:r>
                  <w:r>
                    <w:rPr>
                      <w:rFonts w:hint="eastAsia"/>
                      <w:sz w:val="21"/>
                      <w:szCs w:val="21"/>
                      <w:lang w:eastAsia="zh-CN"/>
                    </w:rPr>
                    <w:t>，</w:t>
                  </w:r>
                  <w:r>
                    <w:rPr>
                      <w:rFonts w:hint="eastAsia"/>
                      <w:sz w:val="21"/>
                      <w:szCs w:val="21"/>
                      <w:lang w:val="en-US" w:eastAsia="zh-CN"/>
                    </w:rPr>
                    <w:t>原料中不涉及产生挥发性有机物的原材料，符合乌昌石片区管控要求。</w:t>
                  </w:r>
                </w:p>
              </w:tc>
              <w:tc>
                <w:tcPr>
                  <w:tcW w:w="504" w:type="pct"/>
                  <w:vAlign w:val="center"/>
                </w:tcPr>
                <w:p>
                  <w:pPr>
                    <w:pStyle w:val="12"/>
                    <w:adjustRightInd w:val="0"/>
                    <w:snapToGrid w:val="0"/>
                    <w:jc w:val="center"/>
                    <w:rPr>
                      <w:sz w:val="21"/>
                      <w:szCs w:val="21"/>
                    </w:rPr>
                  </w:pPr>
                  <w:r>
                    <w:rPr>
                      <w:sz w:val="21"/>
                      <w:szCs w:val="21"/>
                    </w:rPr>
                    <w:t>符合</w:t>
                  </w:r>
                </w:p>
              </w:tc>
            </w:tr>
          </w:tbl>
          <w:p>
            <w:pPr>
              <w:spacing w:line="240" w:lineRule="auto"/>
              <w:ind w:firstLine="420"/>
              <w:jc w:val="center"/>
              <w:rPr>
                <w:rFonts w:hint="default" w:ascii="Times New Roman" w:hAnsi="Times New Roman" w:eastAsia="黑体" w:cs="Times New Roman"/>
                <w:b w:val="0"/>
                <w:bCs w:val="0"/>
                <w:color w:val="auto"/>
                <w:sz w:val="24"/>
                <w:szCs w:val="24"/>
              </w:rPr>
            </w:pPr>
            <w:r>
              <w:rPr>
                <w:rFonts w:hint="default" w:ascii="Times New Roman" w:hAnsi="Times New Roman" w:eastAsia="黑体" w:cs="Times New Roman"/>
                <w:b w:val="0"/>
                <w:bCs w:val="0"/>
                <w:color w:val="auto"/>
                <w:sz w:val="24"/>
                <w:szCs w:val="24"/>
              </w:rPr>
              <w:t>表</w:t>
            </w:r>
            <w:r>
              <w:rPr>
                <w:rFonts w:hint="eastAsia" w:ascii="Times New Roman" w:hAnsi="Times New Roman" w:eastAsia="黑体" w:cs="Times New Roman"/>
                <w:b w:val="0"/>
                <w:bCs w:val="0"/>
                <w:color w:val="auto"/>
                <w:sz w:val="24"/>
                <w:szCs w:val="24"/>
                <w:lang w:val="en-US" w:eastAsia="zh-CN"/>
              </w:rPr>
              <w:t>1-</w:t>
            </w:r>
            <w:r>
              <w:rPr>
                <w:rFonts w:hint="eastAsia" w:eastAsia="黑体" w:cs="Times New Roman"/>
                <w:b w:val="0"/>
                <w:bCs w:val="0"/>
                <w:color w:val="auto"/>
                <w:sz w:val="24"/>
                <w:szCs w:val="24"/>
                <w:lang w:val="en-US" w:eastAsia="zh-CN"/>
              </w:rPr>
              <w:t>3</w:t>
            </w:r>
            <w:r>
              <w:rPr>
                <w:rFonts w:hint="default" w:ascii="Times New Roman" w:hAnsi="Times New Roman" w:eastAsia="黑体" w:cs="Times New Roman"/>
                <w:b w:val="0"/>
                <w:bCs w:val="0"/>
                <w:color w:val="auto"/>
                <w:sz w:val="24"/>
                <w:szCs w:val="24"/>
              </w:rPr>
              <w:t xml:space="preserve"> </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阜康市</w:t>
            </w:r>
            <w:r>
              <w:rPr>
                <w:rFonts w:hint="default" w:ascii="Times New Roman" w:hAnsi="Times New Roman" w:eastAsia="黑体" w:cs="Times New Roman"/>
                <w:b w:val="0"/>
                <w:bCs w:val="0"/>
                <w:color w:val="auto"/>
                <w:sz w:val="24"/>
                <w:szCs w:val="24"/>
              </w:rPr>
              <w:t>生态环境准入清单</w:t>
            </w:r>
            <w:r>
              <w:rPr>
                <w:rFonts w:hint="eastAsia" w:ascii="Times New Roman" w:hAnsi="Times New Roman" w:eastAsia="黑体" w:cs="Times New Roman"/>
                <w:b w:val="0"/>
                <w:bCs w:val="0"/>
                <w:color w:val="auto"/>
                <w:sz w:val="24"/>
                <w:szCs w:val="24"/>
                <w:lang w:val="en-US" w:eastAsia="zh-CN"/>
              </w:rPr>
              <w:t>”</w:t>
            </w:r>
            <w:r>
              <w:rPr>
                <w:rFonts w:hint="default" w:ascii="Times New Roman" w:hAnsi="Times New Roman" w:eastAsia="黑体" w:cs="Times New Roman"/>
                <w:b w:val="0"/>
                <w:bCs w:val="0"/>
                <w:color w:val="auto"/>
                <w:sz w:val="24"/>
                <w:szCs w:val="24"/>
              </w:rPr>
              <w:t>符合性分析</w:t>
            </w:r>
          </w:p>
          <w:tbl>
            <w:tblPr>
              <w:tblStyle w:val="31"/>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22"/>
              <w:gridCol w:w="570"/>
              <w:gridCol w:w="450"/>
              <w:gridCol w:w="435"/>
              <w:gridCol w:w="2535"/>
              <w:gridCol w:w="13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17" w:hRule="atLeast"/>
                <w:jc w:val="center"/>
              </w:trPr>
              <w:tc>
                <w:tcPr>
                  <w:tcW w:w="863" w:type="pc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环境管控单元编码</w:t>
                  </w:r>
                </w:p>
              </w:tc>
              <w:tc>
                <w:tcPr>
                  <w:tcW w:w="438" w:type="pc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环境管控单元名称</w:t>
                  </w:r>
                </w:p>
              </w:tc>
              <w:tc>
                <w:tcPr>
                  <w:tcW w:w="346" w:type="pc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环境管控单元类别</w:t>
                  </w:r>
                </w:p>
              </w:tc>
              <w:tc>
                <w:tcPr>
                  <w:tcW w:w="2285" w:type="pct"/>
                  <w:gridSpan w:val="2"/>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管控要求</w:t>
                  </w:r>
                </w:p>
              </w:tc>
              <w:tc>
                <w:tcPr>
                  <w:tcW w:w="1065" w:type="pc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8" w:hRule="atLeast"/>
                <w:jc w:val="center"/>
              </w:trPr>
              <w:tc>
                <w:tcPr>
                  <w:tcW w:w="863" w:type="pct"/>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ZH65230220002</w:t>
                  </w:r>
                </w:p>
              </w:tc>
              <w:tc>
                <w:tcPr>
                  <w:tcW w:w="438" w:type="pct"/>
                  <w:vMerge w:val="restart"/>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阜康高新技术产业开发区</w:t>
                  </w:r>
                </w:p>
              </w:tc>
              <w:tc>
                <w:tcPr>
                  <w:tcW w:w="346" w:type="pct"/>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重点管控单元</w:t>
                  </w:r>
                </w:p>
              </w:tc>
              <w:tc>
                <w:tcPr>
                  <w:tcW w:w="334" w:type="pc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空间布局约束</w:t>
                  </w:r>
                </w:p>
              </w:tc>
              <w:tc>
                <w:tcPr>
                  <w:tcW w:w="1950" w:type="pct"/>
                  <w:tcBorders>
                    <w:tl2br w:val="nil"/>
                    <w:tr2bl w:val="nil"/>
                  </w:tcBorders>
                  <w:noWrap w:val="0"/>
                  <w:vAlign w:val="center"/>
                </w:tcPr>
                <w:p>
                  <w:pPr>
                    <w:pStyle w:val="98"/>
                    <w:numPr>
                      <w:ilvl w:val="0"/>
                      <w:numId w:val="4"/>
                    </w:numPr>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执行自治区、乌昌石片区总体准入要求中关于重点管控单元空间布局约束的准入要求（表2-3 A6.1、表3.4-2 B1）。</w:t>
                  </w:r>
                </w:p>
                <w:p>
                  <w:pPr>
                    <w:pStyle w:val="98"/>
                    <w:numPr>
                      <w:ilvl w:val="0"/>
                      <w:numId w:val="0"/>
                    </w:numPr>
                    <w:jc w:val="both"/>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A6.1-1】根据产业集聚区块的功能定位，建立分区差别化的产业准入条件。严格控制重要水系源头地区和重要生态功能区“高污染、高环境风险产品”工业项目准入。优化完善区域产业布局，合理规划布局“高污染、高环境风险产品”工业项目，鼓励对“高污染、高环境风险产品”工业项目进行淘汰和提升改造。合理规划居住区与工业功能区，在居住区和工业区、工业企业之间设置防护绿化隔离带。</w:t>
                  </w:r>
                </w:p>
                <w:p>
                  <w:pPr>
                    <w:pStyle w:val="98"/>
                    <w:numPr>
                      <w:ilvl w:val="0"/>
                      <w:numId w:val="0"/>
                    </w:numPr>
                    <w:jc w:val="both"/>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A6.1-2】大气环境重点管控区内：禁止引进国家和自治区明令禁止或淘汰的产业及工艺、园区规划的项目；引进符合国家产业政策和清洁生产要求的、采用先进生产工艺和设备的、自动化程度高的、具有可靠先进的污染治理技术的生产项目。</w:t>
                  </w:r>
                </w:p>
                <w:p>
                  <w:pPr>
                    <w:pStyle w:val="98"/>
                    <w:numPr>
                      <w:ilvl w:val="0"/>
                      <w:numId w:val="0"/>
                    </w:numPr>
                    <w:jc w:val="both"/>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A6.1-3】水环境重点管控区内：制定产业准入对污染排放不达标的企业限期整改，确保水污染物达标排放；加快推进生态园区建设和循环化改造，完善污水集中处理设施及再生水回用系统，加强配套管网建设，并确保稳定运行，工业废水必须经预处理达到集中处理要求后，方可进入污水集中处理设施，不断提高污水集中处理中水回用率。加强城镇配套管网建设，提高城镇生活污水出水排放标准，推进城镇生活污水深度治理，提高污水厂脱氮除磷效率。对农业污染重点管控区，推进畜禽养殖禁养区、限养区的划定，限期依法关闭或搬迁禁养区内的畜禽养殖场，对现有规模化畜禽养殖配套建设粪便污水贮存、处理、利用设施，鼓励设施农业循环发展模式，推进养殖废弃物资源化利用。控制化肥农药使用量，推进农膜回收及加工再利用，农药化肥等包装废弃物的安全收集处置设施建设，降低农业污染负荷。</w:t>
                  </w:r>
                </w:p>
                <w:p>
                  <w:pPr>
                    <w:pStyle w:val="98"/>
                    <w:numPr>
                      <w:ilvl w:val="0"/>
                      <w:numId w:val="0"/>
                    </w:numPr>
                    <w:jc w:val="both"/>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A6.1-4】土壤环境重点管控区内：引入新建产业或企业时，应结合产业发展规划，充分考虑企业类型、污染物排放特征以及外环境情况等因素，避免企业形成交叉污染；涉重金属、持久性有机物等有毒有害污染物工业企业退出用地，须经评估、治理，满足后续相应用地土壤环境质量要求。</w:t>
                  </w:r>
                </w:p>
                <w:p>
                  <w:pPr>
                    <w:pStyle w:val="98"/>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2、入园企业需符合园区产业发展定位，产业发展以新型建材、优势果品及包装货运配送产业为主导。</w:t>
                  </w:r>
                </w:p>
              </w:tc>
              <w:tc>
                <w:tcPr>
                  <w:tcW w:w="1065" w:type="pct"/>
                  <w:tcBorders>
                    <w:tl2br w:val="nil"/>
                    <w:tr2bl w:val="nil"/>
                  </w:tcBorders>
                  <w:noWrap w:val="0"/>
                  <w:vAlign w:val="center"/>
                </w:tcPr>
                <w:p>
                  <w:pPr>
                    <w:pStyle w:val="98"/>
                    <w:ind w:firstLine="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本项目为</w:t>
                  </w:r>
                  <w:r>
                    <w:rPr>
                      <w:rFonts w:hint="eastAsia" w:ascii="Times New Roman" w:hAnsi="Times New Roman" w:cs="Times New Roman"/>
                      <w:b w:val="0"/>
                      <w:bCs w:val="0"/>
                      <w:color w:val="auto"/>
                      <w:sz w:val="21"/>
                      <w:szCs w:val="21"/>
                      <w:lang w:val="en-US" w:eastAsia="zh-CN"/>
                    </w:rPr>
                    <w:t>复合保温板生产</w:t>
                  </w:r>
                  <w:r>
                    <w:rPr>
                      <w:rFonts w:hint="eastAsia" w:ascii="Times New Roman" w:hAnsi="Times New Roman" w:eastAsia="宋体" w:cs="Times New Roman"/>
                      <w:b w:val="0"/>
                      <w:bCs w:val="0"/>
                      <w:color w:val="auto"/>
                      <w:sz w:val="21"/>
                      <w:szCs w:val="21"/>
                      <w:lang w:eastAsia="zh-CN"/>
                    </w:rPr>
                    <w:t>项目</w:t>
                  </w:r>
                  <w:r>
                    <w:rPr>
                      <w:rFonts w:hint="default" w:ascii="Times New Roman" w:hAnsi="Times New Roman" w:eastAsia="宋体" w:cs="Times New Roman"/>
                      <w:b w:val="0"/>
                      <w:bCs w:val="0"/>
                      <w:color w:val="auto"/>
                      <w:sz w:val="21"/>
                      <w:szCs w:val="21"/>
                    </w:rPr>
                    <w:t>，</w:t>
                  </w:r>
                  <w:r>
                    <w:rPr>
                      <w:rFonts w:hint="eastAsia" w:ascii="Times New Roman" w:hAnsi="Times New Roman" w:cs="Times New Roman"/>
                      <w:b w:val="0"/>
                      <w:bCs w:val="0"/>
                      <w:color w:val="auto"/>
                      <w:sz w:val="21"/>
                      <w:szCs w:val="21"/>
                      <w:lang w:val="en-US" w:eastAsia="zh-CN"/>
                    </w:rPr>
                    <w:t>不属于高污染、高环境风险项目，选址位于小微企业创新区，该创新区主导产业为新型建材，本项目属于该行业，符合园区产业发展定位。本项目采用工艺不属于国家和自治区</w:t>
                  </w:r>
                  <w:r>
                    <w:rPr>
                      <w:rFonts w:hint="default" w:ascii="Times New Roman" w:hAnsi="Times New Roman" w:eastAsia="宋体" w:cs="Times New Roman"/>
                      <w:b w:val="0"/>
                      <w:bCs w:val="0"/>
                      <w:color w:val="auto"/>
                      <w:sz w:val="21"/>
                      <w:szCs w:val="21"/>
                    </w:rPr>
                    <w:t>明令禁止或淘汰的产业及工艺</w:t>
                  </w:r>
                  <w:r>
                    <w:rPr>
                      <w:rFonts w:hint="eastAsia" w:ascii="Times New Roman" w:hAnsi="Times New Roman" w:eastAsia="宋体" w:cs="Times New Roman"/>
                      <w:b w:val="0"/>
                      <w:bCs w:val="0"/>
                      <w:color w:val="auto"/>
                      <w:sz w:val="21"/>
                      <w:szCs w:val="21"/>
                      <w:lang w:eastAsia="zh-CN"/>
                    </w:rPr>
                    <w:t>，</w:t>
                  </w:r>
                  <w:r>
                    <w:rPr>
                      <w:rFonts w:hint="eastAsia" w:ascii="Times New Roman" w:hAnsi="Times New Roman" w:eastAsia="宋体" w:cs="Times New Roman"/>
                      <w:b w:val="0"/>
                      <w:bCs w:val="0"/>
                      <w:color w:val="auto"/>
                      <w:sz w:val="21"/>
                      <w:szCs w:val="21"/>
                      <w:lang w:val="en-US" w:eastAsia="zh-CN"/>
                    </w:rPr>
                    <w:t>项目运营期间，</w:t>
                  </w:r>
                  <w:r>
                    <w:rPr>
                      <w:rFonts w:hint="eastAsia" w:ascii="Times New Roman" w:hAnsi="Times New Roman" w:cs="Times New Roman"/>
                      <w:b w:val="0"/>
                      <w:bCs w:val="0"/>
                      <w:color w:val="auto"/>
                      <w:sz w:val="21"/>
                      <w:szCs w:val="21"/>
                      <w:lang w:val="en-US" w:eastAsia="zh-CN"/>
                    </w:rPr>
                    <w:t>无生产废水产生，只</w:t>
                  </w:r>
                  <w:r>
                    <w:rPr>
                      <w:rFonts w:hint="eastAsia" w:ascii="Times New Roman" w:hAnsi="Times New Roman" w:eastAsia="宋体" w:cs="Times New Roman"/>
                      <w:b w:val="0"/>
                      <w:bCs w:val="0"/>
                      <w:color w:val="auto"/>
                      <w:sz w:val="21"/>
                      <w:szCs w:val="21"/>
                      <w:lang w:val="en-US" w:eastAsia="zh-CN"/>
                    </w:rPr>
                    <w:t>会产生一定量的生活污水，排入园区下水管网，不会对当地水环境和土壤环境造成污染。</w:t>
                  </w:r>
                  <w:r>
                    <w:rPr>
                      <w:rFonts w:hint="default" w:ascii="Times New Roman" w:hAnsi="Times New Roman" w:eastAsia="宋体" w:cs="Times New Roman"/>
                      <w:b w:val="0"/>
                      <w:bCs w:val="0"/>
                      <w:color w:val="auto"/>
                      <w:sz w:val="21"/>
                      <w:szCs w:val="21"/>
                    </w:rPr>
                    <w:t>符合空间布局约束管控要求。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08" w:hRule="atLeast"/>
                <w:jc w:val="center"/>
              </w:trPr>
              <w:tc>
                <w:tcPr>
                  <w:tcW w:w="863" w:type="pct"/>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p>
              </w:tc>
              <w:tc>
                <w:tcPr>
                  <w:tcW w:w="438" w:type="pct"/>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p>
              </w:tc>
              <w:tc>
                <w:tcPr>
                  <w:tcW w:w="346" w:type="pct"/>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p>
              </w:tc>
              <w:tc>
                <w:tcPr>
                  <w:tcW w:w="334" w:type="pct"/>
                  <w:tcBorders>
                    <w:tl2br w:val="nil"/>
                    <w:tr2bl w:val="nil"/>
                  </w:tcBorders>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污染物排放管控</w:t>
                  </w:r>
                </w:p>
              </w:tc>
              <w:tc>
                <w:tcPr>
                  <w:tcW w:w="1950" w:type="pct"/>
                  <w:tcBorders>
                    <w:tl2br w:val="nil"/>
                    <w:tr2bl w:val="nil"/>
                  </w:tcBorders>
                  <w:noWrap w:val="0"/>
                  <w:vAlign w:val="center"/>
                </w:tcPr>
                <w:p>
                  <w:pPr>
                    <w:pStyle w:val="98"/>
                    <w:ind w:firstLine="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1、执行自治区、乌昌石片区总体准入要求中关于重点管控单元污染物排放管控的准入要求（表2-3 A6.2、表3.4-2 B2）。</w:t>
                  </w:r>
                </w:p>
                <w:p>
                  <w:pPr>
                    <w:pStyle w:val="98"/>
                    <w:ind w:firstLine="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A6.2-1】严格实施污染物总量控制制度，根据区域环境质量改善目标，削减污染物排放总量。新建工业项目污染物排放水平要达到同行业国内先进水平。加快落实污水处理厂建设及提升改造，推进工业园区（工业企业）污水处理综合利用设施建设，所有企业实现稳定达标排放。加强土壤和地下水污染防治与修复。</w:t>
                  </w:r>
                </w:p>
                <w:p>
                  <w:pPr>
                    <w:pStyle w:val="98"/>
                    <w:ind w:firstLine="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2、新（改、扩）建项目应执行最严格的大气污染物排放标准。</w:t>
                  </w:r>
                </w:p>
                <w:p>
                  <w:pPr>
                    <w:pStyle w:val="98"/>
                    <w:ind w:firstLine="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3、PM2.5年平均浓度不达标县市（园区），禁止新（改、扩）建未落实SO2、NOx、烟粉尘、挥发性有机物（VOCs）等四项大气污染物总量指标昌吉州区域内内倍量替代的项目。</w:t>
                  </w:r>
                </w:p>
              </w:tc>
              <w:tc>
                <w:tcPr>
                  <w:tcW w:w="1065" w:type="pct"/>
                  <w:tcBorders>
                    <w:tl2br w:val="nil"/>
                    <w:tr2bl w:val="nil"/>
                  </w:tcBorders>
                  <w:noWrap w:val="0"/>
                  <w:vAlign w:val="center"/>
                </w:tcPr>
                <w:p>
                  <w:pPr>
                    <w:pStyle w:val="98"/>
                    <w:ind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本项目生产过程中会产生粉尘，在经过本环评提出的环保措施后达</w:t>
                  </w:r>
                  <w:r>
                    <w:rPr>
                      <w:rFonts w:hint="eastAsia" w:ascii="Times New Roman" w:hAnsi="Times New Roman" w:cs="Times New Roman"/>
                      <w:b w:val="0"/>
                      <w:bCs w:val="0"/>
                      <w:color w:val="auto"/>
                      <w:sz w:val="21"/>
                      <w:szCs w:val="21"/>
                      <w:lang w:val="en-US" w:eastAsia="zh-CN"/>
                    </w:rPr>
                    <w:t>均可</w:t>
                  </w:r>
                  <w:r>
                    <w:rPr>
                      <w:rFonts w:hint="eastAsia" w:ascii="Times New Roman" w:hAnsi="Times New Roman" w:eastAsia="宋体" w:cs="Times New Roman"/>
                      <w:b w:val="0"/>
                      <w:bCs w:val="0"/>
                      <w:color w:val="auto"/>
                      <w:sz w:val="21"/>
                      <w:szCs w:val="21"/>
                      <w:lang w:eastAsia="zh-CN"/>
                    </w:rPr>
                    <w:t>标排放，</w:t>
                  </w:r>
                  <w:r>
                    <w:rPr>
                      <w:rFonts w:hint="eastAsia" w:ascii="Times New Roman" w:hAnsi="Times New Roman" w:cs="Times New Roman"/>
                      <w:b w:val="0"/>
                      <w:bCs w:val="0"/>
                      <w:color w:val="auto"/>
                      <w:sz w:val="21"/>
                      <w:szCs w:val="21"/>
                      <w:lang w:val="en-US" w:eastAsia="zh-CN"/>
                    </w:rPr>
                    <w:t>本项目执行</w:t>
                  </w:r>
                  <w:r>
                    <w:rPr>
                      <w:rFonts w:hint="eastAsia" w:ascii="Times New Roman" w:hAnsi="Times New Roman" w:eastAsia="宋体" w:cs="Times New Roman"/>
                      <w:b w:val="0"/>
                      <w:bCs w:val="0"/>
                      <w:color w:val="auto"/>
                      <w:sz w:val="21"/>
                      <w:szCs w:val="21"/>
                      <w:lang w:eastAsia="zh-CN"/>
                    </w:rPr>
                    <w:t>《水泥工业大气污染物排放标准》（GB4915-2013）表2的大气污染物颗粒物特别排放限值</w:t>
                  </w:r>
                  <w:r>
                    <w:rPr>
                      <w:rFonts w:hint="eastAsia" w:ascii="Times New Roman" w:hAnsi="Times New Roman" w:cs="Times New Roman"/>
                      <w:b w:val="0"/>
                      <w:bCs w:val="0"/>
                      <w:color w:val="auto"/>
                      <w:sz w:val="21"/>
                      <w:szCs w:val="21"/>
                      <w:lang w:eastAsia="zh-CN"/>
                    </w:rPr>
                    <w:t>；</w:t>
                  </w:r>
                  <w:r>
                    <w:rPr>
                      <w:rFonts w:hint="eastAsia" w:ascii="Times New Roman" w:hAnsi="Times New Roman" w:cs="Times New Roman"/>
                      <w:b w:val="0"/>
                      <w:bCs w:val="0"/>
                      <w:color w:val="auto"/>
                      <w:sz w:val="21"/>
                      <w:szCs w:val="21"/>
                      <w:lang w:val="en-US" w:eastAsia="zh-CN"/>
                    </w:rPr>
                    <w:t>本项目产生的颗粒物建议倍量替代总量控制指标。</w:t>
                  </w:r>
                  <w:r>
                    <w:rPr>
                      <w:rFonts w:hint="eastAsia" w:ascii="Times New Roman" w:hAnsi="Times New Roman" w:eastAsia="宋体" w:cs="Times New Roman"/>
                      <w:b w:val="0"/>
                      <w:bCs w:val="0"/>
                      <w:color w:val="auto"/>
                      <w:sz w:val="21"/>
                      <w:szCs w:val="21"/>
                      <w:lang w:eastAsia="zh-CN"/>
                    </w:rPr>
                    <w:t>符合污染物排放管控要求。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32" w:hRule="atLeast"/>
                <w:jc w:val="center"/>
              </w:trPr>
              <w:tc>
                <w:tcPr>
                  <w:tcW w:w="863" w:type="pct"/>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p>
              </w:tc>
              <w:tc>
                <w:tcPr>
                  <w:tcW w:w="438" w:type="pct"/>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p>
              </w:tc>
              <w:tc>
                <w:tcPr>
                  <w:tcW w:w="346" w:type="pct"/>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p>
              </w:tc>
              <w:tc>
                <w:tcPr>
                  <w:tcW w:w="334" w:type="pct"/>
                  <w:tcBorders>
                    <w:tl2br w:val="nil"/>
                    <w:tr2bl w:val="nil"/>
                  </w:tcBorders>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环境风险防控</w:t>
                  </w:r>
                </w:p>
              </w:tc>
              <w:tc>
                <w:tcPr>
                  <w:tcW w:w="1950" w:type="pct"/>
                  <w:tcBorders>
                    <w:tl2br w:val="nil"/>
                    <w:tr2bl w:val="nil"/>
                  </w:tcBorders>
                  <w:noWrap w:val="0"/>
                  <w:vAlign w:val="center"/>
                </w:tcPr>
                <w:p>
                  <w:pPr>
                    <w:pStyle w:val="98"/>
                    <w:numPr>
                      <w:ilvl w:val="0"/>
                      <w:numId w:val="5"/>
                    </w:numPr>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执行自治区、乌昌石片区总体准入要求中关于重点管控单元环境风险防控的准入要求（表2-3 A6.3、表3.4-2 B3）。</w:t>
                  </w:r>
                </w:p>
                <w:p>
                  <w:pPr>
                    <w:pStyle w:val="98"/>
                    <w:numPr>
                      <w:ilvl w:val="0"/>
                      <w:numId w:val="0"/>
                    </w:numPr>
                    <w:jc w:val="both"/>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A6.3-1】定期评估邻近环境敏感区的工业企业、工业集聚区环境和健康风险。强化工业集聚区企业环境风险防范设施设备建设和正常运行监管，加强重点环境风险管控企业应急预案制定，建立常态化的企业隐患排查整治监管机制，加强风险防控体系建设。</w:t>
                  </w:r>
                </w:p>
              </w:tc>
              <w:tc>
                <w:tcPr>
                  <w:tcW w:w="1065" w:type="pct"/>
                  <w:tcBorders>
                    <w:tl2br w:val="nil"/>
                    <w:tr2bl w:val="nil"/>
                  </w:tcBorders>
                  <w:noWrap w:val="0"/>
                  <w:vAlign w:val="center"/>
                </w:tcPr>
                <w:p>
                  <w:pPr>
                    <w:pStyle w:val="98"/>
                    <w:ind w:firstLine="0" w:firstLineChars="0"/>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本项目无生产废水产生，生活污水通过园区排水管网排入污水处理厂处理，污水管道管槽做防渗处理，落实错峰生产方案和重污染天气应急响应措施；本项目设备维护时会产生少量废机油，按照相关要求设立危废暂存间并委托具有处理资质的单位处理，符合环境风险管控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00" w:hRule="atLeast"/>
                <w:jc w:val="center"/>
              </w:trPr>
              <w:tc>
                <w:tcPr>
                  <w:tcW w:w="863" w:type="pct"/>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p>
              </w:tc>
              <w:tc>
                <w:tcPr>
                  <w:tcW w:w="438" w:type="pct"/>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p>
              </w:tc>
              <w:tc>
                <w:tcPr>
                  <w:tcW w:w="346" w:type="pct"/>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p>
              </w:tc>
              <w:tc>
                <w:tcPr>
                  <w:tcW w:w="334" w:type="pct"/>
                  <w:tcBorders>
                    <w:tl2br w:val="nil"/>
                    <w:tr2bl w:val="nil"/>
                  </w:tcBorders>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资源利用效率</w:t>
                  </w:r>
                </w:p>
              </w:tc>
              <w:tc>
                <w:tcPr>
                  <w:tcW w:w="1950" w:type="pct"/>
                  <w:tcBorders>
                    <w:tl2br w:val="nil"/>
                    <w:tr2bl w:val="nil"/>
                  </w:tcBorders>
                  <w:noWrap w:val="0"/>
                  <w:vAlign w:val="center"/>
                </w:tcPr>
                <w:p>
                  <w:pPr>
                    <w:pStyle w:val="98"/>
                    <w:numPr>
                      <w:ilvl w:val="0"/>
                      <w:numId w:val="6"/>
                    </w:numPr>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执行自治区、乌昌石片区总体准入要求中关于重点管控单元资源利用效率的准入要求（表2-3A6.4、表3.4-2 B4）。</w:t>
                  </w:r>
                </w:p>
                <w:p>
                  <w:pPr>
                    <w:pStyle w:val="98"/>
                    <w:numPr>
                      <w:ilvl w:val="0"/>
                      <w:numId w:val="0"/>
                    </w:numPr>
                    <w:jc w:val="both"/>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【A6.4-1】推进工业集聚区生态化改造，强化企业清洁生产改造，推进节水型企业、节水型工业园区建设，提高资源能源利用效率。</w:t>
                  </w:r>
                </w:p>
              </w:tc>
              <w:tc>
                <w:tcPr>
                  <w:tcW w:w="1065" w:type="pct"/>
                  <w:tcBorders>
                    <w:tl2br w:val="nil"/>
                    <w:tr2bl w:val="nil"/>
                  </w:tcBorders>
                  <w:noWrap w:val="0"/>
                  <w:vAlign w:val="center"/>
                </w:tcPr>
                <w:p>
                  <w:pPr>
                    <w:pStyle w:val="98"/>
                    <w:ind w:firstLine="0" w:firstLineChars="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Cs w:val="21"/>
                      <w:lang w:val="en-US" w:eastAsia="zh-CN"/>
                    </w:rPr>
                    <w:t>本项目</w:t>
                  </w:r>
                  <w:r>
                    <w:rPr>
                      <w:rFonts w:hint="eastAsia" w:ascii="Times New Roman" w:hAnsi="Times New Roman" w:cs="Times New Roman"/>
                      <w:b w:val="0"/>
                      <w:bCs w:val="0"/>
                      <w:color w:val="auto"/>
                      <w:szCs w:val="21"/>
                      <w:lang w:val="en-US" w:eastAsia="zh-CN"/>
                    </w:rPr>
                    <w:t>运营期会消耗消耗少量的电、水等资源，未突破资源利用上线。</w:t>
                  </w:r>
                  <w:r>
                    <w:rPr>
                      <w:rFonts w:hint="eastAsia" w:ascii="Times New Roman" w:hAnsi="Times New Roman" w:eastAsia="宋体" w:cs="Times New Roman"/>
                      <w:b w:val="0"/>
                      <w:bCs w:val="0"/>
                      <w:color w:val="auto"/>
                      <w:szCs w:val="21"/>
                      <w:lang w:val="en-US" w:eastAsia="zh-CN"/>
                    </w:rPr>
                    <w:t>符合自治区、乌昌石片区总体准入要求中关于重点管控单元资源利用效率的准入要求。</w:t>
                  </w:r>
                </w:p>
              </w:tc>
            </w:tr>
          </w:tbl>
          <w:p>
            <w:pPr>
              <w:autoSpaceDE w:val="0"/>
              <w:autoSpaceDN w:val="0"/>
              <w:adjustRightInd w:val="0"/>
              <w:snapToGrid w:val="0"/>
              <w:spacing w:line="520" w:lineRule="exact"/>
              <w:ind w:firstLine="482" w:firstLineChars="200"/>
              <w:rPr>
                <w:sz w:val="24"/>
              </w:rPr>
            </w:pPr>
            <w:r>
              <w:rPr>
                <w:b/>
                <w:bCs/>
                <w:sz w:val="24"/>
              </w:rPr>
              <w:t>2、产业政策符合性分析</w:t>
            </w:r>
          </w:p>
          <w:p>
            <w:pPr>
              <w:autoSpaceDE w:val="0"/>
              <w:autoSpaceDN w:val="0"/>
              <w:adjustRightInd w:val="0"/>
              <w:snapToGrid w:val="0"/>
              <w:spacing w:line="520" w:lineRule="exact"/>
              <w:ind w:firstLine="480" w:firstLineChars="200"/>
              <w:rPr>
                <w:sz w:val="24"/>
              </w:rPr>
            </w:pPr>
            <w:r>
              <w:rPr>
                <w:sz w:val="24"/>
              </w:rPr>
              <w:t>本项目为</w:t>
            </w:r>
            <w:r>
              <w:rPr>
                <w:rFonts w:hint="eastAsia"/>
                <w:sz w:val="24"/>
                <w:lang w:val="en-US" w:eastAsia="zh-CN"/>
              </w:rPr>
              <w:t>保温模板</w:t>
            </w:r>
            <w:r>
              <w:rPr>
                <w:rFonts w:hint="eastAsia"/>
                <w:sz w:val="24"/>
              </w:rPr>
              <w:t>生产</w:t>
            </w:r>
            <w:r>
              <w:rPr>
                <w:sz w:val="24"/>
              </w:rPr>
              <w:t>项目，</w:t>
            </w:r>
            <w:r>
              <w:rPr>
                <w:rFonts w:hint="eastAsia"/>
                <w:sz w:val="24"/>
              </w:rPr>
              <w:t>根据国家发改委《产业结构调整指导目录》（2019年本）属于鼓励类中“</w:t>
            </w:r>
            <w:r>
              <w:rPr>
                <w:sz w:val="24"/>
              </w:rPr>
              <w:t>十二建材</w:t>
            </w:r>
            <w:r>
              <w:rPr>
                <w:rFonts w:hint="eastAsia"/>
                <w:sz w:val="24"/>
              </w:rPr>
              <w:t>、保温、装饰等功能一体化复合板材”，</w:t>
            </w:r>
            <w:r>
              <w:rPr>
                <w:sz w:val="24"/>
              </w:rPr>
              <w:t>属于鼓励类。因此，建设项目符合国家相关产业政策</w:t>
            </w:r>
            <w:r>
              <w:rPr>
                <w:rFonts w:hint="eastAsia"/>
                <w:sz w:val="24"/>
              </w:rPr>
              <w:t>。</w:t>
            </w:r>
          </w:p>
          <w:p>
            <w:pPr>
              <w:autoSpaceDE w:val="0"/>
              <w:autoSpaceDN w:val="0"/>
              <w:adjustRightInd w:val="0"/>
              <w:snapToGrid w:val="0"/>
              <w:spacing w:line="520" w:lineRule="exact"/>
              <w:ind w:firstLine="482" w:firstLineChars="200"/>
              <w:rPr>
                <w:b/>
                <w:bCs/>
                <w:sz w:val="24"/>
              </w:rPr>
            </w:pPr>
            <w:r>
              <w:rPr>
                <w:rFonts w:hint="eastAsia"/>
                <w:b/>
                <w:bCs/>
                <w:sz w:val="24"/>
              </w:rPr>
              <w:t>3、选址合理性分析</w:t>
            </w:r>
          </w:p>
          <w:p>
            <w:pPr>
              <w:widowControl/>
              <w:tabs>
                <w:tab w:val="left" w:pos="-1800"/>
              </w:tabs>
              <w:spacing w:line="520" w:lineRule="exact"/>
              <w:ind w:firstLine="480" w:firstLineChars="200"/>
              <w:rPr>
                <w:sz w:val="24"/>
              </w:rPr>
            </w:pPr>
            <w:r>
              <w:rPr>
                <w:sz w:val="24"/>
              </w:rPr>
              <w:t>本项目位于</w:t>
            </w:r>
            <w:r>
              <w:rPr>
                <w:rFonts w:hint="eastAsia"/>
                <w:sz w:val="24"/>
              </w:rPr>
              <w:t>新疆昌吉回族自治州甘泉堡工业园区（阜康阜西产业园区）</w:t>
            </w:r>
            <w:r>
              <w:rPr>
                <w:rFonts w:hint="eastAsia" w:ascii="Times New Roman" w:hAnsi="Times New Roman" w:cs="Times New Roman"/>
                <w:sz w:val="24"/>
                <w:szCs w:val="24"/>
              </w:rPr>
              <w:t>小微企业创新区</w:t>
            </w:r>
            <w:r>
              <w:rPr>
                <w:sz w:val="24"/>
              </w:rPr>
              <w:t>，</w:t>
            </w:r>
            <w:r>
              <w:rPr>
                <w:rFonts w:hint="eastAsia"/>
                <w:sz w:val="24"/>
              </w:rPr>
              <w:t>本项目用地类型为工业用地。</w:t>
            </w:r>
            <w:r>
              <w:rPr>
                <w:sz w:val="24"/>
              </w:rPr>
              <w:t>项目区供水依托</w:t>
            </w:r>
            <w:r>
              <w:rPr>
                <w:rFonts w:hint="eastAsia"/>
                <w:sz w:val="24"/>
              </w:rPr>
              <w:t>园区</w:t>
            </w:r>
            <w:r>
              <w:rPr>
                <w:sz w:val="24"/>
              </w:rPr>
              <w:t>供水管网，</w:t>
            </w:r>
            <w:r>
              <w:rPr>
                <w:rFonts w:hint="eastAsia"/>
                <w:sz w:val="24"/>
              </w:rPr>
              <w:t>排入园区排水管网，供电依托园区电网</w:t>
            </w:r>
            <w:r>
              <w:rPr>
                <w:sz w:val="24"/>
              </w:rPr>
              <w:t>。因此，</w:t>
            </w:r>
            <w:r>
              <w:rPr>
                <w:rFonts w:hint="eastAsia"/>
                <w:sz w:val="24"/>
              </w:rPr>
              <w:t>厂区配套</w:t>
            </w:r>
            <w:r>
              <w:rPr>
                <w:sz w:val="24"/>
              </w:rPr>
              <w:t>设施完善后可基本满足本项目需求。</w:t>
            </w:r>
          </w:p>
          <w:p>
            <w:pPr>
              <w:pStyle w:val="91"/>
              <w:spacing w:line="520" w:lineRule="exact"/>
              <w:ind w:firstLine="480"/>
              <w:jc w:val="both"/>
              <w:rPr>
                <w:rFonts w:hint="eastAsia" w:eastAsia="宋体"/>
                <w:lang w:eastAsia="zh-CN"/>
              </w:rPr>
            </w:pPr>
            <w:r>
              <w:rPr>
                <w:rFonts w:hint="eastAsia"/>
              </w:rPr>
              <w:t>项目周边主要为道路和</w:t>
            </w:r>
            <w:r>
              <w:rPr>
                <w:rFonts w:hint="eastAsia"/>
                <w:lang w:val="en-US" w:eastAsia="zh-CN"/>
              </w:rPr>
              <w:t>其他企业</w:t>
            </w:r>
            <w:r>
              <w:rPr>
                <w:rFonts w:hint="eastAsia"/>
              </w:rPr>
              <w:t>，</w:t>
            </w:r>
            <w:r>
              <w:t>项目外环境相对简单，不存在明显的环境制约因素</w:t>
            </w:r>
            <w:r>
              <w:rPr>
                <w:rFonts w:hint="eastAsia"/>
              </w:rPr>
              <w:t>，不涉及环境敏感目标</w:t>
            </w:r>
            <w:r>
              <w:t>。因此本项目选址合理</w:t>
            </w:r>
            <w:r>
              <w:rPr>
                <w:rFonts w:hint="eastAsia"/>
                <w:lang w:eastAsia="zh-CN"/>
              </w:rPr>
              <w:t>。</w:t>
            </w:r>
          </w:p>
          <w:p>
            <w:pPr>
              <w:pStyle w:val="91"/>
              <w:numPr>
                <w:ilvl w:val="0"/>
                <w:numId w:val="7"/>
              </w:numPr>
              <w:spacing w:line="520" w:lineRule="exact"/>
              <w:ind w:firstLine="480"/>
              <w:jc w:val="both"/>
              <w:rPr>
                <w:rFonts w:hint="eastAsia"/>
                <w:b/>
                <w:bCs/>
                <w:lang w:val="en-US" w:eastAsia="zh-CN"/>
              </w:rPr>
            </w:pPr>
            <w:r>
              <w:rPr>
                <w:rFonts w:hint="eastAsia"/>
                <w:b/>
                <w:bCs/>
                <w:lang w:val="en-US" w:eastAsia="zh-CN"/>
              </w:rPr>
              <w:t>与《新疆生态环境保护“十四五”规划》相关符合性分析</w:t>
            </w:r>
          </w:p>
          <w:p>
            <w:pPr>
              <w:pStyle w:val="91"/>
              <w:spacing w:line="520" w:lineRule="exact"/>
              <w:ind w:firstLine="480"/>
              <w:jc w:val="both"/>
              <w:rPr>
                <w:rFonts w:hint="default" w:eastAsia="宋体"/>
                <w:sz w:val="24"/>
                <w:vertAlign w:val="baseline"/>
                <w:lang w:val="en-US" w:eastAsia="zh-CN"/>
              </w:rPr>
            </w:pPr>
            <w:r>
              <w:rPr>
                <w:rFonts w:hint="eastAsia" w:ascii="Times New Roman" w:hAnsi="Times New Roman"/>
                <w:lang w:val="en-US" w:eastAsia="zh-CN" w:bidi="ar"/>
              </w:rPr>
              <w:t>根据《新疆生态环境保护“十四五”规划》中推进扬尘精细化管控。全面推行绿色施工，充分运用新型、高效的防尘、降尘、除尘技术。加强环境噪声污染防控。加强噪声污染源监管，继续强化和深入推进交通运输噪声、建筑施工噪声、社会生活噪声、工业企业、机场周边噪声污染防治，推进工业企业噪声纳入排污许可管理。优化重点区域声环境质量监测点位，加强城市环境噪声、道路交通噪声、功能区噪声例行监测与评价，推动功能区声环境质量自动监测，强化声环境功能区管理，适时调整完善声环境功能区。继续强化噪声信访处置，畅通噪声污染投诉渠道，完善生态环境与相关部门的噪声污染投诉信息共享处理机制。本项目在运营过程中会产生废气、废水、噪声等环境污染物，废气主要为颗粒物，本项目采用布袋除尘装置，可满足</w:t>
            </w:r>
            <w:r>
              <w:rPr>
                <w:rFonts w:hint="eastAsia"/>
                <w:sz w:val="24"/>
              </w:rPr>
              <w:t>《水泥工业大气污染物排放标准》（GB4915-2013）表2的大气污染物颗粒物特别排放限值</w:t>
            </w:r>
            <w:r>
              <w:rPr>
                <w:rFonts w:hint="eastAsia"/>
                <w:sz w:val="24"/>
                <w:lang w:eastAsia="zh-CN"/>
              </w:rPr>
              <w:t>。</w:t>
            </w:r>
            <w:r>
              <w:rPr>
                <w:rFonts w:hint="eastAsia"/>
                <w:sz w:val="24"/>
                <w:lang w:val="en-US" w:eastAsia="zh-CN"/>
              </w:rPr>
              <w:t>设备噪声间墙体加设吸声、隔声材料，并安装隔声窗等措施降低噪声对周围环境影响。符合</w:t>
            </w:r>
            <w:r>
              <w:rPr>
                <w:rFonts w:hint="eastAsia" w:ascii="Times New Roman" w:hAnsi="Times New Roman"/>
                <w:lang w:val="en-US" w:eastAsia="zh-CN" w:bidi="ar"/>
              </w:rPr>
              <w:t>新疆生态环境保护“十四五”规划中相关要求。</w:t>
            </w:r>
          </w:p>
        </w:tc>
      </w:tr>
    </w:tbl>
    <w:p>
      <w:pPr>
        <w:spacing w:line="360" w:lineRule="auto"/>
        <w:outlineLvl w:val="0"/>
        <w:rPr>
          <w:rFonts w:eastAsia="黑体"/>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6"/>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6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45" w:hRule="atLeast"/>
          <w:jc w:val="center"/>
        </w:trPr>
        <w:tc>
          <w:tcPr>
            <w:tcW w:w="533" w:type="dxa"/>
            <w:vAlign w:val="center"/>
          </w:tcPr>
          <w:p>
            <w:pPr>
              <w:pStyle w:val="26"/>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建设内容</w:t>
            </w:r>
          </w:p>
        </w:tc>
        <w:tc>
          <w:tcPr>
            <w:tcW w:w="8527" w:type="dxa"/>
          </w:tcPr>
          <w:p>
            <w:pPr>
              <w:adjustRightInd w:val="0"/>
              <w:snapToGrid w:val="0"/>
              <w:spacing w:line="520" w:lineRule="exact"/>
              <w:ind w:firstLine="482" w:firstLineChars="200"/>
              <w:rPr>
                <w:b/>
                <w:sz w:val="24"/>
              </w:rPr>
            </w:pPr>
            <w:r>
              <w:rPr>
                <w:rFonts w:hint="eastAsia"/>
                <w:b/>
                <w:sz w:val="24"/>
                <w:lang w:val="en-US" w:eastAsia="zh-CN"/>
              </w:rPr>
              <w:t>1</w:t>
            </w:r>
            <w:r>
              <w:rPr>
                <w:b/>
                <w:sz w:val="24"/>
              </w:rPr>
              <w:t>、项目建设地点及周边环境概况</w:t>
            </w:r>
          </w:p>
          <w:p>
            <w:pPr>
              <w:adjustRightInd w:val="0"/>
              <w:snapToGrid w:val="0"/>
              <w:spacing w:line="520" w:lineRule="exact"/>
              <w:ind w:firstLine="480" w:firstLineChars="200"/>
              <w:rPr>
                <w:sz w:val="24"/>
              </w:rPr>
            </w:pPr>
            <w:r>
              <w:rPr>
                <w:rFonts w:hint="eastAsia"/>
                <w:sz w:val="24"/>
              </w:rPr>
              <w:t>项目位于</w:t>
            </w:r>
            <w:r>
              <w:rPr>
                <w:sz w:val="24"/>
              </w:rPr>
              <w:t>新疆昌吉</w:t>
            </w:r>
            <w:r>
              <w:rPr>
                <w:rFonts w:hint="eastAsia"/>
                <w:sz w:val="24"/>
              </w:rPr>
              <w:t>回族自治</w:t>
            </w:r>
            <w:r>
              <w:rPr>
                <w:sz w:val="24"/>
              </w:rPr>
              <w:t>州</w:t>
            </w:r>
            <w:r>
              <w:rPr>
                <w:rFonts w:hint="eastAsia"/>
                <w:sz w:val="24"/>
              </w:rPr>
              <w:t>甘泉堡工业园区（阜康阜西产业园区）</w:t>
            </w:r>
            <w:r>
              <w:rPr>
                <w:rFonts w:hint="eastAsia" w:ascii="Times New Roman" w:hAnsi="Times New Roman" w:cs="Times New Roman"/>
                <w:sz w:val="24"/>
                <w:szCs w:val="24"/>
              </w:rPr>
              <w:t>小微企业创新区</w:t>
            </w:r>
            <w:r>
              <w:rPr>
                <w:rFonts w:hint="eastAsia"/>
                <w:sz w:val="24"/>
              </w:rPr>
              <w:t>，中心地理坐标为：东经8</w:t>
            </w:r>
            <w:r>
              <w:rPr>
                <w:rFonts w:hint="eastAsia"/>
                <w:sz w:val="24"/>
                <w:lang w:val="en-US" w:eastAsia="zh-CN"/>
              </w:rPr>
              <w:t>7</w:t>
            </w:r>
            <w:r>
              <w:rPr>
                <w:sz w:val="24"/>
              </w:rPr>
              <w:t>°</w:t>
            </w:r>
            <w:r>
              <w:rPr>
                <w:rFonts w:hint="eastAsia"/>
                <w:sz w:val="24"/>
                <w:lang w:val="en-US" w:eastAsia="zh-CN"/>
              </w:rPr>
              <w:t>49</w:t>
            </w:r>
            <w:r>
              <w:rPr>
                <w:sz w:val="24"/>
              </w:rPr>
              <w:t>′</w:t>
            </w:r>
            <w:r>
              <w:rPr>
                <w:rFonts w:hint="eastAsia"/>
                <w:sz w:val="24"/>
                <w:lang w:val="en-US" w:eastAsia="zh-CN"/>
              </w:rPr>
              <w:t>13.403</w:t>
            </w:r>
            <w:r>
              <w:rPr>
                <w:sz w:val="24"/>
              </w:rPr>
              <w:t>″，</w:t>
            </w:r>
            <w:r>
              <w:rPr>
                <w:rFonts w:hint="eastAsia"/>
                <w:sz w:val="24"/>
              </w:rPr>
              <w:t>北纬44</w:t>
            </w:r>
            <w:r>
              <w:rPr>
                <w:sz w:val="24"/>
              </w:rPr>
              <w:t>°</w:t>
            </w:r>
            <w:r>
              <w:rPr>
                <w:rFonts w:hint="eastAsia"/>
                <w:sz w:val="24"/>
                <w:lang w:val="en-US" w:eastAsia="zh-CN"/>
              </w:rPr>
              <w:t>9</w:t>
            </w:r>
            <w:r>
              <w:rPr>
                <w:sz w:val="24"/>
              </w:rPr>
              <w:t>′</w:t>
            </w:r>
            <w:r>
              <w:rPr>
                <w:rFonts w:hint="eastAsia"/>
                <w:sz w:val="24"/>
                <w:lang w:val="en-US" w:eastAsia="zh-CN"/>
              </w:rPr>
              <w:t>36.088</w:t>
            </w:r>
            <w:r>
              <w:rPr>
                <w:sz w:val="24"/>
              </w:rPr>
              <w:t>″</w:t>
            </w:r>
            <w:r>
              <w:rPr>
                <w:rFonts w:hint="eastAsia"/>
                <w:sz w:val="24"/>
              </w:rPr>
              <w:t>。东侧为</w:t>
            </w:r>
            <w:r>
              <w:rPr>
                <w:rFonts w:hint="eastAsia"/>
                <w:sz w:val="24"/>
                <w:lang w:val="en-US" w:eastAsia="zh-CN"/>
              </w:rPr>
              <w:t>园区道路</w:t>
            </w:r>
            <w:r>
              <w:rPr>
                <w:rFonts w:hint="eastAsia"/>
                <w:sz w:val="24"/>
              </w:rPr>
              <w:t>，南侧为</w:t>
            </w:r>
            <w:r>
              <w:rPr>
                <w:rFonts w:hint="eastAsia"/>
                <w:sz w:val="24"/>
                <w:lang w:val="en-US" w:eastAsia="zh-CN"/>
              </w:rPr>
              <w:t>吉成仓储设备制造有限公</w:t>
            </w:r>
            <w:bookmarkStart w:id="3" w:name="_GoBack"/>
            <w:bookmarkEnd w:id="3"/>
            <w:r>
              <w:rPr>
                <w:rFonts w:hint="eastAsia"/>
                <w:sz w:val="24"/>
                <w:lang w:val="en-US" w:eastAsia="zh-CN"/>
              </w:rPr>
              <w:t>司</w:t>
            </w:r>
            <w:r>
              <w:rPr>
                <w:rFonts w:hint="eastAsia"/>
                <w:sz w:val="24"/>
              </w:rPr>
              <w:t>，</w:t>
            </w:r>
            <w:r>
              <w:rPr>
                <w:rFonts w:hint="eastAsia"/>
                <w:sz w:val="24"/>
                <w:lang w:val="en-US" w:eastAsia="zh-CN"/>
              </w:rPr>
              <w:t>西侧为新疆三维包装有限公司，</w:t>
            </w:r>
            <w:r>
              <w:rPr>
                <w:rFonts w:hint="eastAsia"/>
                <w:sz w:val="24"/>
              </w:rPr>
              <w:t>北侧为</w:t>
            </w:r>
            <w:r>
              <w:rPr>
                <w:rFonts w:hint="eastAsia"/>
                <w:sz w:val="24"/>
                <w:lang w:val="en-US" w:eastAsia="zh-CN"/>
              </w:rPr>
              <w:t>闲置厂房</w:t>
            </w:r>
            <w:r>
              <w:rPr>
                <w:rFonts w:hint="eastAsia"/>
                <w:sz w:val="24"/>
              </w:rPr>
              <w:t>。本项目用地为工业用地，项目地理位置详见附图1，项目区卫星图详见附图2。</w:t>
            </w:r>
          </w:p>
          <w:p>
            <w:pPr>
              <w:adjustRightInd w:val="0"/>
              <w:snapToGrid w:val="0"/>
              <w:spacing w:line="520" w:lineRule="exact"/>
              <w:ind w:firstLine="482" w:firstLineChars="200"/>
              <w:rPr>
                <w:b/>
                <w:sz w:val="24"/>
              </w:rPr>
            </w:pPr>
            <w:r>
              <w:rPr>
                <w:rFonts w:hint="eastAsia"/>
                <w:b/>
                <w:sz w:val="24"/>
                <w:lang w:val="en-US" w:eastAsia="zh-CN"/>
              </w:rPr>
              <w:t>2</w:t>
            </w:r>
            <w:r>
              <w:rPr>
                <w:b/>
                <w:sz w:val="24"/>
              </w:rPr>
              <w:t>、项目建设内容</w:t>
            </w:r>
          </w:p>
          <w:p>
            <w:pPr>
              <w:adjustRightInd w:val="0"/>
              <w:snapToGrid w:val="0"/>
              <w:spacing w:line="520" w:lineRule="exact"/>
              <w:ind w:firstLine="480" w:firstLineChars="200"/>
              <w:rPr>
                <w:sz w:val="24"/>
              </w:rPr>
            </w:pPr>
            <w:r>
              <w:rPr>
                <w:rFonts w:hint="eastAsia"/>
                <w:sz w:val="24"/>
                <w:lang w:val="en-US" w:eastAsia="zh-CN"/>
              </w:rPr>
              <w:t>本</w:t>
            </w:r>
            <w:r>
              <w:rPr>
                <w:sz w:val="24"/>
              </w:rPr>
              <w:t>项目</w:t>
            </w:r>
            <w:r>
              <w:rPr>
                <w:rFonts w:hint="eastAsia"/>
                <w:sz w:val="24"/>
                <w:lang w:val="en-US" w:eastAsia="zh-CN"/>
              </w:rPr>
              <w:t>租赁新疆远度通信器材有限公司现有一座厂房内</w:t>
            </w:r>
            <w:r>
              <w:rPr>
                <w:rFonts w:hint="eastAsia"/>
                <w:sz w:val="24"/>
              </w:rPr>
              <w:t>新建两条</w:t>
            </w:r>
            <w:r>
              <w:rPr>
                <w:rStyle w:val="37"/>
                <w:rFonts w:hint="eastAsia"/>
                <w:kern w:val="0"/>
                <w:sz w:val="24"/>
              </w:rPr>
              <w:t>年产</w:t>
            </w:r>
            <w:r>
              <w:rPr>
                <w:rStyle w:val="37"/>
                <w:rFonts w:hint="eastAsia"/>
                <w:kern w:val="0"/>
                <w:sz w:val="24"/>
                <w:lang w:val="en-US" w:eastAsia="zh-CN"/>
              </w:rPr>
              <w:t>60</w:t>
            </w:r>
            <w:r>
              <w:rPr>
                <w:rStyle w:val="37"/>
                <w:rFonts w:hint="eastAsia"/>
                <w:kern w:val="0"/>
                <w:sz w:val="24"/>
              </w:rPr>
              <w:t>万m</w:t>
            </w:r>
            <w:r>
              <w:rPr>
                <w:rStyle w:val="37"/>
                <w:rFonts w:hint="eastAsia"/>
                <w:kern w:val="0"/>
                <w:sz w:val="24"/>
                <w:vertAlign w:val="superscript"/>
                <w:lang w:val="en-US" w:eastAsia="zh-CN"/>
              </w:rPr>
              <w:t>2</w:t>
            </w:r>
            <w:r>
              <w:rPr>
                <w:rStyle w:val="37"/>
                <w:rFonts w:hint="eastAsia"/>
                <w:kern w:val="0"/>
                <w:sz w:val="24"/>
                <w:lang w:val="en-US" w:eastAsia="zh-CN"/>
              </w:rPr>
              <w:t>复合保温模板</w:t>
            </w:r>
            <w:r>
              <w:rPr>
                <w:rFonts w:hint="eastAsia"/>
                <w:sz w:val="24"/>
              </w:rPr>
              <w:t>。</w:t>
            </w:r>
          </w:p>
          <w:p>
            <w:pPr>
              <w:adjustRightInd w:val="0"/>
              <w:snapToGrid w:val="0"/>
              <w:spacing w:line="520" w:lineRule="exact"/>
              <w:ind w:firstLine="480" w:firstLineChars="200"/>
              <w:rPr>
                <w:sz w:val="24"/>
              </w:rPr>
            </w:pPr>
            <w:r>
              <w:rPr>
                <w:sz w:val="24"/>
              </w:rPr>
              <w:t>主要分为主体工程、辅助工程、公用工程、环保工程。工程项目组成见表2-1。</w:t>
            </w:r>
          </w:p>
          <w:p>
            <w:pPr>
              <w:pStyle w:val="61"/>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表2-1  项目建设内容组成一览表</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1503"/>
              <w:gridCol w:w="4582"/>
              <w:gridCol w:w="15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29" w:type="pct"/>
                  <w:gridSpan w:val="2"/>
                  <w:vAlign w:val="center"/>
                </w:tcPr>
                <w:p>
                  <w:pPr>
                    <w:widowControl/>
                    <w:jc w:val="center"/>
                    <w:rPr>
                      <w:kern w:val="0"/>
                      <w:szCs w:val="21"/>
                    </w:rPr>
                  </w:pPr>
                  <w:r>
                    <w:rPr>
                      <w:kern w:val="0"/>
                      <w:szCs w:val="21"/>
                    </w:rPr>
                    <w:t>项目组成</w:t>
                  </w:r>
                </w:p>
              </w:tc>
              <w:tc>
                <w:tcPr>
                  <w:tcW w:w="2731" w:type="pct"/>
                  <w:vAlign w:val="center"/>
                </w:tcPr>
                <w:p>
                  <w:pPr>
                    <w:widowControl/>
                    <w:jc w:val="center"/>
                    <w:rPr>
                      <w:kern w:val="0"/>
                      <w:szCs w:val="21"/>
                    </w:rPr>
                  </w:pPr>
                  <w:r>
                    <w:rPr>
                      <w:kern w:val="0"/>
                      <w:szCs w:val="21"/>
                    </w:rPr>
                    <w:t>工程内容及规模</w:t>
                  </w:r>
                </w:p>
              </w:tc>
              <w:tc>
                <w:tcPr>
                  <w:tcW w:w="939" w:type="pct"/>
                  <w:vAlign w:val="center"/>
                </w:tcPr>
                <w:p>
                  <w:pPr>
                    <w:widowControl/>
                    <w:jc w:val="center"/>
                    <w:rPr>
                      <w:kern w:val="0"/>
                      <w:szCs w:val="21"/>
                    </w:rPr>
                  </w:pPr>
                  <w:r>
                    <w:rPr>
                      <w:rFonts w:hint="eastAsia"/>
                      <w:kern w:val="0"/>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33" w:type="pct"/>
                  <w:vAlign w:val="center"/>
                </w:tcPr>
                <w:p>
                  <w:pPr>
                    <w:widowControl/>
                    <w:jc w:val="center"/>
                    <w:rPr>
                      <w:kern w:val="0"/>
                      <w:szCs w:val="21"/>
                    </w:rPr>
                  </w:pPr>
                  <w:r>
                    <w:rPr>
                      <w:kern w:val="0"/>
                      <w:szCs w:val="21"/>
                    </w:rPr>
                    <w:t>主体工程</w:t>
                  </w:r>
                </w:p>
              </w:tc>
              <w:tc>
                <w:tcPr>
                  <w:tcW w:w="896" w:type="pct"/>
                  <w:vAlign w:val="center"/>
                </w:tcPr>
                <w:p>
                  <w:pPr>
                    <w:widowControl/>
                    <w:jc w:val="center"/>
                    <w:rPr>
                      <w:kern w:val="0"/>
                      <w:szCs w:val="21"/>
                    </w:rPr>
                  </w:pPr>
                  <w:r>
                    <w:rPr>
                      <w:rFonts w:hint="eastAsia"/>
                      <w:kern w:val="0"/>
                      <w:szCs w:val="21"/>
                    </w:rPr>
                    <w:t>生产车间</w:t>
                  </w:r>
                </w:p>
              </w:tc>
              <w:tc>
                <w:tcPr>
                  <w:tcW w:w="2731" w:type="pct"/>
                  <w:vAlign w:val="center"/>
                </w:tcPr>
                <w:p>
                  <w:pPr>
                    <w:widowControl/>
                    <w:jc w:val="center"/>
                    <w:rPr>
                      <w:kern w:val="0"/>
                      <w:szCs w:val="21"/>
                    </w:rPr>
                  </w:pPr>
                  <w:r>
                    <w:rPr>
                      <w:rFonts w:hint="eastAsia"/>
                      <w:kern w:val="0"/>
                      <w:szCs w:val="21"/>
                      <w:lang w:val="en-US" w:eastAsia="zh-CN"/>
                    </w:rPr>
                    <w:t>租赁现有厂房，</w:t>
                  </w:r>
                  <w:r>
                    <w:rPr>
                      <w:rFonts w:hint="eastAsia"/>
                      <w:kern w:val="0"/>
                      <w:szCs w:val="21"/>
                    </w:rPr>
                    <w:t>建筑面积</w:t>
                  </w:r>
                  <w:r>
                    <w:rPr>
                      <w:rFonts w:hint="eastAsia"/>
                      <w:kern w:val="0"/>
                      <w:szCs w:val="21"/>
                      <w:lang w:val="en-US" w:eastAsia="zh-CN"/>
                    </w:rPr>
                    <w:t>2628</w:t>
                  </w:r>
                  <w:r>
                    <w:rPr>
                      <w:rFonts w:hint="eastAsia"/>
                      <w:kern w:val="0"/>
                      <w:szCs w:val="21"/>
                    </w:rPr>
                    <w:t>m</w:t>
                  </w:r>
                  <w:r>
                    <w:rPr>
                      <w:rFonts w:hint="eastAsia"/>
                      <w:kern w:val="0"/>
                      <w:szCs w:val="21"/>
                      <w:vertAlign w:val="superscript"/>
                    </w:rPr>
                    <w:t>2</w:t>
                  </w:r>
                  <w:r>
                    <w:rPr>
                      <w:rFonts w:hint="eastAsia"/>
                      <w:kern w:val="0"/>
                      <w:szCs w:val="21"/>
                    </w:rPr>
                    <w:t>，钢结构，设置</w:t>
                  </w:r>
                  <w:r>
                    <w:rPr>
                      <w:rFonts w:hint="eastAsia"/>
                      <w:kern w:val="0"/>
                      <w:szCs w:val="21"/>
                      <w:lang w:val="en-US" w:eastAsia="zh-CN"/>
                    </w:rPr>
                    <w:t>2</w:t>
                  </w:r>
                  <w:r>
                    <w:rPr>
                      <w:rFonts w:hint="eastAsia"/>
                      <w:kern w:val="0"/>
                      <w:szCs w:val="21"/>
                    </w:rPr>
                    <w:t>条</w:t>
                  </w:r>
                  <w:r>
                    <w:rPr>
                      <w:rFonts w:hint="eastAsia"/>
                      <w:kern w:val="0"/>
                      <w:szCs w:val="21"/>
                      <w:lang w:val="en-US" w:eastAsia="zh-CN"/>
                    </w:rPr>
                    <w:t>60</w:t>
                  </w:r>
                  <w:r>
                    <w:rPr>
                      <w:rFonts w:hint="eastAsia"/>
                      <w:kern w:val="0"/>
                      <w:szCs w:val="21"/>
                    </w:rPr>
                    <w:t>万m</w:t>
                  </w:r>
                  <w:r>
                    <w:rPr>
                      <w:rFonts w:hint="eastAsia"/>
                      <w:kern w:val="0"/>
                      <w:szCs w:val="21"/>
                      <w:vertAlign w:val="superscript"/>
                      <w:lang w:val="en-US" w:eastAsia="zh-CN"/>
                    </w:rPr>
                    <w:t>2</w:t>
                  </w:r>
                  <w:r>
                    <w:rPr>
                      <w:rFonts w:hint="eastAsia"/>
                      <w:kern w:val="0"/>
                      <w:szCs w:val="21"/>
                      <w:vertAlign w:val="baseline"/>
                      <w:lang w:val="en-US" w:eastAsia="zh-CN"/>
                    </w:rPr>
                    <w:t>复合保温模板</w:t>
                  </w:r>
                  <w:r>
                    <w:rPr>
                      <w:rFonts w:hint="eastAsia"/>
                      <w:kern w:val="0"/>
                      <w:szCs w:val="21"/>
                    </w:rPr>
                    <w:t>；</w:t>
                  </w:r>
                </w:p>
              </w:tc>
              <w:tc>
                <w:tcPr>
                  <w:tcW w:w="939" w:type="pct"/>
                  <w:vAlign w:val="center"/>
                </w:tcPr>
                <w:p>
                  <w:pPr>
                    <w:widowControl/>
                    <w:jc w:val="center"/>
                    <w:rPr>
                      <w:rFonts w:hint="default" w:eastAsia="宋体"/>
                      <w:kern w:val="0"/>
                      <w:szCs w:val="21"/>
                      <w:lang w:val="en-US" w:eastAsia="zh-CN"/>
                    </w:rPr>
                  </w:pPr>
                  <w:r>
                    <w:rPr>
                      <w:rFonts w:hint="eastAsia"/>
                      <w:kern w:val="0"/>
                      <w:szCs w:val="21"/>
                      <w:lang w:val="en-US" w:eastAsia="zh-CN"/>
                    </w:rPr>
                    <w:t>依托现有厂房建设生产线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33" w:type="pct"/>
                  <w:vAlign w:val="center"/>
                </w:tcPr>
                <w:p>
                  <w:pPr>
                    <w:widowControl/>
                    <w:jc w:val="center"/>
                    <w:rPr>
                      <w:kern w:val="0"/>
                      <w:szCs w:val="21"/>
                    </w:rPr>
                  </w:pPr>
                  <w:r>
                    <w:rPr>
                      <w:kern w:val="0"/>
                      <w:szCs w:val="21"/>
                    </w:rPr>
                    <w:t>辅助工程</w:t>
                  </w:r>
                </w:p>
              </w:tc>
              <w:tc>
                <w:tcPr>
                  <w:tcW w:w="896" w:type="pct"/>
                  <w:vAlign w:val="center"/>
                </w:tcPr>
                <w:p>
                  <w:pPr>
                    <w:widowControl/>
                    <w:jc w:val="center"/>
                    <w:rPr>
                      <w:rFonts w:hint="default" w:eastAsia="宋体"/>
                      <w:kern w:val="0"/>
                      <w:szCs w:val="21"/>
                      <w:lang w:val="en-US" w:eastAsia="zh-CN"/>
                    </w:rPr>
                  </w:pPr>
                  <w:r>
                    <w:rPr>
                      <w:rFonts w:hint="eastAsia"/>
                      <w:kern w:val="0"/>
                      <w:szCs w:val="21"/>
                      <w:lang w:val="en-US" w:eastAsia="zh-CN"/>
                    </w:rPr>
                    <w:t>养护场</w:t>
                  </w:r>
                </w:p>
              </w:tc>
              <w:tc>
                <w:tcPr>
                  <w:tcW w:w="2731" w:type="pct"/>
                  <w:vAlign w:val="center"/>
                </w:tcPr>
                <w:p>
                  <w:pPr>
                    <w:widowControl/>
                    <w:jc w:val="center"/>
                    <w:rPr>
                      <w:rFonts w:hint="default" w:eastAsiaTheme="minorEastAsia"/>
                      <w:kern w:val="0"/>
                      <w:szCs w:val="21"/>
                      <w:vertAlign w:val="baseline"/>
                      <w:lang w:val="en-US" w:eastAsia="zh-CN"/>
                    </w:rPr>
                  </w:pPr>
                  <w:r>
                    <w:rPr>
                      <w:rFonts w:hint="eastAsia" w:eastAsiaTheme="minorEastAsia"/>
                      <w:kern w:val="0"/>
                      <w:szCs w:val="21"/>
                      <w:lang w:val="en-US" w:eastAsia="zh-CN"/>
                    </w:rPr>
                    <w:t>位于车间内，占地面积500m</w:t>
                  </w:r>
                  <w:r>
                    <w:rPr>
                      <w:rFonts w:hint="eastAsia" w:eastAsiaTheme="minorEastAsia"/>
                      <w:kern w:val="0"/>
                      <w:szCs w:val="21"/>
                      <w:vertAlign w:val="superscript"/>
                      <w:lang w:val="en-US" w:eastAsia="zh-CN"/>
                    </w:rPr>
                    <w:t>2</w:t>
                  </w:r>
                  <w:r>
                    <w:rPr>
                      <w:rFonts w:hint="eastAsia" w:eastAsiaTheme="minorEastAsia"/>
                      <w:kern w:val="0"/>
                      <w:szCs w:val="21"/>
                      <w:vertAlign w:val="baseline"/>
                      <w:lang w:val="en-US" w:eastAsia="zh-CN"/>
                    </w:rPr>
                    <w:t>，用于自然养护复合模板；</w:t>
                  </w:r>
                </w:p>
              </w:tc>
              <w:tc>
                <w:tcPr>
                  <w:tcW w:w="939" w:type="pct"/>
                  <w:vAlign w:val="center"/>
                </w:tcPr>
                <w:p>
                  <w:pPr>
                    <w:widowControl/>
                    <w:jc w:val="center"/>
                    <w:rPr>
                      <w:rFonts w:hint="default" w:eastAsiaTheme="minorEastAsia"/>
                      <w:szCs w:val="21"/>
                      <w:lang w:val="en-US" w:eastAsia="zh-CN"/>
                    </w:rPr>
                  </w:pPr>
                  <w:r>
                    <w:rPr>
                      <w:rFonts w:hint="eastAsia" w:eastAsiaTheme="minorEastAsia"/>
                      <w:szCs w:val="21"/>
                      <w:lang w:val="en-US" w:eastAsia="zh-CN"/>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3" w:type="pct"/>
                  <w:vMerge w:val="restart"/>
                  <w:vAlign w:val="center"/>
                </w:tcPr>
                <w:p>
                  <w:pPr>
                    <w:widowControl/>
                    <w:jc w:val="center"/>
                    <w:rPr>
                      <w:kern w:val="0"/>
                      <w:szCs w:val="21"/>
                    </w:rPr>
                  </w:pPr>
                  <w:r>
                    <w:rPr>
                      <w:rFonts w:hint="eastAsia"/>
                      <w:kern w:val="0"/>
                      <w:szCs w:val="21"/>
                    </w:rPr>
                    <w:t>公用工程</w:t>
                  </w:r>
                </w:p>
              </w:tc>
              <w:tc>
                <w:tcPr>
                  <w:tcW w:w="896" w:type="pct"/>
                  <w:vAlign w:val="center"/>
                </w:tcPr>
                <w:p>
                  <w:pPr>
                    <w:widowControl/>
                    <w:jc w:val="center"/>
                    <w:rPr>
                      <w:kern w:val="0"/>
                      <w:szCs w:val="21"/>
                    </w:rPr>
                  </w:pPr>
                  <w:r>
                    <w:rPr>
                      <w:kern w:val="0"/>
                      <w:szCs w:val="21"/>
                    </w:rPr>
                    <w:t>供水</w:t>
                  </w:r>
                </w:p>
              </w:tc>
              <w:tc>
                <w:tcPr>
                  <w:tcW w:w="2731" w:type="pct"/>
                  <w:vAlign w:val="center"/>
                </w:tcPr>
                <w:p>
                  <w:pPr>
                    <w:widowControl/>
                    <w:jc w:val="center"/>
                    <w:rPr>
                      <w:kern w:val="0"/>
                      <w:szCs w:val="21"/>
                    </w:rPr>
                  </w:pPr>
                  <w:r>
                    <w:rPr>
                      <w:szCs w:val="21"/>
                    </w:rPr>
                    <w:t>项目用水由</w:t>
                  </w:r>
                  <w:r>
                    <w:rPr>
                      <w:rFonts w:hint="eastAsia"/>
                      <w:szCs w:val="21"/>
                    </w:rPr>
                    <w:t>园区</w:t>
                  </w:r>
                  <w:r>
                    <w:rPr>
                      <w:szCs w:val="21"/>
                    </w:rPr>
                    <w:t>供水管网供给</w:t>
                  </w:r>
                  <w:r>
                    <w:rPr>
                      <w:rFonts w:hint="eastAsia"/>
                      <w:szCs w:val="21"/>
                    </w:rPr>
                    <w:t>；</w:t>
                  </w:r>
                </w:p>
              </w:tc>
              <w:tc>
                <w:tcPr>
                  <w:tcW w:w="939" w:type="pct"/>
                  <w:vAlign w:val="center"/>
                </w:tcPr>
                <w:p>
                  <w:pPr>
                    <w:widowControl/>
                    <w:jc w:val="center"/>
                    <w:rPr>
                      <w:szCs w:val="21"/>
                    </w:rPr>
                  </w:pPr>
                  <w:r>
                    <w:rPr>
                      <w:rFonts w:hint="eastAsia"/>
                      <w:szCs w:val="21"/>
                    </w:rPr>
                    <w:t>依托园区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433" w:type="pct"/>
                  <w:vMerge w:val="continue"/>
                  <w:vAlign w:val="center"/>
                </w:tcPr>
                <w:p>
                  <w:pPr>
                    <w:widowControl/>
                    <w:jc w:val="center"/>
                    <w:rPr>
                      <w:kern w:val="0"/>
                      <w:szCs w:val="21"/>
                    </w:rPr>
                  </w:pPr>
                </w:p>
              </w:tc>
              <w:tc>
                <w:tcPr>
                  <w:tcW w:w="896" w:type="pct"/>
                  <w:vAlign w:val="center"/>
                </w:tcPr>
                <w:p>
                  <w:pPr>
                    <w:widowControl/>
                    <w:jc w:val="center"/>
                    <w:rPr>
                      <w:kern w:val="0"/>
                      <w:szCs w:val="21"/>
                    </w:rPr>
                  </w:pPr>
                  <w:r>
                    <w:rPr>
                      <w:kern w:val="0"/>
                      <w:szCs w:val="21"/>
                    </w:rPr>
                    <w:t>供电</w:t>
                  </w:r>
                </w:p>
              </w:tc>
              <w:tc>
                <w:tcPr>
                  <w:tcW w:w="2731" w:type="pct"/>
                  <w:vAlign w:val="center"/>
                </w:tcPr>
                <w:p>
                  <w:pPr>
                    <w:widowControl/>
                    <w:jc w:val="center"/>
                    <w:rPr>
                      <w:szCs w:val="21"/>
                    </w:rPr>
                  </w:pPr>
                  <w:r>
                    <w:rPr>
                      <w:szCs w:val="21"/>
                    </w:rPr>
                    <w:t>项目用电由</w:t>
                  </w:r>
                  <w:r>
                    <w:rPr>
                      <w:rFonts w:hint="eastAsia"/>
                      <w:szCs w:val="21"/>
                    </w:rPr>
                    <w:t>园区</w:t>
                  </w:r>
                  <w:r>
                    <w:rPr>
                      <w:szCs w:val="21"/>
                    </w:rPr>
                    <w:t>供电网供给；</w:t>
                  </w:r>
                </w:p>
              </w:tc>
              <w:tc>
                <w:tcPr>
                  <w:tcW w:w="939" w:type="pct"/>
                  <w:vAlign w:val="center"/>
                </w:tcPr>
                <w:p>
                  <w:pPr>
                    <w:widowControl/>
                    <w:jc w:val="center"/>
                    <w:rPr>
                      <w:szCs w:val="21"/>
                    </w:rPr>
                  </w:pPr>
                  <w:r>
                    <w:rPr>
                      <w:rFonts w:hint="eastAsia"/>
                      <w:szCs w:val="21"/>
                    </w:rPr>
                    <w:t>依托园区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rPr>
                      <w:kern w:val="0"/>
                      <w:szCs w:val="21"/>
                    </w:rPr>
                  </w:pPr>
                </w:p>
              </w:tc>
              <w:tc>
                <w:tcPr>
                  <w:tcW w:w="896" w:type="pct"/>
                  <w:vAlign w:val="center"/>
                </w:tcPr>
                <w:p>
                  <w:pPr>
                    <w:widowControl/>
                    <w:jc w:val="center"/>
                    <w:rPr>
                      <w:kern w:val="0"/>
                      <w:szCs w:val="21"/>
                    </w:rPr>
                  </w:pPr>
                  <w:r>
                    <w:rPr>
                      <w:rFonts w:hint="eastAsia"/>
                      <w:kern w:val="0"/>
                      <w:szCs w:val="21"/>
                    </w:rPr>
                    <w:t>排水</w:t>
                  </w:r>
                </w:p>
              </w:tc>
              <w:tc>
                <w:tcPr>
                  <w:tcW w:w="2731" w:type="pct"/>
                  <w:vAlign w:val="center"/>
                </w:tcPr>
                <w:p>
                  <w:pPr>
                    <w:widowControl/>
                    <w:jc w:val="center"/>
                    <w:rPr>
                      <w:szCs w:val="21"/>
                    </w:rPr>
                  </w:pPr>
                  <w:r>
                    <w:rPr>
                      <w:kern w:val="0"/>
                      <w:szCs w:val="21"/>
                    </w:rPr>
                    <w:t>生活污水</w:t>
                  </w:r>
                  <w:r>
                    <w:rPr>
                      <w:rFonts w:hint="eastAsia"/>
                      <w:kern w:val="0"/>
                      <w:szCs w:val="21"/>
                    </w:rPr>
                    <w:t>排入园区管网，最终进入阜康市西部城区污水处理厂，不外排</w:t>
                  </w:r>
                  <w:r>
                    <w:rPr>
                      <w:kern w:val="0"/>
                      <w:szCs w:val="21"/>
                    </w:rPr>
                    <w:t>；</w:t>
                  </w:r>
                </w:p>
              </w:tc>
              <w:tc>
                <w:tcPr>
                  <w:tcW w:w="939" w:type="pct"/>
                  <w:vAlign w:val="center"/>
                </w:tcPr>
                <w:p>
                  <w:pPr>
                    <w:widowControl/>
                    <w:jc w:val="center"/>
                    <w:rPr>
                      <w:kern w:val="0"/>
                      <w:szCs w:val="21"/>
                    </w:rPr>
                  </w:pPr>
                  <w:r>
                    <w:rPr>
                      <w:rFonts w:hint="eastAsia"/>
                      <w:szCs w:val="21"/>
                    </w:rPr>
                    <w:t>依托园区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rPr>
                      <w:kern w:val="0"/>
                      <w:szCs w:val="21"/>
                    </w:rPr>
                  </w:pPr>
                </w:p>
              </w:tc>
              <w:tc>
                <w:tcPr>
                  <w:tcW w:w="896" w:type="pct"/>
                  <w:vAlign w:val="center"/>
                </w:tcPr>
                <w:p>
                  <w:pPr>
                    <w:widowControl/>
                    <w:jc w:val="center"/>
                    <w:rPr>
                      <w:kern w:val="0"/>
                      <w:szCs w:val="21"/>
                    </w:rPr>
                  </w:pPr>
                  <w:r>
                    <w:rPr>
                      <w:rFonts w:hint="eastAsia"/>
                      <w:kern w:val="0"/>
                      <w:szCs w:val="21"/>
                    </w:rPr>
                    <w:t>供热</w:t>
                  </w:r>
                </w:p>
              </w:tc>
              <w:tc>
                <w:tcPr>
                  <w:tcW w:w="2731" w:type="pct"/>
                  <w:vAlign w:val="center"/>
                </w:tcPr>
                <w:p>
                  <w:pPr>
                    <w:widowControl/>
                    <w:jc w:val="center"/>
                    <w:rPr>
                      <w:kern w:val="0"/>
                      <w:szCs w:val="21"/>
                    </w:rPr>
                  </w:pPr>
                  <w:r>
                    <w:rPr>
                      <w:rFonts w:hint="eastAsia"/>
                    </w:rPr>
                    <w:t>冬季不生产，</w:t>
                  </w:r>
                  <w:r>
                    <w:t>管理区设置电采暖器进行采暖</w:t>
                  </w:r>
                  <w:r>
                    <w:rPr>
                      <w:rFonts w:hint="eastAsia"/>
                    </w:rPr>
                    <w:t>；</w:t>
                  </w:r>
                </w:p>
              </w:tc>
              <w:tc>
                <w:tcPr>
                  <w:tcW w:w="939" w:type="pct"/>
                  <w:vAlign w:val="center"/>
                </w:tcPr>
                <w:p>
                  <w:pPr>
                    <w:widowControl/>
                    <w:jc w:val="center"/>
                    <w:rPr>
                      <w:kern w:val="0"/>
                      <w:szCs w:val="21"/>
                    </w:rPr>
                  </w:pPr>
                  <w:r>
                    <w:rPr>
                      <w:rFonts w:hint="eastAsia"/>
                      <w:kern w:val="0"/>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33" w:type="pct"/>
                  <w:vMerge w:val="restart"/>
                  <w:vAlign w:val="center"/>
                </w:tcPr>
                <w:p>
                  <w:pPr>
                    <w:widowControl/>
                    <w:jc w:val="center"/>
                    <w:rPr>
                      <w:kern w:val="0"/>
                      <w:szCs w:val="21"/>
                    </w:rPr>
                  </w:pPr>
                  <w:r>
                    <w:rPr>
                      <w:rFonts w:hint="eastAsia"/>
                      <w:kern w:val="0"/>
                      <w:szCs w:val="21"/>
                    </w:rPr>
                    <w:t>环保工程</w:t>
                  </w:r>
                </w:p>
              </w:tc>
              <w:tc>
                <w:tcPr>
                  <w:tcW w:w="896" w:type="pct"/>
                  <w:vMerge w:val="restart"/>
                  <w:vAlign w:val="center"/>
                </w:tcPr>
                <w:p>
                  <w:pPr>
                    <w:widowControl/>
                    <w:jc w:val="center"/>
                    <w:rPr>
                      <w:kern w:val="0"/>
                      <w:szCs w:val="21"/>
                    </w:rPr>
                  </w:pPr>
                  <w:r>
                    <w:rPr>
                      <w:rFonts w:hint="eastAsia"/>
                      <w:kern w:val="0"/>
                      <w:szCs w:val="21"/>
                    </w:rPr>
                    <w:t>废气</w:t>
                  </w:r>
                </w:p>
              </w:tc>
              <w:tc>
                <w:tcPr>
                  <w:tcW w:w="2731" w:type="pct"/>
                  <w:vAlign w:val="center"/>
                </w:tcPr>
                <w:p>
                  <w:pPr>
                    <w:widowControl/>
                    <w:jc w:val="center"/>
                    <w:rPr>
                      <w:rFonts w:hint="default" w:eastAsia="宋体"/>
                      <w:kern w:val="0"/>
                      <w:szCs w:val="21"/>
                      <w:lang w:val="en-US" w:eastAsia="zh-CN"/>
                    </w:rPr>
                  </w:pPr>
                  <w:r>
                    <w:rPr>
                      <w:rFonts w:hint="eastAsia"/>
                      <w:kern w:val="0"/>
                      <w:szCs w:val="21"/>
                      <w:lang w:val="en-US" w:eastAsia="zh-CN"/>
                    </w:rPr>
                    <w:t>搅拌废气经设备自带布袋除尘装置（除尘效率99.7%）处理后通过15m排气筒（DA001）排放</w:t>
                  </w:r>
                </w:p>
              </w:tc>
              <w:tc>
                <w:tcPr>
                  <w:tcW w:w="939" w:type="pct"/>
                  <w:vAlign w:val="center"/>
                </w:tcPr>
                <w:p>
                  <w:pPr>
                    <w:widowControl/>
                    <w:jc w:val="center"/>
                    <w:rPr>
                      <w:kern w:val="0"/>
                      <w:szCs w:val="21"/>
                    </w:rPr>
                  </w:pPr>
                  <w:r>
                    <w:rPr>
                      <w:rFonts w:hint="eastAsia"/>
                      <w:kern w:val="0"/>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pPr>
                </w:p>
              </w:tc>
              <w:tc>
                <w:tcPr>
                  <w:tcW w:w="896" w:type="pct"/>
                  <w:vMerge w:val="continue"/>
                  <w:vAlign w:val="center"/>
                </w:tcPr>
                <w:p>
                  <w:pPr>
                    <w:widowControl/>
                    <w:jc w:val="center"/>
                  </w:pPr>
                </w:p>
              </w:tc>
              <w:tc>
                <w:tcPr>
                  <w:tcW w:w="2731" w:type="pct"/>
                  <w:vAlign w:val="center"/>
                </w:tcPr>
                <w:p>
                  <w:pPr>
                    <w:widowControl/>
                    <w:jc w:val="center"/>
                    <w:rPr>
                      <w:rFonts w:hint="default" w:eastAsia="宋体"/>
                      <w:kern w:val="0"/>
                      <w:szCs w:val="21"/>
                      <w:lang w:val="en-US" w:eastAsia="zh-CN"/>
                    </w:rPr>
                  </w:pPr>
                  <w:r>
                    <w:rPr>
                      <w:rFonts w:hint="eastAsia"/>
                      <w:kern w:val="0"/>
                      <w:szCs w:val="21"/>
                      <w:lang w:val="en-US" w:eastAsia="zh-CN"/>
                    </w:rPr>
                    <w:t>物料储存废气经水泥筒仓和砂石料筒仓分别自带布袋除尘设备（除尘效率99.7%）处理后通过排气口排放</w:t>
                  </w:r>
                </w:p>
              </w:tc>
              <w:tc>
                <w:tcPr>
                  <w:tcW w:w="939" w:type="pct"/>
                  <w:vAlign w:val="center"/>
                </w:tcPr>
                <w:p>
                  <w:pPr>
                    <w:widowControl/>
                    <w:jc w:val="center"/>
                    <w:rPr>
                      <w:kern w:val="0"/>
                      <w:szCs w:val="21"/>
                    </w:rPr>
                  </w:pPr>
                  <w:r>
                    <w:rPr>
                      <w:rFonts w:hint="eastAsia"/>
                      <w:kern w:val="0"/>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pPr>
                </w:p>
              </w:tc>
              <w:tc>
                <w:tcPr>
                  <w:tcW w:w="896" w:type="pct"/>
                  <w:vMerge w:val="continue"/>
                  <w:vAlign w:val="center"/>
                </w:tcPr>
                <w:p>
                  <w:pPr>
                    <w:widowControl/>
                    <w:jc w:val="center"/>
                  </w:pPr>
                </w:p>
              </w:tc>
              <w:tc>
                <w:tcPr>
                  <w:tcW w:w="2731" w:type="pct"/>
                  <w:vAlign w:val="center"/>
                </w:tcPr>
                <w:p>
                  <w:pPr>
                    <w:widowControl/>
                    <w:jc w:val="center"/>
                    <w:rPr>
                      <w:rFonts w:hint="default" w:eastAsia="宋体"/>
                      <w:kern w:val="0"/>
                      <w:szCs w:val="21"/>
                      <w:lang w:val="en-US" w:eastAsia="zh-CN"/>
                    </w:rPr>
                  </w:pPr>
                  <w:r>
                    <w:rPr>
                      <w:rFonts w:hint="eastAsia"/>
                      <w:kern w:val="0"/>
                      <w:szCs w:val="21"/>
                      <w:lang w:val="en-US" w:eastAsia="zh-CN"/>
                    </w:rPr>
                    <w:t>物料拉运路段定期清理，洒水抑尘（抑尘效率80%）减少运输扬尘的起尘量</w:t>
                  </w:r>
                </w:p>
              </w:tc>
              <w:tc>
                <w:tcPr>
                  <w:tcW w:w="939" w:type="pct"/>
                  <w:vAlign w:val="center"/>
                </w:tcPr>
                <w:p>
                  <w:pPr>
                    <w:widowControl/>
                    <w:jc w:val="center"/>
                    <w:rPr>
                      <w:rFonts w:hint="eastAsia" w:eastAsia="宋体"/>
                      <w:kern w:val="0"/>
                      <w:szCs w:val="21"/>
                      <w:lang w:eastAsia="zh-CN"/>
                    </w:rPr>
                  </w:pPr>
                  <w:r>
                    <w:rPr>
                      <w:rFonts w:hint="eastAsia"/>
                      <w:kern w:val="0"/>
                      <w:szCs w:val="21"/>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rPr>
                      <w:kern w:val="0"/>
                      <w:szCs w:val="21"/>
                    </w:rPr>
                  </w:pPr>
                </w:p>
              </w:tc>
              <w:tc>
                <w:tcPr>
                  <w:tcW w:w="896" w:type="pct"/>
                  <w:vAlign w:val="center"/>
                </w:tcPr>
                <w:p>
                  <w:pPr>
                    <w:widowControl/>
                    <w:jc w:val="center"/>
                    <w:rPr>
                      <w:kern w:val="0"/>
                      <w:szCs w:val="21"/>
                    </w:rPr>
                  </w:pPr>
                  <w:r>
                    <w:rPr>
                      <w:rFonts w:hint="eastAsia"/>
                      <w:kern w:val="0"/>
                      <w:szCs w:val="21"/>
                    </w:rPr>
                    <w:t>废水</w:t>
                  </w:r>
                </w:p>
              </w:tc>
              <w:tc>
                <w:tcPr>
                  <w:tcW w:w="2731" w:type="pct"/>
                  <w:vAlign w:val="center"/>
                </w:tcPr>
                <w:p>
                  <w:pPr>
                    <w:widowControl/>
                    <w:jc w:val="center"/>
                    <w:rPr>
                      <w:kern w:val="0"/>
                      <w:szCs w:val="21"/>
                    </w:rPr>
                  </w:pPr>
                  <w:r>
                    <w:rPr>
                      <w:rFonts w:hint="eastAsia"/>
                      <w:kern w:val="0"/>
                      <w:szCs w:val="21"/>
                    </w:rPr>
                    <w:t>生活污水排入园区排水管网，最终进入污水处理厂处理；</w:t>
                  </w:r>
                </w:p>
              </w:tc>
              <w:tc>
                <w:tcPr>
                  <w:tcW w:w="939" w:type="pct"/>
                  <w:vAlign w:val="center"/>
                </w:tcPr>
                <w:p>
                  <w:pPr>
                    <w:widowControl/>
                    <w:jc w:val="center"/>
                    <w:rPr>
                      <w:kern w:val="0"/>
                      <w:szCs w:val="21"/>
                    </w:rPr>
                  </w:pPr>
                  <w:r>
                    <w:rPr>
                      <w:rFonts w:hint="eastAsia"/>
                      <w:szCs w:val="21"/>
                    </w:rPr>
                    <w:t>依托园区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rPr>
                      <w:kern w:val="0"/>
                      <w:szCs w:val="21"/>
                    </w:rPr>
                  </w:pPr>
                </w:p>
              </w:tc>
              <w:tc>
                <w:tcPr>
                  <w:tcW w:w="896" w:type="pct"/>
                  <w:vMerge w:val="restart"/>
                  <w:vAlign w:val="center"/>
                </w:tcPr>
                <w:p>
                  <w:pPr>
                    <w:widowControl/>
                    <w:jc w:val="center"/>
                    <w:rPr>
                      <w:kern w:val="0"/>
                      <w:szCs w:val="21"/>
                    </w:rPr>
                  </w:pPr>
                  <w:r>
                    <w:rPr>
                      <w:rFonts w:hint="eastAsia"/>
                      <w:kern w:val="0"/>
                      <w:szCs w:val="21"/>
                    </w:rPr>
                    <w:t>固废</w:t>
                  </w:r>
                </w:p>
              </w:tc>
              <w:tc>
                <w:tcPr>
                  <w:tcW w:w="2731" w:type="pct"/>
                  <w:vAlign w:val="center"/>
                </w:tcPr>
                <w:p>
                  <w:pPr>
                    <w:widowControl/>
                    <w:jc w:val="center"/>
                    <w:rPr>
                      <w:kern w:val="0"/>
                      <w:szCs w:val="21"/>
                    </w:rPr>
                  </w:pPr>
                  <w:r>
                    <w:rPr>
                      <w:rFonts w:hint="eastAsia"/>
                      <w:kern w:val="0"/>
                      <w:szCs w:val="21"/>
                    </w:rPr>
                    <w:t>生活垃圾</w:t>
                  </w:r>
                  <w:r>
                    <w:rPr>
                      <w:rFonts w:hint="eastAsia"/>
                      <w:kern w:val="0"/>
                      <w:szCs w:val="21"/>
                      <w:lang w:eastAsia="zh-CN"/>
                    </w:rPr>
                    <w:t>收集于</w:t>
                  </w:r>
                  <w:r>
                    <w:rPr>
                      <w:rFonts w:hint="eastAsia"/>
                      <w:kern w:val="0"/>
                      <w:szCs w:val="21"/>
                    </w:rPr>
                    <w:t>垃圾桶，集中收集后由环卫部门统一清运；</w:t>
                  </w:r>
                </w:p>
              </w:tc>
              <w:tc>
                <w:tcPr>
                  <w:tcW w:w="939" w:type="pct"/>
                  <w:vAlign w:val="center"/>
                </w:tcPr>
                <w:p>
                  <w:pPr>
                    <w:widowControl/>
                    <w:jc w:val="center"/>
                    <w:rPr>
                      <w:kern w:val="0"/>
                      <w:szCs w:val="21"/>
                    </w:rPr>
                  </w:pPr>
                  <w:r>
                    <w:rPr>
                      <w:rFonts w:hint="eastAsia"/>
                      <w:kern w:val="0"/>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rPr>
                      <w:kern w:val="0"/>
                      <w:szCs w:val="21"/>
                    </w:rPr>
                  </w:pPr>
                </w:p>
              </w:tc>
              <w:tc>
                <w:tcPr>
                  <w:tcW w:w="896" w:type="pct"/>
                  <w:vMerge w:val="continue"/>
                  <w:vAlign w:val="center"/>
                </w:tcPr>
                <w:p>
                  <w:pPr>
                    <w:widowControl/>
                    <w:jc w:val="center"/>
                    <w:rPr>
                      <w:rFonts w:hint="eastAsia"/>
                      <w:kern w:val="0"/>
                      <w:szCs w:val="21"/>
                    </w:rPr>
                  </w:pPr>
                </w:p>
              </w:tc>
              <w:tc>
                <w:tcPr>
                  <w:tcW w:w="2731" w:type="pct"/>
                  <w:vAlign w:val="center"/>
                </w:tcPr>
                <w:p>
                  <w:pPr>
                    <w:widowControl/>
                    <w:jc w:val="center"/>
                    <w:rPr>
                      <w:rFonts w:hint="default" w:eastAsia="宋体"/>
                      <w:kern w:val="0"/>
                      <w:szCs w:val="21"/>
                      <w:lang w:val="en-US" w:eastAsia="zh-CN"/>
                    </w:rPr>
                  </w:pPr>
                  <w:r>
                    <w:rPr>
                      <w:rFonts w:hint="eastAsia"/>
                      <w:kern w:val="0"/>
                      <w:szCs w:val="21"/>
                      <w:lang w:val="en-US" w:eastAsia="zh-CN"/>
                    </w:rPr>
                    <w:t>餐厨废油</w:t>
                  </w:r>
                  <w:r>
                    <w:rPr>
                      <w:rFonts w:hint="eastAsia"/>
                      <w:kern w:val="0"/>
                      <w:szCs w:val="21"/>
                    </w:rPr>
                    <w:t>委托餐厨垃圾处理单位定期清运处置</w:t>
                  </w:r>
                  <w:r>
                    <w:rPr>
                      <w:rFonts w:hint="eastAsia"/>
                      <w:kern w:val="0"/>
                      <w:szCs w:val="21"/>
                      <w:lang w:eastAsia="zh-CN"/>
                    </w:rPr>
                    <w:t>；</w:t>
                  </w:r>
                </w:p>
              </w:tc>
              <w:tc>
                <w:tcPr>
                  <w:tcW w:w="939" w:type="pct"/>
                  <w:vAlign w:val="center"/>
                </w:tcPr>
                <w:p>
                  <w:pPr>
                    <w:widowControl/>
                    <w:jc w:val="center"/>
                    <w:rPr>
                      <w:rFonts w:hint="eastAsia" w:eastAsia="宋体"/>
                      <w:kern w:val="0"/>
                      <w:szCs w:val="21"/>
                      <w:lang w:val="en-US" w:eastAsia="zh-CN"/>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rPr>
                      <w:kern w:val="0"/>
                      <w:szCs w:val="21"/>
                    </w:rPr>
                  </w:pPr>
                </w:p>
              </w:tc>
              <w:tc>
                <w:tcPr>
                  <w:tcW w:w="896" w:type="pct"/>
                  <w:vMerge w:val="continue"/>
                  <w:vAlign w:val="center"/>
                </w:tcPr>
                <w:p>
                  <w:pPr>
                    <w:widowControl/>
                    <w:jc w:val="center"/>
                    <w:rPr>
                      <w:rFonts w:hint="eastAsia"/>
                      <w:kern w:val="0"/>
                      <w:szCs w:val="21"/>
                    </w:rPr>
                  </w:pPr>
                </w:p>
              </w:tc>
              <w:tc>
                <w:tcPr>
                  <w:tcW w:w="2731" w:type="pct"/>
                  <w:vAlign w:val="center"/>
                </w:tcPr>
                <w:p>
                  <w:pPr>
                    <w:widowControl/>
                    <w:jc w:val="center"/>
                    <w:rPr>
                      <w:rFonts w:hint="default" w:eastAsia="宋体"/>
                      <w:kern w:val="0"/>
                      <w:szCs w:val="21"/>
                      <w:lang w:val="en-US" w:eastAsia="zh-CN"/>
                    </w:rPr>
                  </w:pPr>
                  <w:r>
                    <w:rPr>
                      <w:rFonts w:hint="eastAsia"/>
                      <w:kern w:val="0"/>
                      <w:szCs w:val="21"/>
                      <w:lang w:val="en-US" w:eastAsia="zh-CN"/>
                    </w:rPr>
                    <w:t>切割产生的边角料收集后清运至一般固废填埋场进行填埋处置；</w:t>
                  </w:r>
                </w:p>
              </w:tc>
              <w:tc>
                <w:tcPr>
                  <w:tcW w:w="939" w:type="pct"/>
                  <w:vAlign w:val="center"/>
                </w:tcPr>
                <w:p>
                  <w:pPr>
                    <w:widowControl/>
                    <w:jc w:val="center"/>
                    <w:rPr>
                      <w:rFonts w:hint="eastAsia" w:eastAsia="宋体"/>
                      <w:kern w:val="0"/>
                      <w:szCs w:val="21"/>
                      <w:lang w:val="en-US" w:eastAsia="zh-CN"/>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pPr>
                </w:p>
              </w:tc>
              <w:tc>
                <w:tcPr>
                  <w:tcW w:w="896" w:type="pct"/>
                  <w:vMerge w:val="continue"/>
                  <w:vAlign w:val="center"/>
                </w:tcPr>
                <w:p>
                  <w:pPr>
                    <w:widowControl/>
                    <w:jc w:val="center"/>
                  </w:pPr>
                </w:p>
              </w:tc>
              <w:tc>
                <w:tcPr>
                  <w:tcW w:w="2731" w:type="pct"/>
                  <w:vAlign w:val="center"/>
                </w:tcPr>
                <w:p>
                  <w:pPr>
                    <w:widowControl/>
                    <w:jc w:val="center"/>
                    <w:rPr>
                      <w:rFonts w:hint="eastAsia" w:eastAsia="宋体"/>
                      <w:kern w:val="0"/>
                      <w:szCs w:val="21"/>
                      <w:lang w:eastAsia="zh-CN"/>
                    </w:rPr>
                  </w:pPr>
                  <w:r>
                    <w:rPr>
                      <w:rFonts w:hint="eastAsia"/>
                      <w:kern w:val="0"/>
                      <w:szCs w:val="21"/>
                    </w:rPr>
                    <w:t>布袋除尘收集的粉尘收集后回用于生产</w:t>
                  </w:r>
                  <w:r>
                    <w:rPr>
                      <w:rFonts w:hint="eastAsia"/>
                      <w:kern w:val="0"/>
                      <w:szCs w:val="21"/>
                      <w:lang w:eastAsia="zh-CN"/>
                    </w:rPr>
                    <w:t>；</w:t>
                  </w:r>
                </w:p>
              </w:tc>
              <w:tc>
                <w:tcPr>
                  <w:tcW w:w="939" w:type="pct"/>
                  <w:vAlign w:val="center"/>
                </w:tcPr>
                <w:p>
                  <w:pPr>
                    <w:widowControl/>
                    <w:jc w:val="center"/>
                    <w:rPr>
                      <w:kern w:val="0"/>
                      <w:szCs w:val="21"/>
                    </w:rPr>
                  </w:pPr>
                  <w:r>
                    <w:rPr>
                      <w:rFonts w:hint="eastAsia"/>
                      <w:kern w:val="0"/>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33" w:type="pct"/>
                  <w:vMerge w:val="continue"/>
                  <w:vAlign w:val="center"/>
                </w:tcPr>
                <w:p>
                  <w:pPr>
                    <w:widowControl/>
                    <w:jc w:val="center"/>
                  </w:pPr>
                </w:p>
              </w:tc>
              <w:tc>
                <w:tcPr>
                  <w:tcW w:w="896" w:type="pct"/>
                  <w:vMerge w:val="continue"/>
                  <w:vAlign w:val="center"/>
                </w:tcPr>
                <w:p>
                  <w:pPr>
                    <w:widowControl/>
                    <w:jc w:val="center"/>
                  </w:pPr>
                </w:p>
              </w:tc>
              <w:tc>
                <w:tcPr>
                  <w:tcW w:w="2731" w:type="pct"/>
                  <w:vAlign w:val="center"/>
                </w:tcPr>
                <w:p>
                  <w:pPr>
                    <w:widowControl/>
                    <w:jc w:val="center"/>
                    <w:rPr>
                      <w:kern w:val="0"/>
                      <w:szCs w:val="21"/>
                    </w:rPr>
                  </w:pPr>
                  <w:r>
                    <w:rPr>
                      <w:rFonts w:hint="eastAsia"/>
                      <w:kern w:val="0"/>
                      <w:szCs w:val="21"/>
                    </w:rPr>
                    <w:t>废机油暂存危废暂存间，委托具有处理资质的单位处置；</w:t>
                  </w:r>
                </w:p>
              </w:tc>
              <w:tc>
                <w:tcPr>
                  <w:tcW w:w="939" w:type="pct"/>
                  <w:vAlign w:val="center"/>
                </w:tcPr>
                <w:p>
                  <w:pPr>
                    <w:widowControl/>
                    <w:jc w:val="center"/>
                    <w:rPr>
                      <w:kern w:val="0"/>
                      <w:szCs w:val="21"/>
                    </w:rPr>
                  </w:pPr>
                  <w:r>
                    <w:rPr>
                      <w:rFonts w:hint="eastAsia"/>
                      <w:kern w:val="0"/>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3" w:type="pct"/>
                  <w:vMerge w:val="continue"/>
                  <w:vAlign w:val="center"/>
                </w:tcPr>
                <w:p>
                  <w:pPr>
                    <w:widowControl/>
                    <w:jc w:val="center"/>
                    <w:rPr>
                      <w:kern w:val="0"/>
                      <w:szCs w:val="21"/>
                    </w:rPr>
                  </w:pPr>
                </w:p>
              </w:tc>
              <w:tc>
                <w:tcPr>
                  <w:tcW w:w="896" w:type="pct"/>
                  <w:vAlign w:val="center"/>
                </w:tcPr>
                <w:p>
                  <w:pPr>
                    <w:widowControl/>
                    <w:jc w:val="center"/>
                    <w:rPr>
                      <w:kern w:val="0"/>
                      <w:szCs w:val="21"/>
                    </w:rPr>
                  </w:pPr>
                  <w:r>
                    <w:rPr>
                      <w:rFonts w:hint="eastAsia"/>
                      <w:kern w:val="0"/>
                      <w:szCs w:val="21"/>
                    </w:rPr>
                    <w:t>噪声</w:t>
                  </w:r>
                </w:p>
              </w:tc>
              <w:tc>
                <w:tcPr>
                  <w:tcW w:w="2731" w:type="pct"/>
                  <w:vAlign w:val="center"/>
                </w:tcPr>
                <w:p>
                  <w:pPr>
                    <w:widowControl/>
                    <w:jc w:val="center"/>
                    <w:rPr>
                      <w:kern w:val="0"/>
                      <w:szCs w:val="21"/>
                    </w:rPr>
                  </w:pPr>
                  <w:r>
                    <w:rPr>
                      <w:kern w:val="0"/>
                      <w:szCs w:val="21"/>
                    </w:rPr>
                    <w:t>选用低噪声设备，高噪声设备设置减震台，安装时使用橡胶减震垫等措施、厂房隔音等措施降噪</w:t>
                  </w:r>
                  <w:r>
                    <w:rPr>
                      <w:rFonts w:hint="eastAsia"/>
                      <w:kern w:val="0"/>
                      <w:szCs w:val="21"/>
                    </w:rPr>
                    <w:t>；</w:t>
                  </w:r>
                </w:p>
              </w:tc>
              <w:tc>
                <w:tcPr>
                  <w:tcW w:w="939" w:type="pct"/>
                  <w:vAlign w:val="center"/>
                </w:tcPr>
                <w:p>
                  <w:pPr>
                    <w:pStyle w:val="8"/>
                    <w:numPr>
                      <w:ilvl w:val="3"/>
                      <w:numId w:val="0"/>
                    </w:numPr>
                    <w:jc w:val="center"/>
                  </w:pPr>
                  <w:r>
                    <w:rPr>
                      <w:rFonts w:hint="eastAsia"/>
                      <w:kern w:val="0"/>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3" w:type="pct"/>
                  <w:vMerge w:val="restart"/>
                  <w:vAlign w:val="center"/>
                </w:tcPr>
                <w:p>
                  <w:pPr>
                    <w:widowControl/>
                    <w:jc w:val="center"/>
                    <w:rPr>
                      <w:kern w:val="0"/>
                      <w:szCs w:val="21"/>
                    </w:rPr>
                  </w:pPr>
                  <w:r>
                    <w:rPr>
                      <w:kern w:val="0"/>
                      <w:szCs w:val="21"/>
                    </w:rPr>
                    <w:t>储运工程</w:t>
                  </w:r>
                </w:p>
              </w:tc>
              <w:tc>
                <w:tcPr>
                  <w:tcW w:w="896" w:type="pct"/>
                  <w:vAlign w:val="center"/>
                </w:tcPr>
                <w:p>
                  <w:pPr>
                    <w:widowControl/>
                    <w:jc w:val="center"/>
                    <w:rPr>
                      <w:rFonts w:hint="eastAsia" w:eastAsia="宋体"/>
                      <w:kern w:val="0"/>
                      <w:szCs w:val="21"/>
                      <w:lang w:val="en-US" w:eastAsia="zh-CN"/>
                    </w:rPr>
                  </w:pPr>
                  <w:r>
                    <w:rPr>
                      <w:rFonts w:hint="eastAsia"/>
                      <w:kern w:val="0"/>
                      <w:szCs w:val="21"/>
                    </w:rPr>
                    <w:t>原料</w:t>
                  </w:r>
                  <w:r>
                    <w:rPr>
                      <w:rFonts w:hint="eastAsia"/>
                      <w:kern w:val="0"/>
                      <w:szCs w:val="21"/>
                      <w:lang w:val="en-US" w:eastAsia="zh-CN"/>
                    </w:rPr>
                    <w:t>堆场</w:t>
                  </w:r>
                </w:p>
              </w:tc>
              <w:tc>
                <w:tcPr>
                  <w:tcW w:w="2731" w:type="pct"/>
                  <w:vAlign w:val="center"/>
                </w:tcPr>
                <w:p>
                  <w:pPr>
                    <w:widowControl/>
                    <w:jc w:val="center"/>
                    <w:rPr>
                      <w:kern w:val="0"/>
                      <w:szCs w:val="21"/>
                    </w:rPr>
                  </w:pPr>
                  <w:r>
                    <w:rPr>
                      <w:rFonts w:hint="eastAsia"/>
                      <w:kern w:val="0"/>
                      <w:szCs w:val="21"/>
                    </w:rPr>
                    <w:t>建筑面积</w:t>
                  </w:r>
                  <w:r>
                    <w:rPr>
                      <w:rFonts w:hint="eastAsia"/>
                      <w:kern w:val="0"/>
                      <w:szCs w:val="21"/>
                      <w:lang w:val="en-US" w:eastAsia="zh-CN"/>
                    </w:rPr>
                    <w:t>300</w:t>
                  </w:r>
                  <w:r>
                    <w:rPr>
                      <w:rFonts w:hint="eastAsia"/>
                      <w:kern w:val="0"/>
                      <w:szCs w:val="21"/>
                    </w:rPr>
                    <w:t>m</w:t>
                  </w:r>
                  <w:r>
                    <w:rPr>
                      <w:rFonts w:hint="eastAsia"/>
                      <w:kern w:val="0"/>
                      <w:szCs w:val="21"/>
                      <w:vertAlign w:val="superscript"/>
                    </w:rPr>
                    <w:t>2</w:t>
                  </w:r>
                  <w:r>
                    <w:rPr>
                      <w:rFonts w:hint="eastAsia"/>
                      <w:kern w:val="0"/>
                      <w:szCs w:val="21"/>
                      <w:vertAlign w:val="baseline"/>
                      <w:lang w:eastAsia="zh-CN"/>
                    </w:rPr>
                    <w:t>，</w:t>
                  </w:r>
                  <w:r>
                    <w:rPr>
                      <w:rFonts w:hint="eastAsia"/>
                      <w:kern w:val="0"/>
                      <w:szCs w:val="21"/>
                      <w:vertAlign w:val="baseline"/>
                      <w:lang w:val="en-US" w:eastAsia="zh-CN"/>
                    </w:rPr>
                    <w:t>位于车间内，用于原料暂存</w:t>
                  </w:r>
                  <w:r>
                    <w:rPr>
                      <w:rFonts w:hint="eastAsia"/>
                      <w:color w:val="000000" w:themeColor="text1"/>
                      <w:kern w:val="0"/>
                      <w:szCs w:val="21"/>
                      <w14:textFill>
                        <w14:solidFill>
                          <w14:schemeClr w14:val="tx1"/>
                        </w14:solidFill>
                      </w14:textFill>
                    </w:rPr>
                    <w:t>；</w:t>
                  </w:r>
                </w:p>
              </w:tc>
              <w:tc>
                <w:tcPr>
                  <w:tcW w:w="939" w:type="pct"/>
                  <w:vAlign w:val="center"/>
                </w:tcPr>
                <w:p>
                  <w:pPr>
                    <w:widowControl/>
                    <w:jc w:val="center"/>
                    <w:rPr>
                      <w:kern w:val="0"/>
                      <w:szCs w:val="21"/>
                    </w:rPr>
                  </w:pPr>
                  <w:r>
                    <w:rPr>
                      <w:rFonts w:hint="eastAsia"/>
                      <w:kern w:val="0"/>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3" w:type="pct"/>
                  <w:vMerge w:val="continue"/>
                  <w:vAlign w:val="center"/>
                </w:tcPr>
                <w:p>
                  <w:pPr>
                    <w:widowControl/>
                    <w:jc w:val="center"/>
                    <w:rPr>
                      <w:kern w:val="0"/>
                      <w:szCs w:val="21"/>
                    </w:rPr>
                  </w:pPr>
                </w:p>
              </w:tc>
              <w:tc>
                <w:tcPr>
                  <w:tcW w:w="896" w:type="pct"/>
                  <w:vAlign w:val="center"/>
                </w:tcPr>
                <w:p>
                  <w:pPr>
                    <w:widowControl/>
                    <w:jc w:val="center"/>
                    <w:rPr>
                      <w:kern w:val="0"/>
                      <w:szCs w:val="21"/>
                    </w:rPr>
                  </w:pPr>
                  <w:r>
                    <w:rPr>
                      <w:rFonts w:hint="eastAsia"/>
                      <w:kern w:val="0"/>
                      <w:szCs w:val="21"/>
                    </w:rPr>
                    <w:t>产品堆场</w:t>
                  </w:r>
                </w:p>
              </w:tc>
              <w:tc>
                <w:tcPr>
                  <w:tcW w:w="2731" w:type="pct"/>
                  <w:vAlign w:val="center"/>
                </w:tcPr>
                <w:p>
                  <w:pPr>
                    <w:widowControl/>
                    <w:jc w:val="center"/>
                    <w:rPr>
                      <w:rFonts w:hint="default" w:eastAsia="宋体"/>
                      <w:kern w:val="0"/>
                      <w:szCs w:val="21"/>
                      <w:vertAlign w:val="baseline"/>
                      <w:lang w:val="en-US" w:eastAsia="zh-CN"/>
                    </w:rPr>
                  </w:pPr>
                  <w:r>
                    <w:rPr>
                      <w:rFonts w:hint="eastAsia"/>
                      <w:kern w:val="0"/>
                      <w:szCs w:val="21"/>
                    </w:rPr>
                    <w:t>占地面积</w:t>
                  </w:r>
                  <w:r>
                    <w:rPr>
                      <w:rFonts w:hint="eastAsia"/>
                      <w:kern w:val="0"/>
                      <w:szCs w:val="21"/>
                      <w:lang w:val="en-US" w:eastAsia="zh-CN"/>
                    </w:rPr>
                    <w:t>700</w:t>
                  </w:r>
                  <w:r>
                    <w:rPr>
                      <w:rFonts w:hint="eastAsia"/>
                      <w:kern w:val="0"/>
                      <w:szCs w:val="21"/>
                    </w:rPr>
                    <w:t>m</w:t>
                  </w:r>
                  <w:r>
                    <w:rPr>
                      <w:rFonts w:hint="eastAsia"/>
                      <w:kern w:val="0"/>
                      <w:szCs w:val="21"/>
                      <w:vertAlign w:val="superscript"/>
                    </w:rPr>
                    <w:t>2</w:t>
                  </w:r>
                  <w:r>
                    <w:rPr>
                      <w:rFonts w:hint="eastAsia"/>
                      <w:kern w:val="0"/>
                      <w:szCs w:val="21"/>
                      <w:vertAlign w:val="baseline"/>
                      <w:lang w:eastAsia="zh-CN"/>
                    </w:rPr>
                    <w:t>，</w:t>
                  </w:r>
                  <w:r>
                    <w:rPr>
                      <w:rFonts w:hint="eastAsia"/>
                      <w:kern w:val="0"/>
                      <w:szCs w:val="21"/>
                      <w:vertAlign w:val="baseline"/>
                      <w:lang w:val="en-US" w:eastAsia="zh-CN"/>
                    </w:rPr>
                    <w:t>位于车间内，用于堆放成品；</w:t>
                  </w:r>
                </w:p>
              </w:tc>
              <w:tc>
                <w:tcPr>
                  <w:tcW w:w="939" w:type="pct"/>
                  <w:vAlign w:val="center"/>
                </w:tcPr>
                <w:p>
                  <w:pPr>
                    <w:widowControl/>
                    <w:jc w:val="center"/>
                    <w:rPr>
                      <w:kern w:val="0"/>
                      <w:szCs w:val="21"/>
                    </w:rPr>
                  </w:pPr>
                  <w:r>
                    <w:rPr>
                      <w:rFonts w:hint="eastAsia"/>
                      <w:kern w:val="0"/>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3" w:type="pct"/>
                  <w:vAlign w:val="center"/>
                </w:tcPr>
                <w:p>
                  <w:pPr>
                    <w:widowControl/>
                    <w:jc w:val="center"/>
                    <w:rPr>
                      <w:kern w:val="0"/>
                      <w:szCs w:val="21"/>
                    </w:rPr>
                  </w:pPr>
                  <w:r>
                    <w:rPr>
                      <w:rFonts w:hint="eastAsia"/>
                      <w:kern w:val="0"/>
                      <w:szCs w:val="21"/>
                    </w:rPr>
                    <w:t>依托</w:t>
                  </w:r>
                  <w:r>
                    <w:rPr>
                      <w:kern w:val="0"/>
                      <w:szCs w:val="21"/>
                    </w:rPr>
                    <w:t>工程</w:t>
                  </w:r>
                </w:p>
              </w:tc>
              <w:tc>
                <w:tcPr>
                  <w:tcW w:w="896" w:type="pct"/>
                  <w:vAlign w:val="center"/>
                </w:tcPr>
                <w:p>
                  <w:pPr>
                    <w:widowControl/>
                    <w:jc w:val="center"/>
                    <w:rPr>
                      <w:rFonts w:hint="default" w:eastAsia="宋体"/>
                      <w:kern w:val="0"/>
                      <w:szCs w:val="21"/>
                      <w:lang w:val="en-US" w:eastAsia="zh-CN"/>
                    </w:rPr>
                  </w:pPr>
                  <w:r>
                    <w:rPr>
                      <w:rFonts w:hint="eastAsia"/>
                      <w:kern w:val="0"/>
                      <w:szCs w:val="21"/>
                      <w:lang w:val="en-US" w:eastAsia="zh-CN"/>
                    </w:rPr>
                    <w:t>办公室、宿舍、食堂</w:t>
                  </w:r>
                </w:p>
              </w:tc>
              <w:tc>
                <w:tcPr>
                  <w:tcW w:w="2731" w:type="pct"/>
                  <w:vAlign w:val="center"/>
                </w:tcPr>
                <w:p>
                  <w:pPr>
                    <w:widowControl/>
                    <w:jc w:val="center"/>
                    <w:rPr>
                      <w:rFonts w:hint="default" w:eastAsia="宋体"/>
                      <w:kern w:val="0"/>
                      <w:szCs w:val="21"/>
                      <w:lang w:val="en-US" w:eastAsia="zh-CN"/>
                    </w:rPr>
                  </w:pPr>
                  <w:r>
                    <w:rPr>
                      <w:rFonts w:hint="eastAsia"/>
                      <w:kern w:val="0"/>
                      <w:szCs w:val="21"/>
                      <w:lang w:val="en-US" w:eastAsia="zh-CN"/>
                    </w:rPr>
                    <w:t>租赁厂区内现有办公室、食堂、宿舍用于员工日常办公、生活及休息。</w:t>
                  </w:r>
                </w:p>
              </w:tc>
              <w:tc>
                <w:tcPr>
                  <w:tcW w:w="939" w:type="pct"/>
                  <w:vAlign w:val="center"/>
                </w:tcPr>
                <w:p>
                  <w:pPr>
                    <w:widowControl/>
                    <w:jc w:val="center"/>
                    <w:rPr>
                      <w:rFonts w:hint="default" w:eastAsia="宋体"/>
                      <w:kern w:val="0"/>
                      <w:szCs w:val="21"/>
                      <w:lang w:val="en-US" w:eastAsia="zh-CN"/>
                    </w:rPr>
                  </w:pPr>
                  <w:r>
                    <w:rPr>
                      <w:rFonts w:hint="eastAsia"/>
                      <w:kern w:val="0"/>
                      <w:szCs w:val="21"/>
                      <w:lang w:val="en-US" w:eastAsia="zh-CN"/>
                    </w:rPr>
                    <w:t>依托现有厂房</w:t>
                  </w:r>
                </w:p>
              </w:tc>
            </w:tr>
          </w:tbl>
          <w:p>
            <w:pPr>
              <w:adjustRightInd w:val="0"/>
              <w:snapToGrid w:val="0"/>
              <w:spacing w:line="520" w:lineRule="exact"/>
              <w:ind w:firstLine="482" w:firstLineChars="200"/>
              <w:rPr>
                <w:b/>
                <w:bCs/>
                <w:sz w:val="24"/>
              </w:rPr>
            </w:pPr>
            <w:r>
              <w:rPr>
                <w:rFonts w:hint="eastAsia"/>
                <w:b/>
                <w:bCs/>
                <w:sz w:val="24"/>
                <w:lang w:val="en-US" w:eastAsia="zh-CN"/>
              </w:rPr>
              <w:t>3</w:t>
            </w:r>
            <w:r>
              <w:rPr>
                <w:rFonts w:hint="eastAsia"/>
                <w:b/>
                <w:bCs/>
                <w:sz w:val="24"/>
              </w:rPr>
              <w:t>、主要产品</w:t>
            </w:r>
          </w:p>
          <w:p>
            <w:pPr>
              <w:adjustRightInd w:val="0"/>
              <w:snapToGrid w:val="0"/>
              <w:spacing w:line="520" w:lineRule="exact"/>
              <w:ind w:firstLine="480" w:firstLineChars="200"/>
              <w:rPr>
                <w:sz w:val="24"/>
              </w:rPr>
            </w:pPr>
            <w:r>
              <w:rPr>
                <w:rFonts w:hint="eastAsia"/>
                <w:sz w:val="24"/>
              </w:rPr>
              <w:t>本项目两条生产线设计年产</w:t>
            </w:r>
            <w:r>
              <w:rPr>
                <w:rFonts w:hint="eastAsia"/>
                <w:sz w:val="24"/>
                <w:lang w:val="en-US" w:eastAsia="zh-CN"/>
              </w:rPr>
              <w:t>60</w:t>
            </w:r>
            <w:r>
              <w:rPr>
                <w:rFonts w:hint="eastAsia"/>
                <w:sz w:val="24"/>
              </w:rPr>
              <w:t>万m</w:t>
            </w:r>
            <w:r>
              <w:rPr>
                <w:rFonts w:hint="eastAsia"/>
                <w:sz w:val="24"/>
                <w:vertAlign w:val="superscript"/>
                <w:lang w:val="en-US" w:eastAsia="zh-CN"/>
              </w:rPr>
              <w:t>2</w:t>
            </w:r>
            <w:r>
              <w:rPr>
                <w:rStyle w:val="37"/>
                <w:rFonts w:hint="eastAsia"/>
                <w:kern w:val="0"/>
                <w:sz w:val="24"/>
                <w:lang w:val="en-US" w:eastAsia="zh-CN"/>
              </w:rPr>
              <w:t>复合保温模板</w:t>
            </w:r>
            <w:r>
              <w:rPr>
                <w:rFonts w:hint="eastAsia"/>
                <w:sz w:val="24"/>
              </w:rPr>
              <w:t>。</w:t>
            </w:r>
          </w:p>
          <w:p>
            <w:pPr>
              <w:adjustRightInd w:val="0"/>
              <w:snapToGrid w:val="0"/>
              <w:spacing w:line="520" w:lineRule="exact"/>
              <w:ind w:firstLine="482" w:firstLineChars="200"/>
              <w:rPr>
                <w:b/>
                <w:bCs/>
                <w:sz w:val="24"/>
              </w:rPr>
            </w:pPr>
            <w:r>
              <w:rPr>
                <w:rFonts w:hint="eastAsia"/>
                <w:b/>
                <w:bCs/>
                <w:sz w:val="24"/>
                <w:lang w:val="en-US" w:eastAsia="zh-CN"/>
              </w:rPr>
              <w:t>4</w:t>
            </w:r>
            <w:r>
              <w:rPr>
                <w:b/>
                <w:bCs/>
                <w:sz w:val="24"/>
              </w:rPr>
              <w:t>、</w:t>
            </w:r>
            <w:r>
              <w:rPr>
                <w:rFonts w:hint="eastAsia"/>
                <w:b/>
                <w:bCs/>
                <w:sz w:val="24"/>
              </w:rPr>
              <w:t>主要生产单元及主要工艺</w:t>
            </w:r>
          </w:p>
          <w:p>
            <w:pPr>
              <w:adjustRightInd w:val="0"/>
              <w:snapToGrid w:val="0"/>
              <w:spacing w:line="520" w:lineRule="exact"/>
              <w:ind w:firstLine="482" w:firstLineChars="200"/>
              <w:rPr>
                <w:sz w:val="24"/>
              </w:rPr>
            </w:pPr>
            <w:r>
              <w:rPr>
                <w:rFonts w:hint="eastAsia"/>
                <w:b/>
                <w:bCs/>
                <w:sz w:val="24"/>
              </w:rPr>
              <w:t>主要生产单元</w:t>
            </w:r>
            <w:r>
              <w:rPr>
                <w:rFonts w:hint="eastAsia"/>
                <w:sz w:val="24"/>
              </w:rPr>
              <w:t>：两条</w:t>
            </w:r>
            <w:r>
              <w:rPr>
                <w:rStyle w:val="37"/>
                <w:rFonts w:hint="eastAsia"/>
                <w:kern w:val="0"/>
                <w:sz w:val="24"/>
                <w:lang w:val="en-US" w:eastAsia="zh-CN"/>
              </w:rPr>
              <w:t>复合保温模板</w:t>
            </w:r>
            <w:r>
              <w:rPr>
                <w:rFonts w:hint="eastAsia"/>
                <w:sz w:val="24"/>
              </w:rPr>
              <w:t>生产线。</w:t>
            </w:r>
          </w:p>
          <w:p>
            <w:pPr>
              <w:adjustRightInd w:val="0"/>
              <w:snapToGrid w:val="0"/>
              <w:spacing w:line="520" w:lineRule="exact"/>
              <w:ind w:firstLine="482" w:firstLineChars="200"/>
              <w:rPr>
                <w:b/>
                <w:bCs/>
                <w:sz w:val="24"/>
              </w:rPr>
            </w:pPr>
            <w:r>
              <w:rPr>
                <w:rFonts w:hint="eastAsia"/>
                <w:b/>
                <w:bCs/>
                <w:sz w:val="24"/>
              </w:rPr>
              <w:t>主要工艺：</w:t>
            </w:r>
            <w:r>
              <w:rPr>
                <w:rFonts w:hint="eastAsia"/>
                <w:sz w:val="24"/>
              </w:rPr>
              <w:t>本项目为</w:t>
            </w:r>
            <w:r>
              <w:rPr>
                <w:rFonts w:hint="eastAsia"/>
                <w:sz w:val="24"/>
                <w:lang w:val="en-US" w:eastAsia="zh-CN"/>
              </w:rPr>
              <w:t>复合保温模板生产</w:t>
            </w:r>
            <w:r>
              <w:rPr>
                <w:rFonts w:hint="eastAsia"/>
                <w:sz w:val="24"/>
              </w:rPr>
              <w:t>项目，主要是</w:t>
            </w:r>
            <w:r>
              <w:rPr>
                <w:rFonts w:hint="eastAsia"/>
                <w:sz w:val="24"/>
                <w:lang w:val="en-US" w:eastAsia="zh-CN"/>
              </w:rPr>
              <w:t>原料混合铺设聚合物砂浆、网格布等</w:t>
            </w:r>
            <w:r>
              <w:rPr>
                <w:rFonts w:hAnsi="宋体"/>
                <w:sz w:val="24"/>
              </w:rPr>
              <w:t>，</w:t>
            </w:r>
            <w:r>
              <w:rPr>
                <w:rFonts w:hint="eastAsia" w:hAnsi="宋体"/>
                <w:sz w:val="24"/>
                <w:lang w:val="en-US" w:eastAsia="zh-CN"/>
              </w:rPr>
              <w:t>再</w:t>
            </w:r>
            <w:r>
              <w:rPr>
                <w:rFonts w:hint="eastAsia" w:hAnsi="宋体"/>
                <w:sz w:val="24"/>
              </w:rPr>
              <w:t>通过自然养护等环节，合格产品入库</w:t>
            </w:r>
            <w:r>
              <w:rPr>
                <w:rFonts w:hint="eastAsia"/>
                <w:sz w:val="24"/>
              </w:rPr>
              <w:t>。</w:t>
            </w:r>
          </w:p>
          <w:p>
            <w:pPr>
              <w:adjustRightInd w:val="0"/>
              <w:snapToGrid w:val="0"/>
              <w:spacing w:line="520" w:lineRule="exact"/>
              <w:ind w:firstLine="482" w:firstLineChars="200"/>
              <w:rPr>
                <w:b/>
                <w:bCs/>
                <w:sz w:val="24"/>
              </w:rPr>
            </w:pPr>
            <w:r>
              <w:rPr>
                <w:rFonts w:hint="eastAsia"/>
                <w:b/>
                <w:bCs/>
                <w:sz w:val="24"/>
                <w:lang w:val="en-US" w:eastAsia="zh-CN"/>
              </w:rPr>
              <w:t>5</w:t>
            </w:r>
            <w:r>
              <w:rPr>
                <w:rFonts w:hint="eastAsia"/>
                <w:b/>
                <w:bCs/>
                <w:sz w:val="24"/>
              </w:rPr>
              <w:t>、</w:t>
            </w:r>
            <w:r>
              <w:rPr>
                <w:b/>
                <w:bCs/>
                <w:sz w:val="24"/>
              </w:rPr>
              <w:t>主要生产设备</w:t>
            </w:r>
          </w:p>
          <w:p>
            <w:pPr>
              <w:adjustRightInd w:val="0"/>
              <w:snapToGrid w:val="0"/>
              <w:spacing w:line="520" w:lineRule="exact"/>
              <w:ind w:firstLine="480" w:firstLineChars="200"/>
              <w:rPr>
                <w:bCs/>
                <w:sz w:val="24"/>
              </w:rPr>
            </w:pPr>
            <w:r>
              <w:rPr>
                <w:bCs/>
                <w:sz w:val="24"/>
              </w:rPr>
              <w:t>本项目主要生产设备详见表2-</w:t>
            </w:r>
            <w:r>
              <w:rPr>
                <w:rFonts w:hint="eastAsia"/>
                <w:bCs/>
                <w:sz w:val="24"/>
                <w:lang w:val="en-US" w:eastAsia="zh-CN"/>
              </w:rPr>
              <w:t>2</w:t>
            </w:r>
            <w:r>
              <w:rPr>
                <w:bCs/>
                <w:sz w:val="24"/>
              </w:rPr>
              <w:t>。</w:t>
            </w:r>
          </w:p>
          <w:p>
            <w:pPr>
              <w:pStyle w:val="61"/>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表2-</w:t>
            </w:r>
            <w:r>
              <w:rPr>
                <w:rFonts w:hint="eastAsia" w:hAnsi="Times New Roman" w:eastAsia="黑体"/>
                <w:b w:val="0"/>
                <w:bCs w:val="0"/>
                <w:color w:val="auto"/>
                <w:szCs w:val="24"/>
                <w:lang w:val="en-US" w:eastAsia="zh-CN"/>
              </w:rPr>
              <w:t>2</w:t>
            </w:r>
            <w:r>
              <w:rPr>
                <w:rFonts w:hAnsi="Times New Roman" w:eastAsia="黑体"/>
                <w:b w:val="0"/>
                <w:bCs w:val="0"/>
                <w:color w:val="auto"/>
                <w:szCs w:val="24"/>
              </w:rPr>
              <w:t xml:space="preserve">  主要生产设备一览表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2"/>
              <w:gridCol w:w="3122"/>
              <w:gridCol w:w="2756"/>
              <w:gridCol w:w="841"/>
              <w:gridCol w:w="8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478" w:type="pct"/>
                  <w:tcBorders>
                    <w:tl2br w:val="nil"/>
                    <w:tr2bl w:val="nil"/>
                  </w:tcBorders>
                  <w:shd w:val="clear" w:color="auto" w:fill="auto"/>
                  <w:vAlign w:val="center"/>
                </w:tcPr>
                <w:p>
                  <w:pPr>
                    <w:widowControl/>
                    <w:adjustRightInd w:val="0"/>
                    <w:snapToGrid w:val="0"/>
                    <w:jc w:val="center"/>
                    <w:rPr>
                      <w:b w:val="0"/>
                      <w:bCs/>
                      <w:szCs w:val="21"/>
                    </w:rPr>
                  </w:pPr>
                  <w:r>
                    <w:rPr>
                      <w:b w:val="0"/>
                      <w:bCs/>
                      <w:color w:val="000000"/>
                      <w:kern w:val="0"/>
                      <w:szCs w:val="21"/>
                      <w:lang w:bidi="ar"/>
                    </w:rPr>
                    <w:t>序号</w:t>
                  </w:r>
                </w:p>
              </w:tc>
              <w:tc>
                <w:tcPr>
                  <w:tcW w:w="1860" w:type="pct"/>
                  <w:tcBorders>
                    <w:tl2br w:val="nil"/>
                    <w:tr2bl w:val="nil"/>
                  </w:tcBorders>
                  <w:shd w:val="clear" w:color="auto" w:fill="auto"/>
                  <w:vAlign w:val="center"/>
                </w:tcPr>
                <w:p>
                  <w:pPr>
                    <w:widowControl/>
                    <w:adjustRightInd w:val="0"/>
                    <w:snapToGrid w:val="0"/>
                    <w:jc w:val="center"/>
                    <w:rPr>
                      <w:b w:val="0"/>
                      <w:bCs/>
                      <w:szCs w:val="21"/>
                    </w:rPr>
                  </w:pPr>
                  <w:r>
                    <w:rPr>
                      <w:b w:val="0"/>
                      <w:bCs/>
                      <w:color w:val="000000"/>
                      <w:kern w:val="0"/>
                      <w:szCs w:val="21"/>
                      <w:lang w:bidi="ar"/>
                    </w:rPr>
                    <w:t>名称</w:t>
                  </w:r>
                </w:p>
              </w:tc>
              <w:tc>
                <w:tcPr>
                  <w:tcW w:w="1642" w:type="pct"/>
                  <w:tcBorders>
                    <w:tl2br w:val="nil"/>
                    <w:tr2bl w:val="nil"/>
                  </w:tcBorders>
                  <w:shd w:val="clear" w:color="auto" w:fill="auto"/>
                  <w:vAlign w:val="center"/>
                </w:tcPr>
                <w:p>
                  <w:pPr>
                    <w:widowControl/>
                    <w:adjustRightInd w:val="0"/>
                    <w:snapToGrid w:val="0"/>
                    <w:jc w:val="center"/>
                    <w:rPr>
                      <w:b w:val="0"/>
                      <w:bCs/>
                      <w:szCs w:val="21"/>
                    </w:rPr>
                  </w:pPr>
                  <w:r>
                    <w:rPr>
                      <w:b w:val="0"/>
                      <w:bCs/>
                      <w:color w:val="000000"/>
                      <w:kern w:val="0"/>
                      <w:szCs w:val="21"/>
                      <w:lang w:bidi="ar"/>
                    </w:rPr>
                    <w:t>规格</w:t>
                  </w:r>
                </w:p>
              </w:tc>
              <w:tc>
                <w:tcPr>
                  <w:tcW w:w="501" w:type="pct"/>
                  <w:tcBorders>
                    <w:tl2br w:val="nil"/>
                    <w:tr2bl w:val="nil"/>
                  </w:tcBorders>
                  <w:shd w:val="clear" w:color="auto" w:fill="auto"/>
                  <w:vAlign w:val="center"/>
                </w:tcPr>
                <w:p>
                  <w:pPr>
                    <w:widowControl/>
                    <w:adjustRightInd w:val="0"/>
                    <w:snapToGrid w:val="0"/>
                    <w:jc w:val="center"/>
                    <w:rPr>
                      <w:b w:val="0"/>
                      <w:bCs/>
                      <w:szCs w:val="21"/>
                    </w:rPr>
                  </w:pPr>
                  <w:r>
                    <w:rPr>
                      <w:b w:val="0"/>
                      <w:bCs/>
                      <w:color w:val="000000"/>
                      <w:kern w:val="0"/>
                      <w:szCs w:val="21"/>
                      <w:lang w:bidi="ar"/>
                    </w:rPr>
                    <w:t>数量</w:t>
                  </w:r>
                </w:p>
              </w:tc>
              <w:tc>
                <w:tcPr>
                  <w:tcW w:w="516" w:type="pct"/>
                  <w:tcBorders>
                    <w:tl2br w:val="nil"/>
                    <w:tr2bl w:val="nil"/>
                  </w:tcBorders>
                  <w:shd w:val="clear" w:color="auto" w:fill="auto"/>
                  <w:vAlign w:val="center"/>
                </w:tcPr>
                <w:p>
                  <w:pPr>
                    <w:widowControl/>
                    <w:adjustRightInd w:val="0"/>
                    <w:snapToGrid w:val="0"/>
                    <w:jc w:val="center"/>
                    <w:rPr>
                      <w:b w:val="0"/>
                      <w:bCs/>
                      <w:szCs w:val="21"/>
                    </w:rPr>
                  </w:pPr>
                  <w:r>
                    <w:rPr>
                      <w:b w:val="0"/>
                      <w:bCs/>
                      <w:color w:val="000000"/>
                      <w:kern w:val="0"/>
                      <w:szCs w:val="21"/>
                      <w:lang w:bidi="ar"/>
                    </w:rPr>
                    <w:t>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eastAsia" w:eastAsia="宋体"/>
                      <w:b w:val="0"/>
                      <w:bCs/>
                      <w:sz w:val="21"/>
                      <w:szCs w:val="21"/>
                      <w:lang w:val="en-US" w:eastAsia="zh-CN"/>
                    </w:rPr>
                  </w:pPr>
                  <w:r>
                    <w:rPr>
                      <w:rFonts w:hint="eastAsia"/>
                      <w:b w:val="0"/>
                      <w:bCs/>
                      <w:sz w:val="21"/>
                      <w:szCs w:val="21"/>
                      <w:lang w:val="en-US" w:eastAsia="zh-CN"/>
                    </w:rPr>
                    <w:t>1</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eastAsia="宋体"/>
                      <w:b w:val="0"/>
                      <w:bCs/>
                      <w:sz w:val="21"/>
                      <w:szCs w:val="21"/>
                      <w:lang w:val="en-US" w:eastAsia="zh-CN"/>
                    </w:rPr>
                  </w:pPr>
                  <w:r>
                    <w:rPr>
                      <w:rFonts w:hint="eastAsia"/>
                      <w:b w:val="0"/>
                      <w:bCs/>
                      <w:sz w:val="21"/>
                      <w:szCs w:val="21"/>
                      <w:lang w:val="en-US" w:eastAsia="zh-CN"/>
                    </w:rPr>
                    <w:t>原料仓</w:t>
                  </w:r>
                </w:p>
              </w:tc>
              <w:tc>
                <w:tcPr>
                  <w:tcW w:w="1642" w:type="pct"/>
                  <w:tcBorders>
                    <w:tl2br w:val="nil"/>
                    <w:tr2bl w:val="nil"/>
                  </w:tcBorders>
                  <w:shd w:val="clear" w:color="auto" w:fill="auto"/>
                  <w:vAlign w:val="center"/>
                </w:tcPr>
                <w:p>
                  <w:pPr>
                    <w:widowControl/>
                    <w:adjustRightInd w:val="0"/>
                    <w:snapToGrid w:val="0"/>
                    <w:jc w:val="center"/>
                    <w:rPr>
                      <w:rFonts w:hint="default" w:eastAsia="宋体"/>
                      <w:b w:val="0"/>
                      <w:bCs/>
                      <w:szCs w:val="21"/>
                      <w:lang w:val="en-US" w:eastAsia="zh-CN"/>
                    </w:rPr>
                  </w:pPr>
                  <w:r>
                    <w:rPr>
                      <w:rFonts w:hint="eastAsia"/>
                      <w:b w:val="0"/>
                      <w:bCs/>
                      <w:color w:val="000000"/>
                      <w:kern w:val="0"/>
                      <w:szCs w:val="21"/>
                      <w:lang w:val="en-US" w:eastAsia="zh-CN" w:bidi="ar"/>
                    </w:rPr>
                    <w:t>MC-24A</w:t>
                  </w:r>
                </w:p>
              </w:tc>
              <w:tc>
                <w:tcPr>
                  <w:tcW w:w="501" w:type="pct"/>
                  <w:tcBorders>
                    <w:tl2br w:val="nil"/>
                    <w:tr2bl w:val="nil"/>
                  </w:tcBorders>
                  <w:shd w:val="clear" w:color="auto" w:fill="auto"/>
                  <w:vAlign w:val="center"/>
                </w:tcPr>
                <w:p>
                  <w:pPr>
                    <w:adjustRightInd w:val="0"/>
                    <w:snapToGrid w:val="0"/>
                    <w:jc w:val="center"/>
                    <w:rPr>
                      <w:rFonts w:hint="default" w:eastAsia="宋体"/>
                      <w:b w:val="0"/>
                      <w:bCs/>
                      <w:szCs w:val="21"/>
                      <w:lang w:val="en-US" w:eastAsia="zh-CN"/>
                    </w:rPr>
                  </w:pPr>
                  <w:r>
                    <w:rPr>
                      <w:rFonts w:hint="eastAsia"/>
                      <w:b w:val="0"/>
                      <w:bCs/>
                      <w:szCs w:val="21"/>
                      <w:lang w:val="en-US" w:eastAsia="zh-CN"/>
                    </w:rPr>
                    <w:t>2</w:t>
                  </w:r>
                </w:p>
              </w:tc>
              <w:tc>
                <w:tcPr>
                  <w:tcW w:w="516" w:type="pct"/>
                  <w:tcBorders>
                    <w:tl2br w:val="nil"/>
                    <w:tr2bl w:val="nil"/>
                  </w:tcBorders>
                  <w:shd w:val="clear" w:color="auto" w:fill="auto"/>
                  <w:vAlign w:val="center"/>
                </w:tcPr>
                <w:p>
                  <w:pPr>
                    <w:adjustRightInd w:val="0"/>
                    <w:snapToGrid w:val="0"/>
                    <w:jc w:val="center"/>
                    <w:rPr>
                      <w:rFonts w:hint="default" w:eastAsia="宋体"/>
                      <w:b w:val="0"/>
                      <w:bCs/>
                      <w:szCs w:val="21"/>
                      <w:lang w:val="en-US" w:eastAsia="zh-CN"/>
                    </w:rPr>
                  </w:pPr>
                  <w:r>
                    <w:rPr>
                      <w:rFonts w:hint="eastAsia"/>
                      <w:b w:val="0"/>
                      <w:bCs/>
                      <w:szCs w:val="21"/>
                      <w:lang w:val="en-US" w:eastAsia="zh-CN"/>
                    </w:rPr>
                    <w:t>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2</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输送机</w:t>
                  </w:r>
                </w:p>
              </w:tc>
              <w:tc>
                <w:tcPr>
                  <w:tcW w:w="1642" w:type="pct"/>
                  <w:tcBorders>
                    <w:tl2br w:val="nil"/>
                    <w:tr2bl w:val="nil"/>
                  </w:tcBorders>
                  <w:shd w:val="clear" w:color="auto" w:fill="auto"/>
                  <w:vAlign w:val="center"/>
                </w:tcPr>
                <w:p>
                  <w:pPr>
                    <w:widowControl/>
                    <w:adjustRightInd w:val="0"/>
                    <w:snapToGrid w:val="0"/>
                    <w:jc w:val="center"/>
                    <w:rPr>
                      <w:rFonts w:hint="default"/>
                      <w:b w:val="0"/>
                      <w:bCs/>
                      <w:color w:val="000000"/>
                      <w:kern w:val="0"/>
                      <w:szCs w:val="21"/>
                      <w:lang w:val="en-US" w:eastAsia="zh-CN" w:bidi="ar"/>
                    </w:rPr>
                  </w:pPr>
                  <w:r>
                    <w:rPr>
                      <w:rFonts w:hint="eastAsia"/>
                      <w:b w:val="0"/>
                      <w:bCs/>
                      <w:color w:val="000000"/>
                      <w:kern w:val="0"/>
                      <w:szCs w:val="21"/>
                      <w:lang w:val="en-US" w:eastAsia="zh-CN" w:bidi="ar"/>
                    </w:rPr>
                    <w:t>LSY219×4500mm</w:t>
                  </w:r>
                </w:p>
              </w:tc>
              <w:tc>
                <w:tcPr>
                  <w:tcW w:w="501"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2</w:t>
                  </w:r>
                </w:p>
              </w:tc>
              <w:tc>
                <w:tcPr>
                  <w:tcW w:w="516"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3</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斗式提料机</w:t>
                  </w:r>
                </w:p>
              </w:tc>
              <w:tc>
                <w:tcPr>
                  <w:tcW w:w="1642" w:type="pct"/>
                  <w:tcBorders>
                    <w:tl2br w:val="nil"/>
                    <w:tr2bl w:val="nil"/>
                  </w:tcBorders>
                  <w:shd w:val="clear" w:color="auto" w:fill="auto"/>
                  <w:vAlign w:val="center"/>
                </w:tcPr>
                <w:p>
                  <w:pPr>
                    <w:widowControl/>
                    <w:adjustRightInd w:val="0"/>
                    <w:snapToGrid w:val="0"/>
                    <w:jc w:val="center"/>
                    <w:rPr>
                      <w:rFonts w:hint="default"/>
                      <w:b w:val="0"/>
                      <w:bCs/>
                      <w:color w:val="000000"/>
                      <w:kern w:val="0"/>
                      <w:szCs w:val="21"/>
                      <w:lang w:val="en-US" w:eastAsia="zh-CN" w:bidi="ar"/>
                    </w:rPr>
                  </w:pPr>
                  <w:r>
                    <w:rPr>
                      <w:rFonts w:hint="eastAsia"/>
                      <w:b w:val="0"/>
                      <w:bCs/>
                      <w:color w:val="000000"/>
                      <w:kern w:val="0"/>
                      <w:szCs w:val="21"/>
                      <w:lang w:val="en-US" w:eastAsia="zh-CN" w:bidi="ar"/>
                    </w:rPr>
                    <w:t>PDH300*18.5M</w:t>
                  </w:r>
                </w:p>
              </w:tc>
              <w:tc>
                <w:tcPr>
                  <w:tcW w:w="501"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1</w:t>
                  </w:r>
                </w:p>
              </w:tc>
              <w:tc>
                <w:tcPr>
                  <w:tcW w:w="516"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4</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2.5立方干粉搅拌机</w:t>
                  </w:r>
                </w:p>
              </w:tc>
              <w:tc>
                <w:tcPr>
                  <w:tcW w:w="1642" w:type="pct"/>
                  <w:tcBorders>
                    <w:tl2br w:val="nil"/>
                    <w:tr2bl w:val="nil"/>
                  </w:tcBorders>
                  <w:shd w:val="clear" w:color="auto" w:fill="auto"/>
                  <w:vAlign w:val="center"/>
                </w:tcPr>
                <w:p>
                  <w:pPr>
                    <w:widowControl/>
                    <w:adjustRightInd w:val="0"/>
                    <w:snapToGrid w:val="0"/>
                    <w:jc w:val="center"/>
                    <w:rPr>
                      <w:rFonts w:hint="default"/>
                      <w:b w:val="0"/>
                      <w:bCs/>
                      <w:color w:val="000000"/>
                      <w:kern w:val="0"/>
                      <w:szCs w:val="21"/>
                      <w:lang w:val="en-US" w:eastAsia="zh-CN" w:bidi="ar"/>
                    </w:rPr>
                  </w:pPr>
                  <w:r>
                    <w:rPr>
                      <w:rFonts w:hint="eastAsia"/>
                      <w:b w:val="0"/>
                      <w:bCs/>
                      <w:color w:val="000000"/>
                      <w:kern w:val="0"/>
                      <w:szCs w:val="21"/>
                      <w:lang w:val="en-US" w:eastAsia="zh-CN" w:bidi="ar"/>
                    </w:rPr>
                    <w:t>/</w:t>
                  </w:r>
                </w:p>
              </w:tc>
              <w:tc>
                <w:tcPr>
                  <w:tcW w:w="501"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1</w:t>
                  </w:r>
                </w:p>
              </w:tc>
              <w:tc>
                <w:tcPr>
                  <w:tcW w:w="516"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5</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干粉输送螺旋</w:t>
                  </w:r>
                </w:p>
              </w:tc>
              <w:tc>
                <w:tcPr>
                  <w:tcW w:w="1642" w:type="pct"/>
                  <w:tcBorders>
                    <w:tl2br w:val="nil"/>
                    <w:tr2bl w:val="nil"/>
                  </w:tcBorders>
                  <w:shd w:val="clear" w:color="auto" w:fill="auto"/>
                  <w:vAlign w:val="center"/>
                </w:tcPr>
                <w:p>
                  <w:pPr>
                    <w:widowControl/>
                    <w:adjustRightInd w:val="0"/>
                    <w:snapToGrid w:val="0"/>
                    <w:jc w:val="center"/>
                    <w:rPr>
                      <w:rFonts w:hint="default"/>
                      <w:b w:val="0"/>
                      <w:bCs/>
                      <w:color w:val="000000"/>
                      <w:kern w:val="0"/>
                      <w:szCs w:val="21"/>
                      <w:lang w:val="en-US" w:eastAsia="zh-CN" w:bidi="ar"/>
                    </w:rPr>
                  </w:pPr>
                  <w:r>
                    <w:rPr>
                      <w:rFonts w:hint="eastAsia"/>
                      <w:b w:val="0"/>
                      <w:bCs/>
                      <w:color w:val="000000"/>
                      <w:kern w:val="0"/>
                      <w:szCs w:val="21"/>
                      <w:lang w:val="en-US" w:eastAsia="zh-CN" w:bidi="ar"/>
                    </w:rPr>
                    <w:t>LSY219×3800mm</w:t>
                  </w:r>
                </w:p>
              </w:tc>
              <w:tc>
                <w:tcPr>
                  <w:tcW w:w="501"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1</w:t>
                  </w:r>
                </w:p>
              </w:tc>
              <w:tc>
                <w:tcPr>
                  <w:tcW w:w="516"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6</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干粉提升机</w:t>
                  </w:r>
                </w:p>
              </w:tc>
              <w:tc>
                <w:tcPr>
                  <w:tcW w:w="1642" w:type="pct"/>
                  <w:tcBorders>
                    <w:tl2br w:val="nil"/>
                    <w:tr2bl w:val="nil"/>
                  </w:tcBorders>
                  <w:shd w:val="clear" w:color="auto" w:fill="auto"/>
                  <w:vAlign w:val="center"/>
                </w:tcPr>
                <w:p>
                  <w:pPr>
                    <w:widowControl/>
                    <w:adjustRightInd w:val="0"/>
                    <w:snapToGrid w:val="0"/>
                    <w:jc w:val="center"/>
                    <w:rPr>
                      <w:rFonts w:hint="default"/>
                      <w:b w:val="0"/>
                      <w:bCs/>
                      <w:color w:val="000000"/>
                      <w:kern w:val="0"/>
                      <w:szCs w:val="21"/>
                      <w:lang w:val="en-US" w:eastAsia="zh-CN" w:bidi="ar"/>
                    </w:rPr>
                  </w:pPr>
                  <w:r>
                    <w:rPr>
                      <w:rFonts w:hint="eastAsia"/>
                      <w:b w:val="0"/>
                      <w:bCs/>
                      <w:color w:val="000000"/>
                      <w:kern w:val="0"/>
                      <w:szCs w:val="21"/>
                      <w:lang w:val="en-US" w:eastAsia="zh-CN" w:bidi="ar"/>
                    </w:rPr>
                    <w:t>PDH300*9M</w:t>
                  </w:r>
                </w:p>
              </w:tc>
              <w:tc>
                <w:tcPr>
                  <w:tcW w:w="501"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1</w:t>
                  </w:r>
                </w:p>
              </w:tc>
              <w:tc>
                <w:tcPr>
                  <w:tcW w:w="516"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7</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干料输送分料螺旋</w:t>
                  </w:r>
                </w:p>
              </w:tc>
              <w:tc>
                <w:tcPr>
                  <w:tcW w:w="1642" w:type="pct"/>
                  <w:tcBorders>
                    <w:tl2br w:val="nil"/>
                    <w:tr2bl w:val="nil"/>
                  </w:tcBorders>
                  <w:shd w:val="clear" w:color="auto" w:fill="auto"/>
                  <w:vAlign w:val="center"/>
                </w:tcPr>
                <w:p>
                  <w:pPr>
                    <w:widowControl/>
                    <w:adjustRightInd w:val="0"/>
                    <w:snapToGrid w:val="0"/>
                    <w:jc w:val="center"/>
                    <w:rPr>
                      <w:rFonts w:hint="default"/>
                      <w:b w:val="0"/>
                      <w:bCs/>
                      <w:color w:val="000000"/>
                      <w:kern w:val="0"/>
                      <w:szCs w:val="21"/>
                      <w:lang w:val="en-US" w:eastAsia="zh-CN" w:bidi="ar"/>
                    </w:rPr>
                  </w:pPr>
                  <w:r>
                    <w:rPr>
                      <w:rFonts w:hint="eastAsia"/>
                      <w:b w:val="0"/>
                      <w:bCs/>
                      <w:color w:val="000000"/>
                      <w:kern w:val="0"/>
                      <w:szCs w:val="21"/>
                      <w:lang w:val="en-US" w:eastAsia="zh-CN" w:bidi="ar"/>
                    </w:rPr>
                    <w:t>LSY219×2800</w:t>
                  </w:r>
                </w:p>
              </w:tc>
              <w:tc>
                <w:tcPr>
                  <w:tcW w:w="501"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2</w:t>
                  </w:r>
                </w:p>
              </w:tc>
              <w:tc>
                <w:tcPr>
                  <w:tcW w:w="516"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8</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计量斗</w:t>
                  </w:r>
                </w:p>
              </w:tc>
              <w:tc>
                <w:tcPr>
                  <w:tcW w:w="1642" w:type="pct"/>
                  <w:tcBorders>
                    <w:tl2br w:val="nil"/>
                    <w:tr2bl w:val="nil"/>
                  </w:tcBorders>
                  <w:shd w:val="clear" w:color="auto" w:fill="auto"/>
                  <w:vAlign w:val="center"/>
                </w:tcPr>
                <w:p>
                  <w:pPr>
                    <w:widowControl/>
                    <w:adjustRightInd w:val="0"/>
                    <w:snapToGrid w:val="0"/>
                    <w:jc w:val="center"/>
                    <w:rPr>
                      <w:rFonts w:hint="default"/>
                      <w:b w:val="0"/>
                      <w:bCs/>
                      <w:color w:val="000000"/>
                      <w:kern w:val="0"/>
                      <w:szCs w:val="21"/>
                      <w:lang w:val="en-US" w:eastAsia="zh-CN" w:bidi="ar"/>
                    </w:rPr>
                  </w:pPr>
                  <w:r>
                    <w:rPr>
                      <w:rFonts w:hint="eastAsia"/>
                      <w:b w:val="0"/>
                      <w:bCs/>
                      <w:color w:val="000000"/>
                      <w:kern w:val="0"/>
                      <w:szCs w:val="21"/>
                      <w:lang w:val="en-US" w:eastAsia="zh-CN" w:bidi="ar"/>
                    </w:rPr>
                    <w:t>83mm</w:t>
                  </w:r>
                </w:p>
              </w:tc>
              <w:tc>
                <w:tcPr>
                  <w:tcW w:w="501"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5</w:t>
                  </w:r>
                </w:p>
              </w:tc>
              <w:tc>
                <w:tcPr>
                  <w:tcW w:w="516"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9</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加水搅拌机</w:t>
                  </w:r>
                </w:p>
              </w:tc>
              <w:tc>
                <w:tcPr>
                  <w:tcW w:w="1642" w:type="pct"/>
                  <w:tcBorders>
                    <w:tl2br w:val="nil"/>
                    <w:tr2bl w:val="nil"/>
                  </w:tcBorders>
                  <w:shd w:val="clear" w:color="auto" w:fill="auto"/>
                  <w:vAlign w:val="center"/>
                </w:tcPr>
                <w:p>
                  <w:pPr>
                    <w:widowControl/>
                    <w:adjustRightInd w:val="0"/>
                    <w:snapToGrid w:val="0"/>
                    <w:jc w:val="center"/>
                    <w:rPr>
                      <w:rFonts w:hint="default"/>
                      <w:b w:val="0"/>
                      <w:bCs/>
                      <w:color w:val="000000"/>
                      <w:kern w:val="0"/>
                      <w:szCs w:val="21"/>
                      <w:vertAlign w:val="superscript"/>
                      <w:lang w:val="en-US" w:eastAsia="zh-CN" w:bidi="ar"/>
                    </w:rPr>
                  </w:pPr>
                  <w:r>
                    <w:rPr>
                      <w:rFonts w:hint="eastAsia"/>
                      <w:b w:val="0"/>
                      <w:bCs/>
                      <w:color w:val="000000"/>
                      <w:kern w:val="0"/>
                      <w:szCs w:val="21"/>
                      <w:lang w:val="en-US" w:eastAsia="zh-CN" w:bidi="ar"/>
                    </w:rPr>
                    <w:t>2.3m</w:t>
                  </w:r>
                  <w:r>
                    <w:rPr>
                      <w:rFonts w:hint="eastAsia"/>
                      <w:b w:val="0"/>
                      <w:bCs/>
                      <w:color w:val="000000"/>
                      <w:kern w:val="0"/>
                      <w:szCs w:val="21"/>
                      <w:vertAlign w:val="superscript"/>
                      <w:lang w:val="en-US" w:eastAsia="zh-CN" w:bidi="ar"/>
                    </w:rPr>
                    <w:t>3</w:t>
                  </w:r>
                </w:p>
              </w:tc>
              <w:tc>
                <w:tcPr>
                  <w:tcW w:w="501"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5</w:t>
                  </w:r>
                </w:p>
              </w:tc>
              <w:tc>
                <w:tcPr>
                  <w:tcW w:w="516"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78"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10</w:t>
                  </w:r>
                </w:p>
              </w:tc>
              <w:tc>
                <w:tcPr>
                  <w:tcW w:w="1860" w:type="pct"/>
                  <w:tcBorders>
                    <w:tl2br w:val="nil"/>
                    <w:tr2bl w:val="nil"/>
                  </w:tcBorders>
                  <w:shd w:val="clear" w:color="auto" w:fill="auto"/>
                  <w:vAlign w:val="center"/>
                </w:tcPr>
                <w:p>
                  <w:pPr>
                    <w:pStyle w:val="13"/>
                    <w:adjustRightInd w:val="0"/>
                    <w:spacing w:before="0" w:after="0" w:line="240" w:lineRule="auto"/>
                    <w:ind w:right="0"/>
                    <w:jc w:val="center"/>
                    <w:rPr>
                      <w:rFonts w:hint="default"/>
                      <w:b w:val="0"/>
                      <w:bCs/>
                      <w:sz w:val="21"/>
                      <w:szCs w:val="21"/>
                      <w:lang w:val="en-US" w:eastAsia="zh-CN"/>
                    </w:rPr>
                  </w:pPr>
                  <w:r>
                    <w:rPr>
                      <w:rFonts w:hint="eastAsia"/>
                      <w:b w:val="0"/>
                      <w:bCs/>
                      <w:sz w:val="21"/>
                      <w:szCs w:val="21"/>
                      <w:lang w:val="en-US" w:eastAsia="zh-CN"/>
                    </w:rPr>
                    <w:t>切割机</w:t>
                  </w:r>
                </w:p>
              </w:tc>
              <w:tc>
                <w:tcPr>
                  <w:tcW w:w="1642" w:type="pct"/>
                  <w:tcBorders>
                    <w:tl2br w:val="nil"/>
                    <w:tr2bl w:val="nil"/>
                  </w:tcBorders>
                  <w:shd w:val="clear" w:color="auto" w:fill="auto"/>
                  <w:vAlign w:val="center"/>
                </w:tcPr>
                <w:p>
                  <w:pPr>
                    <w:widowControl/>
                    <w:adjustRightInd w:val="0"/>
                    <w:snapToGrid w:val="0"/>
                    <w:jc w:val="center"/>
                    <w:rPr>
                      <w:rFonts w:hint="default"/>
                      <w:b w:val="0"/>
                      <w:bCs/>
                      <w:color w:val="000000"/>
                      <w:kern w:val="0"/>
                      <w:szCs w:val="21"/>
                      <w:lang w:val="en-US" w:eastAsia="zh-CN" w:bidi="ar"/>
                    </w:rPr>
                  </w:pPr>
                  <w:r>
                    <w:rPr>
                      <w:rFonts w:hint="eastAsia"/>
                      <w:b w:val="0"/>
                      <w:bCs/>
                      <w:color w:val="000000"/>
                      <w:kern w:val="0"/>
                      <w:szCs w:val="21"/>
                      <w:lang w:val="en-US" w:eastAsia="zh-CN" w:bidi="ar"/>
                    </w:rPr>
                    <w:t>/</w:t>
                  </w:r>
                </w:p>
              </w:tc>
              <w:tc>
                <w:tcPr>
                  <w:tcW w:w="501"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2</w:t>
                  </w:r>
                </w:p>
              </w:tc>
              <w:tc>
                <w:tcPr>
                  <w:tcW w:w="516" w:type="pct"/>
                  <w:tcBorders>
                    <w:tl2br w:val="nil"/>
                    <w:tr2bl w:val="nil"/>
                  </w:tcBorders>
                  <w:shd w:val="clear" w:color="auto" w:fill="auto"/>
                  <w:vAlign w:val="center"/>
                </w:tcPr>
                <w:p>
                  <w:pPr>
                    <w:adjustRightInd w:val="0"/>
                    <w:snapToGrid w:val="0"/>
                    <w:jc w:val="center"/>
                    <w:rPr>
                      <w:rFonts w:hint="default"/>
                      <w:b w:val="0"/>
                      <w:bCs/>
                      <w:szCs w:val="21"/>
                      <w:lang w:val="en-US" w:eastAsia="zh-CN"/>
                    </w:rPr>
                  </w:pPr>
                  <w:r>
                    <w:rPr>
                      <w:rFonts w:hint="eastAsia"/>
                      <w:b w:val="0"/>
                      <w:bCs/>
                      <w:szCs w:val="21"/>
                      <w:lang w:val="en-US" w:eastAsia="zh-CN"/>
                    </w:rPr>
                    <w:t>台</w:t>
                  </w:r>
                </w:p>
              </w:tc>
            </w:tr>
          </w:tbl>
          <w:p>
            <w:pPr>
              <w:adjustRightInd w:val="0"/>
              <w:snapToGrid w:val="0"/>
              <w:spacing w:line="520" w:lineRule="exact"/>
              <w:ind w:firstLine="482" w:firstLineChars="200"/>
              <w:rPr>
                <w:b/>
                <w:bCs/>
                <w:sz w:val="24"/>
              </w:rPr>
            </w:pPr>
            <w:r>
              <w:rPr>
                <w:rFonts w:hint="eastAsia"/>
                <w:b/>
                <w:bCs/>
                <w:sz w:val="24"/>
                <w:lang w:val="en-US" w:eastAsia="zh-CN"/>
              </w:rPr>
              <w:t>6</w:t>
            </w:r>
            <w:r>
              <w:rPr>
                <w:rFonts w:hint="eastAsia"/>
                <w:b/>
                <w:bCs/>
                <w:sz w:val="24"/>
              </w:rPr>
              <w:t>、主要</w:t>
            </w:r>
            <w:r>
              <w:rPr>
                <w:b/>
                <w:bCs/>
                <w:sz w:val="24"/>
              </w:rPr>
              <w:t>原辅材料</w:t>
            </w:r>
            <w:r>
              <w:rPr>
                <w:rFonts w:hint="eastAsia"/>
                <w:b/>
                <w:bCs/>
                <w:sz w:val="24"/>
              </w:rPr>
              <w:t>及用量</w:t>
            </w:r>
          </w:p>
          <w:p>
            <w:pPr>
              <w:adjustRightInd w:val="0"/>
              <w:snapToGrid w:val="0"/>
              <w:spacing w:line="480" w:lineRule="exact"/>
              <w:ind w:firstLine="480" w:firstLineChars="200"/>
              <w:rPr>
                <w:sz w:val="24"/>
              </w:rPr>
            </w:pPr>
            <w:r>
              <w:rPr>
                <w:sz w:val="24"/>
              </w:rPr>
              <w:t>本项目产品配比及存储情况见表2-</w:t>
            </w:r>
            <w:r>
              <w:rPr>
                <w:rFonts w:hint="eastAsia"/>
                <w:sz w:val="24"/>
                <w:lang w:val="en-US" w:eastAsia="zh-CN"/>
              </w:rPr>
              <w:t>3</w:t>
            </w:r>
            <w:r>
              <w:rPr>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Ansi="黑体" w:eastAsia="黑体"/>
                <w:sz w:val="24"/>
                <w:szCs w:val="32"/>
              </w:rPr>
            </w:pPr>
            <w:r>
              <w:rPr>
                <w:rFonts w:hint="eastAsia" w:hAnsi="黑体" w:eastAsia="黑体"/>
                <w:sz w:val="24"/>
                <w:szCs w:val="32"/>
              </w:rPr>
              <w:t>表2-</w:t>
            </w:r>
            <w:r>
              <w:rPr>
                <w:rFonts w:hint="eastAsia" w:hAnsi="黑体" w:eastAsia="黑体"/>
                <w:sz w:val="24"/>
                <w:szCs w:val="32"/>
                <w:lang w:val="en-US" w:eastAsia="zh-CN"/>
              </w:rPr>
              <w:t>3</w:t>
            </w:r>
            <w:r>
              <w:rPr>
                <w:rFonts w:hint="eastAsia" w:hAnsi="黑体" w:eastAsia="黑体"/>
                <w:sz w:val="24"/>
                <w:szCs w:val="32"/>
              </w:rPr>
              <w:t xml:space="preserve">  主要原辅材料消耗一览表</w:t>
            </w:r>
          </w:p>
          <w:tbl>
            <w:tblPr>
              <w:tblStyle w:val="31"/>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128"/>
              <w:gridCol w:w="2225"/>
              <w:gridCol w:w="2342"/>
              <w:gridCol w:w="269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72" w:type="pct"/>
                  <w:vAlign w:val="center"/>
                </w:tcPr>
                <w:p>
                  <w:pPr>
                    <w:adjustRightInd w:val="0"/>
                    <w:snapToGrid w:val="0"/>
                    <w:jc w:val="center"/>
                    <w:rPr>
                      <w:bCs/>
                      <w:szCs w:val="21"/>
                    </w:rPr>
                  </w:pPr>
                  <w:r>
                    <w:rPr>
                      <w:rFonts w:hint="eastAsia"/>
                      <w:bCs/>
                      <w:szCs w:val="21"/>
                      <w:lang w:val="zh-CN"/>
                    </w:rPr>
                    <w:t>序号</w:t>
                  </w:r>
                </w:p>
              </w:tc>
              <w:tc>
                <w:tcPr>
                  <w:tcW w:w="1326" w:type="pct"/>
                  <w:vAlign w:val="center"/>
                </w:tcPr>
                <w:p>
                  <w:pPr>
                    <w:adjustRightInd w:val="0"/>
                    <w:snapToGrid w:val="0"/>
                    <w:jc w:val="center"/>
                    <w:rPr>
                      <w:bCs/>
                      <w:szCs w:val="21"/>
                    </w:rPr>
                  </w:pPr>
                  <w:r>
                    <w:rPr>
                      <w:rFonts w:hint="eastAsia"/>
                      <w:bCs/>
                      <w:szCs w:val="21"/>
                      <w:lang w:val="zh-CN"/>
                    </w:rPr>
                    <w:t>原料名称</w:t>
                  </w:r>
                </w:p>
              </w:tc>
              <w:tc>
                <w:tcPr>
                  <w:tcW w:w="1396" w:type="pct"/>
                  <w:vAlign w:val="center"/>
                </w:tcPr>
                <w:p>
                  <w:pPr>
                    <w:adjustRightInd w:val="0"/>
                    <w:snapToGrid w:val="0"/>
                    <w:jc w:val="center"/>
                    <w:rPr>
                      <w:bCs/>
                      <w:szCs w:val="21"/>
                    </w:rPr>
                  </w:pPr>
                  <w:r>
                    <w:rPr>
                      <w:rFonts w:hint="eastAsia"/>
                      <w:bCs/>
                      <w:szCs w:val="21"/>
                      <w:lang w:val="zh-CN"/>
                    </w:rPr>
                    <w:t>年用量</w:t>
                  </w:r>
                </w:p>
              </w:tc>
              <w:tc>
                <w:tcPr>
                  <w:tcW w:w="1604" w:type="pct"/>
                  <w:vAlign w:val="center"/>
                </w:tcPr>
                <w:p>
                  <w:pPr>
                    <w:adjustRightInd w:val="0"/>
                    <w:snapToGrid w:val="0"/>
                    <w:jc w:val="center"/>
                    <w:rPr>
                      <w:bCs/>
                      <w:szCs w:val="21"/>
                    </w:rPr>
                  </w:pPr>
                  <w:r>
                    <w:rPr>
                      <w:rFonts w:hint="eastAsia"/>
                      <w:bCs/>
                      <w:szCs w:val="21"/>
                      <w:lang w:val="zh-CN"/>
                    </w:rPr>
                    <w:t>来源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73" w:hRule="atLeast"/>
              </w:trPr>
              <w:tc>
                <w:tcPr>
                  <w:tcW w:w="672" w:type="pct"/>
                  <w:vAlign w:val="center"/>
                </w:tcPr>
                <w:p>
                  <w:pPr>
                    <w:jc w:val="center"/>
                    <w:rPr>
                      <w:bCs/>
                      <w:szCs w:val="21"/>
                    </w:rPr>
                  </w:pPr>
                  <w:r>
                    <w:rPr>
                      <w:rFonts w:hint="eastAsia"/>
                      <w:bCs/>
                      <w:szCs w:val="21"/>
                    </w:rPr>
                    <w:t>1</w:t>
                  </w:r>
                </w:p>
              </w:tc>
              <w:tc>
                <w:tcPr>
                  <w:tcW w:w="1326" w:type="pct"/>
                  <w:vAlign w:val="center"/>
                </w:tcPr>
                <w:p>
                  <w:pPr>
                    <w:adjustRightInd w:val="0"/>
                    <w:snapToGrid w:val="0"/>
                    <w:jc w:val="center"/>
                    <w:rPr>
                      <w:rFonts w:hint="default" w:eastAsia="宋体"/>
                      <w:szCs w:val="21"/>
                      <w:lang w:val="en-US" w:eastAsia="zh-CN"/>
                    </w:rPr>
                  </w:pPr>
                  <w:r>
                    <w:rPr>
                      <w:rFonts w:hint="eastAsia"/>
                      <w:szCs w:val="21"/>
                      <w:lang w:val="en-US" w:eastAsia="zh-CN"/>
                    </w:rPr>
                    <w:t>保温挤塑板</w:t>
                  </w:r>
                </w:p>
              </w:tc>
              <w:tc>
                <w:tcPr>
                  <w:tcW w:w="1396" w:type="pct"/>
                  <w:vAlign w:val="center"/>
                </w:tcPr>
                <w:p>
                  <w:pPr>
                    <w:adjustRightInd w:val="0"/>
                    <w:snapToGrid w:val="0"/>
                    <w:jc w:val="center"/>
                    <w:rPr>
                      <w:rFonts w:hint="default" w:eastAsia="宋体"/>
                      <w:bCs/>
                      <w:szCs w:val="21"/>
                      <w:vertAlign w:val="baseline"/>
                      <w:lang w:val="en-US" w:eastAsia="zh-CN"/>
                    </w:rPr>
                  </w:pPr>
                  <w:r>
                    <w:rPr>
                      <w:rFonts w:hint="eastAsia"/>
                      <w:bCs/>
                      <w:szCs w:val="21"/>
                      <w:lang w:val="en-US" w:eastAsia="zh-CN"/>
                    </w:rPr>
                    <w:t>600000m</w:t>
                  </w:r>
                  <w:r>
                    <w:rPr>
                      <w:rFonts w:hint="eastAsia"/>
                      <w:bCs/>
                      <w:szCs w:val="21"/>
                      <w:vertAlign w:val="superscript"/>
                      <w:lang w:val="en-US" w:eastAsia="zh-CN"/>
                    </w:rPr>
                    <w:t>2</w:t>
                  </w:r>
                </w:p>
              </w:tc>
              <w:tc>
                <w:tcPr>
                  <w:tcW w:w="1604" w:type="pct"/>
                  <w:vAlign w:val="center"/>
                </w:tcPr>
                <w:p>
                  <w:pPr>
                    <w:adjustRightInd w:val="0"/>
                    <w:snapToGrid w:val="0"/>
                    <w:jc w:val="center"/>
                    <w:rPr>
                      <w:rFonts w:hint="eastAsia" w:eastAsia="宋体"/>
                      <w:bCs/>
                      <w:szCs w:val="21"/>
                      <w:lang w:val="en-US" w:eastAsia="zh-CN"/>
                    </w:rPr>
                  </w:pPr>
                  <w:r>
                    <w:rPr>
                      <w:rFonts w:hint="eastAsia"/>
                      <w:bCs/>
                      <w:szCs w:val="21"/>
                      <w:lang w:val="en-US" w:eastAsia="zh-CN"/>
                    </w:rPr>
                    <w:t>外购</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90" w:hRule="atLeast"/>
              </w:trPr>
              <w:tc>
                <w:tcPr>
                  <w:tcW w:w="672" w:type="pct"/>
                  <w:vAlign w:val="center"/>
                </w:tcPr>
                <w:p>
                  <w:pPr>
                    <w:jc w:val="center"/>
                    <w:rPr>
                      <w:bCs/>
                      <w:szCs w:val="21"/>
                    </w:rPr>
                  </w:pPr>
                  <w:r>
                    <w:rPr>
                      <w:rFonts w:hint="eastAsia"/>
                      <w:bCs/>
                      <w:szCs w:val="21"/>
                    </w:rPr>
                    <w:t>2</w:t>
                  </w:r>
                </w:p>
              </w:tc>
              <w:tc>
                <w:tcPr>
                  <w:tcW w:w="1326" w:type="pct"/>
                  <w:vAlign w:val="center"/>
                </w:tcPr>
                <w:p>
                  <w:pPr>
                    <w:adjustRightInd w:val="0"/>
                    <w:snapToGrid w:val="0"/>
                    <w:jc w:val="center"/>
                    <w:rPr>
                      <w:rFonts w:hint="default" w:eastAsia="宋体"/>
                      <w:szCs w:val="21"/>
                      <w:lang w:val="en-US" w:eastAsia="zh-CN"/>
                    </w:rPr>
                  </w:pPr>
                  <w:r>
                    <w:rPr>
                      <w:rFonts w:hint="eastAsia"/>
                      <w:szCs w:val="21"/>
                      <w:lang w:val="en-US" w:eastAsia="zh-CN"/>
                    </w:rPr>
                    <w:t>砂石料</w:t>
                  </w:r>
                </w:p>
              </w:tc>
              <w:tc>
                <w:tcPr>
                  <w:tcW w:w="1396" w:type="pct"/>
                  <w:vAlign w:val="center"/>
                </w:tcPr>
                <w:p>
                  <w:pPr>
                    <w:adjustRightInd w:val="0"/>
                    <w:snapToGrid w:val="0"/>
                    <w:jc w:val="center"/>
                    <w:rPr>
                      <w:rFonts w:hint="default" w:eastAsia="宋体"/>
                      <w:bCs/>
                      <w:szCs w:val="21"/>
                      <w:lang w:val="en-US" w:eastAsia="zh-CN"/>
                    </w:rPr>
                  </w:pPr>
                  <w:r>
                    <w:rPr>
                      <w:rFonts w:hint="eastAsia"/>
                      <w:bCs/>
                      <w:szCs w:val="21"/>
                      <w:lang w:val="en-US" w:eastAsia="zh-CN"/>
                    </w:rPr>
                    <w:t>6000t</w:t>
                  </w:r>
                </w:p>
              </w:tc>
              <w:tc>
                <w:tcPr>
                  <w:tcW w:w="1604" w:type="pct"/>
                  <w:vAlign w:val="center"/>
                </w:tcPr>
                <w:p>
                  <w:pPr>
                    <w:adjustRightInd w:val="0"/>
                    <w:snapToGrid w:val="0"/>
                    <w:jc w:val="center"/>
                    <w:rPr>
                      <w:rFonts w:hint="eastAsia" w:eastAsia="宋体"/>
                      <w:bCs/>
                      <w:szCs w:val="21"/>
                      <w:lang w:val="en-US" w:eastAsia="zh-CN"/>
                    </w:rPr>
                  </w:pPr>
                  <w:r>
                    <w:rPr>
                      <w:rFonts w:hint="eastAsia"/>
                      <w:bCs/>
                      <w:szCs w:val="21"/>
                      <w:lang w:val="en-US" w:eastAsia="zh-CN"/>
                    </w:rPr>
                    <w:t>外购</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672" w:type="pct"/>
                  <w:vAlign w:val="center"/>
                </w:tcPr>
                <w:p>
                  <w:pPr>
                    <w:jc w:val="center"/>
                    <w:rPr>
                      <w:rFonts w:hint="eastAsia" w:ascii="Times New Roman" w:hAnsi="Times New Roman" w:eastAsia="宋体" w:cs="Times New Roman"/>
                      <w:bCs/>
                      <w:kern w:val="2"/>
                      <w:sz w:val="21"/>
                      <w:szCs w:val="21"/>
                      <w:lang w:val="en-US" w:eastAsia="zh-CN" w:bidi="ar-SA"/>
                    </w:rPr>
                  </w:pPr>
                  <w:r>
                    <w:rPr>
                      <w:rFonts w:hint="eastAsia"/>
                      <w:bCs/>
                      <w:szCs w:val="21"/>
                    </w:rPr>
                    <w:t>3</w:t>
                  </w:r>
                </w:p>
              </w:tc>
              <w:tc>
                <w:tcPr>
                  <w:tcW w:w="1326" w:type="pct"/>
                  <w:vAlign w:val="center"/>
                </w:tcPr>
                <w:p>
                  <w:pPr>
                    <w:adjustRightInd w:val="0"/>
                    <w:snapToGrid w:val="0"/>
                    <w:jc w:val="center"/>
                    <w:rPr>
                      <w:rFonts w:hint="default"/>
                      <w:szCs w:val="21"/>
                      <w:lang w:val="en-US" w:eastAsia="zh-CN"/>
                    </w:rPr>
                  </w:pPr>
                  <w:r>
                    <w:rPr>
                      <w:rFonts w:hint="eastAsia"/>
                      <w:szCs w:val="21"/>
                      <w:lang w:val="en-US" w:eastAsia="zh-CN"/>
                    </w:rPr>
                    <w:t>水泥</w:t>
                  </w:r>
                </w:p>
              </w:tc>
              <w:tc>
                <w:tcPr>
                  <w:tcW w:w="1396" w:type="pct"/>
                  <w:vAlign w:val="center"/>
                </w:tcPr>
                <w:p>
                  <w:pPr>
                    <w:adjustRightInd w:val="0"/>
                    <w:snapToGrid w:val="0"/>
                    <w:jc w:val="center"/>
                    <w:rPr>
                      <w:rFonts w:hint="default"/>
                      <w:bCs/>
                      <w:szCs w:val="21"/>
                      <w:lang w:val="en-US" w:eastAsia="zh-CN"/>
                    </w:rPr>
                  </w:pPr>
                  <w:r>
                    <w:rPr>
                      <w:rFonts w:hint="eastAsia"/>
                      <w:bCs/>
                      <w:szCs w:val="21"/>
                      <w:lang w:val="en-US" w:eastAsia="zh-CN"/>
                    </w:rPr>
                    <w:t>4800t</w:t>
                  </w:r>
                </w:p>
              </w:tc>
              <w:tc>
                <w:tcPr>
                  <w:tcW w:w="1604" w:type="pct"/>
                  <w:vAlign w:val="center"/>
                </w:tcPr>
                <w:p>
                  <w:pPr>
                    <w:adjustRightInd w:val="0"/>
                    <w:snapToGrid w:val="0"/>
                    <w:jc w:val="center"/>
                    <w:rPr>
                      <w:rFonts w:hint="default"/>
                      <w:bCs/>
                      <w:szCs w:val="21"/>
                      <w:lang w:val="en-US" w:eastAsia="zh-CN"/>
                    </w:rPr>
                  </w:pPr>
                  <w:r>
                    <w:rPr>
                      <w:rFonts w:hint="eastAsia"/>
                      <w:bCs/>
                      <w:szCs w:val="21"/>
                      <w:lang w:val="en-US" w:eastAsia="zh-CN"/>
                    </w:rPr>
                    <w:t>外购</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672" w:type="pct"/>
                  <w:vAlign w:val="center"/>
                </w:tcPr>
                <w:p>
                  <w:pPr>
                    <w:jc w:val="center"/>
                    <w:rPr>
                      <w:rFonts w:hint="eastAsia" w:ascii="Times New Roman" w:hAnsi="Times New Roman" w:eastAsia="宋体" w:cs="Times New Roman"/>
                      <w:bCs/>
                      <w:kern w:val="2"/>
                      <w:sz w:val="21"/>
                      <w:szCs w:val="21"/>
                      <w:lang w:val="en-US" w:eastAsia="zh-CN" w:bidi="ar-SA"/>
                    </w:rPr>
                  </w:pPr>
                  <w:r>
                    <w:rPr>
                      <w:rFonts w:hint="eastAsia"/>
                      <w:bCs/>
                      <w:szCs w:val="21"/>
                    </w:rPr>
                    <w:t>4</w:t>
                  </w:r>
                </w:p>
              </w:tc>
              <w:tc>
                <w:tcPr>
                  <w:tcW w:w="1326" w:type="pct"/>
                  <w:vAlign w:val="center"/>
                </w:tcPr>
                <w:p>
                  <w:pPr>
                    <w:adjustRightInd w:val="0"/>
                    <w:snapToGrid w:val="0"/>
                    <w:jc w:val="center"/>
                    <w:rPr>
                      <w:rFonts w:hint="default"/>
                      <w:szCs w:val="21"/>
                      <w:lang w:val="en-US" w:eastAsia="zh-CN"/>
                    </w:rPr>
                  </w:pPr>
                  <w:r>
                    <w:rPr>
                      <w:rFonts w:hint="eastAsia"/>
                      <w:szCs w:val="21"/>
                      <w:lang w:val="en-US" w:eastAsia="zh-CN"/>
                    </w:rPr>
                    <w:t>纤维素</w:t>
                  </w:r>
                </w:p>
              </w:tc>
              <w:tc>
                <w:tcPr>
                  <w:tcW w:w="1396" w:type="pct"/>
                  <w:vAlign w:val="center"/>
                </w:tcPr>
                <w:p>
                  <w:pPr>
                    <w:adjustRightInd w:val="0"/>
                    <w:snapToGrid w:val="0"/>
                    <w:jc w:val="center"/>
                    <w:rPr>
                      <w:rFonts w:hint="default"/>
                      <w:bCs/>
                      <w:szCs w:val="21"/>
                      <w:lang w:val="en-US" w:eastAsia="zh-CN"/>
                    </w:rPr>
                  </w:pPr>
                  <w:r>
                    <w:rPr>
                      <w:rFonts w:hint="eastAsia"/>
                      <w:bCs/>
                      <w:szCs w:val="21"/>
                      <w:lang w:val="en-US" w:eastAsia="zh-CN"/>
                    </w:rPr>
                    <w:t>200t</w:t>
                  </w:r>
                </w:p>
              </w:tc>
              <w:tc>
                <w:tcPr>
                  <w:tcW w:w="1604" w:type="pct"/>
                  <w:vAlign w:val="center"/>
                </w:tcPr>
                <w:p>
                  <w:pPr>
                    <w:adjustRightInd w:val="0"/>
                    <w:snapToGrid w:val="0"/>
                    <w:jc w:val="center"/>
                    <w:rPr>
                      <w:rFonts w:hint="default"/>
                      <w:bCs/>
                      <w:szCs w:val="21"/>
                      <w:lang w:val="en-US" w:eastAsia="zh-CN"/>
                    </w:rPr>
                  </w:pPr>
                  <w:r>
                    <w:rPr>
                      <w:rFonts w:hint="eastAsia"/>
                      <w:bCs/>
                      <w:szCs w:val="21"/>
                      <w:lang w:val="en-US" w:eastAsia="zh-CN"/>
                    </w:rPr>
                    <w:t>外购</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672" w:type="pct"/>
                  <w:vAlign w:val="center"/>
                </w:tcPr>
                <w:p>
                  <w:pPr>
                    <w:jc w:val="center"/>
                    <w:rPr>
                      <w:rFonts w:hint="eastAsia" w:eastAsia="宋体"/>
                      <w:bCs/>
                      <w:szCs w:val="21"/>
                      <w:lang w:val="en-US" w:eastAsia="zh-CN"/>
                    </w:rPr>
                  </w:pPr>
                  <w:r>
                    <w:rPr>
                      <w:rFonts w:hint="eastAsia"/>
                      <w:bCs/>
                      <w:szCs w:val="21"/>
                      <w:lang w:val="en-US" w:eastAsia="zh-CN"/>
                    </w:rPr>
                    <w:t>5</w:t>
                  </w:r>
                </w:p>
              </w:tc>
              <w:tc>
                <w:tcPr>
                  <w:tcW w:w="1326" w:type="pct"/>
                  <w:vAlign w:val="center"/>
                </w:tcPr>
                <w:p>
                  <w:pPr>
                    <w:adjustRightInd w:val="0"/>
                    <w:snapToGrid w:val="0"/>
                    <w:jc w:val="center"/>
                    <w:rPr>
                      <w:rFonts w:hint="default"/>
                      <w:szCs w:val="21"/>
                      <w:lang w:val="en-US" w:eastAsia="zh-CN"/>
                    </w:rPr>
                  </w:pPr>
                  <w:r>
                    <w:rPr>
                      <w:rFonts w:hint="eastAsia"/>
                      <w:szCs w:val="21"/>
                      <w:lang w:val="en-US" w:eastAsia="zh-CN"/>
                    </w:rPr>
                    <w:t>聚苯颗粒熟化料</w:t>
                  </w:r>
                </w:p>
              </w:tc>
              <w:tc>
                <w:tcPr>
                  <w:tcW w:w="1396" w:type="pct"/>
                  <w:vAlign w:val="center"/>
                </w:tcPr>
                <w:p>
                  <w:pPr>
                    <w:adjustRightInd w:val="0"/>
                    <w:snapToGrid w:val="0"/>
                    <w:jc w:val="center"/>
                    <w:rPr>
                      <w:rFonts w:hint="default"/>
                      <w:bCs/>
                      <w:szCs w:val="21"/>
                      <w:lang w:val="en-US" w:eastAsia="zh-CN"/>
                    </w:rPr>
                  </w:pPr>
                  <w:r>
                    <w:rPr>
                      <w:rFonts w:hint="eastAsia"/>
                      <w:bCs/>
                      <w:szCs w:val="21"/>
                      <w:lang w:val="en-US" w:eastAsia="zh-CN"/>
                    </w:rPr>
                    <w:t>1000t</w:t>
                  </w:r>
                </w:p>
              </w:tc>
              <w:tc>
                <w:tcPr>
                  <w:tcW w:w="1604" w:type="pct"/>
                  <w:vAlign w:val="center"/>
                </w:tcPr>
                <w:p>
                  <w:pPr>
                    <w:adjustRightInd w:val="0"/>
                    <w:snapToGrid w:val="0"/>
                    <w:jc w:val="center"/>
                    <w:rPr>
                      <w:rFonts w:hint="default"/>
                      <w:bCs/>
                      <w:szCs w:val="21"/>
                      <w:lang w:val="en-US" w:eastAsia="zh-CN"/>
                    </w:rPr>
                  </w:pPr>
                  <w:r>
                    <w:rPr>
                      <w:rFonts w:hint="eastAsia"/>
                      <w:bCs/>
                      <w:szCs w:val="21"/>
                      <w:lang w:val="en-US" w:eastAsia="zh-CN"/>
                    </w:rPr>
                    <w:t>外购</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672" w:type="pct"/>
                  <w:vAlign w:val="center"/>
                </w:tcPr>
                <w:p>
                  <w:pPr>
                    <w:jc w:val="center"/>
                    <w:rPr>
                      <w:rFonts w:hint="eastAsia" w:eastAsia="宋体"/>
                      <w:bCs/>
                      <w:szCs w:val="21"/>
                      <w:lang w:val="en-US" w:eastAsia="zh-CN"/>
                    </w:rPr>
                  </w:pPr>
                  <w:r>
                    <w:rPr>
                      <w:rFonts w:hint="eastAsia"/>
                      <w:bCs/>
                      <w:szCs w:val="21"/>
                      <w:lang w:val="en-US" w:eastAsia="zh-CN"/>
                    </w:rPr>
                    <w:t>6</w:t>
                  </w:r>
                </w:p>
              </w:tc>
              <w:tc>
                <w:tcPr>
                  <w:tcW w:w="1326" w:type="pct"/>
                  <w:vAlign w:val="center"/>
                </w:tcPr>
                <w:p>
                  <w:pPr>
                    <w:adjustRightInd w:val="0"/>
                    <w:snapToGrid w:val="0"/>
                    <w:jc w:val="center"/>
                    <w:rPr>
                      <w:rFonts w:hint="default" w:eastAsia="宋体"/>
                      <w:szCs w:val="21"/>
                      <w:lang w:val="en-US" w:eastAsia="zh-CN"/>
                    </w:rPr>
                  </w:pPr>
                  <w:r>
                    <w:rPr>
                      <w:rFonts w:hint="eastAsia"/>
                      <w:szCs w:val="21"/>
                      <w:lang w:val="en-US" w:eastAsia="zh-CN"/>
                    </w:rPr>
                    <w:t>网格布</w:t>
                  </w:r>
                </w:p>
              </w:tc>
              <w:tc>
                <w:tcPr>
                  <w:tcW w:w="1396" w:type="pct"/>
                  <w:vAlign w:val="center"/>
                </w:tcPr>
                <w:p>
                  <w:pPr>
                    <w:adjustRightInd w:val="0"/>
                    <w:snapToGrid w:val="0"/>
                    <w:jc w:val="center"/>
                    <w:rPr>
                      <w:rFonts w:hint="default" w:eastAsia="宋体"/>
                      <w:bCs/>
                      <w:szCs w:val="21"/>
                      <w:vertAlign w:val="baseline"/>
                      <w:lang w:val="en-US" w:eastAsia="zh-CN"/>
                    </w:rPr>
                  </w:pPr>
                  <w:r>
                    <w:rPr>
                      <w:rFonts w:hint="eastAsia"/>
                      <w:bCs/>
                      <w:szCs w:val="21"/>
                      <w:lang w:val="en-US" w:eastAsia="zh-CN"/>
                    </w:rPr>
                    <w:t>1800000m</w:t>
                  </w:r>
                  <w:r>
                    <w:rPr>
                      <w:rFonts w:hint="eastAsia"/>
                      <w:bCs/>
                      <w:szCs w:val="21"/>
                      <w:vertAlign w:val="superscript"/>
                      <w:lang w:val="en-US" w:eastAsia="zh-CN"/>
                    </w:rPr>
                    <w:t>2</w:t>
                  </w:r>
                </w:p>
              </w:tc>
              <w:tc>
                <w:tcPr>
                  <w:tcW w:w="1604" w:type="pct"/>
                  <w:vAlign w:val="center"/>
                </w:tcPr>
                <w:p>
                  <w:pPr>
                    <w:adjustRightInd w:val="0"/>
                    <w:snapToGrid w:val="0"/>
                    <w:jc w:val="center"/>
                    <w:rPr>
                      <w:rFonts w:hint="eastAsia" w:eastAsia="宋体"/>
                      <w:bCs/>
                      <w:szCs w:val="21"/>
                      <w:lang w:val="en-US" w:eastAsia="zh-CN"/>
                    </w:rPr>
                  </w:pPr>
                  <w:r>
                    <w:rPr>
                      <w:rFonts w:hint="eastAsia"/>
                      <w:bCs/>
                      <w:szCs w:val="21"/>
                      <w:lang w:val="en-US" w:eastAsia="zh-CN"/>
                    </w:rPr>
                    <w:t>外购</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07" w:hRule="atLeast"/>
              </w:trPr>
              <w:tc>
                <w:tcPr>
                  <w:tcW w:w="672" w:type="pct"/>
                  <w:vAlign w:val="center"/>
                </w:tcPr>
                <w:p>
                  <w:pPr>
                    <w:jc w:val="center"/>
                    <w:rPr>
                      <w:rFonts w:hint="eastAsia" w:eastAsia="宋体"/>
                      <w:bCs/>
                      <w:szCs w:val="21"/>
                      <w:lang w:val="en-US" w:eastAsia="zh-CN"/>
                    </w:rPr>
                  </w:pPr>
                  <w:r>
                    <w:rPr>
                      <w:rFonts w:hint="eastAsia"/>
                      <w:bCs/>
                      <w:szCs w:val="21"/>
                      <w:lang w:val="en-US" w:eastAsia="zh-CN"/>
                    </w:rPr>
                    <w:t>8</w:t>
                  </w:r>
                </w:p>
              </w:tc>
              <w:tc>
                <w:tcPr>
                  <w:tcW w:w="1326" w:type="pct"/>
                  <w:vAlign w:val="center"/>
                </w:tcPr>
                <w:p>
                  <w:pPr>
                    <w:adjustRightInd w:val="0"/>
                    <w:snapToGrid w:val="0"/>
                    <w:jc w:val="center"/>
                    <w:rPr>
                      <w:rFonts w:hint="eastAsia" w:eastAsia="宋体"/>
                      <w:szCs w:val="21"/>
                      <w:lang w:val="en-US" w:eastAsia="zh-CN"/>
                    </w:rPr>
                  </w:pPr>
                  <w:r>
                    <w:rPr>
                      <w:rFonts w:hint="eastAsia"/>
                      <w:szCs w:val="21"/>
                      <w:lang w:val="en-US" w:eastAsia="zh-CN"/>
                    </w:rPr>
                    <w:t>界面剂</w:t>
                  </w:r>
                </w:p>
              </w:tc>
              <w:tc>
                <w:tcPr>
                  <w:tcW w:w="1396" w:type="pct"/>
                  <w:vAlign w:val="center"/>
                </w:tcPr>
                <w:p>
                  <w:pPr>
                    <w:adjustRightInd w:val="0"/>
                    <w:snapToGrid w:val="0"/>
                    <w:jc w:val="center"/>
                    <w:rPr>
                      <w:rFonts w:hint="default" w:eastAsia="宋体"/>
                      <w:bCs/>
                      <w:szCs w:val="21"/>
                      <w:lang w:val="en-US" w:eastAsia="zh-CN"/>
                    </w:rPr>
                  </w:pPr>
                  <w:r>
                    <w:rPr>
                      <w:rFonts w:hint="eastAsia"/>
                      <w:bCs/>
                      <w:szCs w:val="21"/>
                      <w:lang w:val="en-US" w:eastAsia="zh-CN"/>
                    </w:rPr>
                    <w:t>18t</w:t>
                  </w:r>
                </w:p>
              </w:tc>
              <w:tc>
                <w:tcPr>
                  <w:tcW w:w="1604" w:type="pct"/>
                  <w:vAlign w:val="center"/>
                </w:tcPr>
                <w:p>
                  <w:pPr>
                    <w:adjustRightInd w:val="0"/>
                    <w:snapToGrid w:val="0"/>
                    <w:jc w:val="center"/>
                    <w:rPr>
                      <w:rFonts w:hint="eastAsia" w:eastAsia="宋体"/>
                      <w:bCs/>
                      <w:szCs w:val="21"/>
                      <w:lang w:val="en-US" w:eastAsia="zh-CN"/>
                    </w:rPr>
                  </w:pPr>
                  <w:r>
                    <w:rPr>
                      <w:rFonts w:hint="eastAsia"/>
                      <w:bCs/>
                      <w:szCs w:val="21"/>
                      <w:lang w:val="en-US" w:eastAsia="zh-CN"/>
                    </w:rPr>
                    <w:t>外购</w:t>
                  </w:r>
                </w:p>
              </w:tc>
            </w:tr>
          </w:tbl>
          <w:p>
            <w:pPr>
              <w:pStyle w:val="70"/>
              <w:rPr>
                <w:rFonts w:hint="eastAsia"/>
              </w:rPr>
            </w:pPr>
            <w:r>
              <w:rPr>
                <w:rFonts w:hint="default" w:ascii="Times New Roman" w:hAnsi="Times New Roman" w:eastAsia="黑体" w:cs="Times New Roman"/>
                <w:b w:val="0"/>
                <w:bCs/>
              </w:rPr>
              <w:t>表</w:t>
            </w:r>
            <w:r>
              <w:rPr>
                <w:rFonts w:hint="default" w:ascii="Times New Roman" w:hAnsi="Times New Roman" w:eastAsia="黑体" w:cs="Times New Roman"/>
                <w:b w:val="0"/>
                <w:bCs/>
                <w:lang w:val="en-US" w:eastAsia="zh-CN"/>
              </w:rPr>
              <w:t xml:space="preserve">2.4 </w:t>
            </w:r>
            <w:r>
              <w:rPr>
                <w:rFonts w:hint="default" w:ascii="Times New Roman" w:hAnsi="Times New Roman" w:eastAsia="黑体" w:cs="Times New Roman"/>
                <w:b w:val="0"/>
                <w:bCs/>
              </w:rPr>
              <w:t xml:space="preserve"> 原辅材料主要理化性质汇总表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129"/>
              <w:gridCol w:w="65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pct"/>
                  <w:tcBorders>
                    <w:tl2br w:val="nil"/>
                    <w:tr2bl w:val="nil"/>
                  </w:tcBorders>
                  <w:noWrap w:val="0"/>
                  <w:vAlign w:val="center"/>
                </w:tcPr>
                <w:p>
                  <w:pPr>
                    <w:pStyle w:val="101"/>
                    <w:bidi w:val="0"/>
                    <w:rPr>
                      <w:rFonts w:hint="default" w:ascii="Times New Roman" w:hAnsi="Times New Roman" w:eastAsia="宋体" w:cs="Times New Roman"/>
                      <w:sz w:val="21"/>
                      <w:szCs w:val="21"/>
                      <w:lang w:val="zh-CN"/>
                    </w:rPr>
                  </w:pPr>
                  <w:r>
                    <w:rPr>
                      <w:rFonts w:hint="default" w:ascii="Times New Roman" w:hAnsi="Times New Roman" w:eastAsia="宋体" w:cs="Times New Roman"/>
                      <w:sz w:val="21"/>
                      <w:szCs w:val="21"/>
                      <w:lang w:val="zh-CN"/>
                    </w:rPr>
                    <w:t>序号</w:t>
                  </w:r>
                </w:p>
              </w:tc>
              <w:tc>
                <w:tcPr>
                  <w:tcW w:w="673" w:type="pct"/>
                  <w:tcBorders>
                    <w:tl2br w:val="nil"/>
                    <w:tr2bl w:val="nil"/>
                  </w:tcBorders>
                  <w:noWrap w:val="0"/>
                  <w:vAlign w:val="center"/>
                </w:tcPr>
                <w:p>
                  <w:pPr>
                    <w:pStyle w:val="101"/>
                    <w:bidi w:val="0"/>
                    <w:rPr>
                      <w:rFonts w:hint="default" w:ascii="Times New Roman" w:hAnsi="Times New Roman" w:eastAsia="宋体" w:cs="Times New Roman"/>
                      <w:sz w:val="21"/>
                      <w:szCs w:val="21"/>
                      <w:lang w:val="zh-CN"/>
                    </w:rPr>
                  </w:pPr>
                  <w:r>
                    <w:rPr>
                      <w:rFonts w:hint="default" w:ascii="Times New Roman" w:hAnsi="Times New Roman" w:eastAsia="宋体" w:cs="Times New Roman"/>
                      <w:sz w:val="21"/>
                      <w:szCs w:val="21"/>
                      <w:lang w:val="zh-CN"/>
                    </w:rPr>
                    <w:t>物质名称</w:t>
                  </w:r>
                </w:p>
              </w:tc>
              <w:tc>
                <w:tcPr>
                  <w:tcW w:w="3905" w:type="pct"/>
                  <w:tcBorders>
                    <w:tl2br w:val="nil"/>
                    <w:tr2bl w:val="nil"/>
                  </w:tcBorders>
                  <w:noWrap w:val="0"/>
                  <w:vAlign w:val="center"/>
                </w:tcPr>
                <w:p>
                  <w:pPr>
                    <w:pStyle w:val="101"/>
                    <w:bidi w:val="0"/>
                    <w:rPr>
                      <w:rFonts w:hint="default" w:ascii="Times New Roman" w:hAnsi="Times New Roman" w:eastAsia="宋体" w:cs="Times New Roman"/>
                      <w:sz w:val="21"/>
                      <w:szCs w:val="21"/>
                      <w:lang w:val="zh-CN"/>
                    </w:rPr>
                  </w:pPr>
                  <w:r>
                    <w:rPr>
                      <w:rFonts w:hint="default" w:ascii="Times New Roman" w:hAnsi="Times New Roman" w:eastAsia="宋体" w:cs="Times New Roman"/>
                      <w:sz w:val="21"/>
                      <w:szCs w:val="21"/>
                      <w:lang w:val="zh-CN"/>
                    </w:rPr>
                    <w:t>主要性能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noWrap w:val="0"/>
                  <w:vAlign w:val="center"/>
                </w:tcPr>
                <w:p>
                  <w:pPr>
                    <w:pStyle w:val="101"/>
                    <w:bidi w:val="0"/>
                    <w:ind w:firstLine="0" w:firstLineChars="0"/>
                    <w:rPr>
                      <w:rFonts w:hint="default" w:ascii="Times New Roman" w:hAnsi="Times New Roman" w:eastAsia="宋体" w:cs="Times New Roman"/>
                      <w:sz w:val="21"/>
                      <w:szCs w:val="21"/>
                      <w:highlight w:val="none"/>
                      <w:lang w:val="zh-CN"/>
                    </w:rPr>
                  </w:pPr>
                  <w:r>
                    <w:rPr>
                      <w:rFonts w:hint="default" w:ascii="Times New Roman" w:hAnsi="Times New Roman" w:eastAsia="宋体" w:cs="Times New Roman"/>
                      <w:sz w:val="21"/>
                      <w:szCs w:val="21"/>
                      <w:highlight w:val="none"/>
                      <w:lang w:val="zh-CN"/>
                    </w:rPr>
                    <w:t>1</w:t>
                  </w:r>
                </w:p>
              </w:tc>
              <w:tc>
                <w:tcPr>
                  <w:tcW w:w="1064" w:type="dxa"/>
                  <w:tcBorders>
                    <w:tl2br w:val="nil"/>
                    <w:tr2bl w:val="nil"/>
                  </w:tcBorders>
                  <w:noWrap w:val="0"/>
                  <w:vAlign w:val="center"/>
                </w:tcPr>
                <w:p>
                  <w:pPr>
                    <w:pStyle w:val="101"/>
                    <w:bidi w:val="0"/>
                    <w:ind w:firstLine="0" w:firstLineChars="0"/>
                    <w:rPr>
                      <w:rFonts w:hint="default" w:ascii="Times New Roman" w:hAnsi="Times New Roman" w:eastAsia="宋体" w:cs="Times New Roman"/>
                      <w:sz w:val="21"/>
                      <w:szCs w:val="21"/>
                      <w:highlight w:val="none"/>
                      <w:lang w:val="zh-CN"/>
                    </w:rPr>
                  </w:pPr>
                  <w:r>
                    <w:rPr>
                      <w:rFonts w:hint="default" w:ascii="Times New Roman" w:hAnsi="Times New Roman" w:eastAsia="宋体" w:cs="Times New Roman"/>
                      <w:sz w:val="21"/>
                      <w:szCs w:val="21"/>
                      <w:highlight w:val="none"/>
                    </w:rPr>
                    <w:t>聚苯颗粒</w:t>
                  </w:r>
                </w:p>
              </w:tc>
              <w:tc>
                <w:tcPr>
                  <w:tcW w:w="6169" w:type="dxa"/>
                  <w:tcBorders>
                    <w:tl2br w:val="nil"/>
                    <w:tr2bl w:val="nil"/>
                  </w:tcBorders>
                  <w:noWrap w:val="0"/>
                  <w:vAlign w:val="center"/>
                </w:tcPr>
                <w:p>
                  <w:pPr>
                    <w:pStyle w:val="101"/>
                    <w:bidi w:val="0"/>
                    <w:ind w:firstLine="0" w:firstLineChars="0"/>
                    <w:jc w:val="both"/>
                    <w:rPr>
                      <w:rFonts w:hint="default" w:ascii="Times New Roman" w:hAnsi="Times New Roman" w:eastAsia="宋体" w:cs="Times New Roman"/>
                      <w:sz w:val="21"/>
                      <w:szCs w:val="21"/>
                      <w:highlight w:val="none"/>
                      <w:lang w:val="zh-CN"/>
                    </w:rPr>
                  </w:pPr>
                  <w:r>
                    <w:rPr>
                      <w:rFonts w:hint="default" w:ascii="Times New Roman" w:hAnsi="Times New Roman" w:eastAsia="宋体" w:cs="Times New Roman"/>
                      <w:sz w:val="21"/>
                      <w:szCs w:val="21"/>
                      <w:highlight w:val="none"/>
                      <w:lang w:val="zh-CN"/>
                    </w:rPr>
                    <w:t>聚苯颗粒全称为膨胀聚苯乙烯泡沫颗粒，又称膨胀聚苯颗粒。该材料是由可发性聚苯乙烯树脂珠粒为基础原料膨胀发泡制成的，聚苯颗粒是聚苯颗粒保温砂浆的主要骨料。该材料适用于建筑节能50%和65%目标要求新建、扩建和既有房屋改造的工业民用建筑的外墙内、外保温和分户墙、地下室、车库、楼梯、走廊、消防通道、热桥单独保温隔热、EPS、XPS的找平防火层或保护层等。该材料制成聚苯颗粒板，阻燃等级能达到A级，属于不易燃保温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pct"/>
                  <w:tcBorders>
                    <w:tl2br w:val="nil"/>
                    <w:tr2bl w:val="nil"/>
                  </w:tcBorders>
                  <w:noWrap w:val="0"/>
                  <w:vAlign w:val="center"/>
                </w:tcPr>
                <w:p>
                  <w:pPr>
                    <w:pStyle w:val="101"/>
                    <w:bidi w:val="0"/>
                    <w:rPr>
                      <w:rFonts w:hint="default" w:ascii="Times New Roman" w:hAnsi="Times New Roman" w:eastAsia="宋体" w:cs="Times New Roman"/>
                      <w:sz w:val="21"/>
                      <w:szCs w:val="21"/>
                      <w:lang w:val="zh-CN"/>
                    </w:rPr>
                  </w:pPr>
                  <w:r>
                    <w:rPr>
                      <w:rFonts w:hint="default" w:ascii="Times New Roman" w:hAnsi="Times New Roman" w:eastAsia="宋体" w:cs="Times New Roman"/>
                      <w:sz w:val="21"/>
                      <w:szCs w:val="21"/>
                      <w:lang w:val="zh-CN"/>
                    </w:rPr>
                    <w:t>2</w:t>
                  </w:r>
                </w:p>
              </w:tc>
              <w:tc>
                <w:tcPr>
                  <w:tcW w:w="673" w:type="pct"/>
                  <w:tcBorders>
                    <w:tl2br w:val="nil"/>
                    <w:tr2bl w:val="nil"/>
                  </w:tcBorders>
                  <w:noWrap w:val="0"/>
                  <w:vAlign w:val="center"/>
                </w:tcPr>
                <w:p>
                  <w:pPr>
                    <w:pStyle w:val="101"/>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界面剂</w:t>
                  </w:r>
                </w:p>
              </w:tc>
              <w:tc>
                <w:tcPr>
                  <w:tcW w:w="3905" w:type="pct"/>
                  <w:tcBorders>
                    <w:tl2br w:val="nil"/>
                    <w:tr2bl w:val="nil"/>
                  </w:tcBorders>
                  <w:noWrap w:val="0"/>
                  <w:vAlign w:val="center"/>
                </w:tcPr>
                <w:p>
                  <w:pPr>
                    <w:pStyle w:val="101"/>
                    <w:bidi w:val="0"/>
                    <w:jc w:val="both"/>
                    <w:rPr>
                      <w:rFonts w:hint="default" w:ascii="Times New Roman" w:hAnsi="Times New Roman" w:eastAsia="宋体" w:cs="Times New Roman"/>
                      <w:sz w:val="21"/>
                      <w:szCs w:val="21"/>
                      <w:lang w:val="zh-CN"/>
                    </w:rPr>
                  </w:pPr>
                  <w:r>
                    <w:rPr>
                      <w:rFonts w:hint="default" w:ascii="Times New Roman" w:hAnsi="Times New Roman" w:eastAsia="宋体" w:cs="Times New Roman"/>
                      <w:sz w:val="21"/>
                      <w:szCs w:val="21"/>
                      <w:lang w:val="zh-CN"/>
                    </w:rPr>
                    <w:t>可再分散乳胶粉产品为水溶性可再分散粉末，为乙烯、醋酸乙烯酯的共聚物，以聚乙烯醇作为保护胶体。由于可再分散乳胶粉具有高粘结能力和独特的性能，如：抗水性，施工性及隔热性等。性能：具有极突出的防水性能，粘结强度好，增加砂浆的弹性并有较长之开放时间，赋予砂浆优良的耐碱性，改善砂浆的粘附性/粘合性、抗折强度、可塑性、耐磨性能和施工性外，在柔性抗裂砂浆中更具有较强的柔韧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pct"/>
                  <w:tcBorders>
                    <w:tl2br w:val="nil"/>
                    <w:tr2bl w:val="nil"/>
                  </w:tcBorders>
                  <w:noWrap w:val="0"/>
                  <w:vAlign w:val="center"/>
                </w:tcPr>
                <w:p>
                  <w:pPr>
                    <w:pStyle w:val="101"/>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673" w:type="pct"/>
                  <w:tcBorders>
                    <w:tl2br w:val="nil"/>
                    <w:tr2bl w:val="nil"/>
                  </w:tcBorders>
                  <w:noWrap w:val="0"/>
                  <w:vAlign w:val="center"/>
                </w:tcPr>
                <w:p>
                  <w:pPr>
                    <w:pStyle w:val="101"/>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纤维素</w:t>
                  </w:r>
                </w:p>
              </w:tc>
              <w:tc>
                <w:tcPr>
                  <w:tcW w:w="3905" w:type="pct"/>
                  <w:tcBorders>
                    <w:tl2br w:val="nil"/>
                    <w:tr2bl w:val="nil"/>
                  </w:tcBorders>
                  <w:noWrap w:val="0"/>
                  <w:vAlign w:val="center"/>
                </w:tcPr>
                <w:p>
                  <w:pPr>
                    <w:pStyle w:val="101"/>
                    <w:bidi w:val="0"/>
                    <w:jc w:val="both"/>
                    <w:rPr>
                      <w:rFonts w:hint="default" w:ascii="Times New Roman" w:hAnsi="Times New Roman" w:eastAsia="宋体" w:cs="Times New Roman"/>
                      <w:sz w:val="21"/>
                      <w:szCs w:val="21"/>
                      <w:lang w:val="zh-CN"/>
                    </w:rPr>
                  </w:pPr>
                  <w:r>
                    <w:rPr>
                      <w:rFonts w:hint="default" w:ascii="Times New Roman" w:hAnsi="Times New Roman" w:eastAsia="宋体" w:cs="Times New Roman"/>
                      <w:sz w:val="21"/>
                      <w:szCs w:val="21"/>
                      <w:lang w:val="zh-CN"/>
                    </w:rPr>
                    <w:t>羧甲基纤维素钠，俗称纤维素、羧甲基纤维素、cme等多种称呼，适用于干粉砂浆建材，自流平剂等新型建材。干混砂浆主要用水溶性纤维素，水溶性纤维素又分为速溶型和经过表面处理的延迟溶解型。本项目在混合搅拌工序添加纤维素,使水泥、砂石料、聚苯颗粒熟化料等能跟均匀的搅拌。</w:t>
                  </w:r>
                </w:p>
              </w:tc>
            </w:tr>
          </w:tbl>
          <w:p>
            <w:pPr>
              <w:tabs>
                <w:tab w:val="left" w:pos="337"/>
              </w:tabs>
              <w:adjustRightInd w:val="0"/>
              <w:snapToGrid w:val="0"/>
              <w:spacing w:line="520" w:lineRule="exact"/>
              <w:ind w:firstLine="482" w:firstLineChars="200"/>
              <w:rPr>
                <w:b/>
                <w:bCs/>
                <w:sz w:val="24"/>
              </w:rPr>
            </w:pPr>
            <w:r>
              <w:rPr>
                <w:rFonts w:hint="eastAsia"/>
                <w:b/>
                <w:bCs/>
                <w:sz w:val="24"/>
                <w:lang w:val="en-US" w:eastAsia="zh-CN"/>
              </w:rPr>
              <w:t>7</w:t>
            </w:r>
            <w:r>
              <w:rPr>
                <w:b/>
                <w:bCs/>
                <w:sz w:val="24"/>
              </w:rPr>
              <w:t>、公用工程</w:t>
            </w:r>
          </w:p>
          <w:p>
            <w:pPr>
              <w:adjustRightInd w:val="0"/>
              <w:snapToGrid w:val="0"/>
              <w:spacing w:line="520" w:lineRule="exact"/>
              <w:ind w:firstLine="480" w:firstLineChars="200"/>
              <w:rPr>
                <w:sz w:val="24"/>
              </w:rPr>
            </w:pPr>
            <w:r>
              <w:rPr>
                <w:sz w:val="24"/>
              </w:rPr>
              <w:t>（1）给水</w:t>
            </w:r>
          </w:p>
          <w:p>
            <w:pPr>
              <w:adjustRightInd w:val="0"/>
              <w:snapToGrid w:val="0"/>
              <w:spacing w:line="520" w:lineRule="exact"/>
              <w:ind w:firstLine="480" w:firstLineChars="200"/>
              <w:rPr>
                <w:sz w:val="24"/>
              </w:rPr>
            </w:pPr>
            <w:r>
              <w:rPr>
                <w:rFonts w:hint="eastAsia"/>
                <w:sz w:val="24"/>
              </w:rPr>
              <w:t>本项目用水由园区供水管网供给，主要为职工日常生活用水、生产用水。</w:t>
            </w:r>
          </w:p>
          <w:p>
            <w:pPr>
              <w:pStyle w:val="65"/>
            </w:pPr>
            <w:r>
              <w:rPr>
                <w:rFonts w:hint="eastAsia"/>
              </w:rPr>
              <w:t>生活用水：</w:t>
            </w:r>
            <w:r>
              <w:t>本项目劳动定员</w:t>
            </w:r>
            <w:r>
              <w:rPr>
                <w:rFonts w:hint="eastAsia"/>
                <w:lang w:val="en-US" w:eastAsia="zh-CN"/>
              </w:rPr>
              <w:t>7</w:t>
            </w:r>
            <w:r>
              <w:t>人</w:t>
            </w:r>
            <w:r>
              <w:rPr>
                <w:rFonts w:hint="eastAsia"/>
              </w:rPr>
              <w:t>（均在厂区食宿）</w:t>
            </w:r>
            <w:r>
              <w:t>，</w:t>
            </w:r>
            <w:r>
              <w:rPr>
                <w:rFonts w:hint="eastAsia"/>
              </w:rPr>
              <w:t>年工作时间为</w:t>
            </w:r>
            <w:r>
              <w:rPr>
                <w:rFonts w:hint="eastAsia"/>
                <w:lang w:val="en-US" w:eastAsia="zh-CN"/>
              </w:rPr>
              <w:t>240</w:t>
            </w:r>
            <w:r>
              <w:rPr>
                <w:rFonts w:hint="eastAsia"/>
              </w:rPr>
              <w:t>d，</w:t>
            </w:r>
            <w:r>
              <w:rPr>
                <w:rFonts w:hAnsi="宋体"/>
              </w:rPr>
              <w:t>根据《新疆维吾尔自治区生活用水定额》，</w:t>
            </w:r>
            <w:r>
              <w:rPr>
                <w:rFonts w:hint="eastAsia"/>
              </w:rPr>
              <w:t>员工的生活用水按</w:t>
            </w:r>
            <w:r>
              <w:rPr>
                <w:rFonts w:hint="eastAsia"/>
                <w:lang w:val="en-US" w:eastAsia="zh-CN"/>
              </w:rPr>
              <w:t>8</w:t>
            </w:r>
            <w:r>
              <w:rPr>
                <w:rFonts w:hint="eastAsia"/>
              </w:rPr>
              <w:t>0L/人</w:t>
            </w:r>
            <w:r>
              <w:t>·</w:t>
            </w:r>
            <w:r>
              <w:rPr>
                <w:rFonts w:hint="eastAsia"/>
              </w:rPr>
              <w:t>d计</w:t>
            </w:r>
            <w:r>
              <w:rPr>
                <w:rFonts w:hAnsi="宋体"/>
              </w:rPr>
              <w:t>，故项目生活用水量为</w:t>
            </w:r>
            <w:r>
              <w:rPr>
                <w:rFonts w:hint="eastAsia"/>
                <w:lang w:val="en-US" w:eastAsia="zh-CN"/>
              </w:rPr>
              <w:t>0.56</w:t>
            </w:r>
            <w:r>
              <w:t>m</w:t>
            </w:r>
            <w:r>
              <w:rPr>
                <w:vertAlign w:val="superscript"/>
              </w:rPr>
              <w:t>3</w:t>
            </w:r>
            <w:r>
              <w:t>/d</w:t>
            </w:r>
            <w:r>
              <w:rPr>
                <w:rFonts w:hAnsi="宋体"/>
              </w:rPr>
              <w:t>（</w:t>
            </w:r>
            <w:r>
              <w:rPr>
                <w:rFonts w:hint="eastAsia"/>
                <w:lang w:val="en-US" w:eastAsia="zh-CN"/>
              </w:rPr>
              <w:t>134.4</w:t>
            </w:r>
            <w:r>
              <w:t>m</w:t>
            </w:r>
            <w:r>
              <w:rPr>
                <w:vertAlign w:val="superscript"/>
              </w:rPr>
              <w:t>3</w:t>
            </w:r>
            <w:r>
              <w:t>/a</w:t>
            </w:r>
            <w:r>
              <w:rPr>
                <w:rFonts w:hAnsi="宋体"/>
              </w:rPr>
              <w:t>）</w:t>
            </w:r>
            <w:r>
              <w:t>。</w:t>
            </w:r>
          </w:p>
          <w:p>
            <w:pPr>
              <w:pStyle w:val="65"/>
              <w:rPr>
                <w:rFonts w:hint="eastAsia"/>
              </w:rPr>
            </w:pPr>
            <w:r>
              <w:rPr>
                <w:rFonts w:hint="eastAsia"/>
                <w:sz w:val="24"/>
              </w:rPr>
              <w:t>餐饮用水：根据《新疆维吾尔自治区生活用水定额》，员工餐饮用水按10L/人</w:t>
            </w:r>
            <w:r>
              <w:rPr>
                <w:sz w:val="24"/>
              </w:rPr>
              <w:t>·</w:t>
            </w:r>
            <w:r>
              <w:rPr>
                <w:rFonts w:hint="eastAsia"/>
                <w:sz w:val="24"/>
              </w:rPr>
              <w:t>餐计，则项目餐饮用水为</w:t>
            </w:r>
            <w:r>
              <w:rPr>
                <w:rFonts w:hint="eastAsia"/>
                <w:sz w:val="24"/>
                <w:lang w:val="en-US" w:eastAsia="zh-CN"/>
              </w:rPr>
              <w:t>0.21</w:t>
            </w:r>
            <w:r>
              <w:rPr>
                <w:sz w:val="24"/>
              </w:rPr>
              <w:t>m</w:t>
            </w:r>
            <w:r>
              <w:rPr>
                <w:sz w:val="24"/>
                <w:vertAlign w:val="superscript"/>
              </w:rPr>
              <w:t>3</w:t>
            </w:r>
            <w:r>
              <w:rPr>
                <w:sz w:val="24"/>
              </w:rPr>
              <w:t>/d（</w:t>
            </w:r>
            <w:r>
              <w:rPr>
                <w:rFonts w:hint="eastAsia"/>
                <w:sz w:val="24"/>
                <w:lang w:val="en-US" w:eastAsia="zh-CN"/>
              </w:rPr>
              <w:t>50.4</w:t>
            </w:r>
            <w:r>
              <w:rPr>
                <w:sz w:val="24"/>
              </w:rPr>
              <w:t>m</w:t>
            </w:r>
            <w:r>
              <w:rPr>
                <w:sz w:val="24"/>
                <w:vertAlign w:val="superscript"/>
              </w:rPr>
              <w:t>3</w:t>
            </w:r>
            <w:r>
              <w:rPr>
                <w:sz w:val="24"/>
              </w:rPr>
              <w:t>/a）</w:t>
            </w:r>
            <w:r>
              <w:rPr>
                <w:rFonts w:hint="eastAsia"/>
                <w:sz w:val="24"/>
              </w:rPr>
              <w:t>。</w:t>
            </w:r>
          </w:p>
          <w:p>
            <w:pPr>
              <w:pStyle w:val="65"/>
              <w:rPr>
                <w:sz w:val="24"/>
                <w:szCs w:val="32"/>
              </w:rPr>
            </w:pPr>
            <w:r>
              <w:rPr>
                <w:rFonts w:hint="eastAsia"/>
              </w:rPr>
              <w:t>生产用水：本项目生产用水主要为配料搅拌系统用水，根据建设单位提供资料，</w:t>
            </w:r>
            <w:r>
              <w:rPr>
                <w:rFonts w:hint="eastAsia"/>
                <w:lang w:val="en-US" w:eastAsia="zh-CN"/>
              </w:rPr>
              <w:t>年用水量约为6500m</w:t>
            </w:r>
            <w:r>
              <w:rPr>
                <w:rFonts w:hint="eastAsia"/>
                <w:vertAlign w:val="superscript"/>
                <w:lang w:val="en-US" w:eastAsia="zh-CN"/>
              </w:rPr>
              <w:t>3</w:t>
            </w:r>
            <w:r>
              <w:rPr>
                <w:rFonts w:hint="eastAsia"/>
                <w:vertAlign w:val="baseline"/>
                <w:lang w:val="en-US" w:eastAsia="zh-CN"/>
              </w:rPr>
              <w:t>/a，</w:t>
            </w:r>
            <w:r>
              <w:rPr>
                <w:rFonts w:hint="eastAsia"/>
              </w:rPr>
              <w:t>配料用水全部进入产品。</w:t>
            </w:r>
          </w:p>
          <w:p>
            <w:pPr>
              <w:adjustRightInd w:val="0"/>
              <w:snapToGrid w:val="0"/>
              <w:spacing w:line="520" w:lineRule="exact"/>
              <w:ind w:firstLine="480" w:firstLineChars="200"/>
              <w:rPr>
                <w:rFonts w:hint="default" w:eastAsia="宋体"/>
                <w:sz w:val="24"/>
                <w:vertAlign w:val="baseline"/>
                <w:lang w:val="en-US" w:eastAsia="zh-CN"/>
              </w:rPr>
            </w:pPr>
            <w:r>
              <w:rPr>
                <w:rFonts w:hint="eastAsia"/>
                <w:sz w:val="24"/>
                <w:lang w:val="en-US" w:eastAsia="zh-CN"/>
              </w:rPr>
              <w:t>切割用水：本项目采用水切割，每切割1m</w:t>
            </w:r>
            <w:r>
              <w:rPr>
                <w:rFonts w:hint="eastAsia"/>
                <w:sz w:val="24"/>
                <w:vertAlign w:val="superscript"/>
                <w:lang w:val="en-US" w:eastAsia="zh-CN"/>
              </w:rPr>
              <w:t>2</w:t>
            </w:r>
            <w:r>
              <w:rPr>
                <w:rFonts w:hint="eastAsia"/>
                <w:sz w:val="24"/>
                <w:vertAlign w:val="baseline"/>
                <w:lang w:val="en-US" w:eastAsia="zh-CN"/>
              </w:rPr>
              <w:t>板材需要补充水量0.2kg，则本项目切割用水量约为120m</w:t>
            </w:r>
            <w:r>
              <w:rPr>
                <w:rFonts w:hint="eastAsia"/>
                <w:sz w:val="24"/>
                <w:vertAlign w:val="superscript"/>
                <w:lang w:val="en-US" w:eastAsia="zh-CN"/>
              </w:rPr>
              <w:t>3</w:t>
            </w:r>
            <w:r>
              <w:rPr>
                <w:rFonts w:hint="eastAsia"/>
                <w:sz w:val="24"/>
                <w:vertAlign w:val="baseline"/>
                <w:lang w:val="en-US" w:eastAsia="zh-CN"/>
              </w:rPr>
              <w:t>/a。</w:t>
            </w:r>
            <w:r>
              <w:rPr>
                <w:rFonts w:hint="eastAsia"/>
                <w:sz w:val="24"/>
                <w:lang w:val="en-US" w:eastAsia="zh-CN"/>
              </w:rPr>
              <w:t>切割废水经集水池收集后回用于切割工艺。不外排。</w:t>
            </w:r>
          </w:p>
          <w:p>
            <w:pPr>
              <w:adjustRightInd w:val="0"/>
              <w:snapToGrid w:val="0"/>
              <w:spacing w:line="520" w:lineRule="exact"/>
              <w:ind w:firstLine="480" w:firstLineChars="200"/>
              <w:rPr>
                <w:sz w:val="24"/>
              </w:rPr>
            </w:pPr>
            <w:r>
              <w:rPr>
                <w:sz w:val="24"/>
              </w:rPr>
              <w:t>（2）排水</w:t>
            </w:r>
          </w:p>
          <w:p>
            <w:pPr>
              <w:adjustRightInd w:val="0"/>
              <w:snapToGrid w:val="0"/>
              <w:spacing w:line="520" w:lineRule="exact"/>
              <w:ind w:firstLine="480" w:firstLineChars="200"/>
              <w:rPr>
                <w:sz w:val="24"/>
              </w:rPr>
            </w:pPr>
            <w:r>
              <w:rPr>
                <w:rFonts w:hint="eastAsia"/>
                <w:sz w:val="24"/>
              </w:rPr>
              <w:t>本项目生产工艺不产生废水，废水</w:t>
            </w:r>
            <w:r>
              <w:rPr>
                <w:rFonts w:hint="eastAsia"/>
                <w:sz w:val="24"/>
                <w:lang w:val="en-US" w:eastAsia="zh-CN"/>
              </w:rPr>
              <w:t>主要</w:t>
            </w:r>
            <w:r>
              <w:rPr>
                <w:rFonts w:hint="eastAsia"/>
                <w:sz w:val="24"/>
              </w:rPr>
              <w:t>为生活污水。</w:t>
            </w:r>
          </w:p>
          <w:p>
            <w:pPr>
              <w:adjustRightInd w:val="0"/>
              <w:snapToGrid w:val="0"/>
              <w:spacing w:line="520" w:lineRule="exact"/>
              <w:ind w:firstLine="480" w:firstLineChars="200"/>
              <w:rPr>
                <w:sz w:val="24"/>
              </w:rPr>
            </w:pPr>
            <w:r>
              <w:rPr>
                <w:rFonts w:hint="eastAsia"/>
                <w:sz w:val="24"/>
              </w:rPr>
              <w:t>生活污水：本项目生活污水按80%计，则项目生活废水共计</w:t>
            </w:r>
            <w:r>
              <w:rPr>
                <w:rFonts w:hint="eastAsia"/>
                <w:sz w:val="24"/>
                <w:lang w:val="en-US" w:eastAsia="zh-CN"/>
              </w:rPr>
              <w:t>0.448</w:t>
            </w:r>
            <w:r>
              <w:rPr>
                <w:sz w:val="24"/>
              </w:rPr>
              <w:t>m</w:t>
            </w:r>
            <w:r>
              <w:rPr>
                <w:sz w:val="24"/>
                <w:vertAlign w:val="superscript"/>
              </w:rPr>
              <w:t>3</w:t>
            </w:r>
            <w:r>
              <w:rPr>
                <w:sz w:val="24"/>
              </w:rPr>
              <w:t>/d（</w:t>
            </w:r>
            <w:r>
              <w:rPr>
                <w:rFonts w:hint="eastAsia"/>
                <w:sz w:val="24"/>
                <w:lang w:val="en-US" w:eastAsia="zh-CN"/>
              </w:rPr>
              <w:t>107.52</w:t>
            </w:r>
            <w:r>
              <w:rPr>
                <w:sz w:val="24"/>
              </w:rPr>
              <w:t>m</w:t>
            </w:r>
            <w:r>
              <w:rPr>
                <w:sz w:val="24"/>
                <w:vertAlign w:val="superscript"/>
              </w:rPr>
              <w:t>3</w:t>
            </w:r>
            <w:r>
              <w:rPr>
                <w:sz w:val="24"/>
              </w:rPr>
              <w:t>/a）</w:t>
            </w:r>
            <w:r>
              <w:rPr>
                <w:rFonts w:hint="eastAsia"/>
                <w:sz w:val="24"/>
              </w:rPr>
              <w:t>，生活污水直接排入园区排水管网</w:t>
            </w:r>
            <w:r>
              <w:rPr>
                <w:rStyle w:val="37"/>
                <w:rFonts w:hint="eastAsia"/>
                <w:kern w:val="0"/>
                <w:sz w:val="24"/>
                <w:szCs w:val="22"/>
              </w:rPr>
              <w:t>，</w:t>
            </w:r>
            <w:r>
              <w:rPr>
                <w:rFonts w:hint="eastAsia"/>
                <w:sz w:val="24"/>
              </w:rPr>
              <w:t>最终进入污水处理厂处理。</w:t>
            </w:r>
          </w:p>
          <w:p>
            <w:pPr>
              <w:adjustRightInd w:val="0"/>
              <w:snapToGrid w:val="0"/>
              <w:spacing w:line="520" w:lineRule="exact"/>
              <w:ind w:firstLine="480" w:firstLineChars="200"/>
              <w:rPr>
                <w:rFonts w:hint="eastAsia" w:eastAsia="宋体"/>
                <w:sz w:val="24"/>
                <w:lang w:val="en-US" w:eastAsia="zh-CN"/>
              </w:rPr>
            </w:pPr>
            <w:r>
              <w:rPr>
                <w:rFonts w:hint="eastAsia"/>
                <w:sz w:val="24"/>
                <w:lang w:val="en-US" w:eastAsia="zh-CN"/>
              </w:rPr>
              <w:t>餐饮废水：</w:t>
            </w:r>
            <w:r>
              <w:rPr>
                <w:rFonts w:hint="eastAsia"/>
                <w:sz w:val="24"/>
              </w:rPr>
              <w:t>本项目餐饮废水按80%计，则项目餐饮废水共计</w:t>
            </w:r>
            <w:r>
              <w:rPr>
                <w:rFonts w:hint="eastAsia"/>
                <w:sz w:val="24"/>
                <w:lang w:val="en-US" w:eastAsia="zh-CN"/>
              </w:rPr>
              <w:t>0.168</w:t>
            </w:r>
            <w:r>
              <w:rPr>
                <w:sz w:val="24"/>
              </w:rPr>
              <w:t>m</w:t>
            </w:r>
            <w:r>
              <w:rPr>
                <w:sz w:val="24"/>
                <w:vertAlign w:val="superscript"/>
              </w:rPr>
              <w:t>3</w:t>
            </w:r>
            <w:r>
              <w:rPr>
                <w:sz w:val="24"/>
              </w:rPr>
              <w:t>/d（</w:t>
            </w:r>
            <w:r>
              <w:rPr>
                <w:rFonts w:hint="eastAsia"/>
                <w:sz w:val="24"/>
                <w:lang w:val="en-US" w:eastAsia="zh-CN"/>
              </w:rPr>
              <w:t>40.32</w:t>
            </w:r>
            <w:r>
              <w:rPr>
                <w:sz w:val="24"/>
              </w:rPr>
              <w:t>m</w:t>
            </w:r>
            <w:r>
              <w:rPr>
                <w:sz w:val="24"/>
                <w:vertAlign w:val="superscript"/>
              </w:rPr>
              <w:t>3</w:t>
            </w:r>
            <w:r>
              <w:rPr>
                <w:sz w:val="24"/>
              </w:rPr>
              <w:t>/a）</w:t>
            </w:r>
            <w:r>
              <w:rPr>
                <w:rFonts w:hint="eastAsia"/>
                <w:sz w:val="24"/>
              </w:rPr>
              <w:t>，经油水分离器处理后排入园区排水管网</w:t>
            </w:r>
            <w:r>
              <w:rPr>
                <w:rStyle w:val="37"/>
                <w:rFonts w:hint="eastAsia"/>
                <w:kern w:val="0"/>
                <w:sz w:val="24"/>
                <w:szCs w:val="22"/>
              </w:rPr>
              <w:t>，</w:t>
            </w:r>
            <w:r>
              <w:rPr>
                <w:rFonts w:hint="eastAsia"/>
                <w:sz w:val="24"/>
              </w:rPr>
              <w:t>最终进入污水处理厂处理。</w:t>
            </w:r>
          </w:p>
          <w:p>
            <w:pPr>
              <w:adjustRightInd w:val="0"/>
              <w:snapToGrid w:val="0"/>
              <w:spacing w:line="520" w:lineRule="exact"/>
              <w:ind w:firstLine="480" w:firstLineChars="200"/>
              <w:rPr>
                <w:sz w:val="24"/>
              </w:rPr>
            </w:pPr>
            <w:r>
              <w:rPr>
                <w:rFonts w:hint="eastAsia"/>
                <w:sz w:val="24"/>
              </w:rPr>
              <w:t>本</w:t>
            </w:r>
            <w:r>
              <w:rPr>
                <w:sz w:val="24"/>
              </w:rPr>
              <w:t>项目水平衡</w:t>
            </w:r>
            <w:r>
              <w:rPr>
                <w:rFonts w:hint="eastAsia"/>
                <w:sz w:val="24"/>
              </w:rPr>
              <w:t>见表2-</w:t>
            </w:r>
            <w:r>
              <w:rPr>
                <w:rFonts w:hint="eastAsia"/>
                <w:sz w:val="24"/>
                <w:lang w:val="en-US" w:eastAsia="zh-CN"/>
              </w:rPr>
              <w:t>5</w:t>
            </w:r>
            <w:r>
              <w:rPr>
                <w:rFonts w:hint="eastAsia"/>
                <w:sz w:val="24"/>
              </w:rPr>
              <w:t>，</w:t>
            </w:r>
            <w:r>
              <w:rPr>
                <w:sz w:val="24"/>
              </w:rPr>
              <w:t>图</w:t>
            </w:r>
            <w:r>
              <w:rPr>
                <w:rFonts w:hint="eastAsia"/>
                <w:sz w:val="24"/>
              </w:rPr>
              <w:t>2-</w:t>
            </w:r>
            <w:r>
              <w:rPr>
                <w:rFonts w:hint="eastAsia"/>
                <w:sz w:val="24"/>
                <w:lang w:val="en-US" w:eastAsia="zh-CN"/>
              </w:rPr>
              <w:t>1</w:t>
            </w:r>
            <w:r>
              <w:rPr>
                <w:sz w:val="24"/>
              </w:rPr>
              <w:t>。</w:t>
            </w:r>
          </w:p>
          <w:p>
            <w:pPr>
              <w:pStyle w:val="81"/>
              <w:keepNext w:val="0"/>
              <w:keepLines w:val="0"/>
              <w:pageBreakBefore w:val="0"/>
              <w:widowControl w:val="0"/>
              <w:kinsoku/>
              <w:wordWrap/>
              <w:overflowPunct/>
              <w:topLinePunct w:val="0"/>
              <w:autoSpaceDE/>
              <w:autoSpaceDN/>
              <w:bidi w:val="0"/>
              <w:adjustRightInd w:val="0"/>
              <w:snapToGrid w:val="0"/>
              <w:spacing w:line="240" w:lineRule="auto"/>
              <w:ind w:firstLine="0"/>
              <w:textAlignment w:val="baseline"/>
            </w:pPr>
            <w:r>
              <w:t>表</w:t>
            </w:r>
            <w:r>
              <w:rPr>
                <w:rFonts w:hint="eastAsia"/>
              </w:rPr>
              <w:t>2</w:t>
            </w:r>
            <w:r>
              <w:t>-</w:t>
            </w:r>
            <w:r>
              <w:rPr>
                <w:rFonts w:hint="eastAsia"/>
                <w:lang w:val="en-US" w:eastAsia="zh-CN"/>
              </w:rPr>
              <w:t>5</w:t>
            </w:r>
            <w:r>
              <w:t xml:space="preserve">  项目用、排水量概况</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788"/>
              <w:gridCol w:w="1249"/>
              <w:gridCol w:w="977"/>
              <w:gridCol w:w="850"/>
              <w:gridCol w:w="1140"/>
              <w:gridCol w:w="729"/>
              <w:gridCol w:w="8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72" w:type="pct"/>
                  <w:vMerge w:val="restart"/>
                  <w:vAlign w:val="center"/>
                </w:tcPr>
                <w:p>
                  <w:pPr>
                    <w:pStyle w:val="20"/>
                    <w:adjustRightInd w:val="0"/>
                    <w:snapToGrid w:val="0"/>
                    <w:jc w:val="center"/>
                    <w:rPr>
                      <w:rFonts w:ascii="Times New Roman" w:hAnsi="Times New Roman"/>
                      <w:spacing w:val="8"/>
                      <w:szCs w:val="21"/>
                    </w:rPr>
                  </w:pPr>
                  <w:r>
                    <w:rPr>
                      <w:rFonts w:ascii="Times New Roman" w:hAnsi="Times New Roman"/>
                      <w:spacing w:val="8"/>
                      <w:szCs w:val="21"/>
                    </w:rPr>
                    <w:t>序号</w:t>
                  </w:r>
                </w:p>
              </w:tc>
              <w:tc>
                <w:tcPr>
                  <w:tcW w:w="1065" w:type="pct"/>
                  <w:vMerge w:val="restart"/>
                  <w:vAlign w:val="center"/>
                </w:tcPr>
                <w:p>
                  <w:pPr>
                    <w:widowControl/>
                    <w:tabs>
                      <w:tab w:val="left" w:pos="3077"/>
                      <w:tab w:val="center" w:pos="4770"/>
                    </w:tabs>
                    <w:jc w:val="center"/>
                    <w:rPr>
                      <w:spacing w:val="8"/>
                      <w:szCs w:val="21"/>
                    </w:rPr>
                  </w:pPr>
                  <w:r>
                    <w:rPr>
                      <w:spacing w:val="8"/>
                      <w:szCs w:val="21"/>
                    </w:rPr>
                    <w:t>用水类别</w:t>
                  </w:r>
                </w:p>
              </w:tc>
              <w:tc>
                <w:tcPr>
                  <w:tcW w:w="743" w:type="pct"/>
                  <w:vMerge w:val="restart"/>
                  <w:vAlign w:val="center"/>
                </w:tcPr>
                <w:p>
                  <w:pPr>
                    <w:widowControl/>
                    <w:tabs>
                      <w:tab w:val="left" w:pos="3077"/>
                      <w:tab w:val="center" w:pos="4770"/>
                    </w:tabs>
                    <w:jc w:val="center"/>
                    <w:rPr>
                      <w:spacing w:val="8"/>
                      <w:szCs w:val="21"/>
                    </w:rPr>
                  </w:pPr>
                  <w:r>
                    <w:rPr>
                      <w:spacing w:val="8"/>
                      <w:szCs w:val="21"/>
                    </w:rPr>
                    <w:t>用水定额</w:t>
                  </w:r>
                </w:p>
              </w:tc>
              <w:tc>
                <w:tcPr>
                  <w:tcW w:w="582" w:type="pct"/>
                  <w:vMerge w:val="restart"/>
                  <w:vAlign w:val="center"/>
                </w:tcPr>
                <w:p>
                  <w:pPr>
                    <w:widowControl/>
                    <w:tabs>
                      <w:tab w:val="left" w:pos="3077"/>
                      <w:tab w:val="center" w:pos="4770"/>
                    </w:tabs>
                    <w:jc w:val="center"/>
                    <w:rPr>
                      <w:spacing w:val="8"/>
                      <w:szCs w:val="21"/>
                    </w:rPr>
                  </w:pPr>
                  <w:r>
                    <w:rPr>
                      <w:spacing w:val="8"/>
                      <w:szCs w:val="21"/>
                    </w:rPr>
                    <w:t>用水</w:t>
                  </w:r>
                </w:p>
                <w:p>
                  <w:pPr>
                    <w:widowControl/>
                    <w:tabs>
                      <w:tab w:val="left" w:pos="3077"/>
                      <w:tab w:val="center" w:pos="4770"/>
                    </w:tabs>
                    <w:jc w:val="center"/>
                    <w:rPr>
                      <w:b/>
                      <w:bCs/>
                      <w:spacing w:val="8"/>
                      <w:szCs w:val="21"/>
                    </w:rPr>
                  </w:pPr>
                  <w:r>
                    <w:rPr>
                      <w:spacing w:val="8"/>
                      <w:szCs w:val="21"/>
                    </w:rPr>
                    <w:t>规模</w:t>
                  </w:r>
                </w:p>
              </w:tc>
              <w:tc>
                <w:tcPr>
                  <w:tcW w:w="1185" w:type="pct"/>
                  <w:gridSpan w:val="2"/>
                  <w:vAlign w:val="center"/>
                </w:tcPr>
                <w:p>
                  <w:pPr>
                    <w:widowControl/>
                    <w:tabs>
                      <w:tab w:val="left" w:pos="3077"/>
                      <w:tab w:val="center" w:pos="4770"/>
                    </w:tabs>
                    <w:jc w:val="center"/>
                    <w:rPr>
                      <w:b/>
                      <w:bCs/>
                      <w:spacing w:val="8"/>
                      <w:szCs w:val="21"/>
                    </w:rPr>
                  </w:pPr>
                  <w:r>
                    <w:rPr>
                      <w:spacing w:val="8"/>
                      <w:szCs w:val="21"/>
                    </w:rPr>
                    <w:t>用水量</w:t>
                  </w:r>
                </w:p>
              </w:tc>
              <w:tc>
                <w:tcPr>
                  <w:tcW w:w="949" w:type="pct"/>
                  <w:gridSpan w:val="2"/>
                  <w:vAlign w:val="center"/>
                </w:tcPr>
                <w:p>
                  <w:pPr>
                    <w:widowControl/>
                    <w:tabs>
                      <w:tab w:val="left" w:pos="3077"/>
                      <w:tab w:val="center" w:pos="4770"/>
                    </w:tabs>
                    <w:jc w:val="center"/>
                    <w:rPr>
                      <w:spacing w:val="8"/>
                      <w:szCs w:val="21"/>
                    </w:rPr>
                  </w:pPr>
                  <w:r>
                    <w:rPr>
                      <w:spacing w:val="8"/>
                      <w:szCs w:val="21"/>
                    </w:rPr>
                    <w:t>排水量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72" w:type="pct"/>
                  <w:vMerge w:val="continue"/>
                  <w:vAlign w:val="center"/>
                </w:tcPr>
                <w:p>
                  <w:pPr>
                    <w:widowControl/>
                    <w:tabs>
                      <w:tab w:val="center" w:pos="4770"/>
                    </w:tabs>
                    <w:ind w:firstLine="517"/>
                    <w:jc w:val="center"/>
                    <w:rPr>
                      <w:szCs w:val="21"/>
                    </w:rPr>
                  </w:pPr>
                </w:p>
              </w:tc>
              <w:tc>
                <w:tcPr>
                  <w:tcW w:w="1065" w:type="pct"/>
                  <w:vMerge w:val="continue"/>
                  <w:vAlign w:val="center"/>
                </w:tcPr>
                <w:p>
                  <w:pPr>
                    <w:widowControl/>
                    <w:tabs>
                      <w:tab w:val="center" w:pos="4770"/>
                    </w:tabs>
                    <w:ind w:firstLine="517"/>
                    <w:jc w:val="center"/>
                    <w:rPr>
                      <w:szCs w:val="21"/>
                    </w:rPr>
                  </w:pPr>
                </w:p>
              </w:tc>
              <w:tc>
                <w:tcPr>
                  <w:tcW w:w="743" w:type="pct"/>
                  <w:vMerge w:val="continue"/>
                  <w:vAlign w:val="center"/>
                </w:tcPr>
                <w:p>
                  <w:pPr>
                    <w:widowControl/>
                    <w:tabs>
                      <w:tab w:val="center" w:pos="4770"/>
                    </w:tabs>
                    <w:ind w:firstLine="517"/>
                    <w:jc w:val="center"/>
                    <w:rPr>
                      <w:szCs w:val="21"/>
                    </w:rPr>
                  </w:pPr>
                </w:p>
              </w:tc>
              <w:tc>
                <w:tcPr>
                  <w:tcW w:w="582" w:type="pct"/>
                  <w:vMerge w:val="continue"/>
                  <w:vAlign w:val="center"/>
                </w:tcPr>
                <w:p>
                  <w:pPr>
                    <w:widowControl/>
                    <w:tabs>
                      <w:tab w:val="center" w:pos="4770"/>
                    </w:tabs>
                    <w:ind w:firstLine="517"/>
                    <w:jc w:val="center"/>
                    <w:rPr>
                      <w:szCs w:val="21"/>
                    </w:rPr>
                  </w:pPr>
                </w:p>
              </w:tc>
              <w:tc>
                <w:tcPr>
                  <w:tcW w:w="506" w:type="pct"/>
                  <w:vAlign w:val="center"/>
                </w:tcPr>
                <w:p>
                  <w:pPr>
                    <w:widowControl/>
                    <w:tabs>
                      <w:tab w:val="center" w:pos="4770"/>
                    </w:tabs>
                    <w:jc w:val="center"/>
                    <w:rPr>
                      <w:b/>
                      <w:bCs/>
                      <w:spacing w:val="8"/>
                      <w:szCs w:val="21"/>
                    </w:rPr>
                  </w:pPr>
                  <w:r>
                    <w:rPr>
                      <w:szCs w:val="21"/>
                    </w:rPr>
                    <w:t>m</w:t>
                  </w:r>
                  <w:r>
                    <w:rPr>
                      <w:szCs w:val="21"/>
                      <w:vertAlign w:val="superscript"/>
                    </w:rPr>
                    <w:t>3</w:t>
                  </w:r>
                  <w:r>
                    <w:rPr>
                      <w:szCs w:val="21"/>
                    </w:rPr>
                    <w:t>/d</w:t>
                  </w:r>
                </w:p>
              </w:tc>
              <w:tc>
                <w:tcPr>
                  <w:tcW w:w="679" w:type="pct"/>
                  <w:vAlign w:val="center"/>
                </w:tcPr>
                <w:p>
                  <w:pPr>
                    <w:widowControl/>
                    <w:tabs>
                      <w:tab w:val="center" w:pos="4770"/>
                    </w:tabs>
                    <w:jc w:val="center"/>
                    <w:rPr>
                      <w:b/>
                      <w:bCs/>
                      <w:spacing w:val="8"/>
                      <w:szCs w:val="21"/>
                    </w:rPr>
                  </w:pPr>
                  <w:r>
                    <w:rPr>
                      <w:szCs w:val="21"/>
                    </w:rPr>
                    <w:t>m</w:t>
                  </w:r>
                  <w:r>
                    <w:rPr>
                      <w:szCs w:val="21"/>
                      <w:vertAlign w:val="superscript"/>
                    </w:rPr>
                    <w:t>3</w:t>
                  </w:r>
                  <w:r>
                    <w:rPr>
                      <w:szCs w:val="21"/>
                    </w:rPr>
                    <w:t>/a</w:t>
                  </w:r>
                </w:p>
              </w:tc>
              <w:tc>
                <w:tcPr>
                  <w:tcW w:w="434" w:type="pct"/>
                  <w:vAlign w:val="center"/>
                </w:tcPr>
                <w:p>
                  <w:pPr>
                    <w:widowControl/>
                    <w:tabs>
                      <w:tab w:val="center" w:pos="4770"/>
                    </w:tabs>
                    <w:jc w:val="center"/>
                    <w:rPr>
                      <w:szCs w:val="21"/>
                    </w:rPr>
                  </w:pPr>
                  <w:r>
                    <w:rPr>
                      <w:szCs w:val="21"/>
                    </w:rPr>
                    <w:t>m</w:t>
                  </w:r>
                  <w:r>
                    <w:rPr>
                      <w:szCs w:val="21"/>
                      <w:vertAlign w:val="superscript"/>
                    </w:rPr>
                    <w:t>3</w:t>
                  </w:r>
                  <w:r>
                    <w:rPr>
                      <w:szCs w:val="21"/>
                    </w:rPr>
                    <w:t>/d</w:t>
                  </w:r>
                </w:p>
              </w:tc>
              <w:tc>
                <w:tcPr>
                  <w:tcW w:w="514" w:type="pct"/>
                  <w:vAlign w:val="center"/>
                </w:tcPr>
                <w:p>
                  <w:pPr>
                    <w:widowControl/>
                    <w:tabs>
                      <w:tab w:val="center" w:pos="4770"/>
                    </w:tabs>
                    <w:jc w:val="center"/>
                    <w:rPr>
                      <w:szCs w:val="21"/>
                    </w:rPr>
                  </w:pPr>
                  <w:r>
                    <w:rPr>
                      <w:szCs w:val="21"/>
                    </w:rPr>
                    <w:t>m</w:t>
                  </w:r>
                  <w:r>
                    <w:rPr>
                      <w:szCs w:val="21"/>
                      <w:vertAlign w:val="superscript"/>
                    </w:rPr>
                    <w:t>3</w:t>
                  </w:r>
                  <w:r>
                    <w:rPr>
                      <w:szCs w:val="21"/>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72" w:type="pct"/>
                  <w:vAlign w:val="center"/>
                </w:tcPr>
                <w:p>
                  <w:pPr>
                    <w:pStyle w:val="20"/>
                    <w:adjustRightInd w:val="0"/>
                    <w:snapToGrid w:val="0"/>
                    <w:ind w:firstLine="29" w:firstLineChars="13"/>
                    <w:jc w:val="center"/>
                    <w:rPr>
                      <w:rFonts w:ascii="Times New Roman" w:hAnsi="Times New Roman"/>
                      <w:spacing w:val="8"/>
                      <w:szCs w:val="21"/>
                    </w:rPr>
                  </w:pPr>
                  <w:r>
                    <w:rPr>
                      <w:rFonts w:ascii="Times New Roman" w:hAnsi="Times New Roman"/>
                      <w:spacing w:val="8"/>
                      <w:szCs w:val="21"/>
                    </w:rPr>
                    <w:t>1</w:t>
                  </w:r>
                </w:p>
              </w:tc>
              <w:tc>
                <w:tcPr>
                  <w:tcW w:w="1065" w:type="pct"/>
                  <w:vAlign w:val="center"/>
                </w:tcPr>
                <w:p>
                  <w:pPr>
                    <w:widowControl/>
                    <w:tabs>
                      <w:tab w:val="left" w:pos="3077"/>
                      <w:tab w:val="center" w:pos="4770"/>
                    </w:tabs>
                    <w:jc w:val="center"/>
                    <w:rPr>
                      <w:spacing w:val="8"/>
                      <w:szCs w:val="21"/>
                    </w:rPr>
                  </w:pPr>
                  <w:r>
                    <w:rPr>
                      <w:spacing w:val="8"/>
                      <w:szCs w:val="21"/>
                    </w:rPr>
                    <w:t>员工生活用水</w:t>
                  </w:r>
                </w:p>
              </w:tc>
              <w:tc>
                <w:tcPr>
                  <w:tcW w:w="743" w:type="pct"/>
                  <w:vAlign w:val="center"/>
                </w:tcPr>
                <w:p>
                  <w:pPr>
                    <w:widowControl/>
                    <w:tabs>
                      <w:tab w:val="left" w:pos="3077"/>
                      <w:tab w:val="center" w:pos="4770"/>
                    </w:tabs>
                    <w:jc w:val="center"/>
                    <w:rPr>
                      <w:spacing w:val="8"/>
                      <w:szCs w:val="21"/>
                    </w:rPr>
                  </w:pPr>
                  <w:r>
                    <w:rPr>
                      <w:rFonts w:hint="eastAsia"/>
                      <w:szCs w:val="21"/>
                      <w:lang w:val="en-US" w:eastAsia="zh-CN"/>
                    </w:rPr>
                    <w:t>8</w:t>
                  </w:r>
                  <w:r>
                    <w:rPr>
                      <w:rFonts w:hint="eastAsia"/>
                      <w:szCs w:val="21"/>
                    </w:rPr>
                    <w:t>0</w:t>
                  </w:r>
                  <w:r>
                    <w:rPr>
                      <w:szCs w:val="21"/>
                    </w:rPr>
                    <w:t>L/d·人</w:t>
                  </w:r>
                </w:p>
              </w:tc>
              <w:tc>
                <w:tcPr>
                  <w:tcW w:w="582" w:type="pct"/>
                  <w:vAlign w:val="center"/>
                </w:tcPr>
                <w:p>
                  <w:pPr>
                    <w:widowControl/>
                    <w:tabs>
                      <w:tab w:val="left" w:pos="3077"/>
                      <w:tab w:val="center" w:pos="4770"/>
                    </w:tabs>
                    <w:jc w:val="center"/>
                    <w:rPr>
                      <w:spacing w:val="8"/>
                      <w:szCs w:val="21"/>
                    </w:rPr>
                  </w:pPr>
                  <w:r>
                    <w:rPr>
                      <w:rFonts w:hint="eastAsia"/>
                      <w:szCs w:val="21"/>
                      <w:lang w:val="en-US" w:eastAsia="zh-CN"/>
                    </w:rPr>
                    <w:t>7</w:t>
                  </w:r>
                  <w:r>
                    <w:rPr>
                      <w:szCs w:val="21"/>
                    </w:rPr>
                    <w:t>人</w:t>
                  </w:r>
                </w:p>
              </w:tc>
              <w:tc>
                <w:tcPr>
                  <w:tcW w:w="506" w:type="pct"/>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0.56</w:t>
                  </w:r>
                </w:p>
              </w:tc>
              <w:tc>
                <w:tcPr>
                  <w:tcW w:w="679" w:type="pct"/>
                  <w:vAlign w:val="center"/>
                </w:tcPr>
                <w:p>
                  <w:pPr>
                    <w:widowControl/>
                    <w:tabs>
                      <w:tab w:val="left" w:pos="420"/>
                      <w:tab w:val="center" w:pos="626"/>
                      <w:tab w:val="left" w:pos="3077"/>
                      <w:tab w:val="center" w:pos="4770"/>
                    </w:tabs>
                    <w:jc w:val="center"/>
                    <w:rPr>
                      <w:rFonts w:hint="default" w:eastAsia="宋体"/>
                      <w:spacing w:val="8"/>
                      <w:szCs w:val="21"/>
                      <w:lang w:val="en-US" w:eastAsia="zh-CN"/>
                    </w:rPr>
                  </w:pPr>
                  <w:r>
                    <w:rPr>
                      <w:rFonts w:hint="eastAsia"/>
                      <w:spacing w:val="8"/>
                      <w:szCs w:val="21"/>
                      <w:lang w:val="en-US" w:eastAsia="zh-CN"/>
                    </w:rPr>
                    <w:t>134.4</w:t>
                  </w:r>
                </w:p>
              </w:tc>
              <w:tc>
                <w:tcPr>
                  <w:tcW w:w="434" w:type="pct"/>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0.448</w:t>
                  </w:r>
                </w:p>
              </w:tc>
              <w:tc>
                <w:tcPr>
                  <w:tcW w:w="514" w:type="pct"/>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107.52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72" w:type="pct"/>
                  <w:vAlign w:val="center"/>
                </w:tcPr>
                <w:p>
                  <w:pPr>
                    <w:pStyle w:val="20"/>
                    <w:adjustRightInd w:val="0"/>
                    <w:snapToGrid w:val="0"/>
                    <w:ind w:firstLine="29" w:firstLineChars="13"/>
                    <w:jc w:val="center"/>
                    <w:rPr>
                      <w:rFonts w:ascii="Times New Roman" w:hAnsi="Times New Roman"/>
                      <w:spacing w:val="8"/>
                      <w:szCs w:val="21"/>
                    </w:rPr>
                  </w:pPr>
                  <w:r>
                    <w:rPr>
                      <w:rFonts w:ascii="Times New Roman" w:hAnsi="Times New Roman"/>
                      <w:spacing w:val="8"/>
                      <w:szCs w:val="21"/>
                    </w:rPr>
                    <w:t>2</w:t>
                  </w:r>
                </w:p>
              </w:tc>
              <w:tc>
                <w:tcPr>
                  <w:tcW w:w="1065" w:type="pct"/>
                  <w:vAlign w:val="center"/>
                </w:tcPr>
                <w:p>
                  <w:pPr>
                    <w:widowControl/>
                    <w:tabs>
                      <w:tab w:val="left" w:pos="3077"/>
                      <w:tab w:val="center" w:pos="4770"/>
                    </w:tabs>
                    <w:jc w:val="center"/>
                    <w:rPr>
                      <w:szCs w:val="21"/>
                    </w:rPr>
                  </w:pPr>
                  <w:r>
                    <w:rPr>
                      <w:rFonts w:hint="eastAsia"/>
                      <w:szCs w:val="21"/>
                    </w:rPr>
                    <w:t>工艺用水</w:t>
                  </w:r>
                </w:p>
              </w:tc>
              <w:tc>
                <w:tcPr>
                  <w:tcW w:w="743" w:type="pct"/>
                  <w:vAlign w:val="center"/>
                </w:tcPr>
                <w:p>
                  <w:pPr>
                    <w:widowControl/>
                    <w:tabs>
                      <w:tab w:val="left" w:pos="3077"/>
                      <w:tab w:val="center" w:pos="4770"/>
                    </w:tabs>
                    <w:jc w:val="center"/>
                    <w:rPr>
                      <w:spacing w:val="8"/>
                      <w:szCs w:val="21"/>
                    </w:rPr>
                  </w:pPr>
                  <w:r>
                    <w:rPr>
                      <w:rFonts w:hint="eastAsia"/>
                      <w:szCs w:val="21"/>
                    </w:rPr>
                    <w:t>/</w:t>
                  </w:r>
                </w:p>
              </w:tc>
              <w:tc>
                <w:tcPr>
                  <w:tcW w:w="582" w:type="pct"/>
                  <w:vAlign w:val="center"/>
                </w:tcPr>
                <w:p>
                  <w:pPr>
                    <w:widowControl/>
                    <w:tabs>
                      <w:tab w:val="left" w:pos="3077"/>
                      <w:tab w:val="center" w:pos="4770"/>
                    </w:tabs>
                    <w:jc w:val="center"/>
                    <w:rPr>
                      <w:spacing w:val="8"/>
                      <w:szCs w:val="21"/>
                    </w:rPr>
                  </w:pPr>
                  <w:r>
                    <w:rPr>
                      <w:rFonts w:hint="eastAsia"/>
                      <w:spacing w:val="8"/>
                      <w:szCs w:val="21"/>
                    </w:rPr>
                    <w:t>/</w:t>
                  </w:r>
                </w:p>
              </w:tc>
              <w:tc>
                <w:tcPr>
                  <w:tcW w:w="506" w:type="pct"/>
                  <w:vAlign w:val="center"/>
                </w:tcPr>
                <w:p>
                  <w:pPr>
                    <w:widowControl/>
                    <w:tabs>
                      <w:tab w:val="left" w:pos="420"/>
                      <w:tab w:val="center" w:pos="626"/>
                      <w:tab w:val="left" w:pos="3077"/>
                      <w:tab w:val="center" w:pos="4770"/>
                    </w:tabs>
                    <w:jc w:val="center"/>
                    <w:rPr>
                      <w:rFonts w:hint="default" w:eastAsia="宋体"/>
                      <w:spacing w:val="8"/>
                      <w:szCs w:val="21"/>
                      <w:lang w:val="en-US" w:eastAsia="zh-CN"/>
                    </w:rPr>
                  </w:pPr>
                  <w:r>
                    <w:rPr>
                      <w:rFonts w:hint="eastAsia"/>
                      <w:spacing w:val="8"/>
                      <w:szCs w:val="21"/>
                      <w:lang w:val="en-US" w:eastAsia="zh-CN"/>
                    </w:rPr>
                    <w:t>27.08</w:t>
                  </w:r>
                </w:p>
              </w:tc>
              <w:tc>
                <w:tcPr>
                  <w:tcW w:w="679" w:type="pct"/>
                  <w:vAlign w:val="center"/>
                </w:tcPr>
                <w:p>
                  <w:pPr>
                    <w:widowControl/>
                    <w:tabs>
                      <w:tab w:val="left" w:pos="420"/>
                      <w:tab w:val="center" w:pos="626"/>
                      <w:tab w:val="left" w:pos="3077"/>
                      <w:tab w:val="center" w:pos="4770"/>
                    </w:tabs>
                    <w:jc w:val="center"/>
                    <w:rPr>
                      <w:rFonts w:hint="default" w:eastAsia="宋体"/>
                      <w:spacing w:val="8"/>
                      <w:szCs w:val="21"/>
                      <w:lang w:val="en-US" w:eastAsia="zh-CN"/>
                    </w:rPr>
                  </w:pPr>
                  <w:r>
                    <w:rPr>
                      <w:rFonts w:hint="eastAsia"/>
                      <w:spacing w:val="8"/>
                      <w:szCs w:val="21"/>
                      <w:lang w:val="en-US" w:eastAsia="zh-CN"/>
                    </w:rPr>
                    <w:t>6500</w:t>
                  </w:r>
                </w:p>
              </w:tc>
              <w:tc>
                <w:tcPr>
                  <w:tcW w:w="434" w:type="pct"/>
                  <w:vAlign w:val="center"/>
                </w:tcPr>
                <w:p>
                  <w:pPr>
                    <w:widowControl/>
                    <w:tabs>
                      <w:tab w:val="left" w:pos="420"/>
                      <w:tab w:val="center" w:pos="626"/>
                      <w:tab w:val="left" w:pos="3077"/>
                      <w:tab w:val="center" w:pos="4770"/>
                    </w:tabs>
                    <w:jc w:val="center"/>
                    <w:rPr>
                      <w:rFonts w:hint="eastAsia" w:eastAsia="宋体"/>
                      <w:spacing w:val="8"/>
                      <w:szCs w:val="21"/>
                      <w:lang w:val="en-US" w:eastAsia="zh-CN"/>
                    </w:rPr>
                  </w:pPr>
                  <w:r>
                    <w:rPr>
                      <w:rFonts w:hint="eastAsia"/>
                      <w:spacing w:val="8"/>
                      <w:szCs w:val="21"/>
                      <w:lang w:val="en-US" w:eastAsia="zh-CN"/>
                    </w:rPr>
                    <w:t>/</w:t>
                  </w:r>
                </w:p>
              </w:tc>
              <w:tc>
                <w:tcPr>
                  <w:tcW w:w="514" w:type="pct"/>
                  <w:vAlign w:val="center"/>
                </w:tcPr>
                <w:p>
                  <w:pPr>
                    <w:widowControl/>
                    <w:tabs>
                      <w:tab w:val="left" w:pos="420"/>
                      <w:tab w:val="center" w:pos="626"/>
                      <w:tab w:val="left" w:pos="3077"/>
                      <w:tab w:val="center" w:pos="4770"/>
                    </w:tabs>
                    <w:jc w:val="center"/>
                    <w:rPr>
                      <w:rFonts w:hint="eastAsia" w:eastAsia="宋体"/>
                      <w:spacing w:val="8"/>
                      <w:szCs w:val="21"/>
                      <w:lang w:val="en-US" w:eastAsia="zh-CN"/>
                    </w:rPr>
                  </w:pPr>
                  <w:r>
                    <w:rPr>
                      <w:rFonts w:hint="eastAsia"/>
                      <w:spacing w:val="8"/>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72" w:type="pct"/>
                  <w:vAlign w:val="center"/>
                </w:tcPr>
                <w:p>
                  <w:pPr>
                    <w:pStyle w:val="20"/>
                    <w:adjustRightInd w:val="0"/>
                    <w:snapToGrid w:val="0"/>
                    <w:ind w:firstLine="29" w:firstLineChars="13"/>
                    <w:jc w:val="center"/>
                    <w:rPr>
                      <w:rFonts w:hint="eastAsia" w:ascii="Times New Roman" w:hAnsi="Times New Roman" w:eastAsia="宋体"/>
                      <w:spacing w:val="8"/>
                      <w:szCs w:val="21"/>
                      <w:lang w:val="en-US" w:eastAsia="zh-CN"/>
                    </w:rPr>
                  </w:pPr>
                  <w:r>
                    <w:rPr>
                      <w:rFonts w:hint="eastAsia" w:ascii="Times New Roman" w:hAnsi="Times New Roman"/>
                      <w:spacing w:val="8"/>
                      <w:szCs w:val="21"/>
                      <w:lang w:val="en-US" w:eastAsia="zh-CN"/>
                    </w:rPr>
                    <w:t>3</w:t>
                  </w:r>
                </w:p>
              </w:tc>
              <w:tc>
                <w:tcPr>
                  <w:tcW w:w="1065" w:type="pct"/>
                  <w:vAlign w:val="center"/>
                </w:tcPr>
                <w:p>
                  <w:pPr>
                    <w:widowControl/>
                    <w:tabs>
                      <w:tab w:val="left" w:pos="3077"/>
                      <w:tab w:val="center" w:pos="4770"/>
                    </w:tabs>
                    <w:jc w:val="center"/>
                    <w:rPr>
                      <w:rFonts w:hint="eastAsia" w:eastAsia="宋体"/>
                      <w:szCs w:val="21"/>
                      <w:lang w:val="en-US" w:eastAsia="zh-CN"/>
                    </w:rPr>
                  </w:pPr>
                  <w:r>
                    <w:rPr>
                      <w:rFonts w:hint="eastAsia"/>
                      <w:szCs w:val="21"/>
                      <w:lang w:val="en-US" w:eastAsia="zh-CN"/>
                    </w:rPr>
                    <w:t>餐饮用水</w:t>
                  </w:r>
                </w:p>
              </w:tc>
              <w:tc>
                <w:tcPr>
                  <w:tcW w:w="743" w:type="pct"/>
                  <w:vAlign w:val="center"/>
                </w:tcPr>
                <w:p>
                  <w:pPr>
                    <w:widowControl/>
                    <w:tabs>
                      <w:tab w:val="left" w:pos="3077"/>
                      <w:tab w:val="center" w:pos="4770"/>
                    </w:tabs>
                    <w:jc w:val="center"/>
                    <w:rPr>
                      <w:szCs w:val="21"/>
                    </w:rPr>
                  </w:pPr>
                  <w:r>
                    <w:rPr>
                      <w:rFonts w:hint="eastAsia"/>
                      <w:szCs w:val="21"/>
                    </w:rPr>
                    <w:t>10L/人·餐</w:t>
                  </w:r>
                </w:p>
              </w:tc>
              <w:tc>
                <w:tcPr>
                  <w:tcW w:w="582" w:type="pct"/>
                  <w:vAlign w:val="center"/>
                </w:tcPr>
                <w:p>
                  <w:pPr>
                    <w:widowControl/>
                    <w:tabs>
                      <w:tab w:val="left" w:pos="3077"/>
                      <w:tab w:val="center" w:pos="4770"/>
                    </w:tabs>
                    <w:jc w:val="center"/>
                    <w:rPr>
                      <w:spacing w:val="8"/>
                      <w:szCs w:val="21"/>
                      <w:vertAlign w:val="superscript"/>
                    </w:rPr>
                  </w:pPr>
                  <w:r>
                    <w:rPr>
                      <w:rFonts w:hint="eastAsia"/>
                      <w:szCs w:val="21"/>
                      <w:lang w:val="en-US" w:eastAsia="zh-CN"/>
                    </w:rPr>
                    <w:t>7</w:t>
                  </w:r>
                  <w:r>
                    <w:rPr>
                      <w:szCs w:val="21"/>
                    </w:rPr>
                    <w:t>人</w:t>
                  </w:r>
                </w:p>
              </w:tc>
              <w:tc>
                <w:tcPr>
                  <w:tcW w:w="506" w:type="pct"/>
                  <w:vAlign w:val="center"/>
                </w:tcPr>
                <w:p>
                  <w:pPr>
                    <w:widowControl/>
                    <w:tabs>
                      <w:tab w:val="left" w:pos="420"/>
                      <w:tab w:val="center" w:pos="626"/>
                      <w:tab w:val="left" w:pos="3077"/>
                      <w:tab w:val="center" w:pos="4770"/>
                    </w:tabs>
                    <w:jc w:val="center"/>
                    <w:rPr>
                      <w:rFonts w:hint="default" w:eastAsia="宋体"/>
                      <w:spacing w:val="8"/>
                      <w:szCs w:val="21"/>
                      <w:lang w:val="en-US" w:eastAsia="zh-CN"/>
                    </w:rPr>
                  </w:pPr>
                  <w:r>
                    <w:rPr>
                      <w:rFonts w:hint="eastAsia"/>
                      <w:spacing w:val="8"/>
                      <w:szCs w:val="21"/>
                      <w:lang w:val="en-US" w:eastAsia="zh-CN"/>
                    </w:rPr>
                    <w:t>0.21</w:t>
                  </w:r>
                </w:p>
              </w:tc>
              <w:tc>
                <w:tcPr>
                  <w:tcW w:w="679" w:type="pct"/>
                  <w:vAlign w:val="center"/>
                </w:tcPr>
                <w:p>
                  <w:pPr>
                    <w:widowControl/>
                    <w:tabs>
                      <w:tab w:val="left" w:pos="420"/>
                      <w:tab w:val="center" w:pos="626"/>
                      <w:tab w:val="left" w:pos="3077"/>
                      <w:tab w:val="center" w:pos="4770"/>
                    </w:tabs>
                    <w:jc w:val="center"/>
                    <w:rPr>
                      <w:rFonts w:hint="default" w:eastAsia="宋体"/>
                      <w:spacing w:val="8"/>
                      <w:szCs w:val="21"/>
                      <w:lang w:val="en-US" w:eastAsia="zh-CN"/>
                    </w:rPr>
                  </w:pPr>
                  <w:r>
                    <w:rPr>
                      <w:rFonts w:hint="eastAsia"/>
                      <w:spacing w:val="8"/>
                      <w:szCs w:val="21"/>
                      <w:lang w:val="en-US" w:eastAsia="zh-CN"/>
                    </w:rPr>
                    <w:t>50.4</w:t>
                  </w:r>
                </w:p>
              </w:tc>
              <w:tc>
                <w:tcPr>
                  <w:tcW w:w="434" w:type="pct"/>
                  <w:vAlign w:val="center"/>
                </w:tcPr>
                <w:p>
                  <w:pPr>
                    <w:widowControl/>
                    <w:tabs>
                      <w:tab w:val="left" w:pos="420"/>
                      <w:tab w:val="center" w:pos="626"/>
                      <w:tab w:val="left" w:pos="3077"/>
                      <w:tab w:val="center" w:pos="4770"/>
                    </w:tabs>
                    <w:jc w:val="center"/>
                    <w:rPr>
                      <w:rFonts w:hint="default" w:eastAsia="宋体"/>
                      <w:spacing w:val="8"/>
                      <w:szCs w:val="21"/>
                      <w:lang w:val="en-US" w:eastAsia="zh-CN"/>
                    </w:rPr>
                  </w:pPr>
                  <w:r>
                    <w:rPr>
                      <w:rFonts w:hint="eastAsia"/>
                      <w:spacing w:val="8"/>
                      <w:szCs w:val="21"/>
                      <w:lang w:val="en-US" w:eastAsia="zh-CN"/>
                    </w:rPr>
                    <w:t>0.168</w:t>
                  </w:r>
                </w:p>
              </w:tc>
              <w:tc>
                <w:tcPr>
                  <w:tcW w:w="514" w:type="pct"/>
                  <w:vAlign w:val="center"/>
                </w:tcPr>
                <w:p>
                  <w:pPr>
                    <w:widowControl/>
                    <w:tabs>
                      <w:tab w:val="left" w:pos="420"/>
                      <w:tab w:val="center" w:pos="626"/>
                      <w:tab w:val="left" w:pos="3077"/>
                      <w:tab w:val="center" w:pos="4770"/>
                    </w:tabs>
                    <w:jc w:val="center"/>
                    <w:rPr>
                      <w:rFonts w:hint="default" w:eastAsia="宋体"/>
                      <w:spacing w:val="8"/>
                      <w:szCs w:val="21"/>
                      <w:lang w:val="en-US" w:eastAsia="zh-CN"/>
                    </w:rPr>
                  </w:pPr>
                  <w:r>
                    <w:rPr>
                      <w:rFonts w:hint="eastAsia"/>
                      <w:spacing w:val="8"/>
                      <w:szCs w:val="21"/>
                      <w:lang w:val="en-US" w:eastAsia="zh-CN"/>
                    </w:rPr>
                    <w:t>40.32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72" w:type="pct"/>
                  <w:vAlign w:val="center"/>
                </w:tcPr>
                <w:p>
                  <w:pPr>
                    <w:pStyle w:val="20"/>
                    <w:adjustRightInd w:val="0"/>
                    <w:snapToGrid w:val="0"/>
                    <w:ind w:firstLine="29" w:firstLineChars="13"/>
                    <w:jc w:val="center"/>
                    <w:rPr>
                      <w:rFonts w:hint="default" w:ascii="Times New Roman" w:hAnsi="Times New Roman"/>
                      <w:spacing w:val="8"/>
                      <w:szCs w:val="21"/>
                      <w:lang w:val="en-US" w:eastAsia="zh-CN"/>
                    </w:rPr>
                  </w:pPr>
                  <w:r>
                    <w:rPr>
                      <w:rFonts w:hint="eastAsia" w:ascii="Times New Roman" w:hAnsi="Times New Roman"/>
                      <w:spacing w:val="8"/>
                      <w:szCs w:val="21"/>
                      <w:lang w:val="en-US" w:eastAsia="zh-CN"/>
                    </w:rPr>
                    <w:t>4</w:t>
                  </w:r>
                </w:p>
              </w:tc>
              <w:tc>
                <w:tcPr>
                  <w:tcW w:w="1065" w:type="pct"/>
                  <w:vAlign w:val="center"/>
                </w:tcPr>
                <w:p>
                  <w:pPr>
                    <w:widowControl/>
                    <w:tabs>
                      <w:tab w:val="left" w:pos="3077"/>
                      <w:tab w:val="center" w:pos="4770"/>
                    </w:tabs>
                    <w:jc w:val="center"/>
                    <w:rPr>
                      <w:rFonts w:hint="default"/>
                      <w:szCs w:val="21"/>
                      <w:lang w:val="en-US" w:eastAsia="zh-CN"/>
                    </w:rPr>
                  </w:pPr>
                  <w:r>
                    <w:rPr>
                      <w:rFonts w:hint="eastAsia"/>
                      <w:szCs w:val="21"/>
                      <w:lang w:val="en-US" w:eastAsia="zh-CN"/>
                    </w:rPr>
                    <w:t>切割补充水</w:t>
                  </w:r>
                </w:p>
              </w:tc>
              <w:tc>
                <w:tcPr>
                  <w:tcW w:w="743" w:type="pct"/>
                  <w:vAlign w:val="center"/>
                </w:tcPr>
                <w:p>
                  <w:pPr>
                    <w:widowControl/>
                    <w:tabs>
                      <w:tab w:val="left" w:pos="3077"/>
                      <w:tab w:val="center" w:pos="4770"/>
                    </w:tabs>
                    <w:jc w:val="center"/>
                    <w:rPr>
                      <w:rFonts w:hint="eastAsia" w:eastAsia="宋体"/>
                      <w:szCs w:val="21"/>
                      <w:lang w:val="en-US" w:eastAsia="zh-CN"/>
                    </w:rPr>
                  </w:pPr>
                  <w:r>
                    <w:rPr>
                      <w:rFonts w:hint="eastAsia"/>
                      <w:szCs w:val="21"/>
                      <w:lang w:val="en-US" w:eastAsia="zh-CN"/>
                    </w:rPr>
                    <w:t>/</w:t>
                  </w:r>
                </w:p>
              </w:tc>
              <w:tc>
                <w:tcPr>
                  <w:tcW w:w="582" w:type="pct"/>
                  <w:vAlign w:val="center"/>
                </w:tcPr>
                <w:p>
                  <w:pPr>
                    <w:widowControl/>
                    <w:tabs>
                      <w:tab w:val="left" w:pos="3077"/>
                      <w:tab w:val="center" w:pos="4770"/>
                    </w:tabs>
                    <w:jc w:val="center"/>
                    <w:rPr>
                      <w:rFonts w:hint="default"/>
                      <w:szCs w:val="21"/>
                      <w:lang w:val="en-US" w:eastAsia="zh-CN"/>
                    </w:rPr>
                  </w:pPr>
                  <w:r>
                    <w:rPr>
                      <w:rFonts w:hint="eastAsia"/>
                      <w:szCs w:val="21"/>
                      <w:lang w:val="en-US" w:eastAsia="zh-CN"/>
                    </w:rPr>
                    <w:t>/</w:t>
                  </w:r>
                </w:p>
              </w:tc>
              <w:tc>
                <w:tcPr>
                  <w:tcW w:w="506" w:type="pct"/>
                  <w:vAlign w:val="center"/>
                </w:tcPr>
                <w:p>
                  <w:pPr>
                    <w:widowControl/>
                    <w:tabs>
                      <w:tab w:val="left" w:pos="420"/>
                      <w:tab w:val="center" w:pos="626"/>
                      <w:tab w:val="left" w:pos="3077"/>
                      <w:tab w:val="center" w:pos="4770"/>
                    </w:tabs>
                    <w:jc w:val="center"/>
                    <w:rPr>
                      <w:rFonts w:hint="default"/>
                      <w:spacing w:val="8"/>
                      <w:szCs w:val="21"/>
                      <w:lang w:val="en-US" w:eastAsia="zh-CN"/>
                    </w:rPr>
                  </w:pPr>
                  <w:r>
                    <w:rPr>
                      <w:rFonts w:hint="eastAsia"/>
                      <w:spacing w:val="8"/>
                      <w:szCs w:val="21"/>
                      <w:lang w:val="en-US" w:eastAsia="zh-CN"/>
                    </w:rPr>
                    <w:t>0.5</w:t>
                  </w:r>
                </w:p>
              </w:tc>
              <w:tc>
                <w:tcPr>
                  <w:tcW w:w="679" w:type="pct"/>
                  <w:vAlign w:val="center"/>
                </w:tcPr>
                <w:p>
                  <w:pPr>
                    <w:widowControl/>
                    <w:tabs>
                      <w:tab w:val="left" w:pos="420"/>
                      <w:tab w:val="center" w:pos="626"/>
                      <w:tab w:val="left" w:pos="3077"/>
                      <w:tab w:val="center" w:pos="4770"/>
                    </w:tabs>
                    <w:jc w:val="center"/>
                    <w:rPr>
                      <w:rFonts w:hint="default"/>
                      <w:spacing w:val="8"/>
                      <w:szCs w:val="21"/>
                      <w:lang w:val="en-US" w:eastAsia="zh-CN"/>
                    </w:rPr>
                  </w:pPr>
                  <w:r>
                    <w:rPr>
                      <w:rFonts w:hint="eastAsia"/>
                      <w:spacing w:val="8"/>
                      <w:szCs w:val="21"/>
                      <w:lang w:val="en-US" w:eastAsia="zh-CN"/>
                    </w:rPr>
                    <w:t>120</w:t>
                  </w:r>
                </w:p>
              </w:tc>
              <w:tc>
                <w:tcPr>
                  <w:tcW w:w="434" w:type="pct"/>
                  <w:vAlign w:val="center"/>
                </w:tcPr>
                <w:p>
                  <w:pPr>
                    <w:widowControl/>
                    <w:tabs>
                      <w:tab w:val="left" w:pos="420"/>
                      <w:tab w:val="center" w:pos="626"/>
                      <w:tab w:val="left" w:pos="3077"/>
                      <w:tab w:val="center" w:pos="4770"/>
                    </w:tabs>
                    <w:jc w:val="center"/>
                    <w:rPr>
                      <w:rFonts w:hint="default"/>
                      <w:spacing w:val="8"/>
                      <w:szCs w:val="21"/>
                      <w:lang w:val="en-US" w:eastAsia="zh-CN"/>
                    </w:rPr>
                  </w:pPr>
                  <w:r>
                    <w:rPr>
                      <w:rFonts w:hint="eastAsia"/>
                      <w:spacing w:val="8"/>
                      <w:szCs w:val="21"/>
                      <w:lang w:val="en-US" w:eastAsia="zh-CN"/>
                    </w:rPr>
                    <w:t>/</w:t>
                  </w:r>
                </w:p>
              </w:tc>
              <w:tc>
                <w:tcPr>
                  <w:tcW w:w="514" w:type="pct"/>
                  <w:vAlign w:val="center"/>
                </w:tcPr>
                <w:p>
                  <w:pPr>
                    <w:widowControl/>
                    <w:tabs>
                      <w:tab w:val="left" w:pos="420"/>
                      <w:tab w:val="center" w:pos="626"/>
                      <w:tab w:val="left" w:pos="3077"/>
                      <w:tab w:val="center" w:pos="4770"/>
                    </w:tabs>
                    <w:jc w:val="center"/>
                    <w:rPr>
                      <w:rFonts w:hint="default"/>
                      <w:spacing w:val="8"/>
                      <w:szCs w:val="21"/>
                      <w:lang w:val="en-US" w:eastAsia="zh-CN"/>
                    </w:rPr>
                  </w:pPr>
                  <w:r>
                    <w:rPr>
                      <w:rFonts w:hint="eastAsia"/>
                      <w:spacing w:val="8"/>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281" w:type="pct"/>
                  <w:gridSpan w:val="3"/>
                  <w:vAlign w:val="center"/>
                </w:tcPr>
                <w:p>
                  <w:pPr>
                    <w:widowControl/>
                    <w:tabs>
                      <w:tab w:val="left" w:pos="3077"/>
                      <w:tab w:val="center" w:pos="4770"/>
                    </w:tabs>
                    <w:jc w:val="center"/>
                    <w:rPr>
                      <w:b/>
                      <w:bCs/>
                      <w:spacing w:val="8"/>
                      <w:szCs w:val="21"/>
                    </w:rPr>
                  </w:pPr>
                  <w:r>
                    <w:rPr>
                      <w:spacing w:val="8"/>
                      <w:szCs w:val="21"/>
                    </w:rPr>
                    <w:t>合计</w:t>
                  </w:r>
                </w:p>
              </w:tc>
              <w:tc>
                <w:tcPr>
                  <w:tcW w:w="582" w:type="pct"/>
                  <w:vAlign w:val="center"/>
                </w:tcPr>
                <w:p>
                  <w:pPr>
                    <w:widowControl/>
                    <w:tabs>
                      <w:tab w:val="left" w:pos="3077"/>
                      <w:tab w:val="center" w:pos="4770"/>
                    </w:tabs>
                    <w:jc w:val="center"/>
                    <w:rPr>
                      <w:rFonts w:hint="eastAsia" w:eastAsia="宋体"/>
                      <w:spacing w:val="8"/>
                      <w:szCs w:val="21"/>
                      <w:lang w:eastAsia="zh-CN"/>
                    </w:rPr>
                  </w:pPr>
                  <w:r>
                    <w:rPr>
                      <w:rFonts w:hint="eastAsia"/>
                      <w:spacing w:val="8"/>
                      <w:szCs w:val="21"/>
                      <w:lang w:val="en-US" w:eastAsia="zh-CN"/>
                    </w:rPr>
                    <w:t>/</w:t>
                  </w:r>
                </w:p>
              </w:tc>
              <w:tc>
                <w:tcPr>
                  <w:tcW w:w="506" w:type="pct"/>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28.35</w:t>
                  </w:r>
                </w:p>
              </w:tc>
              <w:tc>
                <w:tcPr>
                  <w:tcW w:w="679" w:type="pct"/>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6804.8</w:t>
                  </w:r>
                </w:p>
              </w:tc>
              <w:tc>
                <w:tcPr>
                  <w:tcW w:w="722" w:type="dxa"/>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0.616</w:t>
                  </w:r>
                </w:p>
              </w:tc>
              <w:tc>
                <w:tcPr>
                  <w:tcW w:w="857" w:type="dxa"/>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147.84</w:t>
                  </w:r>
                </w:p>
              </w:tc>
            </w:tr>
          </w:tbl>
          <w:p>
            <w:pPr>
              <w:pStyle w:val="79"/>
              <w:ind w:firstLine="560"/>
              <w:rPr>
                <w:rFonts w:eastAsia="宋体"/>
              </w:rPr>
            </w:pPr>
            <w:r>
              <w:rPr>
                <w:sz w:val="24"/>
              </w:rPr>
              <mc:AlternateContent>
                <mc:Choice Requires="wps">
                  <w:drawing>
                    <wp:anchor distT="0" distB="0" distL="114300" distR="114300" simplePos="0" relativeHeight="251675648" behindDoc="0" locked="0" layoutInCell="1" allowOverlap="1">
                      <wp:simplePos x="0" y="0"/>
                      <wp:positionH relativeFrom="column">
                        <wp:posOffset>67945</wp:posOffset>
                      </wp:positionH>
                      <wp:positionV relativeFrom="paragraph">
                        <wp:posOffset>80645</wp:posOffset>
                      </wp:positionV>
                      <wp:extent cx="5210175" cy="2381885"/>
                      <wp:effectExtent l="9525" t="9525" r="19050" b="27940"/>
                      <wp:wrapNone/>
                      <wp:docPr id="27" name="矩形 27"/>
                      <wp:cNvGraphicFramePr/>
                      <a:graphic xmlns:a="http://schemas.openxmlformats.org/drawingml/2006/main">
                        <a:graphicData uri="http://schemas.microsoft.com/office/word/2010/wordprocessingShape">
                          <wps:wsp>
                            <wps:cNvSpPr/>
                            <wps:spPr>
                              <a:xfrm>
                                <a:off x="1403985" y="3402965"/>
                                <a:ext cx="5210175" cy="2381885"/>
                              </a:xfrm>
                              <a:prstGeom prst="rect">
                                <a:avLst/>
                              </a:prstGeom>
                              <a:noFill/>
                              <a:ln w="190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5pt;margin-top:6.35pt;height:187.55pt;width:410.25pt;z-index:251675648;v-text-anchor:middle;mso-width-relative:page;mso-height-relative:page;" filled="f" stroked="t" coordsize="21600,21600" o:gfxdata="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AGr7FTXAAAACQEAAA8AAAAAAAAAAQAgAAAAIgAAAGRycy9kb3du&#10;cmV2LnhtbFBLAQIUABQAAAAIAIdO4kAhPtyScgIAAM4EAAAOAAAAAAAAAAEAIAAAACYBAABkcnMv&#10;ZTJvRG9jLnhtbFBLBQYAAAAABgAGAFkBAAAKBgAAAAA=&#10;">
                      <v:fill on="f" focussize="0,0"/>
                      <v:stroke weight="1.5pt" color="#000000 [3213]" joinstyle="round"/>
                      <v:imagedata o:title=""/>
                      <o:lock v:ext="edit" aspectratio="f"/>
                      <v:textbox>
                        <w:txbxContent>
                          <w:p/>
                        </w:txbxContent>
                      </v:textbox>
                    </v:rect>
                  </w:pict>
                </mc:Fallback>
              </mc:AlternateContent>
            </w:r>
            <w:r>
              <w:rPr>
                <w:rFonts w:eastAsia="宋体"/>
              </w:rPr>
              <mc:AlternateContent>
                <mc:Choice Requires="wps">
                  <w:drawing>
                    <wp:anchor distT="0" distB="0" distL="114300" distR="114300" simplePos="0" relativeHeight="251679744" behindDoc="0" locked="0" layoutInCell="1" allowOverlap="1">
                      <wp:simplePos x="0" y="0"/>
                      <wp:positionH relativeFrom="column">
                        <wp:posOffset>4387215</wp:posOffset>
                      </wp:positionH>
                      <wp:positionV relativeFrom="paragraph">
                        <wp:posOffset>283845</wp:posOffset>
                      </wp:positionV>
                      <wp:extent cx="664845" cy="502285"/>
                      <wp:effectExtent l="4445" t="5080" r="16510" b="6985"/>
                      <wp:wrapNone/>
                      <wp:docPr id="32" name="Rectangle 1206"/>
                      <wp:cNvGraphicFramePr/>
                      <a:graphic xmlns:a="http://schemas.openxmlformats.org/drawingml/2006/main">
                        <a:graphicData uri="http://schemas.microsoft.com/office/word/2010/wordprocessingShape">
                          <wps:wsp>
                            <wps:cNvSpPr>
                              <a:spLocks noChangeArrowheads="1"/>
                            </wps:cNvSpPr>
                            <wps:spPr bwMode="auto">
                              <a:xfrm>
                                <a:off x="0" y="0"/>
                                <a:ext cx="664845" cy="502285"/>
                              </a:xfrm>
                              <a:prstGeom prst="rect">
                                <a:avLst/>
                              </a:prstGeom>
                              <a:solidFill>
                                <a:srgbClr val="FFFFFF"/>
                              </a:solidFill>
                              <a:ln w="9525">
                                <a:solidFill>
                                  <a:srgbClr val="000000"/>
                                </a:solidFill>
                                <a:miter lim="800000"/>
                              </a:ln>
                            </wps:spPr>
                            <wps:txbx>
                              <w:txbxContent>
                                <w:p>
                                  <w:pPr>
                                    <w:jc w:val="center"/>
                                  </w:pPr>
                                  <w:r>
                                    <w:rPr>
                                      <w:rFonts w:hint="eastAsia"/>
                                    </w:rPr>
                                    <w:t>污水处理厂</w:t>
                                  </w:r>
                                </w:p>
                              </w:txbxContent>
                            </wps:txbx>
                            <wps:bodyPr rot="0" vert="horz" wrap="square" lIns="91440" tIns="45720" rIns="91440" bIns="45720" anchor="t" anchorCtr="0" upright="1">
                              <a:noAutofit/>
                            </wps:bodyPr>
                          </wps:wsp>
                        </a:graphicData>
                      </a:graphic>
                    </wp:anchor>
                  </w:drawing>
                </mc:Choice>
                <mc:Fallback>
                  <w:pict>
                    <v:rect id="Rectangle 1206" o:spid="_x0000_s1026" o:spt="1" style="position:absolute;left:0pt;margin-left:345.45pt;margin-top:22.35pt;height:39.55pt;width:52.35pt;z-index:251679744;mso-width-relative:page;mso-height-relative:page;" fillcolor="#FFFFFF" filled="t" stroked="t" coordsize="21600,21600" o:gfxdata="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3iM+DZAAAACgEAAA8AAAAAAAAAAQAgAAAAIgAAAGRycy9kb3ducmV2Lnht&#10;bFBLAQIUABQAAAAIAIdO4kDjKFe8MQIAAIAEAAAOAAAAAAAAAAEAIAAAACgBAABkcnMvZTJvRG9j&#10;LnhtbFBLBQYAAAAABgAGAFkBAADLBQAAAAA=&#10;">
                      <v:fill on="t" focussize="0,0"/>
                      <v:stroke color="#000000" miterlimit="8" joinstyle="miter"/>
                      <v:imagedata o:title=""/>
                      <o:lock v:ext="edit" aspectratio="f"/>
                      <v:textbox>
                        <w:txbxContent>
                          <w:p>
                            <w:pPr>
                              <w:jc w:val="center"/>
                            </w:pPr>
                            <w:r>
                              <w:rPr>
                                <w:rFonts w:hint="eastAsia"/>
                              </w:rPr>
                              <w:t>污水处理厂</w:t>
                            </w:r>
                          </w:p>
                        </w:txbxContent>
                      </v:textbox>
                    </v:rect>
                  </w:pict>
                </mc:Fallback>
              </mc:AlternateContent>
            </w:r>
            <w:r>
              <w:rPr>
                <w:rFonts w:eastAsia="宋体"/>
              </w:rPr>
              <mc:AlternateContent>
                <mc:Choice Requires="wps">
                  <w:drawing>
                    <wp:anchor distT="0" distB="0" distL="114300" distR="114300" simplePos="0" relativeHeight="251664384" behindDoc="0" locked="0" layoutInCell="1" allowOverlap="1">
                      <wp:simplePos x="0" y="0"/>
                      <wp:positionH relativeFrom="column">
                        <wp:posOffset>3437255</wp:posOffset>
                      </wp:positionH>
                      <wp:positionV relativeFrom="paragraph">
                        <wp:posOffset>295275</wp:posOffset>
                      </wp:positionV>
                      <wp:extent cx="664845" cy="473075"/>
                      <wp:effectExtent l="4445" t="5080" r="16510" b="17145"/>
                      <wp:wrapNone/>
                      <wp:docPr id="1455" name="Rectangle 1206"/>
                      <wp:cNvGraphicFramePr/>
                      <a:graphic xmlns:a="http://schemas.openxmlformats.org/drawingml/2006/main">
                        <a:graphicData uri="http://schemas.microsoft.com/office/word/2010/wordprocessingShape">
                          <wps:wsp>
                            <wps:cNvSpPr>
                              <a:spLocks noChangeArrowheads="1"/>
                            </wps:cNvSpPr>
                            <wps:spPr bwMode="auto">
                              <a:xfrm>
                                <a:off x="0" y="0"/>
                                <a:ext cx="664845" cy="473075"/>
                              </a:xfrm>
                              <a:prstGeom prst="rect">
                                <a:avLst/>
                              </a:prstGeom>
                              <a:solidFill>
                                <a:srgbClr val="FFFFFF"/>
                              </a:solidFill>
                              <a:ln w="9525">
                                <a:solidFill>
                                  <a:srgbClr val="000000"/>
                                </a:solidFill>
                                <a:miter lim="800000"/>
                              </a:ln>
                            </wps:spPr>
                            <wps:txbx>
                              <w:txbxContent>
                                <w:p>
                                  <w:pPr>
                                    <w:jc w:val="center"/>
                                  </w:pPr>
                                  <w:r>
                                    <w:rPr>
                                      <w:rFonts w:hint="eastAsia"/>
                                    </w:rPr>
                                    <w:t>园区排水管网</w:t>
                                  </w:r>
                                </w:p>
                              </w:txbxContent>
                            </wps:txbx>
                            <wps:bodyPr rot="0" vert="horz" wrap="square" lIns="91440" tIns="45720" rIns="91440" bIns="45720" anchor="t" anchorCtr="0" upright="1">
                              <a:noAutofit/>
                            </wps:bodyPr>
                          </wps:wsp>
                        </a:graphicData>
                      </a:graphic>
                    </wp:anchor>
                  </w:drawing>
                </mc:Choice>
                <mc:Fallback>
                  <w:pict>
                    <v:rect id="Rectangle 1206" o:spid="_x0000_s1026" o:spt="1" style="position:absolute;left:0pt;margin-left:270.65pt;margin-top:23.25pt;height:37.25pt;width:52.35pt;z-index:251664384;mso-width-relative:page;mso-height-relative:page;" fillcolor="#FFFFFF" filled="t" stroked="t" coordsize="21600,21600" o:gfxdata="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Bd+DTHYAAAACgEAAA8AAAAAAAAAAQAgAAAAIgAAAGRycy9kb3ducmV2Lnht&#10;bFBLAQIUABQAAAAIAIdO4kAyY/BwMgIAAIIEAAAOAAAAAAAAAAEAIAAAACcBAABkcnMvZTJvRG9j&#10;LnhtbFBLBQYAAAAABgAGAFkBAADLBQAAAAA=&#10;">
                      <v:fill on="t" focussize="0,0"/>
                      <v:stroke color="#000000" miterlimit="8" joinstyle="miter"/>
                      <v:imagedata o:title=""/>
                      <o:lock v:ext="edit" aspectratio="f"/>
                      <v:textbox>
                        <w:txbxContent>
                          <w:p>
                            <w:pPr>
                              <w:jc w:val="center"/>
                            </w:pPr>
                            <w:r>
                              <w:rPr>
                                <w:rFonts w:hint="eastAsia"/>
                              </w:rPr>
                              <w:t>园区排水管网</w:t>
                            </w:r>
                          </w:p>
                        </w:txbxContent>
                      </v:textbox>
                    </v:rect>
                  </w:pict>
                </mc:Fallback>
              </mc:AlternateContent>
            </w:r>
            <w:r>
              <w:rPr>
                <w:rFonts w:eastAsia="宋体"/>
              </w:rPr>
              <mc:AlternateContent>
                <mc:Choice Requires="wps">
                  <w:drawing>
                    <wp:anchor distT="0" distB="0" distL="114300" distR="114300" simplePos="0" relativeHeight="251667456" behindDoc="0" locked="0" layoutInCell="1" allowOverlap="1">
                      <wp:simplePos x="0" y="0"/>
                      <wp:positionH relativeFrom="column">
                        <wp:posOffset>2653030</wp:posOffset>
                      </wp:positionH>
                      <wp:positionV relativeFrom="paragraph">
                        <wp:posOffset>337185</wp:posOffset>
                      </wp:positionV>
                      <wp:extent cx="605790" cy="284480"/>
                      <wp:effectExtent l="0" t="0" r="0" b="0"/>
                      <wp:wrapNone/>
                      <wp:docPr id="1454" name="Rectangle 1228"/>
                      <wp:cNvGraphicFramePr/>
                      <a:graphic xmlns:a="http://schemas.openxmlformats.org/drawingml/2006/main">
                        <a:graphicData uri="http://schemas.microsoft.com/office/word/2010/wordprocessingShape">
                          <wps:wsp>
                            <wps:cNvSpPr>
                              <a:spLocks noChangeArrowheads="1"/>
                            </wps:cNvSpPr>
                            <wps:spPr bwMode="auto">
                              <a:xfrm>
                                <a:off x="0" y="0"/>
                                <a:ext cx="605790" cy="284480"/>
                              </a:xfrm>
                              <a:prstGeom prst="rect">
                                <a:avLst/>
                              </a:prstGeom>
                              <a:noFill/>
                              <a:ln>
                                <a:noFill/>
                              </a:ln>
                            </wps:spPr>
                            <wps:txbx>
                              <w:txbxContent>
                                <w:p>
                                  <w:pPr>
                                    <w:rPr>
                                      <w:rFonts w:hint="default" w:eastAsia="宋体"/>
                                      <w:color w:val="000000"/>
                                      <w:lang w:val="en-US" w:eastAsia="zh-CN"/>
                                    </w:rPr>
                                  </w:pPr>
                                  <w:r>
                                    <w:rPr>
                                      <w:rFonts w:hint="eastAsia"/>
                                      <w:color w:val="000000"/>
                                      <w:lang w:val="en-US" w:eastAsia="zh-CN"/>
                                    </w:rPr>
                                    <w:t>107.52</w:t>
                                  </w:r>
                                </w:p>
                              </w:txbxContent>
                            </wps:txbx>
                            <wps:bodyPr rot="0" vert="horz" wrap="square" lIns="91440" tIns="45720" rIns="91440" bIns="45720" anchor="t" anchorCtr="0" upright="1">
                              <a:noAutofit/>
                            </wps:bodyPr>
                          </wps:wsp>
                        </a:graphicData>
                      </a:graphic>
                    </wp:anchor>
                  </w:drawing>
                </mc:Choice>
                <mc:Fallback>
                  <w:pict>
                    <v:rect id="Rectangle 1228" o:spid="_x0000_s1026" o:spt="1" style="position:absolute;left:0pt;margin-left:208.9pt;margin-top:26.55pt;height:22.4pt;width:47.7pt;z-index:251667456;mso-width-relative:page;mso-height-relative:page;" filled="f" stroked="f" coordsize="21600,21600" o:gfxdata="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A28i9sAAAAJAQAADwAAAAAAAAABACAAAAAi&#10;AAAAZHJzL2Rvd25yZXYueG1sUEsBAhQAFAAAAAgAh07iQDkj5p4HAgAAEAQAAA4AAAAAAAAAAQAg&#10;AAAAKgEAAGRycy9lMm9Eb2MueG1sUEsFBgAAAAAGAAYAWQEAAKMFAAAAAA==&#10;">
                      <v:fill on="f" focussize="0,0"/>
                      <v:stroke on="f"/>
                      <v:imagedata o:title=""/>
                      <o:lock v:ext="edit" aspectratio="f"/>
                      <v:textbox>
                        <w:txbxContent>
                          <w:p>
                            <w:pPr>
                              <w:rPr>
                                <w:rFonts w:hint="default" w:eastAsia="宋体"/>
                                <w:color w:val="000000"/>
                                <w:lang w:val="en-US" w:eastAsia="zh-CN"/>
                              </w:rPr>
                            </w:pPr>
                            <w:r>
                              <w:rPr>
                                <w:rFonts w:hint="eastAsia"/>
                                <w:color w:val="000000"/>
                                <w:lang w:val="en-US" w:eastAsia="zh-CN"/>
                              </w:rPr>
                              <w:t>107.52</w:t>
                            </w:r>
                          </w:p>
                        </w:txbxContent>
                      </v:textbox>
                    </v:rect>
                  </w:pict>
                </mc:Fallback>
              </mc:AlternateContent>
            </w:r>
            <w:r>
              <w:rPr>
                <w:rFonts w:eastAsia="宋体"/>
                <w:sz w:val="24"/>
                <w:szCs w:val="24"/>
              </w:rPr>
              <mc:AlternateContent>
                <mc:Choice Requires="wps">
                  <w:drawing>
                    <wp:anchor distT="0" distB="0" distL="114300" distR="114300" simplePos="0" relativeHeight="251665408" behindDoc="0" locked="0" layoutInCell="1" allowOverlap="1">
                      <wp:simplePos x="0" y="0"/>
                      <wp:positionH relativeFrom="column">
                        <wp:posOffset>2025650</wp:posOffset>
                      </wp:positionH>
                      <wp:positionV relativeFrom="paragraph">
                        <wp:posOffset>75565</wp:posOffset>
                      </wp:positionV>
                      <wp:extent cx="612775" cy="292100"/>
                      <wp:effectExtent l="1270" t="0" r="0" b="0"/>
                      <wp:wrapNone/>
                      <wp:docPr id="1457" name="Rectangle 1209"/>
                      <wp:cNvGraphicFramePr/>
                      <a:graphic xmlns:a="http://schemas.openxmlformats.org/drawingml/2006/main">
                        <a:graphicData uri="http://schemas.microsoft.com/office/word/2010/wordprocessingShape">
                          <wps:wsp>
                            <wps:cNvSpPr>
                              <a:spLocks noChangeArrowheads="1"/>
                            </wps:cNvSpPr>
                            <wps:spPr bwMode="auto">
                              <a:xfrm>
                                <a:off x="0" y="0"/>
                                <a:ext cx="612775" cy="292100"/>
                              </a:xfrm>
                              <a:prstGeom prst="rect">
                                <a:avLst/>
                              </a:prstGeom>
                              <a:noFill/>
                              <a:ln>
                                <a:noFill/>
                              </a:ln>
                            </wps:spPr>
                            <wps:txbx>
                              <w:txbxContent>
                                <w:p>
                                  <w:pPr>
                                    <w:rPr>
                                      <w:rFonts w:hint="default" w:eastAsia="宋体"/>
                                      <w:color w:val="000000"/>
                                      <w:lang w:val="en-US" w:eastAsia="zh-CN"/>
                                    </w:rPr>
                                  </w:pPr>
                                  <w:r>
                                    <w:rPr>
                                      <w:rFonts w:hint="eastAsia"/>
                                      <w:color w:val="000000"/>
                                      <w:lang w:val="en-US" w:eastAsia="zh-CN"/>
                                    </w:rPr>
                                    <w:t>26.88</w:t>
                                  </w:r>
                                </w:p>
                              </w:txbxContent>
                            </wps:txbx>
                            <wps:bodyPr rot="0" vert="horz" wrap="square" lIns="91440" tIns="45720" rIns="91440" bIns="45720" anchor="t" anchorCtr="0" upright="1">
                              <a:noAutofit/>
                            </wps:bodyPr>
                          </wps:wsp>
                        </a:graphicData>
                      </a:graphic>
                    </wp:anchor>
                  </w:drawing>
                </mc:Choice>
                <mc:Fallback>
                  <w:pict>
                    <v:rect id="Rectangle 1209" o:spid="_x0000_s1026" o:spt="1" style="position:absolute;left:0pt;margin-left:159.5pt;margin-top:5.95pt;height:23pt;width:48.25pt;z-index:251665408;mso-width-relative:page;mso-height-relative:page;" filled="f" stroked="f" coordsize="21600,21600" o:gfxdata="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WQYYraAAAACQEAAA8AAAAAAAAAAQAgAAAAIgAA&#10;AGRycy9kb3ducmV2LnhtbFBLAQIUABQAAAAIAIdO4kBrB218BgIAABAEAAAOAAAAAAAAAAEAIAAA&#10;ACkBAABkcnMvZTJvRG9jLnhtbFBLBQYAAAAABgAGAFkBAAChBQAAAAA=&#10;">
                      <v:fill on="f" focussize="0,0"/>
                      <v:stroke on="f"/>
                      <v:imagedata o:title=""/>
                      <o:lock v:ext="edit" aspectratio="f"/>
                      <v:textbox>
                        <w:txbxContent>
                          <w:p>
                            <w:pPr>
                              <w:rPr>
                                <w:rFonts w:hint="default" w:eastAsia="宋体"/>
                                <w:color w:val="000000"/>
                                <w:lang w:val="en-US" w:eastAsia="zh-CN"/>
                              </w:rPr>
                            </w:pPr>
                            <w:r>
                              <w:rPr>
                                <w:rFonts w:hint="eastAsia"/>
                                <w:color w:val="000000"/>
                                <w:lang w:val="en-US" w:eastAsia="zh-CN"/>
                              </w:rPr>
                              <w:t>26.88</w:t>
                            </w:r>
                          </w:p>
                        </w:txbxContent>
                      </v:textbox>
                    </v:rect>
                  </w:pict>
                </mc:Fallback>
              </mc:AlternateContent>
            </w:r>
            <w:r>
              <w:rPr>
                <w:rFonts w:eastAsia="宋体"/>
              </w:rPr>
              <mc:AlternateContent>
                <mc:Choice Requires="wps">
                  <w:drawing>
                    <wp:anchor distT="0" distB="0" distL="114300" distR="114300" simplePos="0" relativeHeight="251666432" behindDoc="0" locked="0" layoutInCell="1" allowOverlap="1">
                      <wp:simplePos x="0" y="0"/>
                      <wp:positionH relativeFrom="column">
                        <wp:posOffset>956945</wp:posOffset>
                      </wp:positionH>
                      <wp:positionV relativeFrom="paragraph">
                        <wp:posOffset>333375</wp:posOffset>
                      </wp:positionV>
                      <wp:extent cx="561340" cy="259080"/>
                      <wp:effectExtent l="0" t="0" r="1270" b="1905"/>
                      <wp:wrapNone/>
                      <wp:docPr id="1458" name="Rectangle 1225"/>
                      <wp:cNvGraphicFramePr/>
                      <a:graphic xmlns:a="http://schemas.openxmlformats.org/drawingml/2006/main">
                        <a:graphicData uri="http://schemas.microsoft.com/office/word/2010/wordprocessingShape">
                          <wps:wsp>
                            <wps:cNvSpPr>
                              <a:spLocks noChangeArrowheads="1"/>
                            </wps:cNvSpPr>
                            <wps:spPr bwMode="auto">
                              <a:xfrm>
                                <a:off x="0" y="0"/>
                                <a:ext cx="561340" cy="259080"/>
                              </a:xfrm>
                              <a:prstGeom prst="rect">
                                <a:avLst/>
                              </a:prstGeom>
                              <a:noFill/>
                              <a:ln>
                                <a:noFill/>
                              </a:ln>
                            </wps:spPr>
                            <wps:txbx>
                              <w:txbxContent>
                                <w:p>
                                  <w:pPr>
                                    <w:rPr>
                                      <w:rFonts w:hint="default" w:eastAsia="宋体"/>
                                      <w:color w:val="000000"/>
                                      <w:lang w:val="en-US" w:eastAsia="zh-CN"/>
                                    </w:rPr>
                                  </w:pPr>
                                  <w:r>
                                    <w:rPr>
                                      <w:rFonts w:hint="eastAsia"/>
                                      <w:color w:val="000000"/>
                                      <w:lang w:val="en-US" w:eastAsia="zh-CN"/>
                                    </w:rPr>
                                    <w:t>134.4</w:t>
                                  </w:r>
                                </w:p>
                              </w:txbxContent>
                            </wps:txbx>
                            <wps:bodyPr rot="0" vert="horz" wrap="square" lIns="91440" tIns="45720" rIns="91440" bIns="45720" anchor="t" anchorCtr="0" upright="1">
                              <a:noAutofit/>
                            </wps:bodyPr>
                          </wps:wsp>
                        </a:graphicData>
                      </a:graphic>
                    </wp:anchor>
                  </w:drawing>
                </mc:Choice>
                <mc:Fallback>
                  <w:pict>
                    <v:rect id="Rectangle 1225" o:spid="_x0000_s1026" o:spt="1" style="position:absolute;left:0pt;margin-left:75.35pt;margin-top:26.25pt;height:20.4pt;width:44.2pt;z-index:251666432;mso-width-relative:page;mso-height-relative:page;" filled="f" stroked="f" coordsize="21600,21600" o:gfxdata="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UZ8p92gAAAAkBAAAPAAAAAAAAAAEAIAAAACIA&#10;AABkcnMvZG93bnJldi54bWxQSwECFAAUAAAACACHTuJAGQtXKwcCAAAQBAAADgAAAAAAAAABACAA&#10;AAApAQAAZHJzL2Uyb0RvYy54bWxQSwUGAAAAAAYABgBZAQAAogUAAAAA&#10;">
                      <v:fill on="f" focussize="0,0"/>
                      <v:stroke on="f"/>
                      <v:imagedata o:title=""/>
                      <o:lock v:ext="edit" aspectratio="f"/>
                      <v:textbox>
                        <w:txbxContent>
                          <w:p>
                            <w:pPr>
                              <w:rPr>
                                <w:rFonts w:hint="default" w:eastAsia="宋体"/>
                                <w:color w:val="000000"/>
                                <w:lang w:val="en-US" w:eastAsia="zh-CN"/>
                              </w:rPr>
                            </w:pPr>
                            <w:r>
                              <w:rPr>
                                <w:rFonts w:hint="eastAsia"/>
                                <w:color w:val="000000"/>
                                <w:lang w:val="en-US" w:eastAsia="zh-CN"/>
                              </w:rPr>
                              <w:t>134.4</w:t>
                            </w:r>
                          </w:p>
                        </w:txbxContent>
                      </v:textbox>
                    </v:rect>
                  </w:pict>
                </mc:Fallback>
              </mc:AlternateContent>
            </w:r>
            <w:r>
              <w:rPr>
                <w:rFonts w:eastAsia="宋体"/>
                <w:sz w:val="24"/>
                <w:szCs w:val="24"/>
              </w:rPr>
              <mc:AlternateContent>
                <mc:Choice Requires="wps">
                  <w:drawing>
                    <wp:anchor distT="0" distB="0" distL="114300" distR="114300" simplePos="0" relativeHeight="251663360" behindDoc="0" locked="0" layoutInCell="1" allowOverlap="1">
                      <wp:simplePos x="0" y="0"/>
                      <wp:positionH relativeFrom="column">
                        <wp:posOffset>1876425</wp:posOffset>
                      </wp:positionH>
                      <wp:positionV relativeFrom="paragraph">
                        <wp:posOffset>294005</wp:posOffset>
                      </wp:positionV>
                      <wp:extent cx="293370" cy="120015"/>
                      <wp:effectExtent l="13970" t="61595" r="16510" b="8890"/>
                      <wp:wrapNone/>
                      <wp:docPr id="1456" name="AutoShape 1203"/>
                      <wp:cNvGraphicFramePr/>
                      <a:graphic xmlns:a="http://schemas.openxmlformats.org/drawingml/2006/main">
                        <a:graphicData uri="http://schemas.microsoft.com/office/word/2010/wordprocessingShape">
                          <wps:wsp>
                            <wps:cNvCnPr>
                              <a:cxnSpLocks noChangeShapeType="1"/>
                            </wps:cNvCnPr>
                            <wps:spPr bwMode="auto">
                              <a:xfrm flipV="1">
                                <a:off x="0" y="0"/>
                                <a:ext cx="293370" cy="120015"/>
                              </a:xfrm>
                              <a:prstGeom prst="curvedConnector3">
                                <a:avLst>
                                  <a:gd name="adj1" fmla="val 50000"/>
                                </a:avLst>
                              </a:prstGeom>
                              <a:noFill/>
                              <a:ln w="9525">
                                <a:solidFill>
                                  <a:srgbClr val="000000"/>
                                </a:solidFill>
                                <a:prstDash val="dash"/>
                                <a:round/>
                                <a:tailEnd type="triangle" w="med" len="med"/>
                              </a:ln>
                            </wps:spPr>
                            <wps:bodyPr/>
                          </wps:wsp>
                        </a:graphicData>
                      </a:graphic>
                    </wp:anchor>
                  </w:drawing>
                </mc:Choice>
                <mc:Fallback>
                  <w:pict>
                    <v:shape id="AutoShape 1203" o:spid="_x0000_s1026" o:spt="38" type="#_x0000_t38" style="position:absolute;left:0pt;flip:y;margin-left:147.75pt;margin-top:23.15pt;height:9.45pt;width:23.1pt;z-index:251663360;mso-width-relative:page;mso-height-relative:page;" filled="f" stroked="t" coordsize="21600,21600" o:gfxdata="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jgVhgdoA&#10;AAAJAQAADwAAAAAAAAABACAAAAAiAAAAZHJzL2Rvd25yZXYueG1sUEsBAhQAFAAAAAgAh07iQBsQ&#10;SYkdAgAANwQAAA4AAAAAAAAAAQAgAAAAKQEAAGRycy9lMm9Eb2MueG1sUEsFBgAAAAAGAAYAWQEA&#10;ALgFAAAAAA==&#10;" adj="10800">
                      <v:fill on="f" focussize="0,0"/>
                      <v:stroke color="#000000" joinstyle="round" dashstyle="dash" endarrow="block"/>
                      <v:imagedata o:title=""/>
                      <o:lock v:ext="edit" aspectratio="f"/>
                    </v:shape>
                  </w:pict>
                </mc:Fallback>
              </mc:AlternateContent>
            </w:r>
          </w:p>
          <w:p>
            <w:pPr>
              <w:pStyle w:val="79"/>
              <w:ind w:firstLine="560"/>
              <w:rPr>
                <w:rFonts w:eastAsia="宋体"/>
              </w:rPr>
            </w:pPr>
            <w:r>
              <w:rPr>
                <w:rFonts w:eastAsia="宋体"/>
              </w:rPr>
              <mc:AlternateContent>
                <mc:Choice Requires="wps">
                  <w:drawing>
                    <wp:anchor distT="0" distB="0" distL="114300" distR="114300" simplePos="0" relativeHeight="251695104" behindDoc="0" locked="0" layoutInCell="1" allowOverlap="1">
                      <wp:simplePos x="0" y="0"/>
                      <wp:positionH relativeFrom="column">
                        <wp:posOffset>2049145</wp:posOffset>
                      </wp:positionH>
                      <wp:positionV relativeFrom="paragraph">
                        <wp:posOffset>342265</wp:posOffset>
                      </wp:positionV>
                      <wp:extent cx="561340" cy="259080"/>
                      <wp:effectExtent l="0" t="0" r="0" b="0"/>
                      <wp:wrapNone/>
                      <wp:docPr id="16" name="Rectangle 1225"/>
                      <wp:cNvGraphicFramePr/>
                      <a:graphic xmlns:a="http://schemas.openxmlformats.org/drawingml/2006/main">
                        <a:graphicData uri="http://schemas.microsoft.com/office/word/2010/wordprocessingShape">
                          <wps:wsp>
                            <wps:cNvSpPr>
                              <a:spLocks noChangeArrowheads="1"/>
                            </wps:cNvSpPr>
                            <wps:spPr bwMode="auto">
                              <a:xfrm>
                                <a:off x="0" y="0"/>
                                <a:ext cx="561340" cy="259080"/>
                              </a:xfrm>
                              <a:prstGeom prst="rect">
                                <a:avLst/>
                              </a:prstGeom>
                              <a:noFill/>
                              <a:ln>
                                <a:noFill/>
                              </a:ln>
                            </wps:spPr>
                            <wps:txbx>
                              <w:txbxContent>
                                <w:p>
                                  <w:pPr>
                                    <w:rPr>
                                      <w:rFonts w:hint="default" w:eastAsia="宋体"/>
                                      <w:lang w:val="en-US" w:eastAsia="zh-CN"/>
                                    </w:rPr>
                                  </w:pPr>
                                  <w:r>
                                    <w:rPr>
                                      <w:rFonts w:hint="eastAsia"/>
                                      <w:lang w:val="en-US" w:eastAsia="zh-CN"/>
                                    </w:rPr>
                                    <w:t>10.08</w:t>
                                  </w:r>
                                </w:p>
                              </w:txbxContent>
                            </wps:txbx>
                            <wps:bodyPr rot="0" vert="horz" wrap="square" lIns="91440" tIns="45720" rIns="91440" bIns="45720" anchor="t" anchorCtr="0" upright="1">
                              <a:noAutofit/>
                            </wps:bodyPr>
                          </wps:wsp>
                        </a:graphicData>
                      </a:graphic>
                    </wp:anchor>
                  </w:drawing>
                </mc:Choice>
                <mc:Fallback>
                  <w:pict>
                    <v:rect id="Rectangle 1225" o:spid="_x0000_s1026" o:spt="1" style="position:absolute;left:0pt;margin-left:161.35pt;margin-top:26.95pt;height:20.4pt;width:44.2pt;z-index:251695104;mso-width-relative:page;mso-height-relative:page;" filled="f" stroked="f" coordsize="21600,21600" o:gfxdata="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imphXbAAAACQEAAA8AAAAAAAAAAQAgAAAAIgAA&#10;AGRycy9kb3ducmV2LnhtbFBLAQIUABQAAAAIAIdO4kAOsCtGBQIAAA4EAAAOAAAAAAAAAAEAIAAA&#10;ACoBAABkcnMvZTJvRG9jLnhtbFBLBQYAAAAABgAGAFkBAAChBQAAAAA=&#10;">
                      <v:fill on="f" focussize="0,0"/>
                      <v:stroke on="f"/>
                      <v:imagedata o:title=""/>
                      <o:lock v:ext="edit" aspectratio="f"/>
                      <v:textbox>
                        <w:txbxContent>
                          <w:p>
                            <w:pPr>
                              <w:rPr>
                                <w:rFonts w:hint="default" w:eastAsia="宋体"/>
                                <w:lang w:val="en-US" w:eastAsia="zh-CN"/>
                              </w:rPr>
                            </w:pPr>
                            <w:r>
                              <w:rPr>
                                <w:rFonts w:hint="eastAsia"/>
                                <w:lang w:val="en-US" w:eastAsia="zh-CN"/>
                              </w:rPr>
                              <w:t>10.08</w:t>
                            </w:r>
                          </w:p>
                        </w:txbxContent>
                      </v:textbox>
                    </v:rect>
                  </w:pict>
                </mc:Fallback>
              </mc:AlternateContent>
            </w:r>
            <w:r>
              <w:rPr>
                <w:rFonts w:eastAsia="宋体"/>
              </w:rPr>
              <mc:AlternateContent>
                <mc:Choice Requires="wps">
                  <w:drawing>
                    <wp:anchor distT="0" distB="0" distL="114300" distR="114300" simplePos="0" relativeHeight="251678720" behindDoc="0" locked="0" layoutInCell="1" allowOverlap="1">
                      <wp:simplePos x="0" y="0"/>
                      <wp:positionH relativeFrom="column">
                        <wp:posOffset>4098925</wp:posOffset>
                      </wp:positionH>
                      <wp:positionV relativeFrom="paragraph">
                        <wp:posOffset>184785</wp:posOffset>
                      </wp:positionV>
                      <wp:extent cx="306705" cy="1270"/>
                      <wp:effectExtent l="0" t="36830" r="17145" b="38100"/>
                      <wp:wrapNone/>
                      <wp:docPr id="12" name="AutoShape 1282"/>
                      <wp:cNvGraphicFramePr/>
                      <a:graphic xmlns:a="http://schemas.openxmlformats.org/drawingml/2006/main">
                        <a:graphicData uri="http://schemas.microsoft.com/office/word/2010/wordprocessingShape">
                          <wps:wsp>
                            <wps:cNvCnPr>
                              <a:cxnSpLocks noChangeShapeType="1"/>
                            </wps:cNvCnPr>
                            <wps:spPr bwMode="auto">
                              <a:xfrm>
                                <a:off x="0" y="0"/>
                                <a:ext cx="306705" cy="1270"/>
                              </a:xfrm>
                              <a:prstGeom prst="straightConnector1">
                                <a:avLst/>
                              </a:prstGeom>
                              <a:noFill/>
                              <a:ln w="9525">
                                <a:solidFill>
                                  <a:srgbClr val="000000"/>
                                </a:solidFill>
                                <a:round/>
                                <a:tailEnd type="triangle" w="med" len="med"/>
                              </a:ln>
                            </wps:spPr>
                            <wps:bodyPr/>
                          </wps:wsp>
                        </a:graphicData>
                      </a:graphic>
                    </wp:anchor>
                  </w:drawing>
                </mc:Choice>
                <mc:Fallback>
                  <w:pict>
                    <v:shape id="AutoShape 1282" o:spid="_x0000_s1026" o:spt="32" type="#_x0000_t32" style="position:absolute;left:0pt;margin-left:322.75pt;margin-top:14.55pt;height:0.1pt;width:24.15pt;z-index:251678720;mso-width-relative:page;mso-height-relative:page;" filled="f" stroked="t" coordsize="21600,21600" o:gfxdata="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WM4+G2QAAAAkBAAAPAAAAAAAAAAEAIAAAACIAAABkcnMvZG93bnJldi54bWxQ&#10;SwECFAAUAAAACACHTuJAyv4vrvYBAADmAwAADgAAAAAAAAABACAAAAAoAQAAZHJzL2Uyb0RvYy54&#10;bWxQSwUGAAAAAAYABgBZAQAAkAUAAAAA&#10;">
                      <v:fill on="f" focussize="0,0"/>
                      <v:stroke color="#000000" joinstyle="round" endarrow="block"/>
                      <v:imagedata o:title=""/>
                      <o:lock v:ext="edit" aspectratio="f"/>
                    </v:shape>
                  </w:pict>
                </mc:Fallback>
              </mc:AlternateContent>
            </w:r>
            <w:r>
              <w:rPr>
                <w:rFonts w:eastAsia="宋体"/>
              </w:rPr>
              <mc:AlternateContent>
                <mc:Choice Requires="wps">
                  <w:drawing>
                    <wp:anchor distT="0" distB="0" distL="114300" distR="114300" simplePos="0" relativeHeight="251668480" behindDoc="0" locked="0" layoutInCell="1" allowOverlap="1">
                      <wp:simplePos x="0" y="0"/>
                      <wp:positionH relativeFrom="column">
                        <wp:posOffset>2175510</wp:posOffset>
                      </wp:positionH>
                      <wp:positionV relativeFrom="paragraph">
                        <wp:posOffset>210185</wp:posOffset>
                      </wp:positionV>
                      <wp:extent cx="1239520" cy="8890"/>
                      <wp:effectExtent l="0" t="37465" r="17780" b="29845"/>
                      <wp:wrapNone/>
                      <wp:docPr id="1453" name="AutoShape 1278"/>
                      <wp:cNvGraphicFramePr/>
                      <a:graphic xmlns:a="http://schemas.openxmlformats.org/drawingml/2006/main">
                        <a:graphicData uri="http://schemas.microsoft.com/office/word/2010/wordprocessingShape">
                          <wps:wsp>
                            <wps:cNvCnPr>
                              <a:cxnSpLocks noChangeShapeType="1"/>
                            </wps:cNvCnPr>
                            <wps:spPr bwMode="auto">
                              <a:xfrm flipV="1">
                                <a:off x="0" y="0"/>
                                <a:ext cx="1239520" cy="8890"/>
                              </a:xfrm>
                              <a:prstGeom prst="straightConnector1">
                                <a:avLst/>
                              </a:prstGeom>
                              <a:noFill/>
                              <a:ln w="9525">
                                <a:solidFill>
                                  <a:srgbClr val="000000"/>
                                </a:solidFill>
                                <a:round/>
                                <a:tailEnd type="triangle" w="med" len="med"/>
                              </a:ln>
                            </wps:spPr>
                            <wps:bodyPr/>
                          </wps:wsp>
                        </a:graphicData>
                      </a:graphic>
                    </wp:anchor>
                  </w:drawing>
                </mc:Choice>
                <mc:Fallback>
                  <w:pict>
                    <v:shape id="AutoShape 1278" o:spid="_x0000_s1026" o:spt="32" type="#_x0000_t32" style="position:absolute;left:0pt;flip:y;margin-left:171.3pt;margin-top:16.55pt;height:0.7pt;width:97.6pt;z-index:251668480;mso-width-relative:page;mso-height-relative:page;" filled="f" stroked="t" coordsize="21600,21600" o:gfxdata="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5WUyNgAAAAJAQAADwAAAAAAAAABACAAAAAiAAAAZHJzL2Rvd25y&#10;ZXYueG1sUEsBAhQAFAAAAAgAh07iQGZMZ7n+AQAA8wMAAA4AAAAAAAAAAQAgAAAAJwEAAGRycy9l&#10;Mm9Eb2MueG1sUEsFBgAAAAAGAAYAWQEAAJcFAAAAAA==&#10;">
                      <v:fill on="f" focussize="0,0"/>
                      <v:stroke color="#000000" joinstyle="round" endarrow="block"/>
                      <v:imagedata o:title=""/>
                      <o:lock v:ext="edit" aspectratio="f"/>
                    </v:shape>
                  </w:pict>
                </mc:Fallback>
              </mc:AlternateContent>
            </w:r>
            <w:r>
              <w:rPr>
                <w:rFonts w:eastAsia="宋体"/>
              </w:rPr>
              <mc:AlternateContent>
                <mc:Choice Requires="wps">
                  <w:drawing>
                    <wp:anchor distT="0" distB="0" distL="114300" distR="114300" simplePos="0" relativeHeight="251662336" behindDoc="0" locked="0" layoutInCell="1" allowOverlap="1">
                      <wp:simplePos x="0" y="0"/>
                      <wp:positionH relativeFrom="column">
                        <wp:posOffset>1384300</wp:posOffset>
                      </wp:positionH>
                      <wp:positionV relativeFrom="paragraph">
                        <wp:posOffset>102870</wp:posOffset>
                      </wp:positionV>
                      <wp:extent cx="775970" cy="284480"/>
                      <wp:effectExtent l="7620" t="13335" r="6985" b="6985"/>
                      <wp:wrapNone/>
                      <wp:docPr id="1452" name="Rectangle 1191"/>
                      <wp:cNvGraphicFramePr/>
                      <a:graphic xmlns:a="http://schemas.openxmlformats.org/drawingml/2006/main">
                        <a:graphicData uri="http://schemas.microsoft.com/office/word/2010/wordprocessingShape">
                          <wps:wsp>
                            <wps:cNvSpPr>
                              <a:spLocks noChangeArrowheads="1"/>
                            </wps:cNvSpPr>
                            <wps:spPr bwMode="auto">
                              <a:xfrm>
                                <a:off x="0" y="0"/>
                                <a:ext cx="775970" cy="284480"/>
                              </a:xfrm>
                              <a:prstGeom prst="rect">
                                <a:avLst/>
                              </a:prstGeom>
                              <a:solidFill>
                                <a:srgbClr val="FFFFFF"/>
                              </a:solidFill>
                              <a:ln w="9525">
                                <a:solidFill>
                                  <a:srgbClr val="000000"/>
                                </a:solidFill>
                                <a:miter lim="800000"/>
                              </a:ln>
                            </wps:spPr>
                            <wps:txbx>
                              <w:txbxContent>
                                <w:p>
                                  <w:r>
                                    <w:rPr>
                                      <w:rFonts w:hint="eastAsia"/>
                                    </w:rPr>
                                    <w:t>生活</w:t>
                                  </w:r>
                                  <w:r>
                                    <w:t>用水</w:t>
                                  </w:r>
                                </w:p>
                              </w:txbxContent>
                            </wps:txbx>
                            <wps:bodyPr rot="0" vert="horz" wrap="square" lIns="91440" tIns="45720" rIns="91440" bIns="45720" anchor="t" anchorCtr="0" upright="1">
                              <a:noAutofit/>
                            </wps:bodyPr>
                          </wps:wsp>
                        </a:graphicData>
                      </a:graphic>
                    </wp:anchor>
                  </w:drawing>
                </mc:Choice>
                <mc:Fallback>
                  <w:pict>
                    <v:rect id="Rectangle 1191" o:spid="_x0000_s1026" o:spt="1" style="position:absolute;left:0pt;margin-left:109pt;margin-top:8.1pt;height:22.4pt;width:61.1pt;z-index:251662336;mso-width-relative:page;mso-height-relative:page;" fillcolor="#FFFFFF" filled="t" stroked="t" coordsize="21600,21600" o:gfxdata="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PsauWtcAAAAJAQAADwAAAAAAAAABACAAAAAiAAAAZHJzL2Rvd25yZXYueG1s&#10;UEsBAhQAFAAAAAgAh07iQPVPwwcyAgAAggQAAA4AAAAAAAAAAQAgAAAAJgEAAGRycy9lMm9Eb2Mu&#10;eG1sUEsFBgAAAAAGAAYAWQEAAMoFAAAAAA==&#10;">
                      <v:fill on="t" focussize="0,0"/>
                      <v:stroke color="#000000" miterlimit="8" joinstyle="miter"/>
                      <v:imagedata o:title=""/>
                      <o:lock v:ext="edit" aspectratio="f"/>
                      <v:textbox>
                        <w:txbxContent>
                          <w:p>
                            <w:r>
                              <w:rPr>
                                <w:rFonts w:hint="eastAsia"/>
                              </w:rPr>
                              <w:t>生活</w:t>
                            </w:r>
                            <w:r>
                              <w:t>用水</w:t>
                            </w:r>
                          </w:p>
                        </w:txbxContent>
                      </v:textbox>
                    </v:rect>
                  </w:pict>
                </mc:Fallback>
              </mc:AlternateContent>
            </w:r>
            <w:r>
              <w:rPr>
                <w:rFonts w:eastAsia="宋体"/>
              </w:rPr>
              <mc:AlternateContent>
                <mc:Choice Requires="wps">
                  <w:drawing>
                    <wp:anchor distT="0" distB="0" distL="114300" distR="114300" simplePos="0" relativeHeight="251661312" behindDoc="0" locked="0" layoutInCell="1" allowOverlap="1">
                      <wp:simplePos x="0" y="0"/>
                      <wp:positionH relativeFrom="column">
                        <wp:posOffset>953770</wp:posOffset>
                      </wp:positionH>
                      <wp:positionV relativeFrom="paragraph">
                        <wp:posOffset>223520</wp:posOffset>
                      </wp:positionV>
                      <wp:extent cx="8890" cy="1642745"/>
                      <wp:effectExtent l="4445" t="0" r="5715" b="14605"/>
                      <wp:wrapNone/>
                      <wp:docPr id="1451" name="AutoShape 1185"/>
                      <wp:cNvGraphicFramePr/>
                      <a:graphic xmlns:a="http://schemas.openxmlformats.org/drawingml/2006/main">
                        <a:graphicData uri="http://schemas.microsoft.com/office/word/2010/wordprocessingShape">
                          <wps:wsp>
                            <wps:cNvCnPr>
                              <a:cxnSpLocks noChangeShapeType="1"/>
                            </wps:cNvCnPr>
                            <wps:spPr bwMode="auto">
                              <a:xfrm>
                                <a:off x="0" y="0"/>
                                <a:ext cx="8890" cy="1642745"/>
                              </a:xfrm>
                              <a:prstGeom prst="straightConnector1">
                                <a:avLst/>
                              </a:prstGeom>
                              <a:noFill/>
                              <a:ln w="9525">
                                <a:solidFill>
                                  <a:srgbClr val="000000"/>
                                </a:solidFill>
                                <a:round/>
                              </a:ln>
                            </wps:spPr>
                            <wps:bodyPr/>
                          </wps:wsp>
                        </a:graphicData>
                      </a:graphic>
                    </wp:anchor>
                  </w:drawing>
                </mc:Choice>
                <mc:Fallback>
                  <w:pict>
                    <v:shape id="AutoShape 1185" o:spid="_x0000_s1026" o:spt="32" type="#_x0000_t32" style="position:absolute;left:0pt;margin-left:75.1pt;margin-top:17.6pt;height:129.35pt;width:0.7pt;z-index:251661312;mso-width-relative:page;mso-height-relative:page;" filled="f" stroked="t" coordsize="21600,21600" o:gfxdata="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LZXaK3YAAAACgEAAA8A&#10;AAAAAAAAAQAgAAAAIgAAAGRycy9kb3ducmV2LnhtbFBLAQIUABQAAAAIAIdO4kCT6j8W3gEAALsD&#10;AAAOAAAAAAAAAAEAIAAAACcBAABkcnMvZTJvRG9jLnhtbFBLBQYAAAAABgAGAFkBAAB3BQAAAAA=&#10;">
                      <v:fill on="f" focussize="0,0"/>
                      <v:stroke color="#000000" joinstyle="round"/>
                      <v:imagedata o:title=""/>
                      <o:lock v:ext="edit" aspectratio="f"/>
                    </v:shape>
                  </w:pict>
                </mc:Fallback>
              </mc:AlternateContent>
            </w:r>
            <w:r>
              <w:rPr>
                <w:rFonts w:eastAsia="宋体"/>
                <w:b/>
                <w:szCs w:val="22"/>
              </w:rPr>
              <mc:AlternateContent>
                <mc:Choice Requires="wps">
                  <w:drawing>
                    <wp:anchor distT="0" distB="0" distL="114300" distR="114300" simplePos="0" relativeHeight="251671552" behindDoc="0" locked="0" layoutInCell="1" allowOverlap="1">
                      <wp:simplePos x="0" y="0"/>
                      <wp:positionH relativeFrom="column">
                        <wp:posOffset>948690</wp:posOffset>
                      </wp:positionH>
                      <wp:positionV relativeFrom="paragraph">
                        <wp:posOffset>223520</wp:posOffset>
                      </wp:positionV>
                      <wp:extent cx="410210" cy="0"/>
                      <wp:effectExtent l="10160" t="57785" r="17780" b="56515"/>
                      <wp:wrapNone/>
                      <wp:docPr id="1449" name="AutoShape 1448"/>
                      <wp:cNvGraphicFramePr/>
                      <a:graphic xmlns:a="http://schemas.openxmlformats.org/drawingml/2006/main">
                        <a:graphicData uri="http://schemas.microsoft.com/office/word/2010/wordprocessingShape">
                          <wps:wsp>
                            <wps:cNvCnPr>
                              <a:cxnSpLocks noChangeShapeType="1"/>
                            </wps:cNvCnPr>
                            <wps:spPr bwMode="auto">
                              <a:xfrm>
                                <a:off x="0" y="0"/>
                                <a:ext cx="410210" cy="0"/>
                              </a:xfrm>
                              <a:prstGeom prst="straightConnector1">
                                <a:avLst/>
                              </a:prstGeom>
                              <a:noFill/>
                              <a:ln w="9525">
                                <a:solidFill>
                                  <a:srgbClr val="000000"/>
                                </a:solidFill>
                                <a:round/>
                                <a:tailEnd type="triangle" w="med" len="med"/>
                              </a:ln>
                            </wps:spPr>
                            <wps:bodyPr/>
                          </wps:wsp>
                        </a:graphicData>
                      </a:graphic>
                    </wp:anchor>
                  </w:drawing>
                </mc:Choice>
                <mc:Fallback>
                  <w:pict>
                    <v:shape id="AutoShape 1448" o:spid="_x0000_s1026" o:spt="32" type="#_x0000_t32" style="position:absolute;left:0pt;margin-left:74.7pt;margin-top:17.6pt;height:0pt;width:32.3pt;z-index:251671552;mso-width-relative:page;mso-height-relative:page;" filled="f" stroked="t" coordsize="21600,21600" o:gfxdata="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8ejTz9gAAAAJAQAADwAAAAAAAAABACAAAAAiAAAAZHJzL2Rvd25yZXYueG1sUEsBAhQA&#10;FAAAAAgAh07iQJmkoyPyAQAA5QMAAA4AAAAAAAAAAQAgAAAAJwEAAGRycy9lMm9Eb2MueG1sUEsF&#10;BgAAAAAGAAYAWQEAAIsFAAAAAA==&#10;">
                      <v:fill on="f" focussize="0,0"/>
                      <v:stroke color="#000000" joinstyle="round" endarrow="block"/>
                      <v:imagedata o:title=""/>
                      <o:lock v:ext="edit" aspectratio="f"/>
                    </v:shape>
                  </w:pict>
                </mc:Fallback>
              </mc:AlternateContent>
            </w:r>
          </w:p>
          <w:p>
            <w:pPr>
              <w:pStyle w:val="79"/>
              <w:ind w:firstLine="560"/>
              <w:rPr>
                <w:rFonts w:eastAsia="宋体"/>
              </w:rPr>
            </w:pPr>
            <w:r>
              <w:rPr>
                <w:rFonts w:eastAsia="宋体"/>
              </w:rPr>
              <mc:AlternateContent>
                <mc:Choice Requires="wps">
                  <w:drawing>
                    <wp:anchor distT="0" distB="0" distL="114300" distR="114300" simplePos="0" relativeHeight="251694080" behindDoc="0" locked="0" layoutInCell="1" allowOverlap="1">
                      <wp:simplePos x="0" y="0"/>
                      <wp:positionH relativeFrom="column">
                        <wp:posOffset>3315970</wp:posOffset>
                      </wp:positionH>
                      <wp:positionV relativeFrom="paragraph">
                        <wp:posOffset>227965</wp:posOffset>
                      </wp:positionV>
                      <wp:extent cx="561340" cy="259080"/>
                      <wp:effectExtent l="0" t="0" r="0" b="0"/>
                      <wp:wrapNone/>
                      <wp:docPr id="7" name="Rectangle 1225"/>
                      <wp:cNvGraphicFramePr/>
                      <a:graphic xmlns:a="http://schemas.openxmlformats.org/drawingml/2006/main">
                        <a:graphicData uri="http://schemas.microsoft.com/office/word/2010/wordprocessingShape">
                          <wps:wsp>
                            <wps:cNvSpPr>
                              <a:spLocks noChangeArrowheads="1"/>
                            </wps:cNvSpPr>
                            <wps:spPr bwMode="auto">
                              <a:xfrm>
                                <a:off x="0" y="0"/>
                                <a:ext cx="561340" cy="259080"/>
                              </a:xfrm>
                              <a:prstGeom prst="rect">
                                <a:avLst/>
                              </a:prstGeom>
                              <a:noFill/>
                              <a:ln>
                                <a:noFill/>
                              </a:ln>
                            </wps:spPr>
                            <wps:txbx>
                              <w:txbxContent>
                                <w:p>
                                  <w:pPr>
                                    <w:rPr>
                                      <w:rFonts w:hint="default" w:eastAsia="宋体"/>
                                      <w:lang w:val="en-US" w:eastAsia="zh-CN"/>
                                    </w:rPr>
                                  </w:pPr>
                                  <w:r>
                                    <w:rPr>
                                      <w:rFonts w:hint="eastAsia"/>
                                      <w:lang w:val="en-US" w:eastAsia="zh-CN"/>
                                    </w:rPr>
                                    <w:t>40.32</w:t>
                                  </w:r>
                                </w:p>
                              </w:txbxContent>
                            </wps:txbx>
                            <wps:bodyPr rot="0" vert="horz" wrap="square" lIns="91440" tIns="45720" rIns="91440" bIns="45720" anchor="t" anchorCtr="0" upright="1">
                              <a:noAutofit/>
                            </wps:bodyPr>
                          </wps:wsp>
                        </a:graphicData>
                      </a:graphic>
                    </wp:anchor>
                  </w:drawing>
                </mc:Choice>
                <mc:Fallback>
                  <w:pict>
                    <v:rect id="Rectangle 1225" o:spid="_x0000_s1026" o:spt="1" style="position:absolute;left:0pt;margin-left:261.1pt;margin-top:17.95pt;height:20.4pt;width:44.2pt;z-index:251694080;mso-width-relative:page;mso-height-relative:page;" filled="f" stroked="f" coordsize="21600,21600" o:gfxdata="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Dv7ptoAAAAJAQAADwAAAAAAAAABACAAAAAiAAAA&#10;ZHJzL2Rvd25yZXYueG1sUEsBAhQAFAAAAAgAh07iQDR0hHgFAgAADQQAAA4AAAAAAAAAAQAgAAAA&#10;KQEAAGRycy9lMm9Eb2MueG1sUEsFBgAAAAAGAAYAWQEAAKAFAAAAAA==&#10;">
                      <v:fill on="f" focussize="0,0"/>
                      <v:stroke on="f"/>
                      <v:imagedata o:title=""/>
                      <o:lock v:ext="edit" aspectratio="f"/>
                      <v:textbox>
                        <w:txbxContent>
                          <w:p>
                            <w:pPr>
                              <w:rPr>
                                <w:rFonts w:hint="default" w:eastAsia="宋体"/>
                                <w:lang w:val="en-US" w:eastAsia="zh-CN"/>
                              </w:rPr>
                            </w:pPr>
                            <w:r>
                              <w:rPr>
                                <w:rFonts w:hint="eastAsia"/>
                                <w:lang w:val="en-US" w:eastAsia="zh-CN"/>
                              </w:rPr>
                              <w:t>40.32</w:t>
                            </w:r>
                          </w:p>
                        </w:txbxContent>
                      </v:textbox>
                    </v:rect>
                  </w:pict>
                </mc:Fallback>
              </mc:AlternateContent>
            </w:r>
            <w:r>
              <w:rPr>
                <w:rFonts w:eastAsia="宋体"/>
                <w:b/>
                <w:szCs w:val="22"/>
              </w:rPr>
              <mc:AlternateContent>
                <mc:Choice Requires="wps">
                  <w:drawing>
                    <wp:anchor distT="0" distB="0" distL="114300" distR="114300" simplePos="0" relativeHeight="251692032" behindDoc="0" locked="0" layoutInCell="1" allowOverlap="1">
                      <wp:simplePos x="0" y="0"/>
                      <wp:positionH relativeFrom="column">
                        <wp:posOffset>3829685</wp:posOffset>
                      </wp:positionH>
                      <wp:positionV relativeFrom="paragraph">
                        <wp:posOffset>85725</wp:posOffset>
                      </wp:positionV>
                      <wp:extent cx="0" cy="371475"/>
                      <wp:effectExtent l="38100" t="0" r="38100" b="9525"/>
                      <wp:wrapNone/>
                      <wp:docPr id="4" name="AutoShape 1448"/>
                      <wp:cNvGraphicFramePr/>
                      <a:graphic xmlns:a="http://schemas.openxmlformats.org/drawingml/2006/main">
                        <a:graphicData uri="http://schemas.microsoft.com/office/word/2010/wordprocessingShape">
                          <wps:wsp>
                            <wps:cNvCnPr>
                              <a:cxnSpLocks noChangeShapeType="1"/>
                            </wps:cNvCnPr>
                            <wps:spPr bwMode="auto">
                              <a:xfrm flipV="1">
                                <a:off x="0" y="0"/>
                                <a:ext cx="0" cy="371475"/>
                              </a:xfrm>
                              <a:prstGeom prst="straightConnector1">
                                <a:avLst/>
                              </a:prstGeom>
                              <a:noFill/>
                              <a:ln w="9525">
                                <a:solidFill>
                                  <a:srgbClr val="000000"/>
                                </a:solidFill>
                                <a:round/>
                                <a:tailEnd type="triangle" w="med" len="med"/>
                              </a:ln>
                            </wps:spPr>
                            <wps:bodyPr/>
                          </wps:wsp>
                        </a:graphicData>
                      </a:graphic>
                    </wp:anchor>
                  </w:drawing>
                </mc:Choice>
                <mc:Fallback>
                  <w:pict>
                    <v:shape id="AutoShape 1448" o:spid="_x0000_s1026" o:spt="32" type="#_x0000_t32" style="position:absolute;left:0pt;flip:y;margin-left:301.55pt;margin-top:6.75pt;height:29.25pt;width:0pt;z-index:251692032;mso-width-relative:page;mso-height-relative:page;" filled="f" stroked="t" coordsize="21600,21600" o:gfxdata="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VZpxldcAAAAJAQAADwAAAAAAAAABACAAAAAiAAAAZHJzL2Rvd25yZXYueG1sUEsB&#10;AhQAFAAAAAgAh07iQEgf43T2AQAA7AMAAA4AAAAAAAAAAQAgAAAAJgEAAGRycy9lMm9Eb2MueG1s&#10;UEsFBgAAAAAGAAYAWQEAAI4FAAAAAA==&#10;">
                      <v:fill on="f" focussize="0,0"/>
                      <v:stroke color="#000000" joinstyle="round" endarrow="block"/>
                      <v:imagedata o:title=""/>
                      <o:lock v:ext="edit" aspectratio="f"/>
                    </v:shape>
                  </w:pict>
                </mc:Fallback>
              </mc:AlternateContent>
            </w:r>
            <w:r>
              <w:rPr>
                <w:rFonts w:eastAsia="宋体"/>
              </w:rPr>
              <mc:AlternateContent>
                <mc:Choice Requires="wps">
                  <w:drawing>
                    <wp:anchor distT="0" distB="0" distL="114300" distR="114300" simplePos="0" relativeHeight="251673600" behindDoc="0" locked="0" layoutInCell="1" allowOverlap="1">
                      <wp:simplePos x="0" y="0"/>
                      <wp:positionH relativeFrom="column">
                        <wp:posOffset>1377315</wp:posOffset>
                      </wp:positionH>
                      <wp:positionV relativeFrom="paragraph">
                        <wp:posOffset>285750</wp:posOffset>
                      </wp:positionV>
                      <wp:extent cx="775970" cy="284480"/>
                      <wp:effectExtent l="4445" t="4445" r="19685" b="15875"/>
                      <wp:wrapNone/>
                      <wp:docPr id="15" name="Rectangle 1191"/>
                      <wp:cNvGraphicFramePr/>
                      <a:graphic xmlns:a="http://schemas.openxmlformats.org/drawingml/2006/main">
                        <a:graphicData uri="http://schemas.microsoft.com/office/word/2010/wordprocessingShape">
                          <wps:wsp>
                            <wps:cNvSpPr>
                              <a:spLocks noChangeArrowheads="1"/>
                            </wps:cNvSpPr>
                            <wps:spPr bwMode="auto">
                              <a:xfrm>
                                <a:off x="0" y="0"/>
                                <a:ext cx="775970" cy="284480"/>
                              </a:xfrm>
                              <a:prstGeom prst="rect">
                                <a:avLst/>
                              </a:prstGeom>
                              <a:solidFill>
                                <a:srgbClr val="FFFFFF"/>
                              </a:solidFill>
                              <a:ln w="9525">
                                <a:solidFill>
                                  <a:srgbClr val="000000"/>
                                </a:solidFill>
                                <a:miter lim="800000"/>
                              </a:ln>
                            </wps:spPr>
                            <wps:txbx>
                              <w:txbxContent>
                                <w:p>
                                  <w:pPr>
                                    <w:rPr>
                                      <w:rFonts w:hint="eastAsia" w:eastAsia="宋体"/>
                                      <w:lang w:val="en-US" w:eastAsia="zh-CN"/>
                                    </w:rPr>
                                  </w:pPr>
                                  <w:r>
                                    <w:rPr>
                                      <w:rFonts w:hint="eastAsia"/>
                                      <w:lang w:val="en-US" w:eastAsia="zh-CN"/>
                                    </w:rPr>
                                    <w:t>餐饮用水</w:t>
                                  </w:r>
                                </w:p>
                              </w:txbxContent>
                            </wps:txbx>
                            <wps:bodyPr rot="0" vert="horz" wrap="square" lIns="91440" tIns="45720" rIns="91440" bIns="45720" anchor="t" anchorCtr="0" upright="1">
                              <a:noAutofit/>
                            </wps:bodyPr>
                          </wps:wsp>
                        </a:graphicData>
                      </a:graphic>
                    </wp:anchor>
                  </w:drawing>
                </mc:Choice>
                <mc:Fallback>
                  <w:pict>
                    <v:rect id="Rectangle 1191" o:spid="_x0000_s1026" o:spt="1" style="position:absolute;left:0pt;margin-left:108.45pt;margin-top:22.5pt;height:22.4pt;width:61.1pt;z-index:251673600;mso-width-relative:page;mso-height-relative:page;" fillcolor="#FFFFFF" filled="t" stroked="t" coordsize="21600,21600" o:gfxdata="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C7xUu7XAAAACQEAAA8AAAAAAAAAAQAgAAAAIgAAAGRycy9kb3ducmV2LnhtbFBL&#10;AQIUABQAAAAIAIdO4kAG1RacMAIAAIAEAAAOAAAAAAAAAAEAIAAAACYBAABkcnMvZTJvRG9jLnht&#10;bFBLBQYAAAAABgAGAFkBAADIBQAAAAA=&#10;">
                      <v:fill on="t" focussize="0,0"/>
                      <v:stroke color="#000000" miterlimit="8" joinstyle="miter"/>
                      <v:imagedata o:title=""/>
                      <o:lock v:ext="edit" aspectratio="f"/>
                      <v:textbox>
                        <w:txbxContent>
                          <w:p>
                            <w:pPr>
                              <w:rPr>
                                <w:rFonts w:hint="eastAsia" w:eastAsia="宋体"/>
                                <w:lang w:val="en-US" w:eastAsia="zh-CN"/>
                              </w:rPr>
                            </w:pPr>
                            <w:r>
                              <w:rPr>
                                <w:rFonts w:hint="eastAsia"/>
                                <w:lang w:val="en-US" w:eastAsia="zh-CN"/>
                              </w:rPr>
                              <w:t>餐饮用水</w:t>
                            </w:r>
                          </w:p>
                        </w:txbxContent>
                      </v:textbox>
                    </v:rect>
                  </w:pict>
                </mc:Fallback>
              </mc:AlternateContent>
            </w:r>
            <w:r>
              <w:rPr>
                <w:szCs w:val="24"/>
              </w:rPr>
              <mc:AlternateContent>
                <mc:Choice Requires="wps">
                  <w:drawing>
                    <wp:anchor distT="0" distB="0" distL="114300" distR="114300" simplePos="0" relativeHeight="251680768" behindDoc="0" locked="0" layoutInCell="1" allowOverlap="1">
                      <wp:simplePos x="0" y="0"/>
                      <wp:positionH relativeFrom="column">
                        <wp:posOffset>1878330</wp:posOffset>
                      </wp:positionH>
                      <wp:positionV relativeFrom="paragraph">
                        <wp:posOffset>140970</wp:posOffset>
                      </wp:positionV>
                      <wp:extent cx="293370" cy="120015"/>
                      <wp:effectExtent l="0" t="27305" r="11430" b="5080"/>
                      <wp:wrapNone/>
                      <wp:docPr id="25" name="AutoShape 1203"/>
                      <wp:cNvGraphicFramePr/>
                      <a:graphic xmlns:a="http://schemas.openxmlformats.org/drawingml/2006/main">
                        <a:graphicData uri="http://schemas.microsoft.com/office/word/2010/wordprocessingShape">
                          <wps:wsp>
                            <wps:cNvCnPr>
                              <a:cxnSpLocks noChangeShapeType="1"/>
                            </wps:cNvCnPr>
                            <wps:spPr bwMode="auto">
                              <a:xfrm flipV="1">
                                <a:off x="0" y="0"/>
                                <a:ext cx="293370" cy="120015"/>
                              </a:xfrm>
                              <a:prstGeom prst="curvedConnector3">
                                <a:avLst>
                                  <a:gd name="adj1" fmla="val 50000"/>
                                </a:avLst>
                              </a:prstGeom>
                              <a:noFill/>
                              <a:ln w="9525">
                                <a:solidFill>
                                  <a:srgbClr val="000000"/>
                                </a:solidFill>
                                <a:prstDash val="dash"/>
                                <a:round/>
                                <a:tailEnd type="triangle" w="med" len="med"/>
                              </a:ln>
                            </wps:spPr>
                            <wps:bodyPr/>
                          </wps:wsp>
                        </a:graphicData>
                      </a:graphic>
                    </wp:anchor>
                  </w:drawing>
                </mc:Choice>
                <mc:Fallback>
                  <w:pict>
                    <v:shape id="AutoShape 1203" o:spid="_x0000_s1026" o:spt="38" type="#_x0000_t38" style="position:absolute;left:0pt;flip:y;margin-left:147.9pt;margin-top:11.1pt;height:9.45pt;width:23.1pt;z-index:251680768;mso-width-relative:page;mso-height-relative:page;" filled="f" stroked="t" coordsize="21600,21600" o:gfxdata="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9tl4w2QAAAAkB&#10;AAAPAAAAAAAAAAEAIAAAACIAAABkcnMvZG93bnJldi54bWxQSwECFAAUAAAACACHTuJAaGqMfBoC&#10;AAA1BAAADgAAAAAAAAABACAAAAAoAQAAZHJzL2Uyb0RvYy54bWxQSwUGAAAAAAYABgBZAQAAtAUA&#10;AAAA&#10;" adj="10800">
                      <v:fill on="f" focussize="0,0"/>
                      <v:stroke color="#000000" joinstyle="round" dashstyle="dash" endarrow="block"/>
                      <v:imagedata o:title=""/>
                      <o:lock v:ext="edit" aspectratio="f"/>
                    </v:shape>
                  </w:pict>
                </mc:Fallback>
              </mc:AlternateContent>
            </w:r>
            <w:r>
              <w:rPr>
                <w:rFonts w:eastAsia="宋体"/>
              </w:rPr>
              <mc:AlternateContent>
                <mc:Choice Requires="wps">
                  <w:drawing>
                    <wp:anchor distT="0" distB="0" distL="114300" distR="114300" simplePos="0" relativeHeight="251674624" behindDoc="0" locked="0" layoutInCell="1" allowOverlap="1">
                      <wp:simplePos x="0" y="0"/>
                      <wp:positionH relativeFrom="column">
                        <wp:posOffset>963295</wp:posOffset>
                      </wp:positionH>
                      <wp:positionV relativeFrom="paragraph">
                        <wp:posOffset>113665</wp:posOffset>
                      </wp:positionV>
                      <wp:extent cx="561340" cy="259080"/>
                      <wp:effectExtent l="0" t="0" r="0" b="0"/>
                      <wp:wrapNone/>
                      <wp:docPr id="22" name="Rectangle 1225"/>
                      <wp:cNvGraphicFramePr/>
                      <a:graphic xmlns:a="http://schemas.openxmlformats.org/drawingml/2006/main">
                        <a:graphicData uri="http://schemas.microsoft.com/office/word/2010/wordprocessingShape">
                          <wps:wsp>
                            <wps:cNvSpPr>
                              <a:spLocks noChangeArrowheads="1"/>
                            </wps:cNvSpPr>
                            <wps:spPr bwMode="auto">
                              <a:xfrm>
                                <a:off x="0" y="0"/>
                                <a:ext cx="561340" cy="259080"/>
                              </a:xfrm>
                              <a:prstGeom prst="rect">
                                <a:avLst/>
                              </a:prstGeom>
                              <a:noFill/>
                              <a:ln>
                                <a:noFill/>
                              </a:ln>
                            </wps:spPr>
                            <wps:txbx>
                              <w:txbxContent>
                                <w:p>
                                  <w:pPr>
                                    <w:rPr>
                                      <w:rFonts w:hint="default" w:eastAsia="宋体"/>
                                      <w:lang w:val="en-US" w:eastAsia="zh-CN"/>
                                    </w:rPr>
                                  </w:pPr>
                                  <w:r>
                                    <w:rPr>
                                      <w:rFonts w:hint="eastAsia"/>
                                      <w:lang w:val="en-US" w:eastAsia="zh-CN"/>
                                    </w:rPr>
                                    <w:t>50.4</w:t>
                                  </w:r>
                                </w:p>
                              </w:txbxContent>
                            </wps:txbx>
                            <wps:bodyPr rot="0" vert="horz" wrap="square" lIns="91440" tIns="45720" rIns="91440" bIns="45720" anchor="t" anchorCtr="0" upright="1">
                              <a:noAutofit/>
                            </wps:bodyPr>
                          </wps:wsp>
                        </a:graphicData>
                      </a:graphic>
                    </wp:anchor>
                  </w:drawing>
                </mc:Choice>
                <mc:Fallback>
                  <w:pict>
                    <v:rect id="Rectangle 1225" o:spid="_x0000_s1026" o:spt="1" style="position:absolute;left:0pt;margin-left:75.85pt;margin-top:8.95pt;height:20.4pt;width:44.2pt;z-index:251674624;mso-width-relative:page;mso-height-relative:page;" filled="f" stroked="f" coordsize="21600,21600" o:gfxdata="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VndIx2QAAAAkBAAAPAAAAAAAAAAEAIAAAACIAAABk&#10;cnMvZG93bnJldi54bWxQSwECFAAUAAAACACHTuJA0z24FQUCAAAOBAAADgAAAAAAAAABACAAAAAo&#10;AQAAZHJzL2Uyb0RvYy54bWxQSwUGAAAAAAYABgBZAQAAnwUAAAAA&#10;">
                      <v:fill on="f" focussize="0,0"/>
                      <v:stroke on="f"/>
                      <v:imagedata o:title=""/>
                      <o:lock v:ext="edit" aspectratio="f"/>
                      <v:textbox>
                        <w:txbxContent>
                          <w:p>
                            <w:pPr>
                              <w:rPr>
                                <w:rFonts w:hint="default" w:eastAsia="宋体"/>
                                <w:lang w:val="en-US" w:eastAsia="zh-CN"/>
                              </w:rPr>
                            </w:pPr>
                            <w:r>
                              <w:rPr>
                                <w:rFonts w:hint="eastAsia"/>
                                <w:lang w:val="en-US" w:eastAsia="zh-CN"/>
                              </w:rPr>
                              <w:t>50.4</w:t>
                            </w:r>
                          </w:p>
                        </w:txbxContent>
                      </v:textbox>
                    </v:rect>
                  </w:pict>
                </mc:Fallback>
              </mc:AlternateContent>
            </w:r>
            <w:r>
              <w:rPr>
                <w:rFonts w:eastAsia="宋体"/>
              </w:rPr>
              <mc:AlternateContent>
                <mc:Choice Requires="wps">
                  <w:drawing>
                    <wp:anchor distT="0" distB="0" distL="114300" distR="114300" simplePos="0" relativeHeight="251685888" behindDoc="0" locked="0" layoutInCell="1" allowOverlap="1">
                      <wp:simplePos x="0" y="0"/>
                      <wp:positionH relativeFrom="column">
                        <wp:posOffset>2493010</wp:posOffset>
                      </wp:positionH>
                      <wp:positionV relativeFrom="paragraph">
                        <wp:posOffset>304165</wp:posOffset>
                      </wp:positionV>
                      <wp:extent cx="861060" cy="284480"/>
                      <wp:effectExtent l="4445" t="4445" r="10795" b="15875"/>
                      <wp:wrapNone/>
                      <wp:docPr id="50" name="Rectangle 1191"/>
                      <wp:cNvGraphicFramePr/>
                      <a:graphic xmlns:a="http://schemas.openxmlformats.org/drawingml/2006/main">
                        <a:graphicData uri="http://schemas.microsoft.com/office/word/2010/wordprocessingShape">
                          <wps:wsp>
                            <wps:cNvSpPr>
                              <a:spLocks noChangeArrowheads="1"/>
                            </wps:cNvSpPr>
                            <wps:spPr bwMode="auto">
                              <a:xfrm>
                                <a:off x="0" y="0"/>
                                <a:ext cx="861060" cy="284480"/>
                              </a:xfrm>
                              <a:prstGeom prst="rect">
                                <a:avLst/>
                              </a:prstGeom>
                              <a:solidFill>
                                <a:srgbClr val="FFFFFF"/>
                              </a:solidFill>
                              <a:ln w="9525">
                                <a:solidFill>
                                  <a:srgbClr val="000000"/>
                                </a:solidFill>
                                <a:miter lim="800000"/>
                              </a:ln>
                            </wps:spPr>
                            <wps:txbx>
                              <w:txbxContent>
                                <w:p>
                                  <w:pPr>
                                    <w:rPr>
                                      <w:rFonts w:hint="default" w:eastAsia="宋体"/>
                                      <w:lang w:val="en-US" w:eastAsia="zh-CN"/>
                                    </w:rPr>
                                  </w:pPr>
                                  <w:r>
                                    <w:rPr>
                                      <w:rFonts w:hint="eastAsia"/>
                                      <w:lang w:val="en-US" w:eastAsia="zh-CN"/>
                                    </w:rPr>
                                    <w:t>油水分离器</w:t>
                                  </w:r>
                                </w:p>
                              </w:txbxContent>
                            </wps:txbx>
                            <wps:bodyPr rot="0" vert="horz" wrap="square" lIns="91440" tIns="45720" rIns="91440" bIns="45720" anchor="t" anchorCtr="0" upright="1">
                              <a:noAutofit/>
                            </wps:bodyPr>
                          </wps:wsp>
                        </a:graphicData>
                      </a:graphic>
                    </wp:anchor>
                  </w:drawing>
                </mc:Choice>
                <mc:Fallback>
                  <w:pict>
                    <v:rect id="Rectangle 1191" o:spid="_x0000_s1026" o:spt="1" style="position:absolute;left:0pt;margin-left:196.3pt;margin-top:23.95pt;height:22.4pt;width:67.8pt;z-index:251685888;mso-width-relative:page;mso-height-relative:page;" fillcolor="#FFFFFF" filled="t" stroked="t" coordsize="21600,21600" o:gfxdata="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tttPnYAAAACQEAAA8AAAAAAAAAAQAgAAAAIgAAAGRycy9kb3ducmV2LnhtbFBL&#10;AQIUABQAAAAIAIdO4kCD41qmLwIAAIAEAAAOAAAAAAAAAAEAIAAAACcBAABkcnMvZTJvRG9jLnht&#10;bFBLBQYAAAAABgAGAFkBAADIBQAAAAA=&#10;">
                      <v:fill on="t" focussize="0,0"/>
                      <v:stroke color="#000000" miterlimit="8" joinstyle="miter"/>
                      <v:imagedata o:title=""/>
                      <o:lock v:ext="edit" aspectratio="f"/>
                      <v:textbox>
                        <w:txbxContent>
                          <w:p>
                            <w:pPr>
                              <w:rPr>
                                <w:rFonts w:hint="default" w:eastAsia="宋体"/>
                                <w:lang w:val="en-US" w:eastAsia="zh-CN"/>
                              </w:rPr>
                            </w:pPr>
                            <w:r>
                              <w:rPr>
                                <w:rFonts w:hint="eastAsia"/>
                                <w:lang w:val="en-US" w:eastAsia="zh-CN"/>
                              </w:rPr>
                              <w:t>油水分离器</w:t>
                            </w:r>
                          </w:p>
                        </w:txbxContent>
                      </v:textbox>
                    </v:rect>
                  </w:pict>
                </mc:Fallback>
              </mc:AlternateContent>
            </w:r>
            <w:r>
              <w:rPr>
                <w:rFonts w:eastAsia="宋体"/>
              </w:rPr>
              <mc:AlternateContent>
                <mc:Choice Requires="wps">
                  <w:drawing>
                    <wp:anchor distT="0" distB="0" distL="114300" distR="114300" simplePos="0" relativeHeight="251659264" behindDoc="0" locked="0" layoutInCell="1" allowOverlap="1">
                      <wp:simplePos x="0" y="0"/>
                      <wp:positionH relativeFrom="column">
                        <wp:posOffset>-27940</wp:posOffset>
                      </wp:positionH>
                      <wp:positionV relativeFrom="paragraph">
                        <wp:posOffset>203835</wp:posOffset>
                      </wp:positionV>
                      <wp:extent cx="733425" cy="452755"/>
                      <wp:effectExtent l="0" t="0" r="4445" b="4445"/>
                      <wp:wrapNone/>
                      <wp:docPr id="1447" name="Rectangle 1183"/>
                      <wp:cNvGraphicFramePr/>
                      <a:graphic xmlns:a="http://schemas.openxmlformats.org/drawingml/2006/main">
                        <a:graphicData uri="http://schemas.microsoft.com/office/word/2010/wordprocessingShape">
                          <wps:wsp>
                            <wps:cNvSpPr>
                              <a:spLocks noChangeArrowheads="1"/>
                            </wps:cNvSpPr>
                            <wps:spPr bwMode="auto">
                              <a:xfrm>
                                <a:off x="0" y="0"/>
                                <a:ext cx="733425" cy="452755"/>
                              </a:xfrm>
                              <a:prstGeom prst="rect">
                                <a:avLst/>
                              </a:prstGeom>
                              <a:noFill/>
                              <a:ln>
                                <a:noFill/>
                              </a:ln>
                            </wps:spPr>
                            <wps:txbx>
                              <w:txbxContent>
                                <w:p>
                                  <w:pPr>
                                    <w:jc w:val="center"/>
                                    <w:rPr>
                                      <w:rFonts w:hint="default" w:eastAsia="宋体"/>
                                      <w:lang w:val="en-US" w:eastAsia="zh-CN"/>
                                    </w:rPr>
                                  </w:pPr>
                                  <w:r>
                                    <w:t>总用水</w:t>
                                  </w:r>
                                  <w:r>
                                    <w:rPr>
                                      <w:rFonts w:hint="eastAsia"/>
                                      <w:lang w:val="en-US" w:eastAsia="zh-CN"/>
                                    </w:rPr>
                                    <w:t>6684.8</w:t>
                                  </w:r>
                                </w:p>
                              </w:txbxContent>
                            </wps:txbx>
                            <wps:bodyPr rot="0" vert="horz" wrap="square" lIns="91440" tIns="45720" rIns="91440" bIns="45720" anchor="t" anchorCtr="0" upright="1">
                              <a:noAutofit/>
                            </wps:bodyPr>
                          </wps:wsp>
                        </a:graphicData>
                      </a:graphic>
                    </wp:anchor>
                  </w:drawing>
                </mc:Choice>
                <mc:Fallback>
                  <w:pict>
                    <v:rect id="Rectangle 1183" o:spid="_x0000_s1026" o:spt="1" style="position:absolute;left:0pt;margin-left:-2.2pt;margin-top:16.05pt;height:35.65pt;width:57.75pt;z-index:251659264;mso-width-relative:page;mso-height-relative:page;" filled="f" stroked="f" coordsize="21600,21600" o:gfxdata="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EQBXLZAAAACQEAAA8AAAAAAAAAAQAgAAAAIgAA&#10;AGRycy9kb3ducmV2LnhtbFBLAQIUABQAAAAIAIdO4kCbu5Y7BwIAABAEAAAOAAAAAAAAAAEAIAAA&#10;ACgBAABkcnMvZTJvRG9jLnhtbFBLBQYAAAAABgAGAFkBAAChBQAAAAA=&#10;">
                      <v:fill on="f" focussize="0,0"/>
                      <v:stroke on="f"/>
                      <v:imagedata o:title=""/>
                      <o:lock v:ext="edit" aspectratio="f"/>
                      <v:textbox>
                        <w:txbxContent>
                          <w:p>
                            <w:pPr>
                              <w:jc w:val="center"/>
                              <w:rPr>
                                <w:rFonts w:hint="default" w:eastAsia="宋体"/>
                                <w:lang w:val="en-US" w:eastAsia="zh-CN"/>
                              </w:rPr>
                            </w:pPr>
                            <w:r>
                              <w:t>总用水</w:t>
                            </w:r>
                            <w:r>
                              <w:rPr>
                                <w:rFonts w:hint="eastAsia"/>
                                <w:lang w:val="en-US" w:eastAsia="zh-CN"/>
                              </w:rPr>
                              <w:t>6684.8</w:t>
                            </w:r>
                          </w:p>
                        </w:txbxContent>
                      </v:textbox>
                    </v:rect>
                  </w:pict>
                </mc:Fallback>
              </mc:AlternateContent>
            </w:r>
          </w:p>
          <w:p>
            <w:pPr>
              <w:pStyle w:val="79"/>
              <w:tabs>
                <w:tab w:val="center" w:pos="4155"/>
              </w:tabs>
              <w:ind w:firstLine="560"/>
              <w:rPr>
                <w:rFonts w:eastAsia="宋体"/>
              </w:rPr>
            </w:pPr>
            <w:r>
              <w:rPr>
                <w:rFonts w:eastAsia="宋体"/>
              </w:rPr>
              <mc:AlternateContent>
                <mc:Choice Requires="wps">
                  <w:drawing>
                    <wp:anchor distT="0" distB="0" distL="114300" distR="114300" simplePos="0" relativeHeight="251684864" behindDoc="0" locked="0" layoutInCell="1" allowOverlap="1">
                      <wp:simplePos x="0" y="0"/>
                      <wp:positionH relativeFrom="column">
                        <wp:posOffset>2178685</wp:posOffset>
                      </wp:positionH>
                      <wp:positionV relativeFrom="paragraph">
                        <wp:posOffset>100330</wp:posOffset>
                      </wp:positionV>
                      <wp:extent cx="314325" cy="3175"/>
                      <wp:effectExtent l="0" t="35560" r="9525" b="37465"/>
                      <wp:wrapNone/>
                      <wp:docPr id="49" name="AutoShape 1278"/>
                      <wp:cNvGraphicFramePr/>
                      <a:graphic xmlns:a="http://schemas.openxmlformats.org/drawingml/2006/main">
                        <a:graphicData uri="http://schemas.microsoft.com/office/word/2010/wordprocessingShape">
                          <wps:wsp>
                            <wps:cNvCnPr>
                              <a:cxnSpLocks noChangeShapeType="1"/>
                              <a:endCxn id="50" idx="1"/>
                            </wps:cNvCnPr>
                            <wps:spPr bwMode="auto">
                              <a:xfrm>
                                <a:off x="0" y="0"/>
                                <a:ext cx="314325" cy="3175"/>
                              </a:xfrm>
                              <a:prstGeom prst="straightConnector1">
                                <a:avLst/>
                              </a:prstGeom>
                              <a:noFill/>
                              <a:ln w="9525">
                                <a:solidFill>
                                  <a:srgbClr val="000000"/>
                                </a:solidFill>
                                <a:round/>
                                <a:tailEnd type="triangle" w="med" len="med"/>
                              </a:ln>
                            </wps:spPr>
                            <wps:bodyPr/>
                          </wps:wsp>
                        </a:graphicData>
                      </a:graphic>
                    </wp:anchor>
                  </w:drawing>
                </mc:Choice>
                <mc:Fallback>
                  <w:pict>
                    <v:shape id="AutoShape 1278" o:spid="_x0000_s1026" o:spt="32" type="#_x0000_t32" style="position:absolute;left:0pt;margin-left:171.55pt;margin-top:7.9pt;height:0.25pt;width:24.75pt;z-index:251684864;mso-width-relative:page;mso-height-relative:page;" filled="f" stroked="t" coordsize="21600,21600" o:gfxdata="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N6lOnZAAAACQEAAA8AAAAAAAAAAQAgAAAAIgAAAGRycy9k&#10;b3ducmV2LnhtbFBLAQIUABQAAAAIAIdO4kCLbSj7AQIAAAEEAAAOAAAAAAAAAAEAIAAAACgBAABk&#10;cnMvZTJvRG9jLnhtbFBLBQYAAAAABgAGAFkBAACbBQAAAAA=&#10;">
                      <v:fill on="f" focussize="0,0"/>
                      <v:stroke color="#000000" joinstyle="round" endarrow="block"/>
                      <v:imagedata o:title=""/>
                      <o:lock v:ext="edit" aspectratio="f"/>
                    </v:shape>
                  </w:pict>
                </mc:Fallback>
              </mc:AlternateContent>
            </w:r>
            <w:r>
              <w:rPr>
                <w:rFonts w:eastAsia="宋体"/>
                <w:b/>
                <w:szCs w:val="22"/>
              </w:rPr>
              <mc:AlternateContent>
                <mc:Choice Requires="wps">
                  <w:drawing>
                    <wp:anchor distT="0" distB="0" distL="114300" distR="114300" simplePos="0" relativeHeight="251672576" behindDoc="0" locked="0" layoutInCell="1" allowOverlap="1">
                      <wp:simplePos x="0" y="0"/>
                      <wp:positionH relativeFrom="column">
                        <wp:posOffset>972185</wp:posOffset>
                      </wp:positionH>
                      <wp:positionV relativeFrom="paragraph">
                        <wp:posOffset>62865</wp:posOffset>
                      </wp:positionV>
                      <wp:extent cx="410210" cy="0"/>
                      <wp:effectExtent l="0" t="38100" r="8890" b="38100"/>
                      <wp:wrapNone/>
                      <wp:docPr id="14" name="AutoShape 1448"/>
                      <wp:cNvGraphicFramePr/>
                      <a:graphic xmlns:a="http://schemas.openxmlformats.org/drawingml/2006/main">
                        <a:graphicData uri="http://schemas.microsoft.com/office/word/2010/wordprocessingShape">
                          <wps:wsp>
                            <wps:cNvCnPr>
                              <a:cxnSpLocks noChangeShapeType="1"/>
                            </wps:cNvCnPr>
                            <wps:spPr bwMode="auto">
                              <a:xfrm>
                                <a:off x="0" y="0"/>
                                <a:ext cx="410210" cy="0"/>
                              </a:xfrm>
                              <a:prstGeom prst="straightConnector1">
                                <a:avLst/>
                              </a:prstGeom>
                              <a:noFill/>
                              <a:ln w="9525">
                                <a:solidFill>
                                  <a:srgbClr val="000000"/>
                                </a:solidFill>
                                <a:round/>
                                <a:tailEnd type="triangle" w="med" len="med"/>
                              </a:ln>
                            </wps:spPr>
                            <wps:bodyPr/>
                          </wps:wsp>
                        </a:graphicData>
                      </a:graphic>
                    </wp:anchor>
                  </w:drawing>
                </mc:Choice>
                <mc:Fallback>
                  <w:pict>
                    <v:shape id="AutoShape 1448" o:spid="_x0000_s1026" o:spt="32" type="#_x0000_t32" style="position:absolute;left:0pt;margin-left:76.55pt;margin-top:4.95pt;height:0pt;width:32.3pt;z-index:251672576;mso-width-relative:page;mso-height-relative:page;" filled="f" stroked="t" coordsize="21600,21600" o:gfxdata="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FVEp0XWAAAABwEAAA8AAAAAAAAAAQAgAAAAIgAAAGRycy9kb3ducmV2LnhtbFBLAQIUABQA&#10;AAAIAIdO4kC7ruTJ8gEAAOMDAAAOAAAAAAAAAAEAIAAAACUBAABkcnMvZTJvRG9jLnhtbFBLBQYA&#10;AAAABgAGAFkBAACJBQAAAAA=&#10;">
                      <v:fill on="f" focussize="0,0"/>
                      <v:stroke color="#000000" joinstyle="round" endarrow="block"/>
                      <v:imagedata o:title=""/>
                      <o:lock v:ext="edit" aspectratio="f"/>
                    </v:shape>
                  </w:pict>
                </mc:Fallback>
              </mc:AlternateContent>
            </w:r>
            <w:r>
              <w:rPr>
                <w:sz w:val="28"/>
              </w:rPr>
              <mc:AlternateContent>
                <mc:Choice Requires="wps">
                  <w:drawing>
                    <wp:anchor distT="0" distB="0" distL="114300" distR="114300" simplePos="0" relativeHeight="251693056" behindDoc="0" locked="0" layoutInCell="1" allowOverlap="1">
                      <wp:simplePos x="0" y="0"/>
                      <wp:positionH relativeFrom="column">
                        <wp:posOffset>3354070</wp:posOffset>
                      </wp:positionH>
                      <wp:positionV relativeFrom="paragraph">
                        <wp:posOffset>95250</wp:posOffset>
                      </wp:positionV>
                      <wp:extent cx="494665" cy="8255"/>
                      <wp:effectExtent l="0" t="0" r="0" b="0"/>
                      <wp:wrapNone/>
                      <wp:docPr id="6" name="直接连接符 6"/>
                      <wp:cNvGraphicFramePr/>
                      <a:graphic xmlns:a="http://schemas.openxmlformats.org/drawingml/2006/main">
                        <a:graphicData uri="http://schemas.microsoft.com/office/word/2010/wordprocessingShape">
                          <wps:wsp>
                            <wps:cNvCnPr>
                              <a:stCxn id="50" idx="3"/>
                            </wps:cNvCnPr>
                            <wps:spPr>
                              <a:xfrm flipV="1">
                                <a:off x="4585970" y="8500110"/>
                                <a:ext cx="494665" cy="82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64.1pt;margin-top:7.5pt;height:0.65pt;width:38.95pt;z-index:251693056;mso-width-relative:page;mso-height-relative:page;" filled="f" stroked="t" coordsize="21600,21600" o:gfxdata="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o2/WD9YAAAAJAQAADwAAAAAAAAABACAAAAAiAAAAZHJzL2Rvd25yZXYu&#10;eG1sUEsBAhQAFAAAAAgAh07iQEpMMRv9AQAA2QMAAA4AAAAAAAAAAQAgAAAAJQEAAGRycy9lMm9E&#10;b2MueG1sUEsFBgAAAAAGAAYAWQEAAJQFAAAAAA==&#10;">
                      <v:fill on="f" focussize="0,0"/>
                      <v:stroke color="#000000 [3213]" joinstyle="round"/>
                      <v:imagedata o:title=""/>
                      <o:lock v:ext="edit" aspectratio="f"/>
                    </v:line>
                  </w:pict>
                </mc:Fallback>
              </mc:AlternateContent>
            </w:r>
            <w:r>
              <w:rPr>
                <w:rFonts w:eastAsia="宋体"/>
              </w:rPr>
              <mc:AlternateContent>
                <mc:Choice Requires="wps">
                  <w:drawing>
                    <wp:anchor distT="0" distB="0" distL="114300" distR="114300" simplePos="0" relativeHeight="251660288" behindDoc="0" locked="0" layoutInCell="1" allowOverlap="1">
                      <wp:simplePos x="0" y="0"/>
                      <wp:positionH relativeFrom="column">
                        <wp:posOffset>533400</wp:posOffset>
                      </wp:positionH>
                      <wp:positionV relativeFrom="paragraph">
                        <wp:posOffset>37465</wp:posOffset>
                      </wp:positionV>
                      <wp:extent cx="410210" cy="0"/>
                      <wp:effectExtent l="13970" t="52705" r="23495" b="61595"/>
                      <wp:wrapNone/>
                      <wp:docPr id="1443" name="AutoShape 1184"/>
                      <wp:cNvGraphicFramePr/>
                      <a:graphic xmlns:a="http://schemas.openxmlformats.org/drawingml/2006/main">
                        <a:graphicData uri="http://schemas.microsoft.com/office/word/2010/wordprocessingShape">
                          <wps:wsp>
                            <wps:cNvCnPr>
                              <a:cxnSpLocks noChangeShapeType="1"/>
                            </wps:cNvCnPr>
                            <wps:spPr bwMode="auto">
                              <a:xfrm>
                                <a:off x="0" y="0"/>
                                <a:ext cx="410210" cy="0"/>
                              </a:xfrm>
                              <a:prstGeom prst="straightConnector1">
                                <a:avLst/>
                              </a:prstGeom>
                              <a:noFill/>
                              <a:ln w="9525">
                                <a:solidFill>
                                  <a:srgbClr val="000000"/>
                                </a:solidFill>
                                <a:round/>
                                <a:tailEnd type="triangle" w="med" len="med"/>
                              </a:ln>
                            </wps:spPr>
                            <wps:bodyPr/>
                          </wps:wsp>
                        </a:graphicData>
                      </a:graphic>
                    </wp:anchor>
                  </w:drawing>
                </mc:Choice>
                <mc:Fallback>
                  <w:pict>
                    <v:shape id="AutoShape 1184" o:spid="_x0000_s1026" o:spt="32" type="#_x0000_t32" style="position:absolute;left:0pt;margin-left:42pt;margin-top:2.95pt;height:0pt;width:32.3pt;z-index:251660288;mso-width-relative:page;mso-height-relative:page;" filled="f" stroked="t" coordsize="21600,21600" o:gfxdata="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LKgR5dYAAAAGAQAADwAAAAAAAAABACAAAAAiAAAAZHJzL2Rvd25yZXYueG1sUEsBAhQA&#10;FAAAAAgAh07iQK4OJMf0AQAA5QMAAA4AAAAAAAAAAQAgAAAAJQEAAGRycy9lMm9Eb2MueG1sUEsF&#10;BgAAAAAGAAYAWQEAAIsFAAAAAA==&#10;">
                      <v:fill on="f" focussize="0,0"/>
                      <v:stroke color="#000000" joinstyle="round" endarrow="block"/>
                      <v:imagedata o:title=""/>
                      <o:lock v:ext="edit" aspectratio="f"/>
                    </v:shape>
                  </w:pict>
                </mc:Fallback>
              </mc:AlternateContent>
            </w:r>
            <w:r>
              <w:rPr>
                <w:rFonts w:hint="eastAsia" w:eastAsia="宋体"/>
              </w:rPr>
              <w:tab/>
            </w:r>
          </w:p>
          <w:p>
            <w:pPr>
              <w:pStyle w:val="79"/>
              <w:ind w:firstLine="480"/>
              <w:rPr>
                <w:rFonts w:eastAsia="宋体"/>
              </w:rPr>
            </w:pPr>
            <w:r>
              <mc:AlternateContent>
                <mc:Choice Requires="wps">
                  <w:drawing>
                    <wp:anchor distT="0" distB="0" distL="114300" distR="114300" simplePos="0" relativeHeight="251670528" behindDoc="0" locked="0" layoutInCell="1" allowOverlap="1">
                      <wp:simplePos x="0" y="0"/>
                      <wp:positionH relativeFrom="column">
                        <wp:posOffset>976630</wp:posOffset>
                      </wp:positionH>
                      <wp:positionV relativeFrom="paragraph">
                        <wp:posOffset>167005</wp:posOffset>
                      </wp:positionV>
                      <wp:extent cx="548005" cy="232410"/>
                      <wp:effectExtent l="0" t="0" r="0" b="0"/>
                      <wp:wrapNone/>
                      <wp:docPr id="1444" name="Rectangle 1377"/>
                      <wp:cNvGraphicFramePr/>
                      <a:graphic xmlns:a="http://schemas.openxmlformats.org/drawingml/2006/main">
                        <a:graphicData uri="http://schemas.microsoft.com/office/word/2010/wordprocessingShape">
                          <wps:wsp>
                            <wps:cNvSpPr>
                              <a:spLocks noChangeArrowheads="1"/>
                            </wps:cNvSpPr>
                            <wps:spPr bwMode="auto">
                              <a:xfrm>
                                <a:off x="0" y="0"/>
                                <a:ext cx="548005" cy="232410"/>
                              </a:xfrm>
                              <a:prstGeom prst="rect">
                                <a:avLst/>
                              </a:prstGeom>
                              <a:noFill/>
                              <a:ln>
                                <a:noFill/>
                              </a:ln>
                            </wps:spPr>
                            <wps:txbx>
                              <w:txbxContent>
                                <w:p>
                                  <w:pPr>
                                    <w:rPr>
                                      <w:rFonts w:hint="default" w:eastAsia="宋体"/>
                                      <w:lang w:val="en-US" w:eastAsia="zh-CN"/>
                                    </w:rPr>
                                  </w:pPr>
                                  <w:r>
                                    <w:rPr>
                                      <w:rFonts w:hint="eastAsia"/>
                                      <w:lang w:val="en-US" w:eastAsia="zh-CN"/>
                                    </w:rPr>
                                    <w:t>6500</w:t>
                                  </w:r>
                                </w:p>
                              </w:txbxContent>
                            </wps:txbx>
                            <wps:bodyPr rot="0" vert="horz" wrap="square" lIns="91440" tIns="45720" rIns="91440" bIns="45720" anchor="t" anchorCtr="0" upright="1">
                              <a:noAutofit/>
                            </wps:bodyPr>
                          </wps:wsp>
                        </a:graphicData>
                      </a:graphic>
                    </wp:anchor>
                  </w:drawing>
                </mc:Choice>
                <mc:Fallback>
                  <w:pict>
                    <v:rect id="Rectangle 1377" o:spid="_x0000_s1026" o:spt="1" style="position:absolute;left:0pt;margin-left:76.9pt;margin-top:13.15pt;height:18.3pt;width:43.15pt;z-index:251670528;mso-width-relative:page;mso-height-relative:page;" filled="f" stroked="f" coordsize="21600,21600" o:gfxdata="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FmjkF2gAAAAkBAAAPAAAAAAAAAAEAIAAAACIA&#10;AABkcnMvZG93bnJldi54bWxQSwECFAAUAAAACACHTuJAEg+f7gcCAAAQBAAADgAAAAAAAAABACAA&#10;AAApAQAAZHJzL2Uyb0RvYy54bWxQSwUGAAAAAAYABgBZAQAAogUAAAAA&#10;">
                      <v:fill on="f" focussize="0,0"/>
                      <v:stroke on="f"/>
                      <v:imagedata o:title=""/>
                      <o:lock v:ext="edit" aspectratio="f"/>
                      <v:textbox>
                        <w:txbxContent>
                          <w:p>
                            <w:pPr>
                              <w:rPr>
                                <w:rFonts w:hint="default" w:eastAsia="宋体"/>
                                <w:lang w:val="en-US" w:eastAsia="zh-CN"/>
                              </w:rPr>
                            </w:pPr>
                            <w:r>
                              <w:rPr>
                                <w:rFonts w:hint="eastAsia"/>
                                <w:lang w:val="en-US" w:eastAsia="zh-CN"/>
                              </w:rPr>
                              <w:t>6500</w:t>
                            </w:r>
                          </w:p>
                        </w:txbxContent>
                      </v:textbox>
                    </v:rect>
                  </w:pict>
                </mc:Fallback>
              </mc:AlternateContent>
            </w:r>
            <w:r>
              <w:rPr>
                <w:rFonts w:eastAsia="宋体"/>
              </w:rPr>
              <mc:AlternateContent>
                <mc:Choice Requires="wps">
                  <w:drawing>
                    <wp:anchor distT="0" distB="0" distL="114300" distR="114300" simplePos="0" relativeHeight="251696128" behindDoc="0" locked="0" layoutInCell="1" allowOverlap="1">
                      <wp:simplePos x="0" y="0"/>
                      <wp:positionH relativeFrom="column">
                        <wp:posOffset>3264535</wp:posOffset>
                      </wp:positionH>
                      <wp:positionV relativeFrom="paragraph">
                        <wp:posOffset>209550</wp:posOffset>
                      </wp:positionV>
                      <wp:extent cx="861060" cy="284480"/>
                      <wp:effectExtent l="4445" t="4445" r="10795" b="15875"/>
                      <wp:wrapNone/>
                      <wp:docPr id="23" name="Rectangle 1191"/>
                      <wp:cNvGraphicFramePr/>
                      <a:graphic xmlns:a="http://schemas.openxmlformats.org/drawingml/2006/main">
                        <a:graphicData uri="http://schemas.microsoft.com/office/word/2010/wordprocessingShape">
                          <wps:wsp>
                            <wps:cNvSpPr>
                              <a:spLocks noChangeArrowheads="1"/>
                            </wps:cNvSpPr>
                            <wps:spPr bwMode="auto">
                              <a:xfrm>
                                <a:off x="0" y="0"/>
                                <a:ext cx="861060" cy="284480"/>
                              </a:xfrm>
                              <a:prstGeom prst="rect">
                                <a:avLst/>
                              </a:prstGeom>
                              <a:solidFill>
                                <a:srgbClr val="FFFFFF"/>
                              </a:solidFill>
                              <a:ln w="9525">
                                <a:solidFill>
                                  <a:srgbClr val="000000"/>
                                </a:solidFill>
                                <a:miter lim="800000"/>
                              </a:ln>
                            </wps:spPr>
                            <wps:txbx>
                              <w:txbxContent>
                                <w:p>
                                  <w:pPr>
                                    <w:rPr>
                                      <w:rFonts w:hint="default" w:eastAsia="宋体"/>
                                      <w:lang w:val="en-US" w:eastAsia="zh-CN"/>
                                    </w:rPr>
                                  </w:pPr>
                                  <w:r>
                                    <w:rPr>
                                      <w:rFonts w:hint="eastAsia"/>
                                      <w:lang w:val="en-US" w:eastAsia="zh-CN"/>
                                    </w:rPr>
                                    <w:t>进入产品</w:t>
                                  </w:r>
                                </w:p>
                              </w:txbxContent>
                            </wps:txbx>
                            <wps:bodyPr rot="0" vert="horz" wrap="square" lIns="91440" tIns="45720" rIns="91440" bIns="45720" anchor="t" anchorCtr="0" upright="1">
                              <a:noAutofit/>
                            </wps:bodyPr>
                          </wps:wsp>
                        </a:graphicData>
                      </a:graphic>
                    </wp:anchor>
                  </w:drawing>
                </mc:Choice>
                <mc:Fallback>
                  <w:pict>
                    <v:rect id="Rectangle 1191" o:spid="_x0000_s1026" o:spt="1" style="position:absolute;left:0pt;margin-left:257.05pt;margin-top:16.5pt;height:22.4pt;width:67.8pt;z-index:251696128;mso-width-relative:page;mso-height-relative:page;" fillcolor="#FFFFFF" filled="t" stroked="t" coordsize="21600,21600" o:gfxdata="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rKIpJ2AAAAAkBAAAPAAAAAAAAAAEAIAAAACIAAABkcnMvZG93bnJldi54bWxQ&#10;SwECFAAUAAAACACHTuJAR8fyNTACAACABAAADgAAAAAAAAABACAAAAAnAQAAZHJzL2Uyb0RvYy54&#10;bWxQSwUGAAAAAAYABgBZAQAAyQUAAAAA&#10;">
                      <v:fill on="t" focussize="0,0"/>
                      <v:stroke color="#000000" miterlimit="8" joinstyle="miter"/>
                      <v:imagedata o:title=""/>
                      <o:lock v:ext="edit" aspectratio="f"/>
                      <v:textbox>
                        <w:txbxContent>
                          <w:p>
                            <w:pPr>
                              <w:rPr>
                                <w:rFonts w:hint="default" w:eastAsia="宋体"/>
                                <w:lang w:val="en-US" w:eastAsia="zh-CN"/>
                              </w:rPr>
                            </w:pPr>
                            <w:r>
                              <w:rPr>
                                <w:rFonts w:hint="eastAsia"/>
                                <w:lang w:val="en-US" w:eastAsia="zh-CN"/>
                              </w:rPr>
                              <w:t>进入产品</w:t>
                            </w:r>
                          </w:p>
                        </w:txbxContent>
                      </v:textbox>
                    </v:rect>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2059305</wp:posOffset>
                      </wp:positionH>
                      <wp:positionV relativeFrom="paragraph">
                        <wp:posOffset>214630</wp:posOffset>
                      </wp:positionV>
                      <wp:extent cx="775970" cy="284480"/>
                      <wp:effectExtent l="4445" t="4445" r="19685" b="15875"/>
                      <wp:wrapNone/>
                      <wp:docPr id="19" name="Rectangle 1191"/>
                      <wp:cNvGraphicFramePr/>
                      <a:graphic xmlns:a="http://schemas.openxmlformats.org/drawingml/2006/main">
                        <a:graphicData uri="http://schemas.microsoft.com/office/word/2010/wordprocessingShape">
                          <wps:wsp>
                            <wps:cNvSpPr>
                              <a:spLocks noChangeArrowheads="1"/>
                            </wps:cNvSpPr>
                            <wps:spPr bwMode="auto">
                              <a:xfrm>
                                <a:off x="0" y="0"/>
                                <a:ext cx="775970" cy="284480"/>
                              </a:xfrm>
                              <a:prstGeom prst="rect">
                                <a:avLst/>
                              </a:prstGeom>
                              <a:solidFill>
                                <a:srgbClr val="FFFFFF"/>
                              </a:solidFill>
                              <a:ln w="9525">
                                <a:solidFill>
                                  <a:srgbClr val="000000"/>
                                </a:solidFill>
                                <a:miter lim="800000"/>
                              </a:ln>
                            </wps:spPr>
                            <wps:txbx>
                              <w:txbxContent>
                                <w:p>
                                  <w:pPr>
                                    <w:rPr>
                                      <w:rFonts w:hint="default" w:eastAsia="宋体"/>
                                      <w:lang w:val="en-US" w:eastAsia="zh-CN"/>
                                    </w:rPr>
                                  </w:pPr>
                                  <w:r>
                                    <w:rPr>
                                      <w:rFonts w:hint="eastAsia"/>
                                      <w:lang w:val="en-US" w:eastAsia="zh-CN"/>
                                    </w:rPr>
                                    <w:t>搅拌用水</w:t>
                                  </w:r>
                                </w:p>
                              </w:txbxContent>
                            </wps:txbx>
                            <wps:bodyPr rot="0" vert="horz" wrap="square" lIns="91440" tIns="45720" rIns="91440" bIns="45720" anchor="t" anchorCtr="0" upright="1">
                              <a:noAutofit/>
                            </wps:bodyPr>
                          </wps:wsp>
                        </a:graphicData>
                      </a:graphic>
                    </wp:anchor>
                  </w:drawing>
                </mc:Choice>
                <mc:Fallback>
                  <w:pict>
                    <v:rect id="Rectangle 1191" o:spid="_x0000_s1026" o:spt="1" style="position:absolute;left:0pt;margin-left:162.15pt;margin-top:16.9pt;height:22.4pt;width:61.1pt;z-index:251691008;mso-width-relative:page;mso-height-relative:page;" fillcolor="#FFFFFF" filled="t" stroked="t" coordsize="21600,21600" o:gfxdata="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19doF2AAAAAkBAAAPAAAAAAAAAAEAIAAAACIAAABkcnMvZG93bnJldi54bWxQ&#10;SwECFAAUAAAACACHTuJA/GnDhzACAACABAAADgAAAAAAAAABACAAAAAnAQAAZHJzL2Uyb0RvYy54&#10;bWxQSwUGAAAAAAYABgBZAQAAyQUAAAAA&#10;">
                      <v:fill on="t" focussize="0,0"/>
                      <v:stroke color="#000000" miterlimit="8" joinstyle="miter"/>
                      <v:imagedata o:title=""/>
                      <o:lock v:ext="edit" aspectratio="f"/>
                      <v:textbox>
                        <w:txbxContent>
                          <w:p>
                            <w:pPr>
                              <w:rPr>
                                <w:rFonts w:hint="default" w:eastAsia="宋体"/>
                                <w:lang w:val="en-US" w:eastAsia="zh-CN"/>
                              </w:rPr>
                            </w:pPr>
                            <w:r>
                              <w:rPr>
                                <w:rFonts w:hint="eastAsia"/>
                                <w:lang w:val="en-US" w:eastAsia="zh-CN"/>
                              </w:rPr>
                              <w:t>搅拌用水</w:t>
                            </w:r>
                          </w:p>
                        </w:txbxContent>
                      </v:textbox>
                    </v:rect>
                  </w:pict>
                </mc:Fallback>
              </mc:AlternateContent>
            </w:r>
          </w:p>
          <w:p>
            <w:pPr>
              <w:pStyle w:val="61"/>
              <w:spacing w:before="100" w:beforeAutospacing="1" w:line="240" w:lineRule="auto"/>
              <w:jc w:val="center"/>
              <w:rPr>
                <w:rFonts w:hAnsi="Times New Roman" w:eastAsia="黑体"/>
                <w:b w:val="0"/>
                <w:bCs w:val="0"/>
                <w:color w:val="auto"/>
                <w:szCs w:val="24"/>
              </w:rPr>
            </w:pPr>
            <w:r>
              <mc:AlternateContent>
                <mc:Choice Requires="wps">
                  <w:drawing>
                    <wp:anchor distT="0" distB="0" distL="114300" distR="114300" simplePos="0" relativeHeight="251711488" behindDoc="0" locked="0" layoutInCell="1" allowOverlap="1">
                      <wp:simplePos x="0" y="0"/>
                      <wp:positionH relativeFrom="column">
                        <wp:posOffset>995680</wp:posOffset>
                      </wp:positionH>
                      <wp:positionV relativeFrom="paragraph">
                        <wp:posOffset>300355</wp:posOffset>
                      </wp:positionV>
                      <wp:extent cx="548005" cy="232410"/>
                      <wp:effectExtent l="0" t="0" r="0" b="0"/>
                      <wp:wrapNone/>
                      <wp:docPr id="71" name="Rectangle 1377"/>
                      <wp:cNvGraphicFramePr/>
                      <a:graphic xmlns:a="http://schemas.openxmlformats.org/drawingml/2006/main">
                        <a:graphicData uri="http://schemas.microsoft.com/office/word/2010/wordprocessingShape">
                          <wps:wsp>
                            <wps:cNvSpPr>
                              <a:spLocks noChangeArrowheads="1"/>
                            </wps:cNvSpPr>
                            <wps:spPr bwMode="auto">
                              <a:xfrm>
                                <a:off x="0" y="0"/>
                                <a:ext cx="548005" cy="232410"/>
                              </a:xfrm>
                              <a:prstGeom prst="rect">
                                <a:avLst/>
                              </a:prstGeom>
                              <a:noFill/>
                              <a:ln>
                                <a:noFill/>
                              </a:ln>
                            </wps:spPr>
                            <wps:txbx>
                              <w:txbxContent>
                                <w:p>
                                  <w:pPr>
                                    <w:rPr>
                                      <w:rFonts w:hint="default" w:eastAsia="宋体"/>
                                      <w:lang w:val="en-US" w:eastAsia="zh-CN"/>
                                    </w:rPr>
                                  </w:pPr>
                                  <w:r>
                                    <w:rPr>
                                      <w:rFonts w:hint="eastAsia"/>
                                      <w:lang w:val="en-US" w:eastAsia="zh-CN"/>
                                    </w:rPr>
                                    <w:t>120</w:t>
                                  </w:r>
                                </w:p>
                              </w:txbxContent>
                            </wps:txbx>
                            <wps:bodyPr rot="0" vert="horz" wrap="square" lIns="91440" tIns="45720" rIns="91440" bIns="45720" anchor="t" anchorCtr="0" upright="1">
                              <a:noAutofit/>
                            </wps:bodyPr>
                          </wps:wsp>
                        </a:graphicData>
                      </a:graphic>
                    </wp:anchor>
                  </w:drawing>
                </mc:Choice>
                <mc:Fallback>
                  <w:pict>
                    <v:rect id="Rectangle 1377" o:spid="_x0000_s1026" o:spt="1" style="position:absolute;left:0pt;margin-left:78.4pt;margin-top:23.65pt;height:18.3pt;width:43.15pt;z-index:251711488;mso-width-relative:page;mso-height-relative:page;" filled="f" stroked="f" coordsize="21600,21600" o:gfxdata="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o+MuraAAAACQEAAA8AAAAAAAAAAQAgAAAAIgAA&#10;AGRycy9kb3ducmV2LnhtbFBLAQIUABQAAAAIAIdO4kDfiLP/BgIAAA4EAAAOAAAAAAAAAAEAIAAA&#10;ACkBAABkcnMvZTJvRG9jLnhtbFBLBQYAAAAABgAGAFkBAAChBQAAAAA=&#10;">
                      <v:fill on="f" focussize="0,0"/>
                      <v:stroke on="f"/>
                      <v:imagedata o:title=""/>
                      <o:lock v:ext="edit" aspectratio="f"/>
                      <v:textbox>
                        <w:txbxContent>
                          <w:p>
                            <w:pPr>
                              <w:rPr>
                                <w:rFonts w:hint="default" w:eastAsia="宋体"/>
                                <w:lang w:val="en-US" w:eastAsia="zh-CN"/>
                              </w:rPr>
                            </w:pPr>
                            <w:r>
                              <w:rPr>
                                <w:rFonts w:hint="eastAsia"/>
                                <w:lang w:val="en-US" w:eastAsia="zh-CN"/>
                              </w:rPr>
                              <w:t>120</w:t>
                            </w:r>
                          </w:p>
                        </w:txbxContent>
                      </v:textbox>
                    </v:rect>
                  </w:pict>
                </mc:Fallback>
              </mc:AlternateContent>
            </w:r>
            <w:r>
              <w:rPr>
                <w:rFonts w:eastAsia="宋体"/>
              </w:rPr>
              <mc:AlternateContent>
                <mc:Choice Requires="wps">
                  <w:drawing>
                    <wp:anchor distT="0" distB="0" distL="114300" distR="114300" simplePos="0" relativeHeight="251710464" behindDoc="0" locked="0" layoutInCell="1" allowOverlap="1">
                      <wp:simplePos x="0" y="0"/>
                      <wp:positionH relativeFrom="column">
                        <wp:posOffset>2858770</wp:posOffset>
                      </wp:positionH>
                      <wp:positionV relativeFrom="paragraph">
                        <wp:posOffset>94615</wp:posOffset>
                      </wp:positionV>
                      <wp:extent cx="561340" cy="259080"/>
                      <wp:effectExtent l="0" t="0" r="0" b="0"/>
                      <wp:wrapNone/>
                      <wp:docPr id="70" name="Rectangle 1225"/>
                      <wp:cNvGraphicFramePr/>
                      <a:graphic xmlns:a="http://schemas.openxmlformats.org/drawingml/2006/main">
                        <a:graphicData uri="http://schemas.microsoft.com/office/word/2010/wordprocessingShape">
                          <wps:wsp>
                            <wps:cNvSpPr>
                              <a:spLocks noChangeArrowheads="1"/>
                            </wps:cNvSpPr>
                            <wps:spPr bwMode="auto">
                              <a:xfrm>
                                <a:off x="0" y="0"/>
                                <a:ext cx="561340" cy="259080"/>
                              </a:xfrm>
                              <a:prstGeom prst="rect">
                                <a:avLst/>
                              </a:prstGeom>
                              <a:noFill/>
                              <a:ln>
                                <a:noFill/>
                              </a:ln>
                            </wps:spPr>
                            <wps:txbx>
                              <w:txbxContent>
                                <w:p>
                                  <w:pPr>
                                    <w:rPr>
                                      <w:rFonts w:hint="default" w:eastAsia="宋体"/>
                                      <w:lang w:val="en-US" w:eastAsia="zh-CN"/>
                                    </w:rPr>
                                  </w:pPr>
                                  <w:r>
                                    <w:rPr>
                                      <w:rFonts w:hint="eastAsia"/>
                                      <w:lang w:val="en-US" w:eastAsia="zh-CN"/>
                                    </w:rPr>
                                    <w:t>120</w:t>
                                  </w:r>
                                </w:p>
                              </w:txbxContent>
                            </wps:txbx>
                            <wps:bodyPr rot="0" vert="horz" wrap="square" lIns="91440" tIns="45720" rIns="91440" bIns="45720" anchor="t" anchorCtr="0" upright="1">
                              <a:noAutofit/>
                            </wps:bodyPr>
                          </wps:wsp>
                        </a:graphicData>
                      </a:graphic>
                    </wp:anchor>
                  </w:drawing>
                </mc:Choice>
                <mc:Fallback>
                  <w:pict>
                    <v:rect id="Rectangle 1225" o:spid="_x0000_s1026" o:spt="1" style="position:absolute;left:0pt;margin-left:225.1pt;margin-top:7.45pt;height:20.4pt;width:44.2pt;z-index:251710464;mso-width-relative:page;mso-height-relative:page;" filled="f" stroked="f" coordsize="21600,21600" o:gfxdata="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Xsuc9oAAAAJAQAADwAAAAAAAAABACAAAAAiAAAA&#10;ZHJzL2Rvd25yZXYueG1sUEsBAhQAFAAAAAgAh07iQBvlnJUFAgAADgQAAA4AAAAAAAAAAQAgAAAA&#10;KQEAAGRycy9lMm9Eb2MueG1sUEsFBgAAAAAGAAYAWQEAAKAFAAAAAA==&#10;">
                      <v:fill on="f" focussize="0,0"/>
                      <v:stroke on="f"/>
                      <v:imagedata o:title=""/>
                      <o:lock v:ext="edit" aspectratio="f"/>
                      <v:textbox>
                        <w:txbxContent>
                          <w:p>
                            <w:pPr>
                              <w:rPr>
                                <w:rFonts w:hint="default" w:eastAsia="宋体"/>
                                <w:lang w:val="en-US" w:eastAsia="zh-CN"/>
                              </w:rPr>
                            </w:pPr>
                            <w:r>
                              <w:rPr>
                                <w:rFonts w:hint="eastAsia"/>
                                <w:lang w:val="en-US" w:eastAsia="zh-CN"/>
                              </w:rPr>
                              <w:t>120</w:t>
                            </w:r>
                          </w:p>
                        </w:txbxContent>
                      </v:textbox>
                    </v:rect>
                  </w:pict>
                </mc:Fallback>
              </mc:AlternateContent>
            </w:r>
            <w:r>
              <w:rPr>
                <w:szCs w:val="24"/>
              </w:rPr>
              <mc:AlternateContent>
                <mc:Choice Requires="wps">
                  <w:drawing>
                    <wp:anchor distT="0" distB="0" distL="114300" distR="114300" simplePos="0" relativeHeight="251709440" behindDoc="0" locked="0" layoutInCell="1" allowOverlap="1">
                      <wp:simplePos x="0" y="0"/>
                      <wp:positionH relativeFrom="column">
                        <wp:posOffset>2611755</wp:posOffset>
                      </wp:positionH>
                      <wp:positionV relativeFrom="paragraph">
                        <wp:posOffset>226695</wp:posOffset>
                      </wp:positionV>
                      <wp:extent cx="293370" cy="120015"/>
                      <wp:effectExtent l="0" t="27305" r="11430" b="5080"/>
                      <wp:wrapNone/>
                      <wp:docPr id="69" name="AutoShape 1203"/>
                      <wp:cNvGraphicFramePr/>
                      <a:graphic xmlns:a="http://schemas.openxmlformats.org/drawingml/2006/main">
                        <a:graphicData uri="http://schemas.microsoft.com/office/word/2010/wordprocessingShape">
                          <wps:wsp>
                            <wps:cNvCnPr>
                              <a:cxnSpLocks noChangeShapeType="1"/>
                            </wps:cNvCnPr>
                            <wps:spPr bwMode="auto">
                              <a:xfrm flipV="1">
                                <a:off x="0" y="0"/>
                                <a:ext cx="293370" cy="120015"/>
                              </a:xfrm>
                              <a:prstGeom prst="curvedConnector3">
                                <a:avLst>
                                  <a:gd name="adj1" fmla="val 50000"/>
                                </a:avLst>
                              </a:prstGeom>
                              <a:noFill/>
                              <a:ln w="9525">
                                <a:solidFill>
                                  <a:srgbClr val="000000"/>
                                </a:solidFill>
                                <a:prstDash val="dash"/>
                                <a:round/>
                                <a:tailEnd type="triangle" w="med" len="med"/>
                              </a:ln>
                            </wps:spPr>
                            <wps:bodyPr/>
                          </wps:wsp>
                        </a:graphicData>
                      </a:graphic>
                    </wp:anchor>
                  </w:drawing>
                </mc:Choice>
                <mc:Fallback>
                  <w:pict>
                    <v:shape id="AutoShape 1203" o:spid="_x0000_s1026" o:spt="38" type="#_x0000_t38" style="position:absolute;left:0pt;flip:y;margin-left:205.65pt;margin-top:17.85pt;height:9.45pt;width:23.1pt;z-index:251709440;mso-width-relative:page;mso-height-relative:page;" filled="f" stroked="t" coordsize="21600,21600" o:gfxdata="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i0avfaAAAA&#10;CQEAAA8AAAAAAAAAAQAgAAAAIgAAAGRycy9kb3ducmV2LnhtbFBLAQIUABQAAAAIAIdO4kD5620b&#10;GwIAADUEAAAOAAAAAAAAAAEAIAAAACkBAABkcnMvZTJvRG9jLnhtbFBLBQYAAAAABgAGAFkBAAC2&#10;BQAAAAA=&#10;" adj="10800">
                      <v:fill on="f" focussize="0,0"/>
                      <v:stroke color="#000000" joinstyle="round" dashstyle="dash" endarrow="block"/>
                      <v:imagedata o:title=""/>
                      <o:lock v:ext="edit" aspectratio="f"/>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2856865</wp:posOffset>
                      </wp:positionH>
                      <wp:positionV relativeFrom="paragraph">
                        <wp:posOffset>19050</wp:posOffset>
                      </wp:positionV>
                      <wp:extent cx="420370" cy="3175"/>
                      <wp:effectExtent l="0" t="37465" r="17780" b="35560"/>
                      <wp:wrapNone/>
                      <wp:docPr id="24" name="AutoShape 1376"/>
                      <wp:cNvGraphicFramePr/>
                      <a:graphic xmlns:a="http://schemas.openxmlformats.org/drawingml/2006/main">
                        <a:graphicData uri="http://schemas.microsoft.com/office/word/2010/wordprocessingShape">
                          <wps:wsp>
                            <wps:cNvCnPr>
                              <a:cxnSpLocks noChangeShapeType="1"/>
                            </wps:cNvCnPr>
                            <wps:spPr bwMode="auto">
                              <a:xfrm flipV="1">
                                <a:off x="0" y="0"/>
                                <a:ext cx="420370" cy="3175"/>
                              </a:xfrm>
                              <a:prstGeom prst="straightConnector1">
                                <a:avLst/>
                              </a:prstGeom>
                              <a:noFill/>
                              <a:ln w="9525">
                                <a:solidFill>
                                  <a:srgbClr val="000000"/>
                                </a:solidFill>
                                <a:round/>
                                <a:tailEnd type="triangle" w="med" len="med"/>
                              </a:ln>
                            </wps:spPr>
                            <wps:bodyPr/>
                          </wps:wsp>
                        </a:graphicData>
                      </a:graphic>
                    </wp:anchor>
                  </w:drawing>
                </mc:Choice>
                <mc:Fallback>
                  <w:pict>
                    <v:shape id="AutoShape 1376" o:spid="_x0000_s1026" o:spt="32" type="#_x0000_t32" style="position:absolute;left:0pt;flip:y;margin-left:224.95pt;margin-top:1.5pt;height:0.25pt;width:33.1pt;z-index:251697152;mso-width-relative:page;mso-height-relative:page;" filled="f" stroked="t" coordsize="21600,21600" o:gfxdata="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6255L1wAAAAcBAAAPAAAAAAAAAAEAIAAAACIAAABkcnMvZG93bnJldi54&#10;bWxQSwECFAAUAAAACACHTuJAOnWSh/sBAADwAwAADgAAAAAAAAABACAAAAAmAQAAZHJzL2Uyb0Rv&#10;Yy54bWxQSwUGAAAAAAYABgBZAQAAkw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961390</wp:posOffset>
                      </wp:positionH>
                      <wp:positionV relativeFrom="paragraph">
                        <wp:posOffset>31750</wp:posOffset>
                      </wp:positionV>
                      <wp:extent cx="1127125" cy="5080"/>
                      <wp:effectExtent l="0" t="33655" r="15875" b="37465"/>
                      <wp:wrapNone/>
                      <wp:docPr id="18" name="AutoShape 1376"/>
                      <wp:cNvGraphicFramePr/>
                      <a:graphic xmlns:a="http://schemas.openxmlformats.org/drawingml/2006/main">
                        <a:graphicData uri="http://schemas.microsoft.com/office/word/2010/wordprocessingShape">
                          <wps:wsp>
                            <wps:cNvCnPr>
                              <a:cxnSpLocks noChangeShapeType="1"/>
                            </wps:cNvCnPr>
                            <wps:spPr bwMode="auto">
                              <a:xfrm>
                                <a:off x="0" y="0"/>
                                <a:ext cx="1127125" cy="5080"/>
                              </a:xfrm>
                              <a:prstGeom prst="straightConnector1">
                                <a:avLst/>
                              </a:prstGeom>
                              <a:noFill/>
                              <a:ln w="9525">
                                <a:solidFill>
                                  <a:srgbClr val="000000"/>
                                </a:solidFill>
                                <a:round/>
                                <a:tailEnd type="triangle" w="med" len="med"/>
                              </a:ln>
                            </wps:spPr>
                            <wps:bodyPr/>
                          </wps:wsp>
                        </a:graphicData>
                      </a:graphic>
                    </wp:anchor>
                  </w:drawing>
                </mc:Choice>
                <mc:Fallback>
                  <w:pict>
                    <v:shape id="AutoShape 1376" o:spid="_x0000_s1026" o:spt="32" type="#_x0000_t32" style="position:absolute;left:0pt;margin-left:75.7pt;margin-top:2.5pt;height:0.4pt;width:88.75pt;z-index:251669504;mso-width-relative:page;mso-height-relative:page;" filled="f" stroked="t" coordsize="21600,21600" o:gfxdata="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NoStHXAAAABwEAAA8AAAAAAAAAAQAgAAAAIgAAAGRycy9kb3ducmV2LnhtbFBLAQIU&#10;ABQAAAAIAIdO4kCVT/xx9AEAAOcDAAAOAAAAAAAAAAEAIAAAACYBAABkcnMvZTJvRG9jLnhtbFBL&#10;BQYAAAAABgAGAFkBAACMBQAAAAA=&#10;">
                      <v:fill on="f" focussize="0,0"/>
                      <v:stroke color="#000000" joinstyle="round" endarrow="block"/>
                      <v:imagedata o:title=""/>
                      <o:lock v:ext="edit" aspectratio="f"/>
                    </v:shape>
                  </w:pict>
                </mc:Fallback>
              </mc:AlternateContent>
            </w:r>
          </w:p>
          <w:p>
            <w:pPr>
              <w:pStyle w:val="61"/>
              <w:spacing w:before="100" w:beforeAutospacing="1" w:line="240" w:lineRule="auto"/>
              <w:ind w:firstLine="480"/>
              <w:jc w:val="center"/>
              <w:rPr>
                <w:rFonts w:hint="eastAsia" w:hAnsi="Times New Roman" w:eastAsia="黑体"/>
                <w:b w:val="0"/>
                <w:bCs w:val="0"/>
                <w:color w:val="auto"/>
                <w:szCs w:val="24"/>
              </w:rPr>
            </w:pPr>
            <w:r>
              <mc:AlternateContent>
                <mc:Choice Requires="wps">
                  <w:drawing>
                    <wp:anchor distT="0" distB="0" distL="114300" distR="114300" simplePos="0" relativeHeight="251708416" behindDoc="0" locked="0" layoutInCell="1" allowOverlap="1">
                      <wp:simplePos x="0" y="0"/>
                      <wp:positionH relativeFrom="column">
                        <wp:posOffset>2068830</wp:posOffset>
                      </wp:positionH>
                      <wp:positionV relativeFrom="paragraph">
                        <wp:posOffset>5080</wp:posOffset>
                      </wp:positionV>
                      <wp:extent cx="775970" cy="284480"/>
                      <wp:effectExtent l="4445" t="4445" r="19685" b="15875"/>
                      <wp:wrapNone/>
                      <wp:docPr id="64" name="Rectangle 1191"/>
                      <wp:cNvGraphicFramePr/>
                      <a:graphic xmlns:a="http://schemas.openxmlformats.org/drawingml/2006/main">
                        <a:graphicData uri="http://schemas.microsoft.com/office/word/2010/wordprocessingShape">
                          <wps:wsp>
                            <wps:cNvSpPr>
                              <a:spLocks noChangeArrowheads="1"/>
                            </wps:cNvSpPr>
                            <wps:spPr bwMode="auto">
                              <a:xfrm>
                                <a:off x="0" y="0"/>
                                <a:ext cx="775970" cy="284480"/>
                              </a:xfrm>
                              <a:prstGeom prst="rect">
                                <a:avLst/>
                              </a:prstGeom>
                              <a:solidFill>
                                <a:srgbClr val="FFFFFF"/>
                              </a:solidFill>
                              <a:ln w="9525">
                                <a:solidFill>
                                  <a:srgbClr val="000000"/>
                                </a:solidFill>
                                <a:miter lim="800000"/>
                              </a:ln>
                            </wps:spPr>
                            <wps:txbx>
                              <w:txbxContent>
                                <w:p>
                                  <w:pPr>
                                    <w:rPr>
                                      <w:rFonts w:hint="default" w:eastAsia="宋体"/>
                                      <w:lang w:val="en-US" w:eastAsia="zh-CN"/>
                                    </w:rPr>
                                  </w:pPr>
                                  <w:r>
                                    <w:rPr>
                                      <w:rFonts w:hint="eastAsia"/>
                                      <w:lang w:val="en-US" w:eastAsia="zh-CN"/>
                                    </w:rPr>
                                    <w:t>切割用水</w:t>
                                  </w:r>
                                </w:p>
                              </w:txbxContent>
                            </wps:txbx>
                            <wps:bodyPr rot="0" vert="horz" wrap="square" lIns="91440" tIns="45720" rIns="91440" bIns="45720" anchor="t" anchorCtr="0" upright="1">
                              <a:noAutofit/>
                            </wps:bodyPr>
                          </wps:wsp>
                        </a:graphicData>
                      </a:graphic>
                    </wp:anchor>
                  </w:drawing>
                </mc:Choice>
                <mc:Fallback>
                  <w:pict>
                    <v:rect id="Rectangle 1191" o:spid="_x0000_s1026" o:spt="1" style="position:absolute;left:0pt;margin-left:162.9pt;margin-top:0.4pt;height:22.4pt;width:61.1pt;z-index:251708416;mso-width-relative:page;mso-height-relative:page;" fillcolor="#FFFFFF" filled="t" stroked="t" coordsize="21600,21600" o:gfxdata="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H8zd1wAAAAcBAAAPAAAAAAAAAAEAIAAAACIAAABkcnMvZG93bnJldi54bWxQ&#10;SwECFAAUAAAACACHTuJA6bsYCzECAACABAAADgAAAAAAAAABACAAAAAmAQAAZHJzL2Uyb0RvYy54&#10;bWxQSwUGAAAAAAYABgBZAQAAyQUAAAAA&#10;">
                      <v:fill on="t" focussize="0,0"/>
                      <v:stroke color="#000000" miterlimit="8" joinstyle="miter"/>
                      <v:imagedata o:title=""/>
                      <o:lock v:ext="edit" aspectratio="f"/>
                      <v:textbox>
                        <w:txbxContent>
                          <w:p>
                            <w:pPr>
                              <w:rPr>
                                <w:rFonts w:hint="default" w:eastAsia="宋体"/>
                                <w:lang w:val="en-US" w:eastAsia="zh-CN"/>
                              </w:rPr>
                            </w:pPr>
                            <w:r>
                              <w:rPr>
                                <w:rFonts w:hint="eastAsia"/>
                                <w:lang w:val="en-US" w:eastAsia="zh-CN"/>
                              </w:rPr>
                              <w:t>切割用水</w:t>
                            </w:r>
                          </w:p>
                        </w:txbxContent>
                      </v:textbox>
                    </v:rect>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951865</wp:posOffset>
                      </wp:positionH>
                      <wp:positionV relativeFrom="paragraph">
                        <wp:posOffset>136525</wp:posOffset>
                      </wp:positionV>
                      <wp:extent cx="1127125" cy="5080"/>
                      <wp:effectExtent l="0" t="33655" r="15875" b="37465"/>
                      <wp:wrapNone/>
                      <wp:docPr id="61" name="AutoShape 1376"/>
                      <wp:cNvGraphicFramePr/>
                      <a:graphic xmlns:a="http://schemas.openxmlformats.org/drawingml/2006/main">
                        <a:graphicData uri="http://schemas.microsoft.com/office/word/2010/wordprocessingShape">
                          <wps:wsp>
                            <wps:cNvCnPr>
                              <a:cxnSpLocks noChangeShapeType="1"/>
                            </wps:cNvCnPr>
                            <wps:spPr bwMode="auto">
                              <a:xfrm>
                                <a:off x="0" y="0"/>
                                <a:ext cx="1127125" cy="5080"/>
                              </a:xfrm>
                              <a:prstGeom prst="straightConnector1">
                                <a:avLst/>
                              </a:prstGeom>
                              <a:noFill/>
                              <a:ln w="9525">
                                <a:solidFill>
                                  <a:srgbClr val="000000"/>
                                </a:solidFill>
                                <a:round/>
                                <a:tailEnd type="triangle" w="med" len="med"/>
                              </a:ln>
                            </wps:spPr>
                            <wps:bodyPr/>
                          </wps:wsp>
                        </a:graphicData>
                      </a:graphic>
                    </wp:anchor>
                  </w:drawing>
                </mc:Choice>
                <mc:Fallback>
                  <w:pict>
                    <v:shape id="AutoShape 1376" o:spid="_x0000_s1026" o:spt="32" type="#_x0000_t32" style="position:absolute;left:0pt;margin-left:74.95pt;margin-top:10.75pt;height:0.4pt;width:88.75pt;z-index:251707392;mso-width-relative:page;mso-height-relative:page;" filled="f" stroked="t" coordsize="21600,21600" o:gfxdata="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LT2LK9kAAAAJAQAADwAAAAAAAAABACAAAAAiAAAAZHJzL2Rvd25yZXYueG1sUEsB&#10;AhQAFAAAAAgAh07iQAvzAvL0AQAA5wMAAA4AAAAAAAAAAQAgAAAAKAEAAGRycy9lMm9Eb2MueG1s&#10;UEsFBgAAAAAGAAYAWQEAAI4FAAAAAA==&#10;">
                      <v:fill on="f" focussize="0,0"/>
                      <v:stroke color="#000000" joinstyle="round" endarrow="block"/>
                      <v:imagedata o:title=""/>
                      <o:lock v:ext="edit" aspectratio="f"/>
                    </v:shape>
                  </w:pict>
                </mc:Fallback>
              </mc:AlternateContent>
            </w:r>
          </w:p>
          <w:p>
            <w:pPr>
              <w:pStyle w:val="61"/>
              <w:spacing w:before="100" w:beforeAutospacing="1" w:line="240" w:lineRule="auto"/>
              <w:ind w:firstLine="480"/>
              <w:jc w:val="center"/>
              <w:rPr>
                <w:rFonts w:hAnsi="Times New Roman" w:eastAsia="黑体"/>
                <w:b w:val="0"/>
                <w:bCs w:val="0"/>
                <w:color w:val="auto"/>
                <w:szCs w:val="24"/>
              </w:rPr>
            </w:pPr>
            <w:r>
              <w:rPr>
                <w:rFonts w:hint="eastAsia" w:hAnsi="Times New Roman" w:eastAsia="黑体"/>
                <w:b w:val="0"/>
                <w:bCs w:val="0"/>
                <w:color w:val="auto"/>
                <w:szCs w:val="24"/>
              </w:rPr>
              <w:t>图2-</w:t>
            </w:r>
            <w:r>
              <w:rPr>
                <w:rFonts w:hint="eastAsia" w:hAnsi="Times New Roman" w:eastAsia="黑体"/>
                <w:b w:val="0"/>
                <w:bCs w:val="0"/>
                <w:color w:val="auto"/>
                <w:szCs w:val="24"/>
                <w:lang w:val="en-US" w:eastAsia="zh-CN"/>
              </w:rPr>
              <w:t>1</w:t>
            </w:r>
            <w:r>
              <w:rPr>
                <w:rFonts w:hint="eastAsia" w:hAnsi="Times New Roman" w:eastAsia="黑体"/>
                <w:b w:val="0"/>
                <w:bCs w:val="0"/>
                <w:color w:val="auto"/>
                <w:szCs w:val="24"/>
              </w:rPr>
              <w:t xml:space="preserve"> </w:t>
            </w:r>
            <w:r>
              <w:rPr>
                <w:rFonts w:hAnsi="Times New Roman" w:eastAsia="黑体"/>
                <w:b w:val="0"/>
                <w:bCs w:val="0"/>
                <w:color w:val="auto"/>
                <w:szCs w:val="24"/>
              </w:rPr>
              <w:t xml:space="preserve"> </w:t>
            </w:r>
            <w:r>
              <w:rPr>
                <w:rFonts w:hint="eastAsia" w:hAnsi="Times New Roman" w:eastAsia="黑体"/>
                <w:b w:val="0"/>
                <w:bCs w:val="0"/>
                <w:color w:val="auto"/>
                <w:szCs w:val="24"/>
              </w:rPr>
              <w:t>项目水平衡图（m</w:t>
            </w:r>
            <w:r>
              <w:rPr>
                <w:rFonts w:hint="eastAsia" w:hAnsi="Times New Roman" w:eastAsia="黑体"/>
                <w:b w:val="0"/>
                <w:bCs w:val="0"/>
                <w:color w:val="auto"/>
                <w:szCs w:val="24"/>
                <w:vertAlign w:val="superscript"/>
              </w:rPr>
              <w:t>3</w:t>
            </w:r>
            <w:r>
              <w:rPr>
                <w:rFonts w:hint="eastAsia" w:hAnsi="Times New Roman" w:eastAsia="黑体"/>
                <w:b w:val="0"/>
                <w:bCs w:val="0"/>
                <w:color w:val="auto"/>
                <w:szCs w:val="24"/>
              </w:rPr>
              <w:t>/a）</w:t>
            </w:r>
          </w:p>
          <w:p>
            <w:pPr>
              <w:numPr>
                <w:ilvl w:val="0"/>
                <w:numId w:val="8"/>
              </w:numPr>
              <w:adjustRightInd w:val="0"/>
              <w:snapToGrid w:val="0"/>
              <w:spacing w:line="520" w:lineRule="exact"/>
              <w:ind w:firstLine="480" w:firstLineChars="200"/>
              <w:rPr>
                <w:sz w:val="24"/>
              </w:rPr>
            </w:pPr>
            <w:r>
              <w:rPr>
                <w:sz w:val="24"/>
              </w:rPr>
              <w:t>供电</w:t>
            </w:r>
          </w:p>
          <w:p>
            <w:pPr>
              <w:adjustRightInd w:val="0"/>
              <w:snapToGrid w:val="0"/>
              <w:spacing w:line="520" w:lineRule="exact"/>
              <w:ind w:firstLine="480" w:firstLineChars="200"/>
              <w:rPr>
                <w:sz w:val="24"/>
              </w:rPr>
            </w:pPr>
            <w:r>
              <w:rPr>
                <w:rFonts w:hint="eastAsia"/>
                <w:sz w:val="24"/>
              </w:rPr>
              <w:t>项目用电由园区供电网供给。</w:t>
            </w:r>
          </w:p>
          <w:p>
            <w:pPr>
              <w:numPr>
                <w:ilvl w:val="0"/>
                <w:numId w:val="8"/>
              </w:numPr>
              <w:adjustRightInd w:val="0"/>
              <w:snapToGrid w:val="0"/>
              <w:spacing w:line="520" w:lineRule="exact"/>
              <w:ind w:firstLine="480" w:firstLineChars="200"/>
              <w:rPr>
                <w:sz w:val="24"/>
              </w:rPr>
            </w:pPr>
            <w:r>
              <w:rPr>
                <w:rFonts w:hint="eastAsia"/>
                <w:sz w:val="24"/>
              </w:rPr>
              <w:t>供热</w:t>
            </w:r>
          </w:p>
          <w:p>
            <w:pPr>
              <w:pStyle w:val="8"/>
              <w:numPr>
                <w:ilvl w:val="3"/>
                <w:numId w:val="0"/>
              </w:numPr>
              <w:spacing w:line="520" w:lineRule="exact"/>
              <w:ind w:firstLine="480" w:firstLineChars="200"/>
              <w:rPr>
                <w:sz w:val="24"/>
                <w:szCs w:val="32"/>
              </w:rPr>
            </w:pPr>
            <w:r>
              <w:rPr>
                <w:rFonts w:hint="eastAsia"/>
                <w:sz w:val="24"/>
                <w:szCs w:val="32"/>
              </w:rPr>
              <w:t>本项目冬季不生产，且生产区及无须供暖，员工生活采暖设施为电采暖。</w:t>
            </w:r>
          </w:p>
          <w:p>
            <w:pPr>
              <w:adjustRightInd w:val="0"/>
              <w:snapToGrid w:val="0"/>
              <w:spacing w:line="520" w:lineRule="exact"/>
              <w:ind w:firstLine="482" w:firstLineChars="200"/>
              <w:rPr>
                <w:sz w:val="24"/>
              </w:rPr>
            </w:pPr>
            <w:r>
              <w:rPr>
                <w:rFonts w:hint="eastAsia"/>
                <w:b/>
                <w:bCs/>
                <w:sz w:val="24"/>
                <w:lang w:val="en-US" w:eastAsia="zh-CN"/>
              </w:rPr>
              <w:t>8</w:t>
            </w:r>
            <w:r>
              <w:rPr>
                <w:b/>
                <w:bCs/>
                <w:sz w:val="24"/>
              </w:rPr>
              <w:t>、劳动定员及工作制度</w:t>
            </w:r>
          </w:p>
          <w:p>
            <w:pPr>
              <w:adjustRightInd w:val="0"/>
              <w:snapToGrid w:val="0"/>
              <w:spacing w:line="520" w:lineRule="exact"/>
              <w:ind w:firstLine="480" w:firstLineChars="200"/>
              <w:rPr>
                <w:sz w:val="24"/>
              </w:rPr>
            </w:pPr>
            <w:r>
              <w:rPr>
                <w:sz w:val="24"/>
              </w:rPr>
              <w:t>本项目</w:t>
            </w:r>
            <w:r>
              <w:rPr>
                <w:rFonts w:hint="eastAsia"/>
                <w:sz w:val="24"/>
              </w:rPr>
              <w:t>定员</w:t>
            </w:r>
            <w:r>
              <w:rPr>
                <w:rFonts w:hint="eastAsia"/>
                <w:sz w:val="24"/>
                <w:lang w:val="en-US" w:eastAsia="zh-CN"/>
              </w:rPr>
              <w:t>7</w:t>
            </w:r>
            <w:r>
              <w:rPr>
                <w:sz w:val="24"/>
              </w:rPr>
              <w:t>人，</w:t>
            </w:r>
            <w:r>
              <w:rPr>
                <w:rFonts w:hint="eastAsia"/>
                <w:sz w:val="24"/>
              </w:rPr>
              <w:t>工作制度为</w:t>
            </w:r>
            <w:r>
              <w:rPr>
                <w:rFonts w:hint="eastAsia"/>
                <w:sz w:val="24"/>
                <w:lang w:val="en-US" w:eastAsia="zh-CN"/>
              </w:rPr>
              <w:t>单班</w:t>
            </w:r>
            <w:r>
              <w:rPr>
                <w:rFonts w:hint="eastAsia"/>
                <w:sz w:val="24"/>
              </w:rPr>
              <w:t>制，每班8h，</w:t>
            </w:r>
            <w:r>
              <w:rPr>
                <w:sz w:val="24"/>
              </w:rPr>
              <w:t>年工作时间为</w:t>
            </w:r>
            <w:r>
              <w:rPr>
                <w:rFonts w:hint="eastAsia"/>
                <w:sz w:val="24"/>
              </w:rPr>
              <w:t>2</w:t>
            </w:r>
            <w:r>
              <w:rPr>
                <w:rFonts w:hint="eastAsia"/>
                <w:sz w:val="24"/>
                <w:lang w:val="en-US" w:eastAsia="zh-CN"/>
              </w:rPr>
              <w:t>4</w:t>
            </w:r>
            <w:r>
              <w:rPr>
                <w:rFonts w:hint="eastAsia"/>
                <w:sz w:val="24"/>
              </w:rPr>
              <w:t>0</w:t>
            </w:r>
            <w:r>
              <w:rPr>
                <w:sz w:val="24"/>
              </w:rPr>
              <w:t>天。</w:t>
            </w:r>
          </w:p>
          <w:p>
            <w:pPr>
              <w:adjustRightInd w:val="0"/>
              <w:snapToGrid w:val="0"/>
              <w:spacing w:line="520" w:lineRule="exact"/>
              <w:ind w:firstLine="482" w:firstLineChars="200"/>
              <w:rPr>
                <w:sz w:val="24"/>
              </w:rPr>
            </w:pPr>
            <w:r>
              <w:rPr>
                <w:rFonts w:hint="eastAsia"/>
                <w:b/>
                <w:bCs/>
                <w:sz w:val="24"/>
                <w:lang w:val="en-US" w:eastAsia="zh-CN"/>
              </w:rPr>
              <w:t>9</w:t>
            </w:r>
            <w:r>
              <w:rPr>
                <w:b/>
                <w:bCs/>
                <w:sz w:val="24"/>
              </w:rPr>
              <w:t>、项目平面布置</w:t>
            </w:r>
          </w:p>
          <w:p>
            <w:pPr>
              <w:adjustRightInd w:val="0"/>
              <w:snapToGrid w:val="0"/>
              <w:spacing w:line="520" w:lineRule="exact"/>
              <w:ind w:firstLine="480" w:firstLineChars="200"/>
              <w:rPr>
                <w:bCs/>
                <w:sz w:val="24"/>
                <w:lang w:bidi="en-US"/>
              </w:rPr>
            </w:pPr>
            <w:r>
              <w:rPr>
                <w:rFonts w:hint="eastAsia"/>
                <w:bCs/>
                <w:sz w:val="24"/>
                <w:lang w:val="en-US" w:eastAsia="zh-CN" w:bidi="en-US"/>
              </w:rPr>
              <w:t>车间内</w:t>
            </w:r>
            <w:r>
              <w:rPr>
                <w:bCs/>
                <w:sz w:val="24"/>
                <w:lang w:bidi="en-US"/>
              </w:rPr>
              <w:t>总图布置设计规整紧凑，符合《工业企业总平面设计规范》（GB50187-</w:t>
            </w:r>
            <w:r>
              <w:rPr>
                <w:rFonts w:hint="eastAsia"/>
                <w:bCs/>
                <w:sz w:val="24"/>
                <w:lang w:bidi="en-US"/>
              </w:rPr>
              <w:t>2012</w:t>
            </w:r>
            <w:r>
              <w:rPr>
                <w:bCs/>
                <w:sz w:val="24"/>
                <w:lang w:bidi="en-US"/>
              </w:rPr>
              <w:t>）</w:t>
            </w:r>
            <w:r>
              <w:rPr>
                <w:rFonts w:hint="eastAsia"/>
                <w:bCs/>
                <w:sz w:val="24"/>
                <w:lang w:bidi="en-US"/>
              </w:rPr>
              <w:t>及国家颁布的现行的有关设计规范、规定及技术标准，按照联合集中，紧凑合理，留有发展用地的原则进行布置。从项目平面布置分析，本项目总图布置紧密结合了生产流程，因地制宜，使新建设施紧凑布置，少占地；考虑了公用工程的配套便利性，项目平面布置较为合理。</w:t>
            </w:r>
          </w:p>
          <w:p>
            <w:pPr>
              <w:adjustRightInd w:val="0"/>
              <w:snapToGrid w:val="0"/>
              <w:spacing w:line="520" w:lineRule="exact"/>
              <w:ind w:firstLine="480" w:firstLineChars="200"/>
              <w:rPr>
                <w:rFonts w:hint="eastAsia"/>
                <w:sz w:val="24"/>
              </w:rPr>
            </w:pPr>
            <w:r>
              <w:rPr>
                <w:sz w:val="24"/>
              </w:rPr>
              <w:t>项目平面</w:t>
            </w:r>
            <w:r>
              <w:rPr>
                <w:rFonts w:hint="eastAsia"/>
                <w:sz w:val="24"/>
                <w:lang w:val="en-US" w:eastAsia="zh-CN"/>
              </w:rPr>
              <w:t>示意</w:t>
            </w:r>
            <w:r>
              <w:rPr>
                <w:sz w:val="24"/>
              </w:rPr>
              <w:t>图见</w:t>
            </w:r>
            <w:r>
              <w:rPr>
                <w:rFonts w:hint="eastAsia"/>
                <w:sz w:val="24"/>
              </w:rPr>
              <w:t>下图。</w:t>
            </w:r>
          </w:p>
          <w:p>
            <w:pPr>
              <w:pStyle w:val="41"/>
              <w:ind w:firstLine="0" w:firstLineChars="0"/>
            </w:pPr>
            <w:r>
              <w:drawing>
                <wp:anchor distT="0" distB="0" distL="114300" distR="114300" simplePos="0" relativeHeight="251718656" behindDoc="0" locked="0" layoutInCell="1" allowOverlap="1">
                  <wp:simplePos x="0" y="0"/>
                  <wp:positionH relativeFrom="column">
                    <wp:posOffset>4681855</wp:posOffset>
                  </wp:positionH>
                  <wp:positionV relativeFrom="paragraph">
                    <wp:posOffset>104140</wp:posOffset>
                  </wp:positionV>
                  <wp:extent cx="586740" cy="591820"/>
                  <wp:effectExtent l="0" t="0" r="3810" b="17780"/>
                  <wp:wrapNone/>
                  <wp:docPr id="1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8"/>
                          <pic:cNvPicPr>
                            <a:picLocks noChangeAspect="1"/>
                          </pic:cNvPicPr>
                        </pic:nvPicPr>
                        <pic:blipFill>
                          <a:blip r:embed="rId17"/>
                          <a:stretch>
                            <a:fillRect/>
                          </a:stretch>
                        </pic:blipFill>
                        <pic:spPr>
                          <a:xfrm>
                            <a:off x="0" y="0"/>
                            <a:ext cx="586740" cy="591820"/>
                          </a:xfrm>
                          <a:prstGeom prst="rect">
                            <a:avLst/>
                          </a:prstGeom>
                          <a:noFill/>
                          <a:ln>
                            <a:noFill/>
                          </a:ln>
                        </pic:spPr>
                      </pic:pic>
                    </a:graphicData>
                  </a:graphic>
                </wp:anchor>
              </w:drawing>
            </w:r>
            <w:r>
              <w:rPr>
                <w:rStyle w:val="37"/>
                <w:szCs w:val="20"/>
              </w:rPr>
              <w:object>
                <v:shape id="_x0000_i1025" o:spt="75" type="#_x0000_t75" style="height:272.6pt;width:419.95pt;" o:ole="t" filled="f" o:preferrelative="t" stroked="t" coordsize="21600,21600">
                  <v:path/>
                  <v:fill on="f" focussize="0,0"/>
                  <v:stroke weight="1.5pt" color="#000000" joinstyle="miter"/>
                  <v:imagedata r:id="rId19" o:title=""/>
                  <o:lock v:ext="edit" aspectratio="f"/>
                  <w10:wrap type="none"/>
                  <w10:anchorlock/>
                </v:shape>
                <o:OLEObject Type="Embed" ProgID="Visio.Drawing.11" ShapeID="_x0000_i1025" DrawAspect="Content" ObjectID="_1468075725" r:id="rId18">
                  <o:LockedField>false</o:LockedField>
                </o:OLEObject>
              </w:object>
            </w:r>
            <w:r>
              <w:drawing>
                <wp:anchor distT="0" distB="0" distL="114300" distR="114300" simplePos="0" relativeHeight="251683840" behindDoc="0" locked="0" layoutInCell="1" allowOverlap="1">
                  <wp:simplePos x="0" y="0"/>
                  <wp:positionH relativeFrom="column">
                    <wp:posOffset>11824335</wp:posOffset>
                  </wp:positionH>
                  <wp:positionV relativeFrom="paragraph">
                    <wp:posOffset>451485</wp:posOffset>
                  </wp:positionV>
                  <wp:extent cx="895985" cy="914400"/>
                  <wp:effectExtent l="9525" t="9525" r="27940" b="9525"/>
                  <wp:wrapNone/>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20"/>
                          <a:stretch>
                            <a:fillRect/>
                          </a:stretch>
                        </pic:blipFill>
                        <pic:spPr>
                          <a:xfrm>
                            <a:off x="0" y="0"/>
                            <a:ext cx="895985" cy="914400"/>
                          </a:xfrm>
                          <a:prstGeom prst="rect">
                            <a:avLst/>
                          </a:prstGeom>
                          <a:noFill/>
                          <a:ln w="3175" cap="flat" cmpd="sng">
                            <a:solidFill>
                              <a:srgbClr val="000000"/>
                            </a:solidFill>
                            <a:prstDash val="solid"/>
                            <a:miter/>
                            <a:headEnd type="none" w="med" len="med"/>
                            <a:tailEnd type="none" w="med" len="med"/>
                          </a:ln>
                        </pic:spPr>
                      </pic:pic>
                    </a:graphicData>
                  </a:graphic>
                </wp:anchor>
              </w:drawing>
            </w:r>
          </w:p>
          <w:p>
            <w:pPr>
              <w:pStyle w:val="41"/>
              <w:ind w:firstLine="0" w:firstLineChars="0"/>
              <w:jc w:val="center"/>
              <w:rPr>
                <w:rFonts w:eastAsia="黑体"/>
                <w:sz w:val="24"/>
                <w:szCs w:val="32"/>
              </w:rPr>
            </w:pPr>
            <w:r>
              <w:rPr>
                <w:rFonts w:eastAsia="黑体"/>
                <w:sz w:val="24"/>
                <w:szCs w:val="32"/>
              </w:rPr>
              <w:t>图2-</w:t>
            </w:r>
            <w:r>
              <w:rPr>
                <w:rFonts w:hint="eastAsia" w:eastAsia="黑体"/>
                <w:sz w:val="24"/>
                <w:szCs w:val="32"/>
                <w:lang w:val="en-US" w:eastAsia="zh-CN"/>
              </w:rPr>
              <w:t>2</w:t>
            </w:r>
            <w:r>
              <w:rPr>
                <w:rFonts w:eastAsia="黑体"/>
                <w:sz w:val="24"/>
                <w:szCs w:val="32"/>
              </w:rPr>
              <w:t xml:space="preserve"> </w:t>
            </w:r>
            <w:r>
              <w:rPr>
                <w:rFonts w:hint="eastAsia" w:eastAsia="黑体"/>
                <w:sz w:val="24"/>
                <w:szCs w:val="32"/>
              </w:rPr>
              <w:t xml:space="preserve"> </w:t>
            </w:r>
            <w:r>
              <w:rPr>
                <w:rFonts w:eastAsia="黑体"/>
                <w:sz w:val="24"/>
                <w:szCs w:val="32"/>
              </w:rPr>
              <w:t>项目平面</w:t>
            </w:r>
            <w:r>
              <w:rPr>
                <w:rFonts w:hint="eastAsia" w:eastAsia="黑体"/>
                <w:sz w:val="24"/>
                <w:szCs w:val="32"/>
              </w:rPr>
              <w:t>示意</w:t>
            </w:r>
            <w:r>
              <w:rPr>
                <w:rFonts w:eastAsia="黑体"/>
                <w:sz w:val="24"/>
                <w:szCs w:val="32"/>
              </w:rPr>
              <w:t>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74" w:hRule="atLeast"/>
          <w:jc w:val="center"/>
        </w:trPr>
        <w:tc>
          <w:tcPr>
            <w:tcW w:w="533" w:type="dxa"/>
            <w:vAlign w:val="center"/>
          </w:tcPr>
          <w:p>
            <w:pPr>
              <w:pStyle w:val="26"/>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工艺流程和产排污环节</w:t>
            </w:r>
          </w:p>
        </w:tc>
        <w:tc>
          <w:tcPr>
            <w:tcW w:w="8527" w:type="dxa"/>
          </w:tcPr>
          <w:p>
            <w:pPr>
              <w:adjustRightInd w:val="0"/>
              <w:snapToGrid w:val="0"/>
              <w:spacing w:line="520" w:lineRule="exact"/>
              <w:ind w:firstLine="482" w:firstLineChars="200"/>
              <w:rPr>
                <w:b/>
                <w:bCs/>
                <w:sz w:val="24"/>
              </w:rPr>
            </w:pPr>
            <w:r>
              <w:rPr>
                <w:b/>
                <w:bCs/>
                <w:sz w:val="24"/>
              </w:rPr>
              <w:t>1、施工期</w:t>
            </w:r>
          </w:p>
          <w:p>
            <w:pPr>
              <w:adjustRightInd w:val="0"/>
              <w:snapToGrid w:val="0"/>
              <w:spacing w:line="520" w:lineRule="exact"/>
              <w:ind w:firstLine="480" w:firstLineChars="200"/>
              <w:rPr>
                <w:sz w:val="24"/>
              </w:rPr>
            </w:pPr>
            <w:r>
              <w:rPr>
                <w:rFonts w:hint="eastAsia"/>
                <w:sz w:val="24"/>
              </w:rPr>
              <w:t>本项目为租赁现有厂房建设生产线。施工期只进行设备安装</w:t>
            </w:r>
            <w:r>
              <w:rPr>
                <w:sz w:val="24"/>
              </w:rPr>
              <w:t>，不可避免的对项目区所在地周围环境产生一定的影响。施工期主要是产生</w:t>
            </w:r>
            <w:r>
              <w:rPr>
                <w:rFonts w:hint="eastAsia"/>
                <w:sz w:val="24"/>
              </w:rPr>
              <w:t>废气、废水、</w:t>
            </w:r>
            <w:r>
              <w:rPr>
                <w:sz w:val="24"/>
              </w:rPr>
              <w:t>噪声、固体废弃物（</w:t>
            </w:r>
            <w:r>
              <w:rPr>
                <w:rFonts w:hint="eastAsia"/>
                <w:sz w:val="24"/>
              </w:rPr>
              <w:t>废包装材料</w:t>
            </w:r>
            <w:r>
              <w:rPr>
                <w:sz w:val="24"/>
              </w:rPr>
              <w:t>）等。</w:t>
            </w:r>
            <w:r>
              <w:rPr>
                <w:rFonts w:hint="eastAsia"/>
                <w:sz w:val="24"/>
              </w:rPr>
              <w:t>施工噪声随施工期结束而消除，固体废物收集后外售</w:t>
            </w:r>
            <w:r>
              <w:rPr>
                <w:rStyle w:val="37"/>
                <w:rFonts w:hint="eastAsia"/>
                <w:kern w:val="0"/>
                <w:sz w:val="24"/>
                <w:szCs w:val="22"/>
              </w:rPr>
              <w:t>，装修废气通过自然通风后逸散至大气环境，施工人员生活污水依托</w:t>
            </w:r>
            <w:r>
              <w:rPr>
                <w:rStyle w:val="37"/>
                <w:rFonts w:hint="eastAsia"/>
                <w:kern w:val="0"/>
                <w:sz w:val="24"/>
                <w:szCs w:val="22"/>
                <w:lang w:val="en-US" w:eastAsia="zh-CN"/>
              </w:rPr>
              <w:t>厂区内排水管网</w:t>
            </w:r>
            <w:r>
              <w:rPr>
                <w:rFonts w:hint="eastAsia"/>
                <w:sz w:val="24"/>
              </w:rPr>
              <w:t>。</w:t>
            </w:r>
          </w:p>
          <w:p>
            <w:pPr>
              <w:adjustRightInd w:val="0"/>
              <w:snapToGrid w:val="0"/>
              <w:spacing w:line="360" w:lineRule="auto"/>
              <w:rPr>
                <w:sz w:val="24"/>
              </w:rPr>
            </w:pPr>
            <w:r>
              <w:rPr>
                <w:sz w:val="24"/>
              </w:rPr>
              <mc:AlternateContent>
                <mc:Choice Requires="wps">
                  <w:drawing>
                    <wp:anchor distT="0" distB="0" distL="114300" distR="114300" simplePos="0" relativeHeight="251702272" behindDoc="1" locked="0" layoutInCell="1" allowOverlap="1">
                      <wp:simplePos x="0" y="0"/>
                      <wp:positionH relativeFrom="column">
                        <wp:posOffset>13335</wp:posOffset>
                      </wp:positionH>
                      <wp:positionV relativeFrom="paragraph">
                        <wp:posOffset>34925</wp:posOffset>
                      </wp:positionV>
                      <wp:extent cx="5334000" cy="1428750"/>
                      <wp:effectExtent l="9525" t="9525" r="9525" b="9525"/>
                      <wp:wrapNone/>
                      <wp:docPr id="54" name="矩形 54"/>
                      <wp:cNvGraphicFramePr/>
                      <a:graphic xmlns:a="http://schemas.openxmlformats.org/drawingml/2006/main">
                        <a:graphicData uri="http://schemas.microsoft.com/office/word/2010/wordprocessingShape">
                          <wps:wsp>
                            <wps:cNvSpPr/>
                            <wps:spPr>
                              <a:xfrm>
                                <a:off x="1273810" y="3118485"/>
                                <a:ext cx="5334000" cy="14287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pt;margin-top:2.75pt;height:112.5pt;width:420pt;z-index:-251614208;v-text-anchor:middle;mso-width-relative:page;mso-height-relative:page;" filled="f" stroked="t" coordsize="21600,21600" o:gfxdata="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W1NEnVAAAABwEAAA8AAAAAAAAAAQAgAAAAIgAAAGRycy9kb3ducmV2&#10;LnhtbFBLAQIUABQAAAAIAIdO4kCh4w2icQIAAM4EAAAOAAAAAAAAAAEAIAAAACQBAABkcnMvZTJv&#10;RG9jLnhtbFBLBQYAAAAABgAGAFkBAAAHBgAAAAA=&#10;">
                      <v:fill on="f" focussize="0,0"/>
                      <v:stroke weight="1.5pt" color="#000000 [3213]" joinstyle="round"/>
                      <v:imagedata o:title=""/>
                      <o:lock v:ext="edit" aspectratio="f"/>
                      <v:textbox>
                        <w:txbxContent>
                          <w:p>
                            <w:pPr>
                              <w:jc w:val="center"/>
                            </w:pPr>
                          </w:p>
                        </w:txbxContent>
                      </v:textbox>
                    </v:rect>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2970530</wp:posOffset>
                      </wp:positionH>
                      <wp:positionV relativeFrom="paragraph">
                        <wp:posOffset>203835</wp:posOffset>
                      </wp:positionV>
                      <wp:extent cx="5080" cy="455295"/>
                      <wp:effectExtent l="81915" t="13970" r="84455" b="64135"/>
                      <wp:wrapNone/>
                      <wp:docPr id="46" name="直接箭头连接符 46"/>
                      <wp:cNvGraphicFramePr/>
                      <a:graphic xmlns:a="http://schemas.openxmlformats.org/drawingml/2006/main">
                        <a:graphicData uri="http://schemas.microsoft.com/office/word/2010/wordprocessingShape">
                          <wps:wsp>
                            <wps:cNvCnPr/>
                            <wps:spPr>
                              <a:xfrm flipH="1" flipV="1">
                                <a:off x="3927475" y="2769235"/>
                                <a:ext cx="5080" cy="455295"/>
                              </a:xfrm>
                              <a:prstGeom prst="straightConnector1">
                                <a:avLst/>
                              </a:prstGeom>
                              <a:ln w="9525">
                                <a:prstDash val="dash"/>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x y;margin-left:233.9pt;margin-top:16.05pt;height:35.85pt;width:0.4pt;z-index:251702272;mso-width-relative:page;mso-height-relative:page;" filled="f" stroked="t" coordsize="21600,21600" o:gfxdata="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ibvCz9kAAAAKAQAADwAAAAAAAAABACAAAAAiAAAAZHJzL2Rvd25yZXYueG1s&#10;UEsBAhQAFAAAAAgAh07iQH0YEp1pAgAAqAQAAA4AAAAAAAAAAQAgAAAAKAEAAGRycy9lMm9Eb2Mu&#10;eG1sUEsFBgAAAAAGAAYAWQEAAAMGAAAAAA==&#10;">
                      <v:fill on="f" focussize="0,0"/>
                      <v:stroke color="#000000 [3200]" joinstyle="round" dashstyle="dash" endarrow="open"/>
                      <v:imagedata o:title=""/>
                      <o:lock v:ext="edit" aspectratio="f"/>
                      <v:shadow on="t" color="#000000" opacity="24903f" offset="0pt,1.5748031496063pt" origin="0f,32768f" matrix="65536f,0f,0f,65536f"/>
                    </v:shape>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1217930</wp:posOffset>
                      </wp:positionH>
                      <wp:positionV relativeFrom="paragraph">
                        <wp:posOffset>28575</wp:posOffset>
                      </wp:positionV>
                      <wp:extent cx="554355" cy="26479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554355" cy="264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9pt;margin-top:2.25pt;height:20.85pt;width:43.65pt;z-index:251706368;mso-width-relative:page;mso-height-relative:page;" filled="f" stroked="f" coordsize="21600,21600" o:gfxdata="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InoWtgAAAAIAQAADwAAAAAAAAABACAAAAAiAAAAZHJz&#10;L2Rvd25yZXYueG1sUEsBAhQAFAAAAAgAh07iQKkFVSI9AgAAZwQAAA4AAAAAAAAAAQAgAAAAJwEA&#10;AGRycy9lMm9Eb2MueG1sUEsFBgAAAAAGAAYAWQEAANYFAAAAAA==&#10;">
                      <v:fill on="f" focussize="0,0"/>
                      <v:stroke on="f" weight="0.5pt"/>
                      <v:imagedata o:title=""/>
                      <o:lock v:ext="edit" aspectratio="f"/>
                      <v:textbox>
                        <w:txbxContent>
                          <w:p>
                            <w:r>
                              <w:rPr>
                                <w:rFonts w:hint="eastAsia"/>
                              </w:rPr>
                              <w:t>废气</w:t>
                            </w:r>
                          </w:p>
                        </w:txbxContent>
                      </v:textbox>
                    </v:shape>
                  </w:pict>
                </mc:Fallback>
              </mc:AlternateContent>
            </w:r>
            <w:r>
              <w:rPr>
                <w:sz w:val="24"/>
              </w:rPr>
              <mc:AlternateContent>
                <mc:Choice Requires="wps">
                  <w:drawing>
                    <wp:anchor distT="0" distB="0" distL="114300" distR="114300" simplePos="0" relativeHeight="251705344" behindDoc="0" locked="0" layoutInCell="1" allowOverlap="1">
                      <wp:simplePos x="0" y="0"/>
                      <wp:positionH relativeFrom="column">
                        <wp:posOffset>1470025</wp:posOffset>
                      </wp:positionH>
                      <wp:positionV relativeFrom="paragraph">
                        <wp:posOffset>200660</wp:posOffset>
                      </wp:positionV>
                      <wp:extent cx="5080" cy="490855"/>
                      <wp:effectExtent l="78740" t="13970" r="87630" b="66675"/>
                      <wp:wrapNone/>
                      <wp:docPr id="44" name="直接箭头连接符 44"/>
                      <wp:cNvGraphicFramePr/>
                      <a:graphic xmlns:a="http://schemas.openxmlformats.org/drawingml/2006/main">
                        <a:graphicData uri="http://schemas.microsoft.com/office/word/2010/wordprocessingShape">
                          <wps:wsp>
                            <wps:cNvCnPr/>
                            <wps:spPr>
                              <a:xfrm flipV="1">
                                <a:off x="0" y="0"/>
                                <a:ext cx="5080" cy="490855"/>
                              </a:xfrm>
                              <a:prstGeom prst="straightConnector1">
                                <a:avLst/>
                              </a:prstGeom>
                              <a:ln w="9525">
                                <a:prstDash val="dash"/>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y;margin-left:115.75pt;margin-top:15.8pt;height:38.65pt;width:0.4pt;z-index:251705344;mso-width-relative:page;mso-height-relative:page;" filled="f" stroked="t" coordsize="21600,21600" o:gfxdata="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9883dcAAAAK&#10;AQAADwAAAAAAAAABACAAAAAiAAAAZHJzL2Rvd25yZXYueG1sUEsBAhQAFAAAAAgAh07iQDpc41BW&#10;AgAAkgQAAA4AAAAAAAAAAQAgAAAAJgEAAGRycy9lMm9Eb2MueG1sUEsFBgAAAAAGAAYAWQEAAO4F&#10;AAAAAA==&#10;">
                      <v:fill on="f" focussize="0,0"/>
                      <v:stroke color="#000000 [3200]" joinstyle="round" dashstyle="dash" endarrow="open"/>
                      <v:imagedata o:title=""/>
                      <o:lock v:ext="edit" aspectratio="f"/>
                      <v:shadow on="t" color="#000000" opacity="24903f" offset="0pt,1.5748031496063pt" origin="0f,32768f" matrix="65536f,0f,0f,65536f"/>
                    </v:shape>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2341880</wp:posOffset>
                      </wp:positionH>
                      <wp:positionV relativeFrom="paragraph">
                        <wp:posOffset>12700</wp:posOffset>
                      </wp:positionV>
                      <wp:extent cx="1597660" cy="264795"/>
                      <wp:effectExtent l="0" t="0" r="0" b="0"/>
                      <wp:wrapNone/>
                      <wp:docPr id="45" name="文本框 45"/>
                      <wp:cNvGraphicFramePr/>
                      <a:graphic xmlns:a="http://schemas.openxmlformats.org/drawingml/2006/main">
                        <a:graphicData uri="http://schemas.microsoft.com/office/word/2010/wordprocessingShape">
                          <wps:wsp>
                            <wps:cNvSpPr txBox="1"/>
                            <wps:spPr>
                              <a:xfrm>
                                <a:off x="3604895" y="2493645"/>
                                <a:ext cx="1597660" cy="264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噪声、废气、废包装材料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4pt;margin-top:1pt;height:20.85pt;width:125.8pt;z-index:251698176;mso-width-relative:page;mso-height-relative:page;" filled="f" stroked="f" coordsize="21600,21600" o:gfxdata="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M6Wg/aAAAACAEAAA8AAAAAAAAA&#10;AQAgAAAAIgAAAGRycy9kb3ducmV2LnhtbFBLAQIUABQAAAAIAIdO4kChjYuiSAIAAHQEAAAOAAAA&#10;AAAAAAEAIAAAACkBAABkcnMvZTJvRG9jLnhtbFBLBQYAAAAABgAGAFkBAADjBQAAAAA=&#10;">
                      <v:fill on="f" focussize="0,0"/>
                      <v:stroke on="f" weight="0.5pt"/>
                      <v:imagedata o:title=""/>
                      <o:lock v:ext="edit" aspectratio="f"/>
                      <v:textbox>
                        <w:txbxContent>
                          <w:p>
                            <w:r>
                              <w:rPr>
                                <w:rFonts w:hint="eastAsia"/>
                              </w:rPr>
                              <w:t>噪声、废气、废包装材料</w:t>
                            </w:r>
                          </w:p>
                        </w:txbxContent>
                      </v:textbox>
                    </v:shape>
                  </w:pict>
                </mc:Fallback>
              </mc:AlternateContent>
            </w:r>
          </w:p>
          <w:p>
            <w:pPr>
              <w:rPr>
                <w:sz w:val="24"/>
              </w:rPr>
            </w:pPr>
          </w:p>
          <w:p>
            <w:pPr>
              <w:pStyle w:val="30"/>
              <w:ind w:firstLine="480"/>
            </w:pPr>
            <w:r>
              <mc:AlternateContent>
                <mc:Choice Requires="wps">
                  <w:drawing>
                    <wp:anchor distT="0" distB="0" distL="114300" distR="114300" simplePos="0" relativeHeight="251703296" behindDoc="0" locked="0" layoutInCell="1" allowOverlap="1">
                      <wp:simplePos x="0" y="0"/>
                      <wp:positionH relativeFrom="column">
                        <wp:posOffset>1010285</wp:posOffset>
                      </wp:positionH>
                      <wp:positionV relativeFrom="paragraph">
                        <wp:posOffset>232410</wp:posOffset>
                      </wp:positionV>
                      <wp:extent cx="909955" cy="550545"/>
                      <wp:effectExtent l="5080" t="4445" r="18415" b="16510"/>
                      <wp:wrapNone/>
                      <wp:docPr id="3" name="流程图: 过程 3"/>
                      <wp:cNvGraphicFramePr/>
                      <a:graphic xmlns:a="http://schemas.openxmlformats.org/drawingml/2006/main">
                        <a:graphicData uri="http://schemas.microsoft.com/office/word/2010/wordprocessingShape">
                          <wps:wsp>
                            <wps:cNvSpPr/>
                            <wps:spPr>
                              <a:xfrm>
                                <a:off x="0" y="0"/>
                                <a:ext cx="909955" cy="550545"/>
                              </a:xfrm>
                              <a:prstGeom prst="flowChartProcess">
                                <a:avLst/>
                              </a:prstGeom>
                              <a:ln w="9525"/>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装修装饰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79.55pt;margin-top:18.3pt;height:43.35pt;width:71.65pt;z-index:251703296;v-text-anchor:middle;mso-width-relative:page;mso-height-relative:page;" fillcolor="#FFFFFF [3201]" filled="t" stroked="t" coordsize="21600,21600" o:gfxdata="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Lp3bqNcAAAAKAQAADwAAAAAAAAABACAAAAAi&#10;AAAAZHJzL2Rvd25yZXYueG1sUEsBAhQAFAAAAAgAh07iQHIYDwh9AgAA/QQAAA4AAAAAAAAAAQAg&#10;AAAAJgEAAGRycy9lMm9Eb2MueG1sUEsFBgAAAAAGAAYAWQEAABUGAAAAAA==&#10;">
                      <v:fill on="t" focussize="0,0"/>
                      <v:stroke color="#000000 [3200]" joinstyle="round"/>
                      <v:imagedata o:title=""/>
                      <o:lock v:ext="edit" aspectratio="f"/>
                      <v:textbox>
                        <w:txbxContent>
                          <w:p>
                            <w:pPr>
                              <w:jc w:val="center"/>
                            </w:pPr>
                            <w:r>
                              <w:rPr>
                                <w:rFonts w:hint="eastAsia"/>
                              </w:rPr>
                              <w:t>装修装饰</w:t>
                            </w:r>
                          </w:p>
                        </w:txbxContent>
                      </v:textbox>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2448560</wp:posOffset>
                      </wp:positionH>
                      <wp:positionV relativeFrom="paragraph">
                        <wp:posOffset>222885</wp:posOffset>
                      </wp:positionV>
                      <wp:extent cx="909955" cy="550545"/>
                      <wp:effectExtent l="5080" t="4445" r="18415" b="16510"/>
                      <wp:wrapNone/>
                      <wp:docPr id="84" name="流程图: 过程 84"/>
                      <wp:cNvGraphicFramePr/>
                      <a:graphic xmlns:a="http://schemas.openxmlformats.org/drawingml/2006/main">
                        <a:graphicData uri="http://schemas.microsoft.com/office/word/2010/wordprocessingShape">
                          <wps:wsp>
                            <wps:cNvSpPr/>
                            <wps:spPr>
                              <a:xfrm>
                                <a:off x="0" y="0"/>
                                <a:ext cx="909955" cy="550545"/>
                              </a:xfrm>
                              <a:prstGeom prst="flowChartProcess">
                                <a:avLst/>
                              </a:prstGeom>
                              <a:ln w="9525"/>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设备安装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192.8pt;margin-top:17.55pt;height:43.35pt;width:71.65pt;z-index:251699200;v-text-anchor:middle;mso-width-relative:page;mso-height-relative:page;" fillcolor="#FFFFFF [3201]" filled="t" stroked="t" coordsize="21600,21600" o:gfxdata="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4+Ous2AAAAAoBAAAPAAAAAAAAAAEAIAAA&#10;ACIAAABkcnMvZG93bnJldi54bWxQSwECFAAUAAAACACHTuJAJsF6JX4CAAD/BAAADgAAAAAAAAAB&#10;ACAAAAAnAQAAZHJzL2Uyb0RvYy54bWxQSwUGAAAAAAYABgBZAQAAFwYAAAAA&#10;">
                      <v:fill on="t" focussize="0,0"/>
                      <v:stroke color="#000000 [3200]" joinstyle="round"/>
                      <v:imagedata o:title=""/>
                      <o:lock v:ext="edit" aspectratio="f"/>
                      <v:textbox>
                        <w:txbxContent>
                          <w:p>
                            <w:pPr>
                              <w:jc w:val="center"/>
                            </w:pPr>
                            <w:r>
                              <w:rPr>
                                <w:rFonts w:hint="eastAsia"/>
                              </w:rPr>
                              <w:t>设备安装</w:t>
                            </w:r>
                          </w:p>
                        </w:txbxContent>
                      </v:textbox>
                    </v:shap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3896360</wp:posOffset>
                      </wp:positionH>
                      <wp:positionV relativeFrom="paragraph">
                        <wp:posOffset>214630</wp:posOffset>
                      </wp:positionV>
                      <wp:extent cx="899160" cy="550545"/>
                      <wp:effectExtent l="5080" t="4445" r="10160" b="16510"/>
                      <wp:wrapNone/>
                      <wp:docPr id="85" name="流程图: 过程 85"/>
                      <wp:cNvGraphicFramePr/>
                      <a:graphic xmlns:a="http://schemas.openxmlformats.org/drawingml/2006/main">
                        <a:graphicData uri="http://schemas.microsoft.com/office/word/2010/wordprocessingShape">
                          <wps:wsp>
                            <wps:cNvSpPr/>
                            <wps:spPr>
                              <a:xfrm>
                                <a:off x="0" y="0"/>
                                <a:ext cx="899160" cy="550545"/>
                              </a:xfrm>
                              <a:prstGeom prst="flowChartProcess">
                                <a:avLst/>
                              </a:prstGeom>
                              <a:ln w="9525"/>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工程验收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306.8pt;margin-top:16.9pt;height:43.35pt;width:70.8pt;z-index:251700224;v-text-anchor:middle;mso-width-relative:page;mso-height-relative:page;" fillcolor="#FFFFFF [3201]" filled="t" stroked="t" coordsize="21600,21600" o:gfxdata="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kXOmA2AAAAAoBAAAPAAAAAAAAAAEA&#10;IAAAACIAAABkcnMvZG93bnJldi54bWxQSwECFAAUAAAACACHTuJAqO6txYECAAD/BAAADgAAAAAA&#10;AAABACAAAAAnAQAAZHJzL2Uyb0RvYy54bWxQSwUGAAAAAAYABgBZAQAAGgYAAAAA&#10;">
                      <v:fill on="t" focussize="0,0"/>
                      <v:stroke color="#000000 [3200]" joinstyle="round"/>
                      <v:imagedata o:title=""/>
                      <o:lock v:ext="edit" aspectratio="f"/>
                      <v:textbox>
                        <w:txbxContent>
                          <w:p>
                            <w:pPr>
                              <w:jc w:val="center"/>
                            </w:pPr>
                            <w:r>
                              <w:rPr>
                                <w:rFonts w:hint="eastAsia"/>
                              </w:rPr>
                              <w:t>工程验收</w:t>
                            </w:r>
                          </w:p>
                        </w:txbxContent>
                      </v:textbox>
                    </v:shape>
                  </w:pict>
                </mc:Fallback>
              </mc:AlternateContent>
            </w:r>
          </w:p>
          <w:p>
            <w:pPr>
              <w:rPr>
                <w:sz w:val="24"/>
              </w:rPr>
            </w:pPr>
            <w:r>
              <w:rPr>
                <w:sz w:val="24"/>
              </w:rPr>
              <mc:AlternateContent>
                <mc:Choice Requires="wps">
                  <w:drawing>
                    <wp:anchor distT="0" distB="0" distL="114300" distR="114300" simplePos="0" relativeHeight="251704320" behindDoc="0" locked="0" layoutInCell="1" allowOverlap="1">
                      <wp:simplePos x="0" y="0"/>
                      <wp:positionH relativeFrom="column">
                        <wp:posOffset>1931670</wp:posOffset>
                      </wp:positionH>
                      <wp:positionV relativeFrom="paragraph">
                        <wp:posOffset>80010</wp:posOffset>
                      </wp:positionV>
                      <wp:extent cx="528320" cy="9525"/>
                      <wp:effectExtent l="33655" t="54610" r="47625" b="107315"/>
                      <wp:wrapNone/>
                      <wp:docPr id="47" name="直接箭头连接符 47"/>
                      <wp:cNvGraphicFramePr/>
                      <a:graphic xmlns:a="http://schemas.openxmlformats.org/drawingml/2006/main">
                        <a:graphicData uri="http://schemas.microsoft.com/office/word/2010/wordprocessingShape">
                          <wps:wsp>
                            <wps:cNvCnPr/>
                            <wps:spPr>
                              <a:xfrm>
                                <a:off x="0" y="0"/>
                                <a:ext cx="528320" cy="9525"/>
                              </a:xfrm>
                              <a:prstGeom prst="straightConnector1">
                                <a:avLst/>
                              </a:prstGeom>
                              <a:ln w="9525">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margin-left:152.1pt;margin-top:6.3pt;height:0.75pt;width:41.6pt;z-index:251704320;mso-width-relative:page;mso-height-relative:page;" filled="f" stroked="t" coordsize="21600,21600" o:gfxdata="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XITmw2AAAAAkBAAAPAAAAAAAA&#10;AAEAIAAAACIAAABkcnMvZG93bnJldi54bWxQSwECFAAUAAAACACHTuJA10JIgksCAACJBAAADgAA&#10;AAAAAAABACAAAAAnAQAAZHJzL2Uyb0RvYy54bWxQSwUGAAAAAAYABgBZAQAA5AUAAAAA&#10;">
                      <v:fill on="f" focussize="0,0"/>
                      <v:stroke color="#000000 [3200]" joinstyle="round" endarrow="open"/>
                      <v:imagedata o:title=""/>
                      <o:lock v:ext="edit" aspectratio="f"/>
                      <v:shadow on="t" color="#000000" opacity="24903f" offset="0pt,1.5748031496063pt" origin="0f,32768f" matrix="65536f,0f,0f,65536f"/>
                    </v:shape>
                  </w:pict>
                </mc:Fallback>
              </mc:AlternateContent>
            </w:r>
            <w:r>
              <w:rPr>
                <w:sz w:val="24"/>
              </w:rPr>
              <mc:AlternateContent>
                <mc:Choice Requires="wps">
                  <w:drawing>
                    <wp:anchor distT="0" distB="0" distL="114300" distR="114300" simplePos="0" relativeHeight="251701248" behindDoc="0" locked="0" layoutInCell="1" allowOverlap="1">
                      <wp:simplePos x="0" y="0"/>
                      <wp:positionH relativeFrom="column">
                        <wp:posOffset>3379470</wp:posOffset>
                      </wp:positionH>
                      <wp:positionV relativeFrom="paragraph">
                        <wp:posOffset>99060</wp:posOffset>
                      </wp:positionV>
                      <wp:extent cx="528320" cy="9525"/>
                      <wp:effectExtent l="33655" t="54610" r="47625" b="107315"/>
                      <wp:wrapNone/>
                      <wp:docPr id="48" name="直接箭头连接符 48"/>
                      <wp:cNvGraphicFramePr/>
                      <a:graphic xmlns:a="http://schemas.openxmlformats.org/drawingml/2006/main">
                        <a:graphicData uri="http://schemas.microsoft.com/office/word/2010/wordprocessingShape">
                          <wps:wsp>
                            <wps:cNvCnPr/>
                            <wps:spPr>
                              <a:xfrm>
                                <a:off x="4360545" y="2931795"/>
                                <a:ext cx="528320" cy="9525"/>
                              </a:xfrm>
                              <a:prstGeom prst="straightConnector1">
                                <a:avLst/>
                              </a:prstGeom>
                              <a:ln w="9525">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margin-left:266.1pt;margin-top:7.8pt;height:0.75pt;width:41.6pt;z-index:251701248;mso-width-relative:page;mso-height-relative:page;" filled="f" stroked="t" coordsize="21600,21600" o:gfxdata="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1uBa&#10;e9kAAAAJAQAADwAAAAAAAAABACAAAAAiAAAAZHJzL2Rvd25yZXYueG1sUEsBAhQAFAAAAAgAh07i&#10;QKjeEfxaAgAAlQQAAA4AAAAAAAAAAQAgAAAAKAEAAGRycy9lMm9Eb2MueG1sUEsFBgAAAAAGAAYA&#10;WQEAAPQFAAAAAA==&#10;">
                      <v:fill on="f" focussize="0,0"/>
                      <v:stroke color="#000000 [3200]" joinstyle="round" endarrow="open"/>
                      <v:imagedata o:title=""/>
                      <o:lock v:ext="edit" aspectratio="f"/>
                      <v:shadow on="t" color="#000000" opacity="24903f" offset="0pt,1.5748031496063pt" origin="0f,32768f" matrix="65536f,0f,0f,65536f"/>
                    </v:shape>
                  </w:pict>
                </mc:Fallback>
              </mc:AlternateContent>
            </w:r>
          </w:p>
          <w:p>
            <w:pPr>
              <w:pStyle w:val="30"/>
              <w:ind w:firstLine="480"/>
            </w:pPr>
          </w:p>
          <w:p>
            <w:pPr>
              <w:adjustRightInd w:val="0"/>
              <w:snapToGrid w:val="0"/>
              <w:spacing w:line="520" w:lineRule="exact"/>
              <w:ind w:left="0" w:leftChars="0" w:right="0" w:rightChars="0" w:firstLine="0" w:firstLineChars="0"/>
              <w:jc w:val="center"/>
              <w:rPr>
                <w:rFonts w:hint="default" w:ascii="Times New Roman" w:hAnsi="Times New Roman" w:eastAsia="黑体" w:cs="Times New Roman"/>
                <w:sz w:val="24"/>
                <w:szCs w:val="24"/>
              </w:rPr>
            </w:pPr>
            <w:r>
              <w:rPr>
                <w:rFonts w:hint="default" w:ascii="Times New Roman" w:hAnsi="Times New Roman" w:eastAsia="黑体" w:cs="Times New Roman"/>
                <w:b w:val="0"/>
                <w:bCs w:val="0"/>
                <w:color w:val="auto"/>
                <w:sz w:val="24"/>
                <w:szCs w:val="24"/>
              </w:rPr>
              <w:t>图2-</w:t>
            </w:r>
            <w:r>
              <w:rPr>
                <w:rFonts w:hint="eastAsia" w:eastAsia="黑体" w:cs="Times New Roman"/>
                <w:b w:val="0"/>
                <w:bCs w:val="0"/>
                <w:color w:val="auto"/>
                <w:sz w:val="24"/>
                <w:szCs w:val="24"/>
                <w:lang w:val="en-US" w:eastAsia="zh-CN"/>
              </w:rPr>
              <w:t>3</w:t>
            </w:r>
            <w:r>
              <w:rPr>
                <w:rFonts w:hint="default" w:ascii="Times New Roman" w:hAnsi="Times New Roman" w:eastAsia="黑体" w:cs="Times New Roman"/>
                <w:b w:val="0"/>
                <w:bCs w:val="0"/>
                <w:color w:val="auto"/>
                <w:sz w:val="24"/>
                <w:szCs w:val="24"/>
              </w:rPr>
              <w:t xml:space="preserve">  施工期工艺流程及产污环节分析</w:t>
            </w:r>
          </w:p>
          <w:p>
            <w:pPr>
              <w:adjustRightInd w:val="0"/>
              <w:snapToGrid w:val="0"/>
              <w:spacing w:line="520" w:lineRule="exact"/>
              <w:ind w:firstLine="482" w:firstLineChars="200"/>
              <w:rPr>
                <w:b/>
                <w:bCs/>
                <w:sz w:val="24"/>
              </w:rPr>
            </w:pPr>
            <w:r>
              <w:rPr>
                <w:b/>
                <w:bCs/>
                <w:sz w:val="24"/>
              </w:rPr>
              <w:t>2、运营期</w:t>
            </w:r>
          </w:p>
          <w:p>
            <w:pPr>
              <w:pStyle w:val="65"/>
              <w:rPr>
                <w:rFonts w:hint="eastAsia"/>
              </w:rPr>
            </w:pPr>
            <w:r>
              <w:rPr>
                <w:rFonts w:hint="eastAsia"/>
                <w:lang w:eastAsia="zh-CN"/>
              </w:rPr>
              <w:t>（</w:t>
            </w:r>
            <w:r>
              <w:rPr>
                <w:rFonts w:hint="eastAsia"/>
                <w:lang w:val="en-US" w:eastAsia="zh-CN"/>
              </w:rPr>
              <w:t>1</w:t>
            </w:r>
            <w:r>
              <w:rPr>
                <w:rFonts w:hint="eastAsia"/>
                <w:lang w:eastAsia="zh-CN"/>
              </w:rPr>
              <w:t>）</w:t>
            </w:r>
            <w:r>
              <w:rPr>
                <w:rFonts w:hint="eastAsia"/>
              </w:rPr>
              <w:t>将砂石料、水泥、聚苯颗粒熟化料、纤维素及水通过螺旋配送器，输送至混合机内搅拌，可形成保温聚合物</w:t>
            </w:r>
            <w:r>
              <w:rPr>
                <w:rFonts w:hint="eastAsia"/>
                <w:lang w:val="en-US" w:eastAsia="zh-CN"/>
              </w:rPr>
              <w:t>砂浆</w:t>
            </w:r>
            <w:r>
              <w:rPr>
                <w:rFonts w:hint="eastAsia"/>
              </w:rPr>
              <w:t>，输送路径采用管道，并实现落料接口与混合机无缝隙连接，无粉尘外溢</w:t>
            </w:r>
            <w:r>
              <w:rPr>
                <w:rFonts w:hint="eastAsia"/>
                <w:lang w:eastAsia="zh-CN"/>
              </w:rPr>
              <w:t>。</w:t>
            </w:r>
            <w:r>
              <w:rPr>
                <w:rFonts w:hint="eastAsia"/>
              </w:rPr>
              <w:t>在封闭混合机加料孔中投入水泥砂浆，并加水混合，混合过程中盖上混合机顶盖，使混合机处于封闭状态。</w:t>
            </w:r>
          </w:p>
          <w:p>
            <w:pPr>
              <w:pStyle w:val="65"/>
              <w:rPr>
                <w:rFonts w:hint="default" w:eastAsia="宋体"/>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在流水线上放置保温板，涂抹界面剂，</w:t>
            </w:r>
            <w:r>
              <w:rPr>
                <w:rFonts w:hint="eastAsia"/>
              </w:rPr>
              <w:t>在复合机输送带的带动下自动铺设</w:t>
            </w:r>
            <w:r>
              <w:rPr>
                <w:rFonts w:hint="eastAsia"/>
                <w:lang w:val="en-US" w:eastAsia="zh-CN"/>
              </w:rPr>
              <w:t>聚合物砂浆，下一层铺设</w:t>
            </w:r>
            <w:r>
              <w:rPr>
                <w:rFonts w:hint="eastAsia"/>
              </w:rPr>
              <w:t>网格布，</w:t>
            </w:r>
            <w:r>
              <w:rPr>
                <w:rFonts w:hint="eastAsia"/>
                <w:lang w:val="en-US" w:eastAsia="zh-CN"/>
              </w:rPr>
              <w:t>再铺设一层聚合物砂浆。</w:t>
            </w:r>
            <w:r>
              <w:rPr>
                <w:rFonts w:hint="eastAsia"/>
              </w:rPr>
              <w:t>在复合机刮板作用下，保温聚合物均匀摊平。</w:t>
            </w:r>
            <w:r>
              <w:rPr>
                <w:rFonts w:hint="eastAsia"/>
                <w:lang w:val="en-US" w:eastAsia="zh-CN"/>
              </w:rPr>
              <w:t>保温板一面铺设完成后上架晾晒。将半成品翻面后再过流水线，重复上述工艺。</w:t>
            </w:r>
          </w:p>
          <w:p>
            <w:pPr>
              <w:pStyle w:val="65"/>
              <w:rPr>
                <w:rFonts w:hint="eastAsia"/>
              </w:rPr>
            </w:pPr>
            <w:r>
              <w:rPr>
                <w:rFonts w:hint="eastAsia"/>
                <w:lang w:eastAsia="zh-CN"/>
              </w:rPr>
              <w:t>（</w:t>
            </w:r>
            <w:r>
              <w:rPr>
                <w:rFonts w:hint="eastAsia"/>
                <w:lang w:val="en-US" w:eastAsia="zh-CN"/>
              </w:rPr>
              <w:t>3</w:t>
            </w:r>
            <w:r>
              <w:rPr>
                <w:rFonts w:hint="eastAsia"/>
                <w:lang w:eastAsia="zh-CN"/>
              </w:rPr>
              <w:t>）</w:t>
            </w:r>
            <w:r>
              <w:rPr>
                <w:rFonts w:hint="eastAsia"/>
              </w:rPr>
              <w:t>人工转移至</w:t>
            </w:r>
            <w:r>
              <w:rPr>
                <w:rFonts w:hint="eastAsia"/>
                <w:lang w:val="en-US" w:eastAsia="zh-CN"/>
              </w:rPr>
              <w:t>养护区</w:t>
            </w:r>
            <w:r>
              <w:rPr>
                <w:rFonts w:hint="eastAsia"/>
              </w:rPr>
              <w:t>晾晒架上在厂房内部晾晒24h，常温下自然风干，夏季温度高于30</w:t>
            </w:r>
            <w:r>
              <w:rPr>
                <w:rFonts w:hint="eastAsia"/>
                <w:lang w:val="en-US" w:eastAsia="zh-CN"/>
              </w:rPr>
              <w:t>℃</w:t>
            </w:r>
            <w:r>
              <w:rPr>
                <w:rFonts w:hint="eastAsia"/>
              </w:rPr>
              <w:t>时采用喷水养护，其他情况下不进行喷水养护。</w:t>
            </w:r>
          </w:p>
          <w:p>
            <w:pPr>
              <w:pStyle w:val="65"/>
              <w:rPr>
                <w:rFonts w:hint="eastAsia"/>
              </w:rPr>
            </w:pPr>
            <w:r>
              <w:rPr>
                <w:rFonts w:hint="eastAsia"/>
                <w:lang w:eastAsia="zh-CN"/>
              </w:rPr>
              <w:t>（</w:t>
            </w:r>
            <w:r>
              <w:rPr>
                <w:rFonts w:hint="eastAsia"/>
                <w:lang w:val="en-US" w:eastAsia="zh-CN"/>
              </w:rPr>
              <w:t>4</w:t>
            </w:r>
            <w:r>
              <w:rPr>
                <w:rFonts w:hint="eastAsia"/>
                <w:lang w:eastAsia="zh-CN"/>
              </w:rPr>
              <w:t>）</w:t>
            </w:r>
            <w:r>
              <w:rPr>
                <w:rFonts w:hint="eastAsia"/>
              </w:rPr>
              <w:t>对半成品模板两端采用切割机进行修边处理，</w:t>
            </w:r>
            <w:r>
              <w:rPr>
                <w:rFonts w:hint="eastAsia"/>
                <w:lang w:val="en-US" w:eastAsia="zh-CN"/>
              </w:rPr>
              <w:t>本项目切割采用高压水切割，切割废水经集水池收集后回用于切割工艺。</w:t>
            </w:r>
            <w:r>
              <w:rPr>
                <w:rFonts w:hint="eastAsia"/>
              </w:rPr>
              <w:t>切割工序均在车间内进行，处理后的成品待售。</w:t>
            </w:r>
          </w:p>
          <w:p>
            <w:pPr>
              <w:pStyle w:val="65"/>
            </w:pPr>
            <w:r>
              <w:t>项目运营期工艺流程及产污环节详见下图。</w:t>
            </w:r>
          </w:p>
          <w:p>
            <w:pPr>
              <w:pStyle w:val="61"/>
              <w:spacing w:line="240" w:lineRule="auto"/>
              <w:ind w:firstLine="0" w:firstLineChars="0"/>
              <w:jc w:val="center"/>
              <w:rPr>
                <w:rFonts w:hAnsi="Times New Roman" w:eastAsia="黑体"/>
                <w:b w:val="0"/>
                <w:bCs w:val="0"/>
                <w:color w:val="auto"/>
                <w:szCs w:val="24"/>
              </w:rPr>
            </w:pPr>
            <w:r>
              <w:rPr>
                <w:rFonts w:hAnsi="Times New Roman" w:eastAsia="黑体"/>
                <w:b w:val="0"/>
                <w:bCs w:val="0"/>
                <w:color w:val="auto"/>
                <w:szCs w:val="24"/>
              </w:rPr>
              <w:object>
                <v:shape id="_x0000_i1026" o:spt="75" type="#_x0000_t75" style="height:469.1pt;width:417.9pt;" o:ole="t" filled="f" o:preferrelative="t" stroked="t" coordsize="21600,21600">
                  <v:path/>
                  <v:fill on="f" focussize="0,0"/>
                  <v:stroke weight="1.5pt" color="#000000" joinstyle="miter"/>
                  <v:imagedata r:id="rId22" o:title=""/>
                  <o:lock v:ext="edit" aspectratio="f"/>
                  <w10:wrap type="none"/>
                  <w10:anchorlock/>
                </v:shape>
                <o:OLEObject Type="Embed" ProgID="Visio.Drawing.11" ShapeID="_x0000_i1026" DrawAspect="Content" ObjectID="_1468075726" r:id="rId21">
                  <o:LockedField>false</o:LockedField>
                </o:OLEObject>
              </w:object>
            </w:r>
            <w:r>
              <w:rPr>
                <w:rFonts w:hAnsi="Times New Roman" w:eastAsia="黑体"/>
                <w:b w:val="0"/>
                <w:bCs w:val="0"/>
                <w:color w:val="auto"/>
                <w:szCs w:val="24"/>
              </w:rPr>
              <w:t>图2-</w:t>
            </w:r>
            <w:r>
              <w:rPr>
                <w:rFonts w:hint="eastAsia" w:hAnsi="Times New Roman" w:eastAsia="黑体"/>
                <w:b w:val="0"/>
                <w:bCs w:val="0"/>
                <w:color w:val="auto"/>
                <w:szCs w:val="24"/>
                <w:lang w:val="en-US" w:eastAsia="zh-CN"/>
              </w:rPr>
              <w:t>4</w:t>
            </w:r>
            <w:r>
              <w:rPr>
                <w:rFonts w:hAnsi="Times New Roman" w:eastAsia="黑体"/>
                <w:b w:val="0"/>
                <w:bCs w:val="0"/>
                <w:color w:val="auto"/>
                <w:szCs w:val="24"/>
              </w:rPr>
              <w:t xml:space="preserve">  运营期工艺流程及产污环节</w:t>
            </w:r>
          </w:p>
          <w:p>
            <w:pPr>
              <w:adjustRightInd w:val="0"/>
              <w:snapToGrid w:val="0"/>
              <w:spacing w:line="520" w:lineRule="exact"/>
              <w:ind w:firstLine="482" w:firstLineChars="200"/>
              <w:rPr>
                <w:b/>
                <w:bCs/>
                <w:sz w:val="24"/>
              </w:rPr>
            </w:pPr>
            <w:r>
              <w:rPr>
                <w:b/>
                <w:bCs/>
                <w:sz w:val="24"/>
              </w:rPr>
              <w:t>2.2</w:t>
            </w:r>
            <w:r>
              <w:rPr>
                <w:rFonts w:hint="eastAsia"/>
                <w:b/>
                <w:bCs/>
                <w:sz w:val="24"/>
              </w:rPr>
              <w:t>运营期</w:t>
            </w:r>
            <w:r>
              <w:rPr>
                <w:b/>
                <w:bCs/>
                <w:sz w:val="24"/>
              </w:rPr>
              <w:t>产污环节</w:t>
            </w:r>
          </w:p>
          <w:p>
            <w:pPr>
              <w:adjustRightInd w:val="0"/>
              <w:snapToGrid w:val="0"/>
              <w:spacing w:line="520" w:lineRule="exact"/>
              <w:ind w:firstLine="482" w:firstLineChars="200"/>
              <w:rPr>
                <w:b/>
                <w:bCs/>
                <w:sz w:val="24"/>
              </w:rPr>
            </w:pPr>
            <w:r>
              <w:rPr>
                <w:rFonts w:hint="eastAsia"/>
                <w:b/>
                <w:bCs/>
                <w:sz w:val="24"/>
              </w:rPr>
              <w:t>2.2.1</w:t>
            </w:r>
            <w:r>
              <w:rPr>
                <w:b/>
                <w:bCs/>
                <w:sz w:val="24"/>
              </w:rPr>
              <w:t>废气</w:t>
            </w:r>
          </w:p>
          <w:p>
            <w:pPr>
              <w:numPr>
                <w:ilvl w:val="0"/>
                <w:numId w:val="9"/>
              </w:numPr>
              <w:adjustRightInd w:val="0"/>
              <w:snapToGrid w:val="0"/>
              <w:spacing w:line="520" w:lineRule="exact"/>
              <w:ind w:firstLine="480" w:firstLineChars="200"/>
              <w:rPr>
                <w:sz w:val="24"/>
              </w:rPr>
            </w:pPr>
            <w:r>
              <w:rPr>
                <w:rFonts w:hint="eastAsia"/>
                <w:sz w:val="24"/>
                <w:lang w:val="en-US" w:eastAsia="zh-CN"/>
              </w:rPr>
              <w:t>储存</w:t>
            </w:r>
            <w:r>
              <w:rPr>
                <w:rFonts w:hint="eastAsia"/>
                <w:sz w:val="24"/>
              </w:rPr>
              <w:t>扬尘</w:t>
            </w:r>
          </w:p>
          <w:p>
            <w:pPr>
              <w:adjustRightInd w:val="0"/>
              <w:snapToGrid w:val="0"/>
              <w:spacing w:line="520" w:lineRule="exact"/>
              <w:ind w:firstLine="480" w:firstLineChars="200"/>
              <w:rPr>
                <w:sz w:val="24"/>
              </w:rPr>
            </w:pPr>
            <w:r>
              <w:rPr>
                <w:rFonts w:hint="eastAsia"/>
                <w:sz w:val="24"/>
              </w:rPr>
              <w:t>将砂石料等原料装卸、储存时会产生粉尘。</w:t>
            </w:r>
          </w:p>
          <w:p>
            <w:pPr>
              <w:numPr>
                <w:ilvl w:val="0"/>
                <w:numId w:val="9"/>
              </w:numPr>
              <w:adjustRightInd w:val="0"/>
              <w:snapToGrid w:val="0"/>
              <w:spacing w:line="520" w:lineRule="exact"/>
              <w:ind w:firstLine="480" w:firstLineChars="200"/>
              <w:rPr>
                <w:rFonts w:hAnsi="宋体"/>
                <w:kern w:val="0"/>
                <w:sz w:val="24"/>
              </w:rPr>
            </w:pPr>
            <w:r>
              <w:rPr>
                <w:rFonts w:hint="eastAsia" w:hAnsi="宋体"/>
                <w:kern w:val="0"/>
                <w:sz w:val="24"/>
              </w:rPr>
              <w:t>输送粉尘</w:t>
            </w:r>
          </w:p>
          <w:p>
            <w:pPr>
              <w:adjustRightInd w:val="0"/>
              <w:snapToGrid w:val="0"/>
              <w:spacing w:line="520" w:lineRule="exact"/>
              <w:ind w:firstLine="480" w:firstLineChars="200"/>
              <w:rPr>
                <w:snapToGrid w:val="0"/>
                <w:kern w:val="0"/>
                <w:sz w:val="24"/>
              </w:rPr>
            </w:pPr>
            <w:r>
              <w:rPr>
                <w:rFonts w:hint="eastAsia"/>
                <w:sz w:val="24"/>
              </w:rPr>
              <w:t>物料运输过程中会产生粉尘，本项目采用密闭运输，则产生粉尘量可忽略不计</w:t>
            </w:r>
            <w:r>
              <w:rPr>
                <w:sz w:val="24"/>
              </w:rPr>
              <w:t>。</w:t>
            </w:r>
          </w:p>
          <w:p>
            <w:pPr>
              <w:adjustRightInd w:val="0"/>
              <w:snapToGrid w:val="0"/>
              <w:spacing w:line="520" w:lineRule="exact"/>
              <w:ind w:firstLine="480" w:firstLineChars="200"/>
              <w:rPr>
                <w:rFonts w:hAnsi="宋体"/>
                <w:kern w:val="0"/>
                <w:sz w:val="24"/>
              </w:rPr>
            </w:pPr>
            <w:r>
              <w:rPr>
                <w:rFonts w:hint="eastAsia" w:hAnsi="宋体"/>
                <w:kern w:val="0"/>
                <w:sz w:val="24"/>
              </w:rPr>
              <w:t>（3）混料粉尘</w:t>
            </w:r>
          </w:p>
          <w:p>
            <w:pPr>
              <w:spacing w:line="520" w:lineRule="exact"/>
              <w:ind w:firstLine="480" w:firstLineChars="200"/>
              <w:rPr>
                <w:rFonts w:hAnsi="宋体"/>
                <w:sz w:val="24"/>
              </w:rPr>
            </w:pPr>
            <w:r>
              <w:rPr>
                <w:rFonts w:hint="eastAsia" w:hAnsi="宋体"/>
                <w:sz w:val="24"/>
                <w:lang w:val="en-US" w:eastAsia="zh-CN"/>
              </w:rPr>
              <w:t>物料</w:t>
            </w:r>
            <w:r>
              <w:rPr>
                <w:rFonts w:hint="eastAsia" w:hAnsi="宋体"/>
                <w:sz w:val="24"/>
              </w:rPr>
              <w:t>混合搅拌时会产生粉尘。</w:t>
            </w:r>
          </w:p>
          <w:p>
            <w:pPr>
              <w:adjustRightInd w:val="0"/>
              <w:snapToGrid w:val="0"/>
              <w:spacing w:line="520" w:lineRule="exact"/>
              <w:ind w:firstLine="482" w:firstLineChars="200"/>
              <w:rPr>
                <w:sz w:val="24"/>
              </w:rPr>
            </w:pPr>
            <w:r>
              <w:rPr>
                <w:rFonts w:hint="eastAsia"/>
                <w:b/>
                <w:bCs/>
                <w:sz w:val="24"/>
              </w:rPr>
              <w:t>2.2.2</w:t>
            </w:r>
            <w:r>
              <w:rPr>
                <w:b/>
                <w:bCs/>
                <w:sz w:val="24"/>
              </w:rPr>
              <w:t>废水</w:t>
            </w:r>
          </w:p>
          <w:p>
            <w:pPr>
              <w:adjustRightInd w:val="0"/>
              <w:snapToGrid w:val="0"/>
              <w:spacing w:line="520" w:lineRule="exact"/>
              <w:ind w:firstLine="480" w:firstLineChars="200"/>
              <w:rPr>
                <w:sz w:val="24"/>
              </w:rPr>
            </w:pPr>
            <w:r>
              <w:rPr>
                <w:rFonts w:hint="eastAsia"/>
                <w:sz w:val="24"/>
                <w:lang w:val="en-US" w:eastAsia="zh-CN"/>
              </w:rPr>
              <w:t>本项目无生产废水产生，</w:t>
            </w:r>
            <w:r>
              <w:rPr>
                <w:sz w:val="24"/>
              </w:rPr>
              <w:t>生活污水中主要污染因子COD</w:t>
            </w:r>
            <w:r>
              <w:rPr>
                <w:rFonts w:hint="eastAsia"/>
                <w:sz w:val="24"/>
                <w:vertAlign w:val="subscript"/>
                <w:lang w:val="en-US" w:eastAsia="zh-CN"/>
              </w:rPr>
              <w:t>Cr</w:t>
            </w:r>
            <w:r>
              <w:rPr>
                <w:sz w:val="24"/>
              </w:rPr>
              <w:t>、BOD</w:t>
            </w:r>
            <w:r>
              <w:rPr>
                <w:rFonts w:hint="eastAsia"/>
                <w:sz w:val="24"/>
                <w:vertAlign w:val="subscript"/>
                <w:lang w:val="en-US" w:eastAsia="zh-CN"/>
              </w:rPr>
              <w:t>5</w:t>
            </w:r>
            <w:r>
              <w:rPr>
                <w:sz w:val="24"/>
              </w:rPr>
              <w:t>、SS、氨氮</w:t>
            </w:r>
            <w:r>
              <w:rPr>
                <w:rFonts w:hint="eastAsia"/>
                <w:sz w:val="24"/>
                <w:lang w:eastAsia="zh-CN"/>
              </w:rPr>
              <w:t>，</w:t>
            </w:r>
            <w:r>
              <w:rPr>
                <w:rFonts w:hint="eastAsia"/>
                <w:sz w:val="24"/>
                <w:lang w:val="en-US" w:eastAsia="zh-CN"/>
              </w:rPr>
              <w:t>餐饮废水中主要污染物为动植物油</w:t>
            </w:r>
            <w:r>
              <w:rPr>
                <w:rFonts w:hint="eastAsia"/>
                <w:sz w:val="24"/>
              </w:rPr>
              <w:t>。生活污水排入园区管网，最终进入污水处理厂处理。</w:t>
            </w:r>
          </w:p>
          <w:p>
            <w:pPr>
              <w:adjustRightInd w:val="0"/>
              <w:snapToGrid w:val="0"/>
              <w:spacing w:line="520" w:lineRule="exact"/>
              <w:ind w:firstLine="482" w:firstLineChars="200"/>
              <w:rPr>
                <w:b/>
                <w:bCs/>
                <w:sz w:val="24"/>
              </w:rPr>
            </w:pPr>
            <w:r>
              <w:rPr>
                <w:rFonts w:hint="eastAsia"/>
                <w:b/>
                <w:bCs/>
                <w:sz w:val="24"/>
              </w:rPr>
              <w:t>2.2.3</w:t>
            </w:r>
            <w:r>
              <w:rPr>
                <w:b/>
                <w:bCs/>
                <w:sz w:val="24"/>
              </w:rPr>
              <w:t>噪声</w:t>
            </w:r>
          </w:p>
          <w:p>
            <w:pPr>
              <w:adjustRightInd w:val="0"/>
              <w:snapToGrid w:val="0"/>
              <w:spacing w:line="520" w:lineRule="exact"/>
              <w:ind w:firstLine="480" w:firstLineChars="200"/>
              <w:rPr>
                <w:sz w:val="24"/>
              </w:rPr>
            </w:pPr>
            <w:r>
              <w:rPr>
                <w:rFonts w:hint="eastAsia"/>
                <w:sz w:val="24"/>
              </w:rPr>
              <w:t>本项目运行后，对声环境的影响主要是搅拌机、</w:t>
            </w:r>
            <w:r>
              <w:rPr>
                <w:rFonts w:hint="eastAsia"/>
                <w:sz w:val="24"/>
                <w:lang w:val="en-US" w:eastAsia="zh-CN"/>
              </w:rPr>
              <w:t>切割机</w:t>
            </w:r>
            <w:r>
              <w:rPr>
                <w:rFonts w:hint="eastAsia"/>
                <w:sz w:val="24"/>
              </w:rPr>
              <w:t>等的噪声</w:t>
            </w:r>
            <w:r>
              <w:rPr>
                <w:sz w:val="24"/>
              </w:rPr>
              <w:t>，其源强声级为</w:t>
            </w:r>
            <w:r>
              <w:rPr>
                <w:rFonts w:hint="eastAsia"/>
                <w:sz w:val="24"/>
              </w:rPr>
              <w:t>75</w:t>
            </w:r>
            <w:r>
              <w:rPr>
                <w:sz w:val="24"/>
              </w:rPr>
              <w:t>~</w:t>
            </w:r>
            <w:r>
              <w:rPr>
                <w:rFonts w:hint="eastAsia"/>
                <w:sz w:val="24"/>
              </w:rPr>
              <w:t>90</w:t>
            </w:r>
            <w:r>
              <w:rPr>
                <w:sz w:val="24"/>
              </w:rPr>
              <w:t>dB（A）</w:t>
            </w:r>
            <w:r>
              <w:rPr>
                <w:rFonts w:hint="eastAsia"/>
                <w:sz w:val="24"/>
              </w:rPr>
              <w:t>。</w:t>
            </w:r>
          </w:p>
          <w:p>
            <w:pPr>
              <w:adjustRightInd w:val="0"/>
              <w:snapToGrid w:val="0"/>
              <w:spacing w:line="520" w:lineRule="exact"/>
              <w:ind w:firstLine="482" w:firstLineChars="200"/>
              <w:rPr>
                <w:b/>
                <w:bCs/>
                <w:sz w:val="24"/>
              </w:rPr>
            </w:pPr>
            <w:r>
              <w:rPr>
                <w:rFonts w:hint="eastAsia"/>
                <w:b/>
                <w:bCs/>
                <w:sz w:val="24"/>
              </w:rPr>
              <w:t>2.2.4</w:t>
            </w:r>
            <w:r>
              <w:rPr>
                <w:b/>
                <w:bCs/>
                <w:sz w:val="24"/>
              </w:rPr>
              <w:t>固废</w:t>
            </w:r>
          </w:p>
          <w:p>
            <w:pPr>
              <w:widowControl/>
              <w:spacing w:line="520" w:lineRule="exact"/>
              <w:ind w:firstLine="480" w:firstLineChars="200"/>
              <w:rPr>
                <w:rFonts w:hint="eastAsia" w:eastAsia="宋体"/>
                <w:sz w:val="24"/>
                <w:lang w:val="en-US" w:eastAsia="zh-CN"/>
              </w:rPr>
            </w:pPr>
            <w:r>
              <w:rPr>
                <w:rFonts w:hint="eastAsia"/>
                <w:sz w:val="24"/>
              </w:rPr>
              <w:t>（1）</w:t>
            </w:r>
            <w:r>
              <w:rPr>
                <w:rFonts w:hint="eastAsia"/>
                <w:sz w:val="24"/>
                <w:lang w:val="en-US" w:eastAsia="zh-CN"/>
              </w:rPr>
              <w:t>边角料</w:t>
            </w:r>
          </w:p>
          <w:p>
            <w:pPr>
              <w:widowControl/>
              <w:spacing w:line="520" w:lineRule="exact"/>
              <w:ind w:firstLine="480" w:firstLineChars="200"/>
              <w:rPr>
                <w:sz w:val="24"/>
              </w:rPr>
            </w:pPr>
            <w:r>
              <w:rPr>
                <w:rFonts w:hint="eastAsia"/>
                <w:sz w:val="24"/>
                <w:lang w:val="en-US" w:eastAsia="zh-CN"/>
              </w:rPr>
              <w:t>切割产生的边角料</w:t>
            </w:r>
            <w:r>
              <w:rPr>
                <w:rFonts w:hint="eastAsia"/>
                <w:sz w:val="24"/>
              </w:rPr>
              <w:t>。</w:t>
            </w:r>
          </w:p>
          <w:p>
            <w:pPr>
              <w:adjustRightInd w:val="0"/>
              <w:snapToGrid w:val="0"/>
              <w:spacing w:line="520" w:lineRule="exact"/>
              <w:ind w:firstLine="480" w:firstLineChars="200"/>
              <w:rPr>
                <w:bCs/>
                <w:sz w:val="24"/>
              </w:rPr>
            </w:pPr>
            <w:r>
              <w:rPr>
                <w:rFonts w:hint="eastAsia"/>
                <w:bCs/>
                <w:sz w:val="24"/>
              </w:rPr>
              <w:t>（</w:t>
            </w:r>
            <w:r>
              <w:rPr>
                <w:rFonts w:hint="eastAsia"/>
                <w:bCs/>
                <w:sz w:val="24"/>
                <w:lang w:val="en-US" w:eastAsia="zh-CN"/>
              </w:rPr>
              <w:t>2</w:t>
            </w:r>
            <w:r>
              <w:rPr>
                <w:rFonts w:hint="eastAsia"/>
                <w:bCs/>
                <w:sz w:val="24"/>
              </w:rPr>
              <w:t>）除尘设备收集的粉尘</w:t>
            </w:r>
          </w:p>
          <w:p>
            <w:pPr>
              <w:pStyle w:val="7"/>
              <w:spacing w:before="0" w:after="0" w:line="520" w:lineRule="exact"/>
              <w:ind w:firstLine="480" w:firstLineChars="200"/>
              <w:rPr>
                <w:b w:val="0"/>
                <w:bCs w:val="0"/>
                <w:sz w:val="24"/>
                <w:szCs w:val="24"/>
              </w:rPr>
            </w:pPr>
            <w:r>
              <w:rPr>
                <w:rFonts w:hint="eastAsia"/>
                <w:b w:val="0"/>
                <w:bCs w:val="0"/>
                <w:sz w:val="24"/>
                <w:szCs w:val="24"/>
              </w:rPr>
              <w:t>布袋除尘设备在运行过程中收集的粉尘。</w:t>
            </w:r>
          </w:p>
          <w:p>
            <w:pPr>
              <w:adjustRightInd w:val="0"/>
              <w:snapToGrid w:val="0"/>
              <w:spacing w:line="520" w:lineRule="exact"/>
              <w:ind w:firstLine="480" w:firstLineChars="200"/>
              <w:rPr>
                <w:bCs/>
                <w:sz w:val="24"/>
              </w:rPr>
            </w:pPr>
            <w:r>
              <w:rPr>
                <w:rFonts w:hint="eastAsia"/>
                <w:bCs/>
                <w:sz w:val="24"/>
              </w:rPr>
              <w:t>（</w:t>
            </w:r>
            <w:r>
              <w:rPr>
                <w:rFonts w:hint="eastAsia"/>
                <w:bCs/>
                <w:sz w:val="24"/>
                <w:lang w:val="en-US" w:eastAsia="zh-CN"/>
              </w:rPr>
              <w:t>3</w:t>
            </w:r>
            <w:r>
              <w:rPr>
                <w:rFonts w:hint="eastAsia"/>
                <w:bCs/>
                <w:sz w:val="24"/>
              </w:rPr>
              <w:t>）</w:t>
            </w:r>
            <w:r>
              <w:rPr>
                <w:bCs/>
                <w:sz w:val="24"/>
              </w:rPr>
              <w:t>生活垃圾</w:t>
            </w:r>
          </w:p>
          <w:p>
            <w:pPr>
              <w:adjustRightInd w:val="0"/>
              <w:snapToGrid w:val="0"/>
              <w:spacing w:line="520" w:lineRule="exact"/>
              <w:ind w:firstLine="480" w:firstLineChars="200"/>
              <w:rPr>
                <w:sz w:val="24"/>
              </w:rPr>
            </w:pPr>
            <w:r>
              <w:rPr>
                <w:rFonts w:hint="eastAsia"/>
                <w:bCs/>
                <w:sz w:val="24"/>
              </w:rPr>
              <w:t>员工工作生活中产生的生活垃圾</w:t>
            </w:r>
            <w:r>
              <w:rPr>
                <w:rFonts w:hint="eastAsia"/>
                <w:sz w:val="24"/>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sz w:val="24"/>
              </w:rPr>
            </w:pPr>
            <w:r>
              <w:rPr>
                <w:rFonts w:hint="eastAsia"/>
                <w:sz w:val="24"/>
                <w:lang w:eastAsia="zh-CN"/>
              </w:rPr>
              <w:t>（</w:t>
            </w:r>
            <w:r>
              <w:rPr>
                <w:rFonts w:hint="eastAsia"/>
                <w:sz w:val="24"/>
                <w:lang w:val="en-US" w:eastAsia="zh-CN"/>
              </w:rPr>
              <w:t>4</w:t>
            </w:r>
            <w:r>
              <w:rPr>
                <w:rFonts w:hint="eastAsia"/>
                <w:sz w:val="24"/>
                <w:lang w:eastAsia="zh-CN"/>
              </w:rPr>
              <w:t>）</w:t>
            </w:r>
            <w:r>
              <w:rPr>
                <w:rFonts w:hint="eastAsia"/>
                <w:sz w:val="24"/>
              </w:rPr>
              <w:t>危险废物</w:t>
            </w:r>
          </w:p>
          <w:p>
            <w:pPr>
              <w:adjustRightInd w:val="0"/>
              <w:snapToGrid w:val="0"/>
              <w:spacing w:line="520" w:lineRule="exact"/>
              <w:ind w:firstLine="480" w:firstLineChars="200"/>
              <w:rPr>
                <w:sz w:val="24"/>
              </w:rPr>
            </w:pPr>
            <w:r>
              <w:rPr>
                <w:rFonts w:hint="eastAsia"/>
                <w:sz w:val="24"/>
              </w:rPr>
              <w:t>项目营运期由于机械维修等会产生少量废机油</w:t>
            </w:r>
            <w:r>
              <w:rPr>
                <w:rFonts w:hint="eastAsia"/>
                <w:sz w:val="24"/>
                <w:szCs w:val="32"/>
                <w:lang w:val="en-US" w:eastAsia="zh-CN"/>
              </w:rPr>
              <w:t>和收集废机油的桶</w:t>
            </w:r>
            <w:r>
              <w:rPr>
                <w:rFonts w:hint="eastAsia"/>
                <w:sz w:val="24"/>
              </w:rPr>
              <w:t>。</w:t>
            </w:r>
          </w:p>
          <w:p>
            <w:pPr>
              <w:adjustRightInd w:val="0"/>
              <w:snapToGrid w:val="0"/>
              <w:spacing w:line="520" w:lineRule="exact"/>
              <w:ind w:firstLine="480" w:firstLineChars="200"/>
              <w:rPr>
                <w:sz w:val="24"/>
              </w:rPr>
            </w:pPr>
            <w:r>
              <w:rPr>
                <w:rFonts w:hint="eastAsia"/>
                <w:sz w:val="24"/>
              </w:rPr>
              <w:t>综上所述，本项目产污环节见表2-</w:t>
            </w:r>
            <w:r>
              <w:rPr>
                <w:rFonts w:hint="eastAsia"/>
                <w:sz w:val="24"/>
                <w:lang w:val="en-US" w:eastAsia="zh-CN"/>
              </w:rPr>
              <w:t>6</w:t>
            </w:r>
            <w:r>
              <w:rPr>
                <w:rFonts w:hint="eastAsia"/>
                <w:sz w:val="24"/>
              </w:rPr>
              <w:t>。</w:t>
            </w:r>
          </w:p>
          <w:p>
            <w:pPr>
              <w:adjustRightInd w:val="0"/>
              <w:snapToGrid w:val="0"/>
              <w:ind w:firstLine="480" w:firstLineChars="200"/>
              <w:jc w:val="center"/>
              <w:rPr>
                <w:rFonts w:eastAsia="黑体"/>
                <w:sz w:val="24"/>
              </w:rPr>
            </w:pPr>
            <w:r>
              <w:rPr>
                <w:rFonts w:hint="eastAsia" w:eastAsia="黑体"/>
                <w:sz w:val="24"/>
              </w:rPr>
              <w:t>表2-</w:t>
            </w:r>
            <w:r>
              <w:rPr>
                <w:rFonts w:hint="eastAsia" w:eastAsia="黑体"/>
                <w:sz w:val="24"/>
                <w:lang w:val="en-US" w:eastAsia="zh-CN"/>
              </w:rPr>
              <w:t>6</w:t>
            </w:r>
            <w:r>
              <w:rPr>
                <w:rFonts w:hint="eastAsia" w:eastAsia="黑体"/>
                <w:sz w:val="24"/>
              </w:rPr>
              <w:t xml:space="preserve">  运营期主要产污环节一览表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2217"/>
              <w:gridCol w:w="2551"/>
              <w:gridCol w:w="28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44" w:type="pct"/>
                  <w:vAlign w:val="center"/>
                </w:tcPr>
                <w:p>
                  <w:pPr>
                    <w:adjustRightInd w:val="0"/>
                    <w:snapToGrid w:val="0"/>
                    <w:jc w:val="center"/>
                    <w:rPr>
                      <w:szCs w:val="21"/>
                    </w:rPr>
                  </w:pPr>
                  <w:r>
                    <w:rPr>
                      <w:szCs w:val="21"/>
                    </w:rPr>
                    <w:t>排放类别</w:t>
                  </w:r>
                </w:p>
              </w:tc>
              <w:tc>
                <w:tcPr>
                  <w:tcW w:w="1321" w:type="pct"/>
                  <w:vAlign w:val="center"/>
                </w:tcPr>
                <w:p>
                  <w:pPr>
                    <w:adjustRightInd w:val="0"/>
                    <w:snapToGrid w:val="0"/>
                    <w:jc w:val="center"/>
                    <w:rPr>
                      <w:szCs w:val="21"/>
                    </w:rPr>
                  </w:pPr>
                  <w:r>
                    <w:rPr>
                      <w:szCs w:val="21"/>
                    </w:rPr>
                    <w:t>污染物</w:t>
                  </w:r>
                </w:p>
              </w:tc>
              <w:tc>
                <w:tcPr>
                  <w:tcW w:w="1520" w:type="pct"/>
                  <w:vAlign w:val="center"/>
                </w:tcPr>
                <w:p>
                  <w:pPr>
                    <w:adjustRightInd w:val="0"/>
                    <w:snapToGrid w:val="0"/>
                    <w:jc w:val="center"/>
                    <w:rPr>
                      <w:szCs w:val="21"/>
                    </w:rPr>
                  </w:pPr>
                  <w:r>
                    <w:rPr>
                      <w:szCs w:val="21"/>
                    </w:rPr>
                    <w:t>污染工序</w:t>
                  </w:r>
                </w:p>
              </w:tc>
              <w:tc>
                <w:tcPr>
                  <w:tcW w:w="1713" w:type="pct"/>
                  <w:vAlign w:val="center"/>
                </w:tcPr>
                <w:p>
                  <w:pPr>
                    <w:adjustRightInd w:val="0"/>
                    <w:snapToGrid w:val="0"/>
                    <w:jc w:val="center"/>
                    <w:rPr>
                      <w:szCs w:val="21"/>
                    </w:rPr>
                  </w:pPr>
                  <w:r>
                    <w:rPr>
                      <w:szCs w:val="21"/>
                    </w:rPr>
                    <w:t>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44" w:type="pct"/>
                  <w:vMerge w:val="restart"/>
                  <w:vAlign w:val="center"/>
                </w:tcPr>
                <w:p>
                  <w:pPr>
                    <w:adjustRightInd w:val="0"/>
                    <w:snapToGrid w:val="0"/>
                    <w:jc w:val="center"/>
                    <w:rPr>
                      <w:szCs w:val="21"/>
                    </w:rPr>
                  </w:pPr>
                  <w:r>
                    <w:rPr>
                      <w:rFonts w:hint="eastAsia"/>
                      <w:szCs w:val="21"/>
                    </w:rPr>
                    <w:t>废气</w:t>
                  </w:r>
                </w:p>
              </w:tc>
              <w:tc>
                <w:tcPr>
                  <w:tcW w:w="1321" w:type="pct"/>
                  <w:vAlign w:val="center"/>
                </w:tcPr>
                <w:p>
                  <w:pPr>
                    <w:adjustRightInd w:val="0"/>
                    <w:snapToGrid w:val="0"/>
                    <w:jc w:val="center"/>
                    <w:rPr>
                      <w:szCs w:val="21"/>
                    </w:rPr>
                  </w:pPr>
                  <w:r>
                    <w:rPr>
                      <w:rFonts w:hint="eastAsia"/>
                      <w:szCs w:val="21"/>
                    </w:rPr>
                    <w:t>装卸、风蚀扬尘</w:t>
                  </w:r>
                </w:p>
              </w:tc>
              <w:tc>
                <w:tcPr>
                  <w:tcW w:w="1520" w:type="pct"/>
                  <w:vAlign w:val="center"/>
                </w:tcPr>
                <w:p>
                  <w:pPr>
                    <w:adjustRightInd w:val="0"/>
                    <w:snapToGrid w:val="0"/>
                    <w:jc w:val="center"/>
                    <w:rPr>
                      <w:szCs w:val="21"/>
                    </w:rPr>
                  </w:pPr>
                  <w:r>
                    <w:rPr>
                      <w:rFonts w:hint="eastAsia"/>
                      <w:szCs w:val="21"/>
                    </w:rPr>
                    <w:t>物料装卸、储存、投料</w:t>
                  </w:r>
                </w:p>
              </w:tc>
              <w:tc>
                <w:tcPr>
                  <w:tcW w:w="1713" w:type="pct"/>
                  <w:vMerge w:val="restart"/>
                  <w:vAlign w:val="center"/>
                </w:tcPr>
                <w:p>
                  <w:pPr>
                    <w:adjustRightInd w:val="0"/>
                    <w:snapToGrid w:val="0"/>
                    <w:jc w:val="center"/>
                    <w:rPr>
                      <w:szCs w:val="21"/>
                    </w:rPr>
                  </w:pPr>
                  <w:r>
                    <w:rPr>
                      <w:rFonts w:hint="eastAsia"/>
                      <w:szCs w:val="21"/>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4" w:type="pct"/>
                  <w:vMerge w:val="continue"/>
                  <w:vAlign w:val="center"/>
                </w:tcPr>
                <w:p>
                  <w:pPr>
                    <w:adjustRightInd w:val="0"/>
                    <w:snapToGrid w:val="0"/>
                    <w:jc w:val="center"/>
                    <w:rPr>
                      <w:szCs w:val="21"/>
                    </w:rPr>
                  </w:pPr>
                </w:p>
              </w:tc>
              <w:tc>
                <w:tcPr>
                  <w:tcW w:w="1321" w:type="pct"/>
                  <w:vAlign w:val="center"/>
                </w:tcPr>
                <w:p>
                  <w:pPr>
                    <w:adjustRightInd w:val="0"/>
                    <w:snapToGrid w:val="0"/>
                    <w:jc w:val="center"/>
                    <w:rPr>
                      <w:szCs w:val="21"/>
                    </w:rPr>
                  </w:pPr>
                  <w:r>
                    <w:rPr>
                      <w:rFonts w:hint="eastAsia"/>
                      <w:szCs w:val="21"/>
                    </w:rPr>
                    <w:t>混料粉尘</w:t>
                  </w:r>
                </w:p>
              </w:tc>
              <w:tc>
                <w:tcPr>
                  <w:tcW w:w="1520" w:type="pct"/>
                  <w:vAlign w:val="center"/>
                </w:tcPr>
                <w:p>
                  <w:pPr>
                    <w:adjustRightInd w:val="0"/>
                    <w:snapToGrid w:val="0"/>
                    <w:jc w:val="center"/>
                    <w:rPr>
                      <w:szCs w:val="21"/>
                    </w:rPr>
                  </w:pPr>
                  <w:r>
                    <w:rPr>
                      <w:rFonts w:hint="eastAsia"/>
                      <w:szCs w:val="21"/>
                    </w:rPr>
                    <w:t>混料搅拌</w:t>
                  </w:r>
                </w:p>
              </w:tc>
              <w:tc>
                <w:tcPr>
                  <w:tcW w:w="1713"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44" w:type="pct"/>
                  <w:vMerge w:val="continue"/>
                  <w:vAlign w:val="center"/>
                </w:tcPr>
                <w:p>
                  <w:pPr>
                    <w:adjustRightInd w:val="0"/>
                    <w:snapToGrid w:val="0"/>
                    <w:jc w:val="center"/>
                    <w:rPr>
                      <w:szCs w:val="21"/>
                    </w:rPr>
                  </w:pPr>
                </w:p>
              </w:tc>
              <w:tc>
                <w:tcPr>
                  <w:tcW w:w="1321" w:type="pct"/>
                  <w:vAlign w:val="center"/>
                </w:tcPr>
                <w:p>
                  <w:pPr>
                    <w:adjustRightInd w:val="0"/>
                    <w:snapToGrid w:val="0"/>
                    <w:jc w:val="center"/>
                    <w:rPr>
                      <w:rFonts w:hint="default" w:eastAsia="宋体"/>
                      <w:szCs w:val="21"/>
                      <w:lang w:val="en-US" w:eastAsia="zh-CN"/>
                    </w:rPr>
                  </w:pPr>
                  <w:r>
                    <w:rPr>
                      <w:rFonts w:hint="eastAsia"/>
                      <w:szCs w:val="21"/>
                      <w:lang w:val="en-US" w:eastAsia="zh-CN"/>
                    </w:rPr>
                    <w:t>切割粉尘</w:t>
                  </w:r>
                </w:p>
              </w:tc>
              <w:tc>
                <w:tcPr>
                  <w:tcW w:w="1520" w:type="pct"/>
                  <w:vAlign w:val="center"/>
                </w:tcPr>
                <w:p>
                  <w:pPr>
                    <w:adjustRightInd w:val="0"/>
                    <w:snapToGrid w:val="0"/>
                    <w:jc w:val="center"/>
                    <w:rPr>
                      <w:rFonts w:hint="eastAsia" w:eastAsia="宋体"/>
                      <w:szCs w:val="21"/>
                      <w:lang w:eastAsia="zh-CN"/>
                    </w:rPr>
                  </w:pPr>
                  <w:r>
                    <w:rPr>
                      <w:rFonts w:hint="eastAsia"/>
                      <w:szCs w:val="21"/>
                      <w:lang w:val="en-US" w:eastAsia="zh-CN"/>
                    </w:rPr>
                    <w:t>切割</w:t>
                  </w:r>
                </w:p>
              </w:tc>
              <w:tc>
                <w:tcPr>
                  <w:tcW w:w="1713"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4" w:type="pct"/>
                  <w:vMerge w:val="continue"/>
                  <w:vAlign w:val="center"/>
                </w:tcPr>
                <w:p>
                  <w:pPr>
                    <w:adjustRightInd w:val="0"/>
                    <w:snapToGrid w:val="0"/>
                    <w:jc w:val="center"/>
                    <w:rPr>
                      <w:szCs w:val="21"/>
                    </w:rPr>
                  </w:pPr>
                </w:p>
              </w:tc>
              <w:tc>
                <w:tcPr>
                  <w:tcW w:w="1321" w:type="pct"/>
                  <w:vAlign w:val="center"/>
                </w:tcPr>
                <w:p>
                  <w:pPr>
                    <w:adjustRightInd w:val="0"/>
                    <w:snapToGrid w:val="0"/>
                    <w:jc w:val="center"/>
                    <w:rPr>
                      <w:rFonts w:hint="default" w:eastAsia="宋体"/>
                      <w:szCs w:val="21"/>
                      <w:lang w:val="en-US" w:eastAsia="zh-CN"/>
                    </w:rPr>
                  </w:pPr>
                  <w:r>
                    <w:rPr>
                      <w:rFonts w:hint="eastAsia"/>
                      <w:szCs w:val="21"/>
                      <w:lang w:val="en-US" w:eastAsia="zh-CN"/>
                    </w:rPr>
                    <w:t>运输粉尘</w:t>
                  </w:r>
                </w:p>
              </w:tc>
              <w:tc>
                <w:tcPr>
                  <w:tcW w:w="1520" w:type="pct"/>
                  <w:vAlign w:val="center"/>
                </w:tcPr>
                <w:p>
                  <w:pPr>
                    <w:adjustRightInd w:val="0"/>
                    <w:snapToGrid w:val="0"/>
                    <w:jc w:val="center"/>
                    <w:rPr>
                      <w:rFonts w:hint="eastAsia" w:eastAsia="宋体"/>
                      <w:szCs w:val="21"/>
                      <w:lang w:val="en-US" w:eastAsia="zh-CN"/>
                    </w:rPr>
                  </w:pPr>
                  <w:r>
                    <w:rPr>
                      <w:rFonts w:hint="eastAsia"/>
                      <w:szCs w:val="21"/>
                      <w:lang w:val="en-US" w:eastAsia="zh-CN"/>
                    </w:rPr>
                    <w:t>运输</w:t>
                  </w:r>
                </w:p>
              </w:tc>
              <w:tc>
                <w:tcPr>
                  <w:tcW w:w="1713"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4" w:type="pct"/>
                  <w:vAlign w:val="center"/>
                </w:tcPr>
                <w:p>
                  <w:pPr>
                    <w:adjustRightInd w:val="0"/>
                    <w:snapToGrid w:val="0"/>
                    <w:jc w:val="center"/>
                    <w:rPr>
                      <w:szCs w:val="21"/>
                    </w:rPr>
                  </w:pPr>
                  <w:r>
                    <w:rPr>
                      <w:szCs w:val="21"/>
                    </w:rPr>
                    <w:t>废水</w:t>
                  </w:r>
                </w:p>
              </w:tc>
              <w:tc>
                <w:tcPr>
                  <w:tcW w:w="1321" w:type="pct"/>
                  <w:vAlign w:val="center"/>
                </w:tcPr>
                <w:p>
                  <w:pPr>
                    <w:adjustRightInd w:val="0"/>
                    <w:snapToGrid w:val="0"/>
                    <w:jc w:val="center"/>
                    <w:rPr>
                      <w:szCs w:val="21"/>
                    </w:rPr>
                  </w:pPr>
                  <w:r>
                    <w:rPr>
                      <w:szCs w:val="21"/>
                    </w:rPr>
                    <w:t>生活污水</w:t>
                  </w:r>
                </w:p>
              </w:tc>
              <w:tc>
                <w:tcPr>
                  <w:tcW w:w="1520" w:type="pct"/>
                  <w:vAlign w:val="center"/>
                </w:tcPr>
                <w:p>
                  <w:pPr>
                    <w:adjustRightInd w:val="0"/>
                    <w:snapToGrid w:val="0"/>
                    <w:jc w:val="center"/>
                    <w:rPr>
                      <w:szCs w:val="21"/>
                    </w:rPr>
                  </w:pPr>
                  <w:r>
                    <w:rPr>
                      <w:szCs w:val="21"/>
                    </w:rPr>
                    <w:t>办公、生活过程</w:t>
                  </w:r>
                </w:p>
              </w:tc>
              <w:tc>
                <w:tcPr>
                  <w:tcW w:w="1713" w:type="pct"/>
                  <w:vAlign w:val="center"/>
                </w:tcPr>
                <w:p>
                  <w:pPr>
                    <w:adjustRightInd w:val="0"/>
                    <w:snapToGrid w:val="0"/>
                    <w:jc w:val="center"/>
                    <w:rPr>
                      <w:szCs w:val="21"/>
                    </w:rPr>
                  </w:pPr>
                  <w:r>
                    <w:rPr>
                      <w:szCs w:val="21"/>
                    </w:rPr>
                    <w:t>COD</w:t>
                  </w:r>
                  <w:r>
                    <w:rPr>
                      <w:szCs w:val="21"/>
                      <w:vertAlign w:val="subscript"/>
                    </w:rPr>
                    <w:t>Cr</w:t>
                  </w:r>
                  <w:r>
                    <w:rPr>
                      <w:szCs w:val="21"/>
                    </w:rPr>
                    <w:t>、BOD</w:t>
                  </w:r>
                  <w:r>
                    <w:rPr>
                      <w:szCs w:val="21"/>
                      <w:vertAlign w:val="subscript"/>
                    </w:rPr>
                    <w:t>5</w:t>
                  </w:r>
                  <w:r>
                    <w:rPr>
                      <w:szCs w:val="21"/>
                    </w:rPr>
                    <w:t>、SS、NH</w:t>
                  </w:r>
                  <w:r>
                    <w:rPr>
                      <w:szCs w:val="21"/>
                      <w:vertAlign w:val="subscript"/>
                    </w:rPr>
                    <w:t>3</w:t>
                  </w:r>
                  <w:r>
                    <w:rPr>
                      <w:szCs w:val="21"/>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44" w:type="pct"/>
                  <w:vAlign w:val="center"/>
                </w:tcPr>
                <w:p>
                  <w:pPr>
                    <w:adjustRightInd w:val="0"/>
                    <w:snapToGrid w:val="0"/>
                    <w:jc w:val="center"/>
                    <w:rPr>
                      <w:szCs w:val="21"/>
                    </w:rPr>
                  </w:pPr>
                  <w:r>
                    <w:rPr>
                      <w:szCs w:val="21"/>
                    </w:rPr>
                    <w:t>噪声</w:t>
                  </w:r>
                </w:p>
              </w:tc>
              <w:tc>
                <w:tcPr>
                  <w:tcW w:w="1321" w:type="pct"/>
                  <w:vAlign w:val="center"/>
                </w:tcPr>
                <w:p>
                  <w:pPr>
                    <w:adjustRightInd w:val="0"/>
                    <w:snapToGrid w:val="0"/>
                    <w:jc w:val="center"/>
                    <w:rPr>
                      <w:szCs w:val="21"/>
                    </w:rPr>
                  </w:pPr>
                  <w:r>
                    <w:rPr>
                      <w:szCs w:val="21"/>
                    </w:rPr>
                    <w:t>机械噪声</w:t>
                  </w:r>
                </w:p>
              </w:tc>
              <w:tc>
                <w:tcPr>
                  <w:tcW w:w="1520" w:type="pct"/>
                  <w:vAlign w:val="center"/>
                </w:tcPr>
                <w:p>
                  <w:pPr>
                    <w:adjustRightInd w:val="0"/>
                    <w:snapToGrid w:val="0"/>
                    <w:jc w:val="center"/>
                    <w:rPr>
                      <w:szCs w:val="21"/>
                    </w:rPr>
                  </w:pPr>
                  <w:r>
                    <w:rPr>
                      <w:szCs w:val="21"/>
                    </w:rPr>
                    <w:t>各类设备运转过程</w:t>
                  </w:r>
                </w:p>
              </w:tc>
              <w:tc>
                <w:tcPr>
                  <w:tcW w:w="1713" w:type="pct"/>
                  <w:vAlign w:val="center"/>
                </w:tcPr>
                <w:p>
                  <w:pPr>
                    <w:adjustRightInd w:val="0"/>
                    <w:snapToGrid w:val="0"/>
                    <w:jc w:val="center"/>
                    <w:rPr>
                      <w:szCs w:val="21"/>
                    </w:rPr>
                  </w:pPr>
                  <w:r>
                    <w:rPr>
                      <w:szCs w:val="21"/>
                    </w:rPr>
                    <w:t>设备噪声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4" w:type="pct"/>
                  <w:vMerge w:val="restart"/>
                  <w:vAlign w:val="center"/>
                </w:tcPr>
                <w:p>
                  <w:pPr>
                    <w:adjustRightInd w:val="0"/>
                    <w:snapToGrid w:val="0"/>
                    <w:jc w:val="center"/>
                    <w:rPr>
                      <w:szCs w:val="21"/>
                    </w:rPr>
                  </w:pPr>
                  <w:r>
                    <w:rPr>
                      <w:szCs w:val="21"/>
                    </w:rPr>
                    <w:t>固废</w:t>
                  </w:r>
                </w:p>
              </w:tc>
              <w:tc>
                <w:tcPr>
                  <w:tcW w:w="1321" w:type="pct"/>
                  <w:vAlign w:val="center"/>
                </w:tcPr>
                <w:p>
                  <w:pPr>
                    <w:adjustRightInd w:val="0"/>
                    <w:snapToGrid w:val="0"/>
                    <w:jc w:val="center"/>
                    <w:rPr>
                      <w:rFonts w:hint="default" w:eastAsia="宋体"/>
                      <w:szCs w:val="21"/>
                      <w:lang w:val="en-US" w:eastAsia="zh-CN"/>
                    </w:rPr>
                  </w:pPr>
                  <w:r>
                    <w:rPr>
                      <w:rFonts w:hint="eastAsia"/>
                      <w:szCs w:val="21"/>
                      <w:lang w:val="en-US" w:eastAsia="zh-CN"/>
                    </w:rPr>
                    <w:t>边角料</w:t>
                  </w:r>
                </w:p>
              </w:tc>
              <w:tc>
                <w:tcPr>
                  <w:tcW w:w="1520" w:type="pct"/>
                  <w:vAlign w:val="center"/>
                </w:tcPr>
                <w:p>
                  <w:pPr>
                    <w:adjustRightInd w:val="0"/>
                    <w:snapToGrid w:val="0"/>
                    <w:jc w:val="center"/>
                    <w:rPr>
                      <w:rFonts w:hint="eastAsia" w:eastAsia="宋体"/>
                      <w:szCs w:val="21"/>
                      <w:lang w:val="en-US" w:eastAsia="zh-CN"/>
                    </w:rPr>
                  </w:pPr>
                  <w:r>
                    <w:rPr>
                      <w:rFonts w:hint="eastAsia"/>
                      <w:szCs w:val="21"/>
                      <w:lang w:val="en-US" w:eastAsia="zh-CN"/>
                    </w:rPr>
                    <w:t>切割</w:t>
                  </w:r>
                </w:p>
              </w:tc>
              <w:tc>
                <w:tcPr>
                  <w:tcW w:w="1713" w:type="pct"/>
                  <w:vAlign w:val="center"/>
                </w:tcPr>
                <w:p>
                  <w:pPr>
                    <w:adjustRightInd w:val="0"/>
                    <w:snapToGrid w:val="0"/>
                    <w:jc w:val="center"/>
                    <w:rPr>
                      <w:rFonts w:hint="default" w:eastAsia="宋体"/>
                      <w:szCs w:val="21"/>
                      <w:lang w:val="en-US" w:eastAsia="zh-CN"/>
                    </w:rPr>
                  </w:pPr>
                  <w:r>
                    <w:rPr>
                      <w:rFonts w:hint="eastAsia"/>
                      <w:szCs w:val="21"/>
                      <w:lang w:val="en-US" w:eastAsia="zh-CN"/>
                    </w:rPr>
                    <w:t>边角料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4" w:type="pct"/>
                  <w:vMerge w:val="continue"/>
                  <w:vAlign w:val="center"/>
                </w:tcPr>
                <w:p>
                  <w:pPr>
                    <w:adjustRightInd w:val="0"/>
                    <w:snapToGrid w:val="0"/>
                    <w:jc w:val="center"/>
                    <w:rPr>
                      <w:szCs w:val="21"/>
                    </w:rPr>
                  </w:pPr>
                </w:p>
              </w:tc>
              <w:tc>
                <w:tcPr>
                  <w:tcW w:w="1321" w:type="pct"/>
                  <w:vAlign w:val="center"/>
                </w:tcPr>
                <w:p>
                  <w:pPr>
                    <w:adjustRightInd w:val="0"/>
                    <w:snapToGrid w:val="0"/>
                    <w:jc w:val="center"/>
                    <w:rPr>
                      <w:szCs w:val="21"/>
                    </w:rPr>
                  </w:pPr>
                  <w:r>
                    <w:rPr>
                      <w:szCs w:val="21"/>
                    </w:rPr>
                    <w:t>生活垃圾</w:t>
                  </w:r>
                </w:p>
              </w:tc>
              <w:tc>
                <w:tcPr>
                  <w:tcW w:w="1520" w:type="pct"/>
                  <w:vAlign w:val="center"/>
                </w:tcPr>
                <w:p>
                  <w:pPr>
                    <w:adjustRightInd w:val="0"/>
                    <w:snapToGrid w:val="0"/>
                    <w:jc w:val="center"/>
                    <w:rPr>
                      <w:szCs w:val="21"/>
                    </w:rPr>
                  </w:pPr>
                  <w:r>
                    <w:rPr>
                      <w:szCs w:val="21"/>
                    </w:rPr>
                    <w:t>生活、办公过程</w:t>
                  </w:r>
                </w:p>
              </w:tc>
              <w:tc>
                <w:tcPr>
                  <w:tcW w:w="1713" w:type="pct"/>
                  <w:vAlign w:val="center"/>
                </w:tcPr>
                <w:p>
                  <w:pPr>
                    <w:adjustRightInd w:val="0"/>
                    <w:snapToGrid w:val="0"/>
                    <w:jc w:val="center"/>
                    <w:rPr>
                      <w:szCs w:val="21"/>
                    </w:rPr>
                  </w:pPr>
                  <w:r>
                    <w:rPr>
                      <w:szCs w:val="21"/>
                    </w:rPr>
                    <w:t>生活垃圾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4" w:type="pct"/>
                  <w:vMerge w:val="continue"/>
                  <w:vAlign w:val="center"/>
                </w:tcPr>
                <w:p>
                  <w:pPr>
                    <w:adjustRightInd w:val="0"/>
                    <w:snapToGrid w:val="0"/>
                    <w:jc w:val="center"/>
                    <w:rPr>
                      <w:szCs w:val="21"/>
                    </w:rPr>
                  </w:pPr>
                </w:p>
              </w:tc>
              <w:tc>
                <w:tcPr>
                  <w:tcW w:w="1321" w:type="pct"/>
                  <w:vAlign w:val="center"/>
                </w:tcPr>
                <w:p>
                  <w:pPr>
                    <w:adjustRightInd w:val="0"/>
                    <w:snapToGrid w:val="0"/>
                    <w:jc w:val="center"/>
                    <w:rPr>
                      <w:szCs w:val="21"/>
                    </w:rPr>
                  </w:pPr>
                  <w:r>
                    <w:rPr>
                      <w:rFonts w:hint="eastAsia"/>
                      <w:szCs w:val="21"/>
                    </w:rPr>
                    <w:t>除尘设备收集的粉尘</w:t>
                  </w:r>
                </w:p>
              </w:tc>
              <w:tc>
                <w:tcPr>
                  <w:tcW w:w="1520" w:type="pct"/>
                  <w:vAlign w:val="center"/>
                </w:tcPr>
                <w:p>
                  <w:pPr>
                    <w:adjustRightInd w:val="0"/>
                    <w:snapToGrid w:val="0"/>
                    <w:jc w:val="center"/>
                    <w:rPr>
                      <w:szCs w:val="21"/>
                    </w:rPr>
                  </w:pPr>
                  <w:r>
                    <w:rPr>
                      <w:rFonts w:hint="eastAsia"/>
                      <w:szCs w:val="21"/>
                    </w:rPr>
                    <w:t>搅拌、砌块成型</w:t>
                  </w:r>
                </w:p>
              </w:tc>
              <w:tc>
                <w:tcPr>
                  <w:tcW w:w="1713" w:type="pct"/>
                  <w:vAlign w:val="center"/>
                </w:tcPr>
                <w:p>
                  <w:pPr>
                    <w:adjustRightInd w:val="0"/>
                    <w:snapToGrid w:val="0"/>
                    <w:jc w:val="center"/>
                    <w:rPr>
                      <w:szCs w:val="21"/>
                    </w:rPr>
                  </w:pPr>
                  <w:r>
                    <w:rPr>
                      <w:rFonts w:hint="eastAsia"/>
                      <w:szCs w:val="21"/>
                    </w:rPr>
                    <w:t>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4" w:type="pct"/>
                  <w:vMerge w:val="continue"/>
                  <w:vAlign w:val="center"/>
                </w:tcPr>
                <w:p>
                  <w:pPr>
                    <w:adjustRightInd w:val="0"/>
                    <w:snapToGrid w:val="0"/>
                    <w:jc w:val="center"/>
                    <w:rPr>
                      <w:szCs w:val="21"/>
                    </w:rPr>
                  </w:pPr>
                </w:p>
              </w:tc>
              <w:tc>
                <w:tcPr>
                  <w:tcW w:w="1321" w:type="pct"/>
                  <w:vAlign w:val="center"/>
                </w:tcPr>
                <w:p>
                  <w:pPr>
                    <w:adjustRightInd w:val="0"/>
                    <w:snapToGrid w:val="0"/>
                    <w:jc w:val="center"/>
                    <w:rPr>
                      <w:szCs w:val="21"/>
                    </w:rPr>
                  </w:pPr>
                  <w:r>
                    <w:rPr>
                      <w:rFonts w:hint="eastAsia"/>
                      <w:szCs w:val="21"/>
                    </w:rPr>
                    <w:t>危险废物</w:t>
                  </w:r>
                </w:p>
              </w:tc>
              <w:tc>
                <w:tcPr>
                  <w:tcW w:w="1520" w:type="pct"/>
                  <w:vAlign w:val="center"/>
                </w:tcPr>
                <w:p>
                  <w:pPr>
                    <w:adjustRightInd w:val="0"/>
                    <w:snapToGrid w:val="0"/>
                    <w:jc w:val="center"/>
                    <w:rPr>
                      <w:szCs w:val="21"/>
                    </w:rPr>
                  </w:pPr>
                  <w:r>
                    <w:rPr>
                      <w:rFonts w:hint="eastAsia"/>
                      <w:szCs w:val="21"/>
                    </w:rPr>
                    <w:t>设备维护</w:t>
                  </w:r>
                </w:p>
              </w:tc>
              <w:tc>
                <w:tcPr>
                  <w:tcW w:w="1713" w:type="pct"/>
                  <w:vAlign w:val="center"/>
                </w:tcPr>
                <w:p>
                  <w:pPr>
                    <w:adjustRightInd w:val="0"/>
                    <w:snapToGrid w:val="0"/>
                    <w:jc w:val="center"/>
                    <w:rPr>
                      <w:szCs w:val="21"/>
                    </w:rPr>
                  </w:pPr>
                  <w:r>
                    <w:rPr>
                      <w:rFonts w:hint="eastAsia"/>
                      <w:szCs w:val="21"/>
                    </w:rPr>
                    <w:t>废机油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44" w:type="pct"/>
                  <w:vMerge w:val="continue"/>
                  <w:vAlign w:val="center"/>
                </w:tcPr>
                <w:p>
                  <w:pPr>
                    <w:adjustRightInd w:val="0"/>
                    <w:snapToGrid w:val="0"/>
                    <w:jc w:val="center"/>
                    <w:rPr>
                      <w:szCs w:val="21"/>
                    </w:rPr>
                  </w:pPr>
                </w:p>
              </w:tc>
              <w:tc>
                <w:tcPr>
                  <w:tcW w:w="2217" w:type="dxa"/>
                  <w:vAlign w:val="center"/>
                </w:tcPr>
                <w:p>
                  <w:pPr>
                    <w:adjustRightInd w:val="0"/>
                    <w:snapToGrid w:val="0"/>
                    <w:jc w:val="center"/>
                    <w:rPr>
                      <w:rFonts w:hint="eastAsia"/>
                      <w:szCs w:val="21"/>
                    </w:rPr>
                  </w:pPr>
                  <w:r>
                    <w:rPr>
                      <w:rFonts w:hint="eastAsia"/>
                      <w:szCs w:val="21"/>
                    </w:rPr>
                    <w:t>危险废物</w:t>
                  </w:r>
                </w:p>
              </w:tc>
              <w:tc>
                <w:tcPr>
                  <w:tcW w:w="2551" w:type="dxa"/>
                  <w:vAlign w:val="center"/>
                </w:tcPr>
                <w:p>
                  <w:pPr>
                    <w:adjustRightInd w:val="0"/>
                    <w:snapToGrid w:val="0"/>
                    <w:jc w:val="center"/>
                    <w:rPr>
                      <w:rFonts w:hint="eastAsia"/>
                      <w:szCs w:val="21"/>
                    </w:rPr>
                  </w:pPr>
                  <w:r>
                    <w:rPr>
                      <w:rFonts w:hint="eastAsia"/>
                      <w:szCs w:val="21"/>
                    </w:rPr>
                    <w:t>设备维护</w:t>
                  </w:r>
                </w:p>
              </w:tc>
              <w:tc>
                <w:tcPr>
                  <w:tcW w:w="1713" w:type="pct"/>
                  <w:vAlign w:val="center"/>
                </w:tcPr>
                <w:p>
                  <w:pPr>
                    <w:adjustRightInd w:val="0"/>
                    <w:snapToGrid w:val="0"/>
                    <w:jc w:val="center"/>
                    <w:rPr>
                      <w:rFonts w:hint="eastAsia" w:eastAsia="宋体"/>
                      <w:szCs w:val="21"/>
                      <w:lang w:val="en-US" w:eastAsia="zh-CN"/>
                    </w:rPr>
                  </w:pPr>
                  <w:r>
                    <w:rPr>
                      <w:rFonts w:hint="eastAsia"/>
                      <w:szCs w:val="21"/>
                      <w:lang w:val="en-US" w:eastAsia="zh-CN"/>
                    </w:rPr>
                    <w:t>废油桶</w:t>
                  </w:r>
                </w:p>
              </w:tc>
            </w:tr>
          </w:tbl>
          <w:p>
            <w:pPr>
              <w:pStyle w:val="30"/>
              <w:ind w:left="0" w:leftChars="0" w:firstLine="0" w:firstLineChars="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533" w:type="dxa"/>
            <w:vAlign w:val="center"/>
          </w:tcPr>
          <w:p>
            <w:pPr>
              <w:pStyle w:val="26"/>
              <w:adjustRightInd w:val="0"/>
              <w:snapToGrid w:val="0"/>
              <w:spacing w:before="0" w:beforeAutospacing="0" w:after="0" w:afterAutospacing="0"/>
              <w:jc w:val="center"/>
              <w:rPr>
                <w:rFonts w:ascii="Times New Roman" w:hAnsi="Times New Roman"/>
                <w:bCs/>
                <w:kern w:val="2"/>
                <w:szCs w:val="24"/>
              </w:rPr>
            </w:pPr>
            <w:r>
              <w:rPr>
                <w:rFonts w:ascii="Times New Roman" w:hAnsi="Times New Roman"/>
                <w:bCs/>
                <w:kern w:val="2"/>
                <w:szCs w:val="24"/>
              </w:rPr>
              <w:t>与项目有关的原有环境污染问题</w:t>
            </w:r>
          </w:p>
        </w:tc>
        <w:tc>
          <w:tcPr>
            <w:tcW w:w="8527" w:type="dxa"/>
          </w:tcPr>
          <w:p>
            <w:pPr>
              <w:spacing w:line="520" w:lineRule="exact"/>
              <w:ind w:left="0" w:leftChars="0" w:right="0" w:rightChars="0" w:firstLine="0" w:firstLineChars="0"/>
              <w:jc w:val="both"/>
              <w:rPr>
                <w:rFonts w:hint="eastAsia"/>
                <w:lang w:val="en-US" w:eastAsia="zh-CN"/>
              </w:rPr>
            </w:pPr>
          </w:p>
          <w:p>
            <w:pPr>
              <w:pStyle w:val="6"/>
              <w:rPr>
                <w:rFonts w:hint="eastAsia"/>
                <w:lang w:val="en-US" w:eastAsia="zh-CN"/>
              </w:rPr>
            </w:pPr>
          </w:p>
          <w:p>
            <w:pPr>
              <w:spacing w:line="520" w:lineRule="exact"/>
              <w:ind w:left="0" w:leftChars="0" w:right="0" w:rightChars="0" w:firstLine="0" w:firstLineChars="0"/>
              <w:jc w:val="center"/>
              <w:rPr>
                <w:rFonts w:hint="eastAsia"/>
                <w:lang w:eastAsia="zh-CN"/>
              </w:rPr>
            </w:pPr>
            <w:r>
              <w:rPr>
                <w:rFonts w:hint="eastAsia"/>
                <w:lang w:val="en-US" w:eastAsia="zh-CN"/>
              </w:rPr>
              <w:t>无</w:t>
            </w:r>
          </w:p>
          <w:p>
            <w:pPr>
              <w:pStyle w:val="30"/>
              <w:ind w:left="0" w:leftChars="0" w:firstLine="0" w:firstLineChars="0"/>
            </w:pPr>
          </w:p>
          <w:p/>
        </w:tc>
      </w:tr>
    </w:tbl>
    <w:p>
      <w:pPr>
        <w:pStyle w:val="26"/>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6"/>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vAlign w:val="center"/>
          </w:tcPr>
          <w:p>
            <w:pPr>
              <w:adjustRightInd w:val="0"/>
              <w:snapToGrid w:val="0"/>
              <w:jc w:val="center"/>
              <w:rPr>
                <w:rFonts w:ascii="宋体" w:hAnsi="宋体" w:cs="宋体"/>
                <w:kern w:val="0"/>
                <w:sz w:val="24"/>
              </w:rPr>
            </w:pPr>
            <w:r>
              <w:rPr>
                <w:rFonts w:hint="eastAsia" w:ascii="宋体" w:hAnsi="宋体" w:cs="宋体"/>
                <w:kern w:val="0"/>
                <w:sz w:val="24"/>
              </w:rPr>
              <w:t>区域</w:t>
            </w:r>
          </w:p>
          <w:p>
            <w:pPr>
              <w:adjustRightInd w:val="0"/>
              <w:snapToGrid w:val="0"/>
              <w:jc w:val="center"/>
              <w:rPr>
                <w:rFonts w:ascii="宋体" w:hAnsi="宋体" w:cs="宋体"/>
                <w:kern w:val="0"/>
                <w:sz w:val="24"/>
              </w:rPr>
            </w:pPr>
            <w:r>
              <w:rPr>
                <w:rFonts w:hint="eastAsia" w:ascii="宋体" w:hAnsi="宋体" w:cs="宋体"/>
                <w:kern w:val="0"/>
                <w:sz w:val="24"/>
              </w:rPr>
              <w:t>环境</w:t>
            </w:r>
          </w:p>
          <w:p>
            <w:pPr>
              <w:adjustRightInd w:val="0"/>
              <w:snapToGrid w:val="0"/>
              <w:jc w:val="center"/>
              <w:rPr>
                <w:rFonts w:ascii="宋体" w:hAnsi="宋体" w:cs="宋体"/>
                <w:kern w:val="0"/>
                <w:sz w:val="24"/>
              </w:rPr>
            </w:pPr>
            <w:r>
              <w:rPr>
                <w:rFonts w:hint="eastAsia" w:ascii="宋体" w:hAnsi="宋体" w:cs="宋体"/>
                <w:kern w:val="0"/>
                <w:sz w:val="24"/>
              </w:rPr>
              <w:t>质量</w:t>
            </w:r>
          </w:p>
          <w:p>
            <w:pPr>
              <w:adjustRightInd w:val="0"/>
              <w:snapToGrid w:val="0"/>
              <w:jc w:val="center"/>
              <w:rPr>
                <w:rFonts w:ascii="宋体" w:hAnsi="宋体" w:cs="宋体"/>
                <w:kern w:val="0"/>
                <w:sz w:val="24"/>
              </w:rPr>
            </w:pPr>
            <w:r>
              <w:rPr>
                <w:rFonts w:hint="eastAsia" w:ascii="宋体" w:hAnsi="宋体" w:cs="宋体"/>
                <w:kern w:val="0"/>
                <w:sz w:val="24"/>
              </w:rPr>
              <w:t>现状</w:t>
            </w:r>
          </w:p>
        </w:tc>
        <w:tc>
          <w:tcPr>
            <w:tcW w:w="8190" w:type="dxa"/>
            <w:vAlign w:val="center"/>
          </w:tcPr>
          <w:p>
            <w:pPr>
              <w:numPr>
                <w:ilvl w:val="0"/>
                <w:numId w:val="10"/>
              </w:numPr>
              <w:autoSpaceDE w:val="0"/>
              <w:autoSpaceDN w:val="0"/>
              <w:adjustRightInd w:val="0"/>
              <w:snapToGrid w:val="0"/>
              <w:spacing w:line="520" w:lineRule="exact"/>
              <w:ind w:firstLine="482"/>
              <w:rPr>
                <w:b/>
                <w:bCs/>
                <w:sz w:val="24"/>
              </w:rPr>
            </w:pPr>
            <w:r>
              <w:rPr>
                <w:b/>
                <w:bCs/>
                <w:sz w:val="24"/>
              </w:rPr>
              <w:t>大气环境</w:t>
            </w:r>
          </w:p>
          <w:p>
            <w:pPr>
              <w:pStyle w:val="65"/>
              <w:ind w:firstLine="482"/>
              <w:rPr>
                <w:b/>
                <w:bCs/>
              </w:rPr>
            </w:pPr>
            <w:r>
              <w:rPr>
                <w:rFonts w:hint="eastAsia"/>
                <w:b/>
                <w:bCs/>
              </w:rPr>
              <w:t>1.1基本污染物现状调查与评价</w:t>
            </w:r>
          </w:p>
          <w:p>
            <w:pPr>
              <w:pStyle w:val="65"/>
            </w:pPr>
            <w:r>
              <w:rPr>
                <w:rFonts w:hint="eastAsia"/>
              </w:rPr>
              <w:t>本项目位于新疆昌吉回族自治州甘泉堡工业园区（阜康阜西产业园区）小微企业创新区，根据《环境影响评价技术导则大气环境》（HJ2.2-2018），可直接采用国家或地方生态环保主管部门公开发布的评价基准年环境质量公告或环境质量报告中的数据或结论。</w:t>
            </w:r>
          </w:p>
          <w:p>
            <w:pPr>
              <w:pStyle w:val="65"/>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lang w:bidi="ar"/>
              </w:rPr>
              <w:t>由于离项目最近的天池站点位于风景区内，环境空气质量代表性不强，因此本次评价选择离本项目相对较近的国控监测站阜康市监测站2020年的监测数据进行统计分析，作为本项目环境空气现状评价基本污染物SO</w:t>
            </w:r>
            <w:r>
              <w:rPr>
                <w:rFonts w:hint="default" w:ascii="Times New Roman" w:hAnsi="Times New Roman" w:eastAsia="宋体" w:cs="Times New Roman"/>
                <w:kern w:val="0"/>
                <w:sz w:val="24"/>
                <w:szCs w:val="24"/>
                <w:vertAlign w:val="subscript"/>
                <w:lang w:bidi="ar"/>
              </w:rPr>
              <w:t>2</w:t>
            </w:r>
            <w:r>
              <w:rPr>
                <w:rFonts w:hint="default" w:ascii="Times New Roman" w:hAnsi="Times New Roman" w:eastAsia="宋体" w:cs="Times New Roman"/>
                <w:kern w:val="0"/>
                <w:sz w:val="24"/>
                <w:szCs w:val="24"/>
                <w:lang w:bidi="ar"/>
              </w:rPr>
              <w:t>、NO</w:t>
            </w:r>
            <w:r>
              <w:rPr>
                <w:rFonts w:hint="default" w:ascii="Times New Roman" w:hAnsi="Times New Roman" w:eastAsia="宋体" w:cs="Times New Roman"/>
                <w:kern w:val="0"/>
                <w:sz w:val="24"/>
                <w:szCs w:val="24"/>
                <w:vertAlign w:val="subscript"/>
                <w:lang w:bidi="ar"/>
              </w:rPr>
              <w:t>2</w:t>
            </w:r>
            <w:r>
              <w:rPr>
                <w:rFonts w:hint="default" w:ascii="Times New Roman" w:hAnsi="Times New Roman" w:eastAsia="宋体" w:cs="Times New Roman"/>
                <w:kern w:val="0"/>
                <w:sz w:val="24"/>
                <w:szCs w:val="24"/>
                <w:lang w:bidi="ar"/>
              </w:rPr>
              <w:t>、PM</w:t>
            </w:r>
            <w:r>
              <w:rPr>
                <w:rFonts w:hint="default" w:ascii="Times New Roman" w:hAnsi="Times New Roman" w:eastAsia="宋体" w:cs="Times New Roman"/>
                <w:kern w:val="0"/>
                <w:sz w:val="24"/>
                <w:szCs w:val="24"/>
                <w:vertAlign w:val="subscript"/>
                <w:lang w:bidi="ar"/>
              </w:rPr>
              <w:t>10</w:t>
            </w:r>
            <w:r>
              <w:rPr>
                <w:rFonts w:hint="default" w:ascii="Times New Roman" w:hAnsi="Times New Roman" w:eastAsia="宋体" w:cs="Times New Roman"/>
                <w:kern w:val="0"/>
                <w:sz w:val="24"/>
                <w:szCs w:val="24"/>
                <w:lang w:bidi="ar"/>
              </w:rPr>
              <w:t>、PM</w:t>
            </w:r>
            <w:r>
              <w:rPr>
                <w:rFonts w:hint="default" w:ascii="Times New Roman" w:hAnsi="Times New Roman" w:eastAsia="宋体" w:cs="Times New Roman"/>
                <w:kern w:val="0"/>
                <w:sz w:val="24"/>
                <w:szCs w:val="24"/>
                <w:vertAlign w:val="subscript"/>
                <w:lang w:bidi="ar"/>
              </w:rPr>
              <w:t>2.5</w:t>
            </w:r>
            <w:r>
              <w:rPr>
                <w:rFonts w:hint="default" w:ascii="Times New Roman" w:hAnsi="Times New Roman" w:eastAsia="宋体" w:cs="Times New Roman"/>
                <w:kern w:val="0"/>
                <w:sz w:val="24"/>
                <w:szCs w:val="24"/>
                <w:lang w:bidi="ar"/>
              </w:rPr>
              <w:t>、CO和O</w:t>
            </w:r>
            <w:r>
              <w:rPr>
                <w:rFonts w:hint="default" w:ascii="Times New Roman" w:hAnsi="Times New Roman" w:eastAsia="宋体" w:cs="Times New Roman"/>
                <w:kern w:val="0"/>
                <w:sz w:val="24"/>
                <w:szCs w:val="24"/>
                <w:vertAlign w:val="subscript"/>
                <w:lang w:val="en-US" w:eastAsia="zh-CN" w:bidi="ar"/>
              </w:rPr>
              <w:t>3</w:t>
            </w:r>
            <w:r>
              <w:rPr>
                <w:rFonts w:hint="default" w:ascii="Times New Roman" w:hAnsi="Times New Roman" w:eastAsia="宋体" w:cs="Times New Roman"/>
                <w:kern w:val="0"/>
                <w:sz w:val="24"/>
                <w:szCs w:val="24"/>
                <w:lang w:bidi="ar"/>
              </w:rPr>
              <w:t>的数据来源。本项目所在区域</w:t>
            </w:r>
            <w:r>
              <w:rPr>
                <w:rFonts w:hint="default" w:ascii="Times New Roman" w:hAnsi="Times New Roman" w:eastAsia="宋体" w:cs="Times New Roman"/>
                <w:sz w:val="24"/>
                <w:szCs w:val="24"/>
              </w:rPr>
              <w:t>空气质量现状评价结果详见下表：</w:t>
            </w:r>
          </w:p>
          <w:p>
            <w:pPr>
              <w:pStyle w:val="81"/>
              <w:ind w:firstLine="480"/>
            </w:pPr>
            <w:r>
              <w:t>表3-</w:t>
            </w:r>
            <w:r>
              <w:rPr>
                <w:rFonts w:hint="eastAsia"/>
              </w:rPr>
              <w:t>1</w:t>
            </w:r>
            <w:r>
              <w:t xml:space="preserve">  区域空气质量现状评价表</w:t>
            </w:r>
          </w:p>
          <w:tbl>
            <w:tblPr>
              <w:tblStyle w:val="3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5"/>
              <w:gridCol w:w="1735"/>
              <w:gridCol w:w="1375"/>
              <w:gridCol w:w="1639"/>
              <w:gridCol w:w="901"/>
              <w:gridCol w:w="14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污染物</w:t>
                  </w:r>
                </w:p>
              </w:tc>
              <w:tc>
                <w:tcPr>
                  <w:tcW w:w="1088" w:type="pct"/>
                  <w:vAlign w:val="center"/>
                </w:tcPr>
                <w:p>
                  <w:pPr>
                    <w:autoSpaceDE w:val="0"/>
                    <w:autoSpaceDN w:val="0"/>
                    <w:jc w:val="center"/>
                    <w:rPr>
                      <w:sz w:val="24"/>
                    </w:rPr>
                  </w:pPr>
                  <w:r>
                    <w:t>年评价指标</w:t>
                  </w:r>
                </w:p>
              </w:tc>
              <w:tc>
                <w:tcPr>
                  <w:tcW w:w="862" w:type="pct"/>
                  <w:vAlign w:val="center"/>
                </w:tcPr>
                <w:p>
                  <w:pPr>
                    <w:autoSpaceDE w:val="0"/>
                    <w:autoSpaceDN w:val="0"/>
                    <w:jc w:val="center"/>
                    <w:rPr>
                      <w:sz w:val="24"/>
                    </w:rPr>
                  </w:pPr>
                  <w:r>
                    <w:t>现状浓度（</w:t>
                  </w:r>
                  <w:r>
                    <w:rPr>
                      <w:bCs/>
                      <w:szCs w:val="21"/>
                    </w:rPr>
                    <w:t>μ</w:t>
                  </w:r>
                  <w:r>
                    <w:t>g/m</w:t>
                  </w:r>
                  <w:r>
                    <w:rPr>
                      <w:vertAlign w:val="superscript"/>
                    </w:rPr>
                    <w:t>3</w:t>
                  </w:r>
                  <w:r>
                    <w:t>）</w:t>
                  </w:r>
                </w:p>
              </w:tc>
              <w:tc>
                <w:tcPr>
                  <w:tcW w:w="1028" w:type="pct"/>
                  <w:vAlign w:val="center"/>
                </w:tcPr>
                <w:p>
                  <w:pPr>
                    <w:autoSpaceDE w:val="0"/>
                    <w:autoSpaceDN w:val="0"/>
                    <w:jc w:val="center"/>
                    <w:rPr>
                      <w:sz w:val="24"/>
                    </w:rPr>
                  </w:pPr>
                  <w:r>
                    <w:t>标准值（</w:t>
                  </w:r>
                  <w:r>
                    <w:rPr>
                      <w:bCs/>
                      <w:szCs w:val="21"/>
                    </w:rPr>
                    <w:t>μ</w:t>
                  </w:r>
                  <w:r>
                    <w:t>g/m</w:t>
                  </w:r>
                  <w:r>
                    <w:rPr>
                      <w:vertAlign w:val="superscript"/>
                    </w:rPr>
                    <w:t>3</w:t>
                  </w:r>
                  <w:r>
                    <w:t>）</w:t>
                  </w:r>
                </w:p>
              </w:tc>
              <w:tc>
                <w:tcPr>
                  <w:tcW w:w="565" w:type="pct"/>
                  <w:vAlign w:val="center"/>
                </w:tcPr>
                <w:p>
                  <w:pPr>
                    <w:autoSpaceDE w:val="0"/>
                    <w:autoSpaceDN w:val="0"/>
                    <w:jc w:val="center"/>
                    <w:rPr>
                      <w:rFonts w:hint="eastAsia" w:eastAsia="宋体"/>
                      <w:sz w:val="24"/>
                      <w:lang w:eastAsia="zh-CN"/>
                    </w:rPr>
                  </w:pPr>
                  <w:r>
                    <w:t>占标率</w:t>
                  </w:r>
                </w:p>
              </w:tc>
              <w:tc>
                <w:tcPr>
                  <w:tcW w:w="902" w:type="pct"/>
                  <w:vAlign w:val="center"/>
                </w:tcPr>
                <w:p>
                  <w:pPr>
                    <w:autoSpaceDE w:val="0"/>
                    <w:autoSpaceDN w:val="0"/>
                    <w:jc w:val="center"/>
                    <w:rPr>
                      <w:sz w:val="24"/>
                    </w:rPr>
                  </w:pPr>
                  <w: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PM</w:t>
                  </w:r>
                  <w:r>
                    <w:rPr>
                      <w:vertAlign w:val="subscript"/>
                    </w:rPr>
                    <w:t>2.5</w:t>
                  </w:r>
                </w:p>
              </w:tc>
              <w:tc>
                <w:tcPr>
                  <w:tcW w:w="1088" w:type="pct"/>
                  <w:vMerge w:val="restart"/>
                  <w:vAlign w:val="center"/>
                </w:tcPr>
                <w:p>
                  <w:pPr>
                    <w:autoSpaceDE w:val="0"/>
                    <w:autoSpaceDN w:val="0"/>
                    <w:jc w:val="center"/>
                    <w:rPr>
                      <w:sz w:val="24"/>
                    </w:rPr>
                  </w:pPr>
                  <w:r>
                    <w:t>年平均质量浓度</w:t>
                  </w:r>
                </w:p>
              </w:tc>
              <w:tc>
                <w:tcPr>
                  <w:tcW w:w="862" w:type="pct"/>
                  <w:vAlign w:val="center"/>
                </w:tcPr>
                <w:p>
                  <w:pPr>
                    <w:autoSpaceDE w:val="0"/>
                    <w:autoSpaceDN w:val="0"/>
                    <w:jc w:val="center"/>
                    <w:rPr>
                      <w:rFonts w:hint="default" w:eastAsia="宋体"/>
                      <w:sz w:val="24"/>
                      <w:lang w:val="en-US" w:eastAsia="zh-CN"/>
                    </w:rPr>
                  </w:pPr>
                  <w:r>
                    <w:rPr>
                      <w:rFonts w:hint="eastAsia"/>
                      <w:lang w:val="en-US" w:eastAsia="zh-CN"/>
                    </w:rPr>
                    <w:t>53</w:t>
                  </w:r>
                </w:p>
              </w:tc>
              <w:tc>
                <w:tcPr>
                  <w:tcW w:w="1028" w:type="pct"/>
                  <w:vAlign w:val="center"/>
                </w:tcPr>
                <w:p>
                  <w:pPr>
                    <w:autoSpaceDE w:val="0"/>
                    <w:autoSpaceDN w:val="0"/>
                    <w:jc w:val="center"/>
                    <w:rPr>
                      <w:sz w:val="24"/>
                    </w:rPr>
                  </w:pPr>
                  <w:r>
                    <w:t>35</w:t>
                  </w:r>
                </w:p>
              </w:tc>
              <w:tc>
                <w:tcPr>
                  <w:tcW w:w="565" w:type="pct"/>
                  <w:vAlign w:val="center"/>
                </w:tcPr>
                <w:p>
                  <w:pPr>
                    <w:autoSpaceDE w:val="0"/>
                    <w:autoSpaceDN w:val="0"/>
                    <w:jc w:val="center"/>
                    <w:rPr>
                      <w:rFonts w:hint="default" w:ascii="Times New Roman" w:hAnsi="Times New Roman" w:eastAsia="宋体" w:cs="Times New Roman"/>
                      <w:b w:val="0"/>
                      <w:bCs w:val="0"/>
                      <w:sz w:val="21"/>
                      <w:szCs w:val="21"/>
                      <w:lang w:val="en-US" w:eastAsia="zh-CN"/>
                    </w:rPr>
                  </w:pPr>
                  <w:r>
                    <w:rPr>
                      <w:rFonts w:hint="eastAsia" w:cs="Times New Roman"/>
                      <w:b w:val="0"/>
                      <w:bCs w:val="0"/>
                      <w:sz w:val="21"/>
                      <w:szCs w:val="21"/>
                      <w:lang w:val="en-US" w:eastAsia="zh-CN"/>
                    </w:rPr>
                    <w:t>151.4%</w:t>
                  </w:r>
                </w:p>
              </w:tc>
              <w:tc>
                <w:tcPr>
                  <w:tcW w:w="902" w:type="pct"/>
                  <w:vAlign w:val="center"/>
                </w:tcPr>
                <w:p>
                  <w:pPr>
                    <w:autoSpaceDE w:val="0"/>
                    <w:autoSpaceDN w:val="0"/>
                    <w:jc w:val="center"/>
                    <w:rPr>
                      <w:sz w:val="24"/>
                    </w:rPr>
                  </w:pPr>
                  <w: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PM</w:t>
                  </w:r>
                  <w:r>
                    <w:rPr>
                      <w:vertAlign w:val="subscript"/>
                    </w:rPr>
                    <w:t>10</w:t>
                  </w:r>
                </w:p>
              </w:tc>
              <w:tc>
                <w:tcPr>
                  <w:tcW w:w="1088" w:type="pct"/>
                  <w:vMerge w:val="continue"/>
                  <w:vAlign w:val="center"/>
                </w:tcPr>
                <w:p>
                  <w:pPr>
                    <w:jc w:val="center"/>
                    <w:rPr>
                      <w:sz w:val="24"/>
                    </w:rPr>
                  </w:pPr>
                </w:p>
              </w:tc>
              <w:tc>
                <w:tcPr>
                  <w:tcW w:w="862" w:type="pct"/>
                  <w:vAlign w:val="center"/>
                </w:tcPr>
                <w:p>
                  <w:pPr>
                    <w:autoSpaceDE w:val="0"/>
                    <w:autoSpaceDN w:val="0"/>
                    <w:jc w:val="center"/>
                    <w:rPr>
                      <w:rFonts w:hint="default" w:eastAsia="宋体"/>
                      <w:sz w:val="24"/>
                      <w:lang w:val="en-US" w:eastAsia="zh-CN"/>
                    </w:rPr>
                  </w:pPr>
                  <w:r>
                    <w:rPr>
                      <w:rFonts w:hint="eastAsia"/>
                      <w:lang w:val="en-US" w:eastAsia="zh-CN"/>
                    </w:rPr>
                    <w:t>88</w:t>
                  </w:r>
                </w:p>
              </w:tc>
              <w:tc>
                <w:tcPr>
                  <w:tcW w:w="1028" w:type="pct"/>
                  <w:vAlign w:val="center"/>
                </w:tcPr>
                <w:p>
                  <w:pPr>
                    <w:autoSpaceDE w:val="0"/>
                    <w:autoSpaceDN w:val="0"/>
                    <w:jc w:val="center"/>
                    <w:rPr>
                      <w:sz w:val="24"/>
                    </w:rPr>
                  </w:pPr>
                  <w:r>
                    <w:t>70</w:t>
                  </w:r>
                </w:p>
              </w:tc>
              <w:tc>
                <w:tcPr>
                  <w:tcW w:w="565" w:type="pct"/>
                  <w:vAlign w:val="center"/>
                </w:tcPr>
                <w:p>
                  <w:pPr>
                    <w:autoSpaceDE w:val="0"/>
                    <w:autoSpaceDN w:val="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125</w:t>
                  </w:r>
                  <w:r>
                    <w:rPr>
                      <w:rFonts w:hint="eastAsia" w:cs="Times New Roman"/>
                      <w:b w:val="0"/>
                      <w:bCs w:val="0"/>
                      <w:sz w:val="21"/>
                      <w:szCs w:val="21"/>
                      <w:lang w:val="en-US" w:eastAsia="zh-CN"/>
                    </w:rPr>
                    <w:t>.</w:t>
                  </w:r>
                  <w:r>
                    <w:rPr>
                      <w:rFonts w:hint="eastAsia" w:ascii="Times New Roman" w:hAnsi="Times New Roman" w:cs="Times New Roman"/>
                      <w:b w:val="0"/>
                      <w:bCs w:val="0"/>
                      <w:sz w:val="21"/>
                      <w:szCs w:val="21"/>
                      <w:lang w:val="en-US" w:eastAsia="zh-CN"/>
                    </w:rPr>
                    <w:t>7</w:t>
                  </w:r>
                  <w:r>
                    <w:rPr>
                      <w:rFonts w:hint="eastAsia" w:cs="Times New Roman"/>
                      <w:b w:val="0"/>
                      <w:bCs w:val="0"/>
                      <w:sz w:val="21"/>
                      <w:szCs w:val="21"/>
                      <w:lang w:val="en-US" w:eastAsia="zh-CN"/>
                    </w:rPr>
                    <w:t>%</w:t>
                  </w:r>
                </w:p>
              </w:tc>
              <w:tc>
                <w:tcPr>
                  <w:tcW w:w="902" w:type="pct"/>
                  <w:vAlign w:val="center"/>
                </w:tcPr>
                <w:p>
                  <w:pPr>
                    <w:autoSpaceDE w:val="0"/>
                    <w:autoSpaceDN w:val="0"/>
                    <w:jc w:val="center"/>
                    <w:rPr>
                      <w:sz w:val="24"/>
                    </w:rPr>
                  </w:pPr>
                  <w: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SO</w:t>
                  </w:r>
                  <w:r>
                    <w:rPr>
                      <w:vertAlign w:val="subscript"/>
                    </w:rPr>
                    <w:t>2</w:t>
                  </w:r>
                </w:p>
              </w:tc>
              <w:tc>
                <w:tcPr>
                  <w:tcW w:w="1088" w:type="pct"/>
                  <w:vMerge w:val="continue"/>
                  <w:vAlign w:val="center"/>
                </w:tcPr>
                <w:p>
                  <w:pPr>
                    <w:jc w:val="center"/>
                    <w:rPr>
                      <w:sz w:val="24"/>
                    </w:rPr>
                  </w:pPr>
                </w:p>
              </w:tc>
              <w:tc>
                <w:tcPr>
                  <w:tcW w:w="862" w:type="pct"/>
                  <w:vAlign w:val="center"/>
                </w:tcPr>
                <w:p>
                  <w:pPr>
                    <w:autoSpaceDE w:val="0"/>
                    <w:autoSpaceDN w:val="0"/>
                    <w:jc w:val="center"/>
                    <w:rPr>
                      <w:rFonts w:hint="eastAsia" w:eastAsia="宋体"/>
                      <w:sz w:val="24"/>
                      <w:lang w:eastAsia="zh-CN"/>
                    </w:rPr>
                  </w:pPr>
                  <w:r>
                    <w:rPr>
                      <w:rFonts w:hint="eastAsia"/>
                      <w:lang w:val="en-US" w:eastAsia="zh-CN"/>
                    </w:rPr>
                    <w:t>8</w:t>
                  </w:r>
                </w:p>
              </w:tc>
              <w:tc>
                <w:tcPr>
                  <w:tcW w:w="1028" w:type="pct"/>
                  <w:vAlign w:val="center"/>
                </w:tcPr>
                <w:p>
                  <w:pPr>
                    <w:autoSpaceDE w:val="0"/>
                    <w:autoSpaceDN w:val="0"/>
                    <w:jc w:val="center"/>
                    <w:rPr>
                      <w:sz w:val="24"/>
                    </w:rPr>
                  </w:pPr>
                  <w:r>
                    <w:t>60</w:t>
                  </w:r>
                </w:p>
              </w:tc>
              <w:tc>
                <w:tcPr>
                  <w:tcW w:w="565" w:type="pct"/>
                  <w:vAlign w:val="center"/>
                </w:tcPr>
                <w:p>
                  <w:pPr>
                    <w:autoSpaceDE w:val="0"/>
                    <w:autoSpaceDN w:val="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13</w:t>
                  </w:r>
                  <w:r>
                    <w:rPr>
                      <w:rFonts w:hint="eastAsia" w:cs="Times New Roman"/>
                      <w:b w:val="0"/>
                      <w:bCs w:val="0"/>
                      <w:sz w:val="21"/>
                      <w:szCs w:val="21"/>
                      <w:lang w:val="en-US" w:eastAsia="zh-CN"/>
                    </w:rPr>
                    <w:t>.</w:t>
                  </w:r>
                  <w:r>
                    <w:rPr>
                      <w:rFonts w:hint="eastAsia" w:ascii="Times New Roman" w:hAnsi="Times New Roman" w:cs="Times New Roman"/>
                      <w:b w:val="0"/>
                      <w:bCs w:val="0"/>
                      <w:sz w:val="21"/>
                      <w:szCs w:val="21"/>
                      <w:lang w:val="en-US" w:eastAsia="zh-CN"/>
                    </w:rPr>
                    <w:t>3</w:t>
                  </w:r>
                  <w:r>
                    <w:rPr>
                      <w:rFonts w:hint="eastAsia" w:cs="Times New Roman"/>
                      <w:b w:val="0"/>
                      <w:bCs w:val="0"/>
                      <w:sz w:val="21"/>
                      <w:szCs w:val="21"/>
                      <w:lang w:val="en-US" w:eastAsia="zh-CN"/>
                    </w:rPr>
                    <w:t>%</w:t>
                  </w:r>
                </w:p>
              </w:tc>
              <w:tc>
                <w:tcPr>
                  <w:tcW w:w="902" w:type="pct"/>
                  <w:vAlign w:val="center"/>
                </w:tcPr>
                <w:p>
                  <w:pPr>
                    <w:autoSpaceDE w:val="0"/>
                    <w:autoSpaceDN w:val="0"/>
                    <w:jc w:val="center"/>
                    <w:rPr>
                      <w:sz w:val="24"/>
                    </w:rPr>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NO</w:t>
                  </w:r>
                  <w:r>
                    <w:rPr>
                      <w:vertAlign w:val="subscript"/>
                    </w:rPr>
                    <w:t>2</w:t>
                  </w:r>
                </w:p>
              </w:tc>
              <w:tc>
                <w:tcPr>
                  <w:tcW w:w="1088" w:type="pct"/>
                  <w:vMerge w:val="continue"/>
                  <w:vAlign w:val="center"/>
                </w:tcPr>
                <w:p>
                  <w:pPr>
                    <w:jc w:val="center"/>
                    <w:rPr>
                      <w:sz w:val="24"/>
                    </w:rPr>
                  </w:pPr>
                </w:p>
              </w:tc>
              <w:tc>
                <w:tcPr>
                  <w:tcW w:w="862" w:type="pct"/>
                  <w:vAlign w:val="center"/>
                </w:tcPr>
                <w:p>
                  <w:pPr>
                    <w:autoSpaceDE w:val="0"/>
                    <w:autoSpaceDN w:val="0"/>
                    <w:jc w:val="center"/>
                    <w:rPr>
                      <w:rFonts w:hint="default" w:eastAsia="宋体"/>
                      <w:sz w:val="24"/>
                      <w:lang w:val="en-US" w:eastAsia="zh-CN"/>
                    </w:rPr>
                  </w:pPr>
                  <w:r>
                    <w:rPr>
                      <w:rFonts w:hint="eastAsia"/>
                      <w:lang w:val="en-US" w:eastAsia="zh-CN"/>
                    </w:rPr>
                    <w:t>33</w:t>
                  </w:r>
                </w:p>
              </w:tc>
              <w:tc>
                <w:tcPr>
                  <w:tcW w:w="1028" w:type="pct"/>
                  <w:vAlign w:val="center"/>
                </w:tcPr>
                <w:p>
                  <w:pPr>
                    <w:autoSpaceDE w:val="0"/>
                    <w:autoSpaceDN w:val="0"/>
                    <w:jc w:val="center"/>
                    <w:rPr>
                      <w:sz w:val="24"/>
                    </w:rPr>
                  </w:pPr>
                  <w:r>
                    <w:t>40</w:t>
                  </w:r>
                </w:p>
              </w:tc>
              <w:tc>
                <w:tcPr>
                  <w:tcW w:w="565" w:type="pct"/>
                  <w:vAlign w:val="center"/>
                </w:tcPr>
                <w:p>
                  <w:pPr>
                    <w:autoSpaceDE w:val="0"/>
                    <w:autoSpaceDN w:val="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82</w:t>
                  </w:r>
                  <w:r>
                    <w:rPr>
                      <w:rFonts w:hint="eastAsia" w:cs="Times New Roman"/>
                      <w:b w:val="0"/>
                      <w:bCs w:val="0"/>
                      <w:sz w:val="21"/>
                      <w:szCs w:val="21"/>
                      <w:lang w:val="en-US" w:eastAsia="zh-CN"/>
                    </w:rPr>
                    <w:t>.</w:t>
                  </w:r>
                  <w:r>
                    <w:rPr>
                      <w:rFonts w:hint="eastAsia" w:ascii="Times New Roman" w:hAnsi="Times New Roman" w:cs="Times New Roman"/>
                      <w:b w:val="0"/>
                      <w:bCs w:val="0"/>
                      <w:sz w:val="21"/>
                      <w:szCs w:val="21"/>
                      <w:lang w:val="en-US" w:eastAsia="zh-CN"/>
                    </w:rPr>
                    <w:t>5</w:t>
                  </w:r>
                  <w:r>
                    <w:rPr>
                      <w:rFonts w:hint="eastAsia" w:cs="Times New Roman"/>
                      <w:b w:val="0"/>
                      <w:bCs w:val="0"/>
                      <w:sz w:val="21"/>
                      <w:szCs w:val="21"/>
                      <w:lang w:val="en-US" w:eastAsia="zh-CN"/>
                    </w:rPr>
                    <w:t>%</w:t>
                  </w:r>
                </w:p>
              </w:tc>
              <w:tc>
                <w:tcPr>
                  <w:tcW w:w="902" w:type="pct"/>
                  <w:vAlign w:val="center"/>
                </w:tcPr>
                <w:p>
                  <w:pPr>
                    <w:autoSpaceDE w:val="0"/>
                    <w:autoSpaceDN w:val="0"/>
                    <w:jc w:val="center"/>
                    <w:rPr>
                      <w:sz w:val="24"/>
                    </w:rPr>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pPr>
                    <w:autoSpaceDE w:val="0"/>
                    <w:autoSpaceDN w:val="0"/>
                    <w:jc w:val="center"/>
                    <w:rPr>
                      <w:sz w:val="24"/>
                    </w:rPr>
                  </w:pPr>
                  <w:r>
                    <w:t>CO</w:t>
                  </w:r>
                </w:p>
              </w:tc>
              <w:tc>
                <w:tcPr>
                  <w:tcW w:w="1088" w:type="pct"/>
                  <w:vAlign w:val="center"/>
                </w:tcPr>
                <w:p>
                  <w:pPr>
                    <w:autoSpaceDE w:val="0"/>
                    <w:autoSpaceDN w:val="0"/>
                    <w:jc w:val="center"/>
                    <w:rPr>
                      <w:sz w:val="24"/>
                    </w:rPr>
                  </w:pPr>
                  <w:r>
                    <w:t>年平均质量浓度</w:t>
                  </w:r>
                </w:p>
              </w:tc>
              <w:tc>
                <w:tcPr>
                  <w:tcW w:w="862" w:type="pct"/>
                  <w:vAlign w:val="center"/>
                </w:tcPr>
                <w:p>
                  <w:pPr>
                    <w:autoSpaceDE w:val="0"/>
                    <w:autoSpaceDN w:val="0"/>
                    <w:jc w:val="center"/>
                    <w:rPr>
                      <w:sz w:val="24"/>
                    </w:rPr>
                  </w:pPr>
                  <w:r>
                    <w:rPr>
                      <w:rFonts w:hint="eastAsia"/>
                      <w:sz w:val="24"/>
                    </w:rPr>
                    <w:t>/</w:t>
                  </w:r>
                </w:p>
              </w:tc>
              <w:tc>
                <w:tcPr>
                  <w:tcW w:w="2495" w:type="pct"/>
                  <w:gridSpan w:val="3"/>
                  <w:vAlign w:val="center"/>
                </w:tcPr>
                <w:p>
                  <w:pPr>
                    <w:autoSpaceDE w:val="0"/>
                    <w:autoSpaceDN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pPr>
                    <w:jc w:val="center"/>
                    <w:rPr>
                      <w:sz w:val="24"/>
                    </w:rPr>
                  </w:pPr>
                </w:p>
              </w:tc>
              <w:tc>
                <w:tcPr>
                  <w:tcW w:w="1088" w:type="pct"/>
                  <w:vAlign w:val="center"/>
                </w:tcPr>
                <w:p>
                  <w:pPr>
                    <w:autoSpaceDE w:val="0"/>
                    <w:autoSpaceDN w:val="0"/>
                    <w:jc w:val="center"/>
                    <w:rPr>
                      <w:sz w:val="24"/>
                    </w:rPr>
                  </w:pPr>
                  <w:r>
                    <w:t>百分位数日平均</w:t>
                  </w:r>
                </w:p>
              </w:tc>
              <w:tc>
                <w:tcPr>
                  <w:tcW w:w="862" w:type="pct"/>
                  <w:vAlign w:val="center"/>
                </w:tcPr>
                <w:p>
                  <w:pPr>
                    <w:autoSpaceDE w:val="0"/>
                    <w:autoSpaceDN w:val="0"/>
                    <w:jc w:val="center"/>
                    <w:rPr>
                      <w:rFonts w:hint="default" w:eastAsia="宋体"/>
                      <w:sz w:val="24"/>
                      <w:lang w:val="en-US" w:eastAsia="zh-CN"/>
                    </w:rPr>
                  </w:pPr>
                  <w:r>
                    <w:rPr>
                      <w:rFonts w:hint="eastAsia"/>
                      <w:lang w:val="en-US" w:eastAsia="zh-CN"/>
                    </w:rPr>
                    <w:t>2500</w:t>
                  </w:r>
                </w:p>
              </w:tc>
              <w:tc>
                <w:tcPr>
                  <w:tcW w:w="1028" w:type="pct"/>
                  <w:vAlign w:val="center"/>
                </w:tcPr>
                <w:p>
                  <w:pPr>
                    <w:autoSpaceDE w:val="0"/>
                    <w:autoSpaceDN w:val="0"/>
                    <w:jc w:val="center"/>
                    <w:rPr>
                      <w:sz w:val="24"/>
                    </w:rPr>
                  </w:pPr>
                  <w:r>
                    <w:t>4000</w:t>
                  </w:r>
                </w:p>
              </w:tc>
              <w:tc>
                <w:tcPr>
                  <w:tcW w:w="565" w:type="pct"/>
                  <w:vAlign w:val="center"/>
                </w:tcPr>
                <w:p>
                  <w:pPr>
                    <w:autoSpaceDE w:val="0"/>
                    <w:autoSpaceDN w:val="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62</w:t>
                  </w:r>
                  <w:r>
                    <w:rPr>
                      <w:rFonts w:hint="eastAsia" w:cs="Times New Roman"/>
                      <w:b w:val="0"/>
                      <w:bCs w:val="0"/>
                      <w:sz w:val="21"/>
                      <w:szCs w:val="21"/>
                      <w:lang w:val="en-US" w:eastAsia="zh-CN"/>
                    </w:rPr>
                    <w:t>.</w:t>
                  </w:r>
                  <w:r>
                    <w:rPr>
                      <w:rFonts w:hint="eastAsia" w:ascii="Times New Roman" w:hAnsi="Times New Roman" w:cs="Times New Roman"/>
                      <w:b w:val="0"/>
                      <w:bCs w:val="0"/>
                      <w:sz w:val="21"/>
                      <w:szCs w:val="21"/>
                      <w:lang w:val="en-US" w:eastAsia="zh-CN"/>
                    </w:rPr>
                    <w:t>5</w:t>
                  </w:r>
                  <w:r>
                    <w:rPr>
                      <w:rFonts w:hint="eastAsia" w:cs="Times New Roman"/>
                      <w:b w:val="0"/>
                      <w:bCs w:val="0"/>
                      <w:sz w:val="21"/>
                      <w:szCs w:val="21"/>
                      <w:lang w:val="en-US" w:eastAsia="zh-CN"/>
                    </w:rPr>
                    <w:t>%</w:t>
                  </w:r>
                </w:p>
              </w:tc>
              <w:tc>
                <w:tcPr>
                  <w:tcW w:w="902" w:type="pct"/>
                  <w:vAlign w:val="center"/>
                </w:tcPr>
                <w:p>
                  <w:pPr>
                    <w:autoSpaceDE w:val="0"/>
                    <w:autoSpaceDN w:val="0"/>
                    <w:jc w:val="center"/>
                    <w:rPr>
                      <w:sz w:val="24"/>
                    </w:rPr>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555" w:type="pct"/>
                  <w:vMerge w:val="restart"/>
                  <w:vAlign w:val="center"/>
                </w:tcPr>
                <w:p>
                  <w:pPr>
                    <w:autoSpaceDE w:val="0"/>
                    <w:autoSpaceDN w:val="0"/>
                    <w:jc w:val="center"/>
                    <w:rPr>
                      <w:sz w:val="24"/>
                    </w:rPr>
                  </w:pPr>
                  <w:r>
                    <w:t>O</w:t>
                  </w:r>
                  <w:r>
                    <w:rPr>
                      <w:vertAlign w:val="subscript"/>
                    </w:rPr>
                    <w:t>3</w:t>
                  </w:r>
                </w:p>
              </w:tc>
              <w:tc>
                <w:tcPr>
                  <w:tcW w:w="1088" w:type="pct"/>
                  <w:vAlign w:val="center"/>
                </w:tcPr>
                <w:p>
                  <w:pPr>
                    <w:autoSpaceDE w:val="0"/>
                    <w:autoSpaceDN w:val="0"/>
                    <w:jc w:val="center"/>
                    <w:rPr>
                      <w:sz w:val="24"/>
                    </w:rPr>
                  </w:pPr>
                  <w:r>
                    <w:t>年平均质量浓度</w:t>
                  </w:r>
                </w:p>
              </w:tc>
              <w:tc>
                <w:tcPr>
                  <w:tcW w:w="862" w:type="pct"/>
                  <w:vAlign w:val="center"/>
                </w:tcPr>
                <w:p>
                  <w:pPr>
                    <w:autoSpaceDE w:val="0"/>
                    <w:autoSpaceDN w:val="0"/>
                    <w:jc w:val="center"/>
                    <w:rPr>
                      <w:sz w:val="24"/>
                    </w:rPr>
                  </w:pPr>
                </w:p>
              </w:tc>
              <w:tc>
                <w:tcPr>
                  <w:tcW w:w="2495" w:type="pct"/>
                  <w:gridSpan w:val="3"/>
                  <w:vAlign w:val="center"/>
                </w:tcPr>
                <w:p>
                  <w:pPr>
                    <w:autoSpaceDE w:val="0"/>
                    <w:autoSpaceDN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pPr>
                    <w:jc w:val="center"/>
                    <w:rPr>
                      <w:sz w:val="24"/>
                    </w:rPr>
                  </w:pPr>
                </w:p>
              </w:tc>
              <w:tc>
                <w:tcPr>
                  <w:tcW w:w="1088" w:type="pct"/>
                  <w:vAlign w:val="center"/>
                </w:tcPr>
                <w:p>
                  <w:pPr>
                    <w:autoSpaceDE w:val="0"/>
                    <w:autoSpaceDN w:val="0"/>
                    <w:jc w:val="center"/>
                    <w:rPr>
                      <w:sz w:val="24"/>
                    </w:rPr>
                  </w:pPr>
                  <w:r>
                    <w:t>8h平均质量浓度</w:t>
                  </w:r>
                </w:p>
              </w:tc>
              <w:tc>
                <w:tcPr>
                  <w:tcW w:w="862" w:type="pct"/>
                  <w:vAlign w:val="center"/>
                </w:tcPr>
                <w:p>
                  <w:pPr>
                    <w:autoSpaceDE w:val="0"/>
                    <w:autoSpaceDN w:val="0"/>
                    <w:jc w:val="center"/>
                    <w:rPr>
                      <w:rFonts w:hint="default" w:eastAsia="宋体"/>
                      <w:sz w:val="24"/>
                      <w:lang w:val="en-US" w:eastAsia="zh-CN"/>
                    </w:rPr>
                  </w:pPr>
                  <w:r>
                    <w:rPr>
                      <w:rFonts w:hint="eastAsia"/>
                      <w:lang w:val="en-US" w:eastAsia="zh-CN"/>
                    </w:rPr>
                    <w:t>131</w:t>
                  </w:r>
                </w:p>
              </w:tc>
              <w:tc>
                <w:tcPr>
                  <w:tcW w:w="1028" w:type="pct"/>
                  <w:vAlign w:val="center"/>
                </w:tcPr>
                <w:p>
                  <w:pPr>
                    <w:autoSpaceDE w:val="0"/>
                    <w:autoSpaceDN w:val="0"/>
                    <w:jc w:val="center"/>
                    <w:rPr>
                      <w:sz w:val="24"/>
                    </w:rPr>
                  </w:pPr>
                  <w:r>
                    <w:t>160</w:t>
                  </w:r>
                </w:p>
              </w:tc>
              <w:tc>
                <w:tcPr>
                  <w:tcW w:w="565" w:type="pct"/>
                  <w:vAlign w:val="center"/>
                </w:tcPr>
                <w:p>
                  <w:pPr>
                    <w:autoSpaceDE w:val="0"/>
                    <w:autoSpaceDN w:val="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81</w:t>
                  </w:r>
                  <w:r>
                    <w:rPr>
                      <w:rFonts w:hint="eastAsia" w:cs="Times New Roman"/>
                      <w:b w:val="0"/>
                      <w:bCs w:val="0"/>
                      <w:sz w:val="21"/>
                      <w:szCs w:val="21"/>
                      <w:lang w:val="en-US" w:eastAsia="zh-CN"/>
                    </w:rPr>
                    <w:t>.</w:t>
                  </w:r>
                  <w:r>
                    <w:rPr>
                      <w:rFonts w:hint="eastAsia" w:ascii="Times New Roman" w:hAnsi="Times New Roman" w:cs="Times New Roman"/>
                      <w:b w:val="0"/>
                      <w:bCs w:val="0"/>
                      <w:sz w:val="21"/>
                      <w:szCs w:val="21"/>
                      <w:lang w:val="en-US" w:eastAsia="zh-CN"/>
                    </w:rPr>
                    <w:t>9</w:t>
                  </w:r>
                </w:p>
              </w:tc>
              <w:tc>
                <w:tcPr>
                  <w:tcW w:w="902" w:type="pct"/>
                  <w:vAlign w:val="center"/>
                </w:tcPr>
                <w:p>
                  <w:pPr>
                    <w:autoSpaceDE w:val="0"/>
                    <w:autoSpaceDN w:val="0"/>
                    <w:jc w:val="center"/>
                    <w:rPr>
                      <w:sz w:val="24"/>
                    </w:rPr>
                  </w:pPr>
                  <w:r>
                    <w:t>达标</w:t>
                  </w:r>
                </w:p>
              </w:tc>
            </w:tr>
          </w:tbl>
          <w:p>
            <w:pPr>
              <w:pStyle w:val="65"/>
            </w:pPr>
            <w:r>
              <w:t>项目所在区域PM</w:t>
            </w:r>
            <w:r>
              <w:rPr>
                <w:rFonts w:hint="eastAsia"/>
                <w:vertAlign w:val="subscript"/>
              </w:rPr>
              <w:t>2.5</w:t>
            </w:r>
            <w:r>
              <w:rPr>
                <w:rFonts w:hint="eastAsia"/>
              </w:rPr>
              <w:t>、</w:t>
            </w:r>
            <w:r>
              <w:t>PM</w:t>
            </w:r>
            <w:r>
              <w:rPr>
                <w:vertAlign w:val="subscript"/>
              </w:rPr>
              <w:t>10</w:t>
            </w:r>
            <w:r>
              <w:t>年平均浓度</w:t>
            </w:r>
            <w:r>
              <w:rPr>
                <w:rFonts w:hint="eastAsia"/>
              </w:rPr>
              <w:t>均</w:t>
            </w:r>
            <w:r>
              <w:t>超过《环境空气质量标准》（GB3095-2012）的二级标准要求；O</w:t>
            </w:r>
            <w:r>
              <w:rPr>
                <w:vertAlign w:val="subscript"/>
              </w:rPr>
              <w:t>3</w:t>
            </w:r>
            <w:r>
              <w:t>最大8小时平均浓度及CO、SO</w:t>
            </w:r>
            <w:r>
              <w:rPr>
                <w:vertAlign w:val="subscript"/>
              </w:rPr>
              <w:t>2</w:t>
            </w:r>
            <w:r>
              <w:rPr>
                <w:rFonts w:hint="eastAsia"/>
              </w:rPr>
              <w:t>、NO</w:t>
            </w:r>
            <w:r>
              <w:rPr>
                <w:rFonts w:hint="eastAsia"/>
                <w:vertAlign w:val="subscript"/>
              </w:rPr>
              <w:t>2</w:t>
            </w:r>
            <w:r>
              <w:t>的年均浓度均满足《环境空气质量标准》（GB3095-2012）的二级标准要求，本项目所在区域为不达标区域。</w:t>
            </w:r>
            <w:r>
              <w:rPr>
                <w:rFonts w:hint="eastAsia"/>
              </w:rPr>
              <w:t>超标主要是与当地气候条件和地理位置有关，评价区大气由于受到当地干旱气候的影响，空气中PM</w:t>
            </w:r>
            <w:r>
              <w:rPr>
                <w:rFonts w:hint="eastAsia"/>
                <w:vertAlign w:val="subscript"/>
              </w:rPr>
              <w:t>10</w:t>
            </w:r>
            <w:r>
              <w:rPr>
                <w:rFonts w:hint="eastAsia"/>
              </w:rPr>
              <w:t>的本底值偏高，尤其在沙尘暴和浮尘天气，会出现严重超标。</w:t>
            </w:r>
          </w:p>
          <w:p>
            <w:pPr>
              <w:keepNext w:val="0"/>
              <w:keepLines w:val="0"/>
              <w:suppressLineNumbers w:val="0"/>
              <w:autoSpaceDE w:val="0"/>
              <w:autoSpaceDN w:val="0"/>
              <w:adjustRightInd w:val="0"/>
              <w:spacing w:before="0" w:beforeAutospacing="0" w:after="0" w:afterAutospacing="0" w:line="520" w:lineRule="exact"/>
              <w:ind w:left="0" w:right="0" w:firstLine="482" w:firstLineChars="200"/>
              <w:rPr>
                <w:rFonts w:hint="default"/>
                <w:b/>
                <w:bCs/>
                <w:color w:val="auto"/>
                <w:sz w:val="24"/>
              </w:rPr>
            </w:pPr>
            <w:r>
              <w:rPr>
                <w:rFonts w:hint="default"/>
                <w:b/>
                <w:bCs/>
                <w:color w:val="auto"/>
                <w:sz w:val="24"/>
              </w:rPr>
              <w:t>1.2其他污染物现状调查与评价</w:t>
            </w:r>
          </w:p>
          <w:p>
            <w:pPr>
              <w:keepNext w:val="0"/>
              <w:keepLines w:val="0"/>
              <w:suppressLineNumbers w:val="0"/>
              <w:autoSpaceDE w:val="0"/>
              <w:autoSpaceDN w:val="0"/>
              <w:adjustRightInd w:val="0"/>
              <w:spacing w:before="0" w:beforeAutospacing="0" w:after="0" w:afterAutospacing="0" w:line="520" w:lineRule="exact"/>
              <w:ind w:left="0" w:right="0" w:firstLine="480" w:firstLineChars="200"/>
              <w:rPr>
                <w:rFonts w:hint="default"/>
                <w:sz w:val="24"/>
              </w:rPr>
            </w:pPr>
            <w:r>
              <w:rPr>
                <w:rFonts w:hint="default"/>
                <w:sz w:val="24"/>
              </w:rPr>
              <w:t>（1）数据来源</w:t>
            </w:r>
          </w:p>
          <w:p>
            <w:pPr>
              <w:keepNext w:val="0"/>
              <w:keepLines w:val="0"/>
              <w:suppressLineNumbers w:val="0"/>
              <w:autoSpaceDE w:val="0"/>
              <w:autoSpaceDN w:val="0"/>
              <w:adjustRightInd w:val="0"/>
              <w:spacing w:before="0" w:beforeAutospacing="0" w:after="0" w:afterAutospacing="0" w:line="520" w:lineRule="exact"/>
              <w:ind w:left="0" w:right="0" w:firstLine="480" w:firstLineChars="200"/>
              <w:rPr>
                <w:rFonts w:hint="default"/>
                <w:sz w:val="24"/>
              </w:rPr>
            </w:pPr>
            <w:r>
              <w:rPr>
                <w:rFonts w:hint="default"/>
                <w:sz w:val="24"/>
              </w:rPr>
              <w:t>根据《环境影响评价技术导则 大气环境》（HJ2.2-2018）相关要求，</w:t>
            </w:r>
            <w:r>
              <w:rPr>
                <w:rFonts w:hint="eastAsia" w:ascii="Times New Roman" w:hAnsi="Times New Roman" w:eastAsia="宋体" w:cs="宋体"/>
                <w:color w:val="000000"/>
                <w:sz w:val="24"/>
                <w:szCs w:val="24"/>
                <w:highlight w:val="none"/>
                <w:lang w:val="en-US" w:eastAsia="zh-CN" w:bidi="ar-SA"/>
              </w:rPr>
              <w:t>本项目特征污染物TSP</w:t>
            </w:r>
            <w:r>
              <w:rPr>
                <w:rFonts w:hint="eastAsia" w:ascii="Times New Roman" w:hAnsi="Times New Roman" w:cs="Times New Roman"/>
                <w:color w:val="000000"/>
                <w:sz w:val="24"/>
                <w:szCs w:val="24"/>
                <w:highlight w:val="none"/>
                <w:lang w:val="en-US" w:eastAsia="zh-CN"/>
              </w:rPr>
              <w:t>监测数据引用“</w:t>
            </w:r>
            <w:r>
              <w:rPr>
                <w:rFonts w:hint="default" w:ascii="Times New Roman" w:hAnsi="Times New Roman" w:eastAsia="宋体" w:cs="Times New Roman"/>
                <w:sz w:val="24"/>
                <w:szCs w:val="24"/>
                <w:lang w:val="en-US" w:eastAsia="zh-CN" w:bidi="ar-SA"/>
              </w:rPr>
              <w:t>新疆鑫汇昌新型建材有限公司硫氧镁板生产建设项目</w:t>
            </w:r>
            <w:r>
              <w:rPr>
                <w:rFonts w:hint="eastAsia" w:ascii="Times New Roman" w:hAnsi="Times New Roman" w:cs="Times New Roman"/>
                <w:color w:val="000000"/>
                <w:sz w:val="24"/>
                <w:szCs w:val="24"/>
                <w:highlight w:val="none"/>
                <w:lang w:val="en-US" w:eastAsia="zh-CN"/>
              </w:rPr>
              <w:t>”监测数据</w:t>
            </w:r>
            <w:r>
              <w:rPr>
                <w:rFonts w:hint="eastAsia" w:ascii="Times New Roman" w:hAnsi="Times New Roman" w:eastAsia="宋体" w:cs="Times New Roman"/>
                <w:color w:val="000000"/>
                <w:sz w:val="24"/>
                <w:szCs w:val="24"/>
                <w:highlight w:val="none"/>
                <w:lang w:val="en-US" w:eastAsia="zh-CN"/>
              </w:rPr>
              <w:t>。</w:t>
            </w:r>
            <w:r>
              <w:rPr>
                <w:rFonts w:hint="eastAsia" w:ascii="Times New Roman" w:hAnsi="Times New Roman" w:eastAsia="宋体" w:cs="宋体"/>
                <w:color w:val="000000"/>
                <w:sz w:val="24"/>
                <w:szCs w:val="24"/>
                <w:highlight w:val="none"/>
                <w:lang w:val="en-US" w:eastAsia="zh-CN" w:bidi="ar-SA"/>
              </w:rPr>
              <w:t>该监测点位于项目区</w:t>
            </w:r>
            <w:r>
              <w:rPr>
                <w:rFonts w:hint="eastAsia" w:eastAsia="宋体" w:cs="宋体"/>
                <w:color w:val="000000"/>
                <w:sz w:val="24"/>
                <w:szCs w:val="24"/>
                <w:highlight w:val="none"/>
                <w:lang w:val="en-US" w:eastAsia="zh-CN" w:bidi="ar-SA"/>
              </w:rPr>
              <w:t>东南</w:t>
            </w:r>
            <w:r>
              <w:rPr>
                <w:rFonts w:hint="eastAsia" w:ascii="Times New Roman" w:hAnsi="Times New Roman" w:eastAsia="宋体" w:cs="宋体"/>
                <w:color w:val="000000"/>
                <w:sz w:val="24"/>
                <w:szCs w:val="24"/>
                <w:highlight w:val="none"/>
                <w:lang w:val="en-US" w:eastAsia="zh-CN" w:bidi="ar-SA"/>
              </w:rPr>
              <w:t>侧约</w:t>
            </w:r>
            <w:r>
              <w:rPr>
                <w:rFonts w:hint="eastAsia" w:cs="宋体"/>
                <w:color w:val="000000"/>
                <w:sz w:val="24"/>
                <w:szCs w:val="24"/>
                <w:highlight w:val="none"/>
                <w:lang w:val="en-US" w:eastAsia="zh-CN" w:bidi="ar-SA"/>
              </w:rPr>
              <w:t>350</w:t>
            </w:r>
            <w:r>
              <w:rPr>
                <w:rFonts w:hint="eastAsia" w:ascii="Times New Roman" w:hAnsi="Times New Roman" w:eastAsia="宋体" w:cs="宋体"/>
                <w:color w:val="000000"/>
                <w:sz w:val="24"/>
                <w:szCs w:val="24"/>
                <w:highlight w:val="none"/>
                <w:lang w:val="en-US" w:eastAsia="zh-CN" w:bidi="ar-SA"/>
              </w:rPr>
              <w:t>m处。监测点位图见附图4。</w:t>
            </w:r>
          </w:p>
          <w:p>
            <w:pPr>
              <w:keepLines w:val="0"/>
              <w:pageBreakBefore w:val="0"/>
              <w:widowControl w:val="0"/>
              <w:kinsoku/>
              <w:wordWrap/>
              <w:overflowPunct w:val="0"/>
              <w:topLinePunct w:val="0"/>
              <w:autoSpaceDE w:val="0"/>
              <w:autoSpaceDN w:val="0"/>
              <w:bidi w:val="0"/>
              <w:adjustRightInd w:val="0"/>
              <w:snapToGrid w:val="0"/>
              <w:spacing w:before="0" w:beforeAutospacing="0" w:after="0" w:line="520" w:lineRule="exact"/>
              <w:ind w:firstLine="480" w:firstLineChars="200"/>
              <w:jc w:val="both"/>
              <w:textAlignment w:val="auto"/>
              <w:rPr>
                <w:rFonts w:ascii="Times New Roman" w:hAnsi="Times New Roman" w:eastAsia="宋体" w:cs="宋体"/>
                <w:b w:val="0"/>
                <w:bCs w:val="0"/>
                <w:color w:val="000000"/>
                <w:kern w:val="2"/>
                <w:sz w:val="24"/>
                <w:szCs w:val="24"/>
                <w:highlight w:val="none"/>
                <w:lang w:val="en-US" w:eastAsia="zh-CN" w:bidi="ar-SA"/>
              </w:rPr>
            </w:pPr>
            <w:r>
              <w:rPr>
                <w:rFonts w:hint="eastAsia" w:ascii="Times New Roman" w:hAnsi="Times New Roman" w:eastAsia="宋体" w:cs="宋体"/>
                <w:b w:val="0"/>
                <w:bCs w:val="0"/>
                <w:color w:val="000000"/>
                <w:kern w:val="2"/>
                <w:sz w:val="24"/>
                <w:szCs w:val="24"/>
                <w:highlight w:val="none"/>
                <w:lang w:val="en-US" w:eastAsia="zh-CN" w:bidi="ar-SA"/>
              </w:rPr>
              <w:t>（2）采样及分析方法</w:t>
            </w:r>
          </w:p>
          <w:p>
            <w:pPr>
              <w:keepLines w:val="0"/>
              <w:pageBreakBefore w:val="0"/>
              <w:widowControl w:val="0"/>
              <w:kinsoku/>
              <w:wordWrap/>
              <w:overflowPunct w:val="0"/>
              <w:topLinePunct w:val="0"/>
              <w:autoSpaceDE w:val="0"/>
              <w:autoSpaceDN w:val="0"/>
              <w:bidi w:val="0"/>
              <w:adjustRightInd w:val="0"/>
              <w:snapToGrid w:val="0"/>
              <w:spacing w:before="0" w:beforeAutospacing="0" w:after="0" w:line="520" w:lineRule="exact"/>
              <w:ind w:firstLine="480" w:firstLineChars="200"/>
              <w:jc w:val="both"/>
              <w:textAlignment w:val="auto"/>
              <w:rPr>
                <w:rFonts w:ascii="Times New Roman" w:hAnsi="Times New Roman" w:eastAsia="宋体" w:cs="宋体"/>
                <w:color w:val="000000"/>
                <w:kern w:val="2"/>
                <w:sz w:val="24"/>
                <w:szCs w:val="24"/>
                <w:highlight w:val="none"/>
                <w:lang w:val="en-US" w:eastAsia="zh-CN" w:bidi="ar-SA"/>
              </w:rPr>
            </w:pPr>
            <w:r>
              <w:rPr>
                <w:rFonts w:hint="eastAsia" w:ascii="Times New Roman" w:hAnsi="Times New Roman" w:eastAsia="宋体" w:cs="宋体"/>
                <w:color w:val="000000"/>
                <w:kern w:val="2"/>
                <w:sz w:val="24"/>
                <w:szCs w:val="24"/>
                <w:highlight w:val="none"/>
                <w:lang w:val="en-US" w:eastAsia="zh-CN" w:bidi="ar-SA"/>
              </w:rPr>
              <w:t>采样方法和分析方法均执行《空气和废气监测分析方法》和《环境监测技术规范》（大气部分）中有关规定。</w:t>
            </w:r>
          </w:p>
          <w:p>
            <w:pPr>
              <w:keepLines w:val="0"/>
              <w:pageBreakBefore w:val="0"/>
              <w:widowControl w:val="0"/>
              <w:kinsoku/>
              <w:wordWrap/>
              <w:overflowPunct w:val="0"/>
              <w:topLinePunct w:val="0"/>
              <w:autoSpaceDE w:val="0"/>
              <w:autoSpaceDN w:val="0"/>
              <w:bidi w:val="0"/>
              <w:adjustRightInd w:val="0"/>
              <w:snapToGrid w:val="0"/>
              <w:spacing w:before="0" w:beforeAutospacing="0" w:after="0" w:line="520" w:lineRule="exact"/>
              <w:ind w:firstLine="480" w:firstLineChars="200"/>
              <w:jc w:val="both"/>
              <w:textAlignment w:val="auto"/>
              <w:rPr>
                <w:rFonts w:ascii="Times New Roman" w:hAnsi="Times New Roman" w:eastAsia="宋体" w:cs="宋体"/>
                <w:b w:val="0"/>
                <w:bCs w:val="0"/>
                <w:color w:val="000000"/>
                <w:kern w:val="2"/>
                <w:sz w:val="24"/>
                <w:szCs w:val="24"/>
                <w:highlight w:val="none"/>
                <w:lang w:val="en-US" w:eastAsia="zh-CN" w:bidi="ar-SA"/>
              </w:rPr>
            </w:pPr>
            <w:r>
              <w:rPr>
                <w:rFonts w:hint="eastAsia" w:ascii="Times New Roman" w:hAnsi="Times New Roman" w:eastAsia="宋体" w:cs="宋体"/>
                <w:b w:val="0"/>
                <w:bCs w:val="0"/>
                <w:color w:val="000000"/>
                <w:kern w:val="2"/>
                <w:sz w:val="24"/>
                <w:szCs w:val="24"/>
                <w:highlight w:val="none"/>
                <w:lang w:val="en-US" w:eastAsia="zh-CN" w:bidi="ar-SA"/>
              </w:rPr>
              <w:t>（3）监测时间及频率</w:t>
            </w:r>
          </w:p>
          <w:p>
            <w:pPr>
              <w:keepLines w:val="0"/>
              <w:pageBreakBefore w:val="0"/>
              <w:widowControl w:val="0"/>
              <w:kinsoku/>
              <w:wordWrap/>
              <w:topLinePunct w:val="0"/>
              <w:bidi w:val="0"/>
              <w:spacing w:line="520" w:lineRule="exact"/>
              <w:ind w:firstLine="480" w:firstLineChars="200"/>
              <w:jc w:val="both"/>
              <w:textAlignment w:val="auto"/>
              <w:rPr>
                <w:rFonts w:ascii="Times New Roman" w:hAnsi="Times New Roman" w:eastAsia="宋体" w:cs="华文仿宋"/>
                <w:color w:val="000000"/>
                <w:kern w:val="2"/>
                <w:sz w:val="24"/>
                <w:szCs w:val="24"/>
                <w:highlight w:val="none"/>
                <w:lang w:val="en-US" w:eastAsia="zh-CN" w:bidi="ar-SA"/>
              </w:rPr>
            </w:pPr>
            <w:r>
              <w:rPr>
                <w:rFonts w:hint="eastAsia" w:eastAsia="宋体" w:cs="宋体"/>
                <w:sz w:val="24"/>
                <w:szCs w:val="24"/>
                <w:lang w:val="en-US" w:eastAsia="zh-CN"/>
              </w:rPr>
              <w:t>TSP</w:t>
            </w:r>
            <w:r>
              <w:rPr>
                <w:rFonts w:hint="eastAsia" w:ascii="Times New Roman" w:hAnsi="Times New Roman" w:eastAsia="宋体" w:cs="Times New Roman"/>
                <w:color w:val="000000"/>
                <w:kern w:val="2"/>
                <w:sz w:val="24"/>
                <w:szCs w:val="24"/>
                <w:highlight w:val="none"/>
                <w:lang w:val="en-US" w:eastAsia="zh-CN" w:bidi="ar-SA"/>
              </w:rPr>
              <w:t>引用数据</w:t>
            </w:r>
            <w:r>
              <w:rPr>
                <w:rFonts w:hint="default" w:ascii="Times New Roman" w:hAnsi="Times New Roman" w:eastAsia="宋体" w:cs="Times New Roman"/>
                <w:color w:val="000000"/>
                <w:kern w:val="2"/>
                <w:sz w:val="24"/>
                <w:szCs w:val="24"/>
                <w:highlight w:val="none"/>
                <w:lang w:val="en-US" w:eastAsia="zh-CN" w:bidi="ar-SA"/>
              </w:rPr>
              <w:t>监测</w:t>
            </w:r>
            <w:r>
              <w:rPr>
                <w:rFonts w:hint="eastAsia" w:ascii="Times New Roman" w:hAnsi="Times New Roman" w:eastAsia="宋体" w:cs="Times New Roman"/>
                <w:color w:val="000000"/>
                <w:kern w:val="2"/>
                <w:sz w:val="24"/>
                <w:szCs w:val="24"/>
                <w:highlight w:val="none"/>
                <w:lang w:val="en-US" w:eastAsia="zh-CN" w:bidi="ar-SA"/>
              </w:rPr>
              <w:t>3</w:t>
            </w:r>
            <w:r>
              <w:rPr>
                <w:rFonts w:hint="default" w:ascii="Times New Roman" w:hAnsi="Times New Roman" w:eastAsia="宋体" w:cs="Times New Roman"/>
                <w:color w:val="000000"/>
                <w:kern w:val="2"/>
                <w:sz w:val="24"/>
                <w:szCs w:val="24"/>
                <w:highlight w:val="none"/>
                <w:lang w:val="en-US" w:eastAsia="zh-CN" w:bidi="ar-SA"/>
              </w:rPr>
              <w:t>天，取样时间为202</w:t>
            </w:r>
            <w:r>
              <w:rPr>
                <w:rFonts w:hint="eastAsia" w:ascii="Times New Roman" w:hAnsi="Times New Roman" w:eastAsia="宋体" w:cs="Times New Roman"/>
                <w:color w:val="000000"/>
                <w:kern w:val="2"/>
                <w:sz w:val="24"/>
                <w:szCs w:val="24"/>
                <w:highlight w:val="none"/>
                <w:lang w:val="en-US" w:eastAsia="zh-CN" w:bidi="ar-SA"/>
              </w:rPr>
              <w:t>2</w:t>
            </w:r>
            <w:r>
              <w:rPr>
                <w:rFonts w:hint="default" w:ascii="Times New Roman" w:hAnsi="Times New Roman" w:eastAsia="宋体" w:cs="Times New Roman"/>
                <w:color w:val="000000"/>
                <w:kern w:val="2"/>
                <w:sz w:val="24"/>
                <w:szCs w:val="24"/>
                <w:highlight w:val="none"/>
                <w:lang w:val="en-US" w:eastAsia="zh-CN" w:bidi="ar-SA"/>
              </w:rPr>
              <w:t>年</w:t>
            </w:r>
            <w:r>
              <w:rPr>
                <w:rFonts w:hint="eastAsia" w:ascii="Times New Roman" w:hAnsi="Times New Roman" w:eastAsia="宋体" w:cs="Times New Roman"/>
                <w:color w:val="000000"/>
                <w:kern w:val="2"/>
                <w:sz w:val="24"/>
                <w:szCs w:val="24"/>
                <w:highlight w:val="none"/>
                <w:lang w:val="en-US" w:eastAsia="zh-CN" w:bidi="ar-SA"/>
              </w:rPr>
              <w:t>3</w:t>
            </w:r>
            <w:r>
              <w:rPr>
                <w:rFonts w:hint="default" w:ascii="Times New Roman" w:hAnsi="Times New Roman" w:eastAsia="宋体" w:cs="Times New Roman"/>
                <w:color w:val="000000"/>
                <w:kern w:val="2"/>
                <w:sz w:val="24"/>
                <w:szCs w:val="24"/>
                <w:highlight w:val="none"/>
                <w:lang w:val="en-US" w:eastAsia="zh-CN" w:bidi="ar-SA"/>
              </w:rPr>
              <w:t>月</w:t>
            </w:r>
            <w:r>
              <w:rPr>
                <w:rFonts w:hint="eastAsia" w:ascii="Times New Roman" w:hAnsi="Times New Roman" w:eastAsia="宋体" w:cs="Times New Roman"/>
                <w:color w:val="000000"/>
                <w:kern w:val="2"/>
                <w:sz w:val="24"/>
                <w:szCs w:val="24"/>
                <w:highlight w:val="none"/>
                <w:lang w:val="en-US" w:eastAsia="zh-CN" w:bidi="ar-SA"/>
              </w:rPr>
              <w:t>1</w:t>
            </w:r>
            <w:r>
              <w:rPr>
                <w:rFonts w:hint="default" w:ascii="Times New Roman" w:hAnsi="Times New Roman" w:eastAsia="宋体" w:cs="Times New Roman"/>
                <w:color w:val="000000"/>
                <w:kern w:val="2"/>
                <w:sz w:val="24"/>
                <w:szCs w:val="24"/>
                <w:highlight w:val="none"/>
                <w:lang w:val="en-US" w:eastAsia="zh-CN" w:bidi="ar-SA"/>
              </w:rPr>
              <w:t>5日至202</w:t>
            </w:r>
            <w:r>
              <w:rPr>
                <w:rFonts w:hint="eastAsia" w:ascii="Times New Roman" w:hAnsi="Times New Roman" w:eastAsia="宋体" w:cs="Times New Roman"/>
                <w:color w:val="000000"/>
                <w:kern w:val="2"/>
                <w:sz w:val="24"/>
                <w:szCs w:val="24"/>
                <w:highlight w:val="none"/>
                <w:lang w:val="en-US" w:eastAsia="zh-CN" w:bidi="ar-SA"/>
              </w:rPr>
              <w:t>2</w:t>
            </w:r>
            <w:r>
              <w:rPr>
                <w:rFonts w:hint="default" w:ascii="Times New Roman" w:hAnsi="Times New Roman" w:eastAsia="宋体" w:cs="Times New Roman"/>
                <w:color w:val="000000"/>
                <w:kern w:val="2"/>
                <w:sz w:val="24"/>
                <w:szCs w:val="24"/>
                <w:highlight w:val="none"/>
                <w:lang w:val="en-US" w:eastAsia="zh-CN" w:bidi="ar-SA"/>
              </w:rPr>
              <w:t>年</w:t>
            </w:r>
            <w:r>
              <w:rPr>
                <w:rFonts w:hint="eastAsia" w:ascii="Times New Roman" w:hAnsi="Times New Roman" w:eastAsia="宋体" w:cs="Times New Roman"/>
                <w:color w:val="000000"/>
                <w:kern w:val="2"/>
                <w:sz w:val="24"/>
                <w:szCs w:val="24"/>
                <w:highlight w:val="none"/>
                <w:lang w:val="en-US" w:eastAsia="zh-CN" w:bidi="ar-SA"/>
              </w:rPr>
              <w:t>3</w:t>
            </w:r>
            <w:r>
              <w:rPr>
                <w:rFonts w:hint="default" w:ascii="Times New Roman" w:hAnsi="Times New Roman" w:eastAsia="宋体" w:cs="Times New Roman"/>
                <w:color w:val="000000"/>
                <w:kern w:val="2"/>
                <w:sz w:val="24"/>
                <w:szCs w:val="24"/>
                <w:highlight w:val="none"/>
                <w:lang w:val="en-US" w:eastAsia="zh-CN" w:bidi="ar-SA"/>
              </w:rPr>
              <w:t>月1</w:t>
            </w:r>
            <w:r>
              <w:rPr>
                <w:rFonts w:hint="eastAsia" w:ascii="Times New Roman" w:hAnsi="Times New Roman" w:eastAsia="宋体" w:cs="Times New Roman"/>
                <w:color w:val="000000"/>
                <w:kern w:val="2"/>
                <w:sz w:val="24"/>
                <w:szCs w:val="24"/>
                <w:highlight w:val="none"/>
                <w:lang w:val="en-US" w:eastAsia="zh-CN" w:bidi="ar-SA"/>
              </w:rPr>
              <w:t>7</w:t>
            </w:r>
            <w:r>
              <w:rPr>
                <w:rFonts w:hint="default" w:ascii="Times New Roman" w:hAnsi="Times New Roman" w:eastAsia="宋体" w:cs="Times New Roman"/>
                <w:color w:val="000000"/>
                <w:kern w:val="2"/>
                <w:sz w:val="24"/>
                <w:szCs w:val="24"/>
                <w:highlight w:val="none"/>
                <w:lang w:val="en-US" w:eastAsia="zh-CN" w:bidi="ar-SA"/>
              </w:rPr>
              <w:t>日，采样同步进行风向、风速、气温、气压等气象要素的观测</w:t>
            </w:r>
            <w:r>
              <w:rPr>
                <w:rFonts w:ascii="Times New Roman" w:hAnsi="Times New Roman" w:eastAsia="宋体" w:cs="华文仿宋"/>
                <w:color w:val="000000"/>
                <w:kern w:val="2"/>
                <w:sz w:val="24"/>
                <w:szCs w:val="24"/>
                <w:highlight w:val="none"/>
                <w:lang w:val="en-US" w:eastAsia="zh-CN" w:bidi="ar-SA"/>
              </w:rPr>
              <w:t>。</w:t>
            </w:r>
          </w:p>
          <w:p>
            <w:pPr>
              <w:keepNext/>
              <w:keepLines w:val="0"/>
              <w:pageBreakBefore w:val="0"/>
              <w:widowControl w:val="0"/>
              <w:kinsoku/>
              <w:wordWrap/>
              <w:overflowPunct w:val="0"/>
              <w:topLinePunct w:val="0"/>
              <w:autoSpaceDE w:val="0"/>
              <w:autoSpaceDN w:val="0"/>
              <w:bidi w:val="0"/>
              <w:adjustRightInd w:val="0"/>
              <w:snapToGrid w:val="0"/>
              <w:spacing w:line="520" w:lineRule="exact"/>
              <w:ind w:firstLine="480" w:firstLineChars="200"/>
              <w:jc w:val="both"/>
              <w:textAlignment w:val="auto"/>
              <w:outlineLvl w:val="2"/>
              <w:rPr>
                <w:rFonts w:ascii="Times New Roman" w:hAnsi="Times New Roman" w:eastAsia="宋体" w:cs="Times New Roman"/>
                <w:b/>
                <w:bCs/>
                <w:color w:val="000000"/>
                <w:kern w:val="2"/>
                <w:sz w:val="24"/>
                <w:szCs w:val="24"/>
                <w:highlight w:val="none"/>
                <w:lang w:val="en-US" w:eastAsia="zh-CN" w:bidi="ar-SA"/>
              </w:rPr>
            </w:pPr>
            <w:r>
              <w:rPr>
                <w:rFonts w:hint="eastAsia" w:ascii="Times New Roman" w:hAnsi="Times New Roman" w:eastAsia="宋体" w:cs="Times New Roman"/>
                <w:b w:val="0"/>
                <w:bCs/>
                <w:color w:val="000000"/>
                <w:kern w:val="2"/>
                <w:sz w:val="24"/>
                <w:szCs w:val="24"/>
                <w:highlight w:val="none"/>
                <w:lang w:val="en-US" w:eastAsia="zh-CN" w:bidi="ar-SA"/>
              </w:rPr>
              <w:t>（4）</w:t>
            </w:r>
            <w:r>
              <w:rPr>
                <w:rFonts w:ascii="Times New Roman" w:hAnsi="Times New Roman" w:eastAsia="宋体" w:cs="Times New Roman"/>
                <w:b w:val="0"/>
                <w:bCs/>
                <w:color w:val="000000"/>
                <w:kern w:val="2"/>
                <w:sz w:val="24"/>
                <w:szCs w:val="24"/>
                <w:highlight w:val="none"/>
                <w:lang w:val="en-US" w:eastAsia="zh-CN" w:bidi="ar-SA"/>
              </w:rPr>
              <w:t>评价标准</w:t>
            </w:r>
          </w:p>
          <w:p>
            <w:pPr>
              <w:keepNext w:val="0"/>
              <w:keepLines w:val="0"/>
              <w:pageBreakBefore w:val="0"/>
              <w:widowControl w:val="0"/>
              <w:suppressLineNumbers w:val="0"/>
              <w:kinsoku/>
              <w:wordWrap/>
              <w:topLinePunct w:val="0"/>
              <w:bidi w:val="0"/>
              <w:spacing w:before="0" w:beforeAutospacing="0" w:after="0" w:afterAutospacing="0" w:line="520" w:lineRule="exact"/>
              <w:ind w:left="0" w:right="0" w:firstLine="480" w:firstLineChars="200"/>
              <w:textAlignment w:val="auto"/>
              <w:rPr>
                <w:rFonts w:hint="default"/>
                <w:sz w:val="24"/>
                <w:szCs w:val="24"/>
              </w:rPr>
            </w:pPr>
            <w:r>
              <w:rPr>
                <w:rFonts w:hint="eastAsia" w:eastAsia="宋体" w:cs="宋体"/>
                <w:sz w:val="24"/>
                <w:szCs w:val="24"/>
                <w:lang w:val="en-US" w:eastAsia="zh-CN"/>
              </w:rPr>
              <w:t>TSP执行《环境空气质量标准》（GB 3095—2012）二级浓度限值（24h平均0.3</w:t>
            </w:r>
            <w:r>
              <w:rPr>
                <w:rFonts w:hint="default" w:eastAsia="宋体" w:cs="宋体"/>
                <w:sz w:val="24"/>
                <w:szCs w:val="24"/>
              </w:rPr>
              <w:t>mg/m</w:t>
            </w:r>
            <w:r>
              <w:rPr>
                <w:rFonts w:hint="default" w:eastAsia="宋体" w:cs="宋体"/>
                <w:sz w:val="24"/>
                <w:szCs w:val="24"/>
                <w:vertAlign w:val="superscript"/>
              </w:rPr>
              <w:t>3</w:t>
            </w:r>
            <w:r>
              <w:rPr>
                <w:rFonts w:hint="eastAsia" w:eastAsia="宋体" w:cs="宋体"/>
                <w:sz w:val="24"/>
                <w:szCs w:val="24"/>
                <w:lang w:val="en-US" w:eastAsia="zh-CN"/>
              </w:rPr>
              <w:t>）</w:t>
            </w:r>
            <w:r>
              <w:rPr>
                <w:rFonts w:hint="eastAsia" w:ascii="Times New Roman" w:hAnsi="Times New Roman" w:eastAsia="宋体" w:cs="Times New Roman"/>
                <w:color w:val="000000"/>
                <w:sz w:val="24"/>
                <w:szCs w:val="24"/>
                <w:highlight w:val="none"/>
              </w:rPr>
              <w:t>。</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520" w:lineRule="exact"/>
              <w:ind w:left="0" w:right="0" w:firstLine="480" w:firstLineChars="200"/>
              <w:textAlignment w:val="auto"/>
              <w:rPr>
                <w:rFonts w:hint="default"/>
                <w:sz w:val="24"/>
              </w:rPr>
            </w:pPr>
            <w:r>
              <w:rPr>
                <w:rFonts w:hint="default"/>
                <w:sz w:val="24"/>
              </w:rPr>
              <w:t>（4）评价方法</w:t>
            </w:r>
          </w:p>
          <w:p>
            <w:pPr>
              <w:keepNext w:val="0"/>
              <w:keepLines w:val="0"/>
              <w:pageBreakBefore w:val="0"/>
              <w:widowControl w:val="0"/>
              <w:kinsoku/>
              <w:wordWrap/>
              <w:overflowPunct/>
              <w:topLinePunct w:val="0"/>
              <w:autoSpaceDE/>
              <w:autoSpaceDN/>
              <w:bidi w:val="0"/>
              <w:adjustRightInd w:val="0"/>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本评价采用污染物的浓度占标率来评价空气环境质量水平。</w:t>
            </w:r>
          </w:p>
          <w:p>
            <w:pPr>
              <w:keepNext w:val="0"/>
              <w:keepLines w:val="0"/>
              <w:pageBreakBefore w:val="0"/>
              <w:widowControl w:val="0"/>
              <w:kinsoku/>
              <w:wordWrap/>
              <w:overflowPunct/>
              <w:topLinePunct w:val="0"/>
              <w:autoSpaceDE/>
              <w:autoSpaceDN/>
              <w:bidi w:val="0"/>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用以下公式计算而得：</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position w:val="-12"/>
                <w:sz w:val="24"/>
              </w:rPr>
            </w:pPr>
            <w:r>
              <w:rPr>
                <w:rFonts w:hint="default" w:ascii="Times New Roman" w:hAnsi="Times New Roman" w:cs="Times New Roman"/>
                <w:color w:val="auto"/>
                <w:position w:val="-12"/>
                <w:sz w:val="24"/>
              </w:rPr>
              <w:object>
                <v:shape id="_x0000_i1027" o:spt="75" type="#_x0000_t75" style="height:18pt;width:92pt;" o:ole="t" filled="f" o:preferrelative="t" stroked="f" coordsize="21600,21600">
                  <v:path/>
                  <v:fill on="f" focussize="0,0"/>
                  <v:stroke on="f"/>
                  <v:imagedata r:id="rId24" o:title=""/>
                  <o:lock v:ext="edit" aspectratio="f"/>
                  <w10:wrap type="none"/>
                  <w10:anchorlock/>
                </v:shape>
                <o:OLEObject Type="Embed" ProgID="Equation.DSMT4" ShapeID="_x0000_i1027" DrawAspect="Content" ObjectID="_1468075727" r:id="rId23">
                  <o:LockedField>false</o:LockedField>
                </o:OLEObject>
              </w:object>
            </w:r>
          </w:p>
          <w:p>
            <w:pPr>
              <w:keepNext w:val="0"/>
              <w:keepLines w:val="0"/>
              <w:pageBreakBefore w:val="0"/>
              <w:widowControl w:val="0"/>
              <w:kinsoku/>
              <w:wordWrap/>
              <w:overflowPunct/>
              <w:topLinePunct w:val="0"/>
              <w:autoSpaceDE/>
              <w:autoSpaceDN/>
              <w:bidi w:val="0"/>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式中：P</w:t>
            </w:r>
            <w:r>
              <w:rPr>
                <w:rFonts w:hint="default" w:ascii="Times New Roman" w:hAnsi="Times New Roman" w:cs="Times New Roman"/>
                <w:color w:val="auto"/>
                <w:sz w:val="24"/>
                <w:vertAlign w:val="subscript"/>
              </w:rPr>
              <w:t>i</w:t>
            </w:r>
            <w:r>
              <w:rPr>
                <w:rFonts w:hint="default" w:ascii="Times New Roman" w:hAnsi="Times New Roman" w:cs="Times New Roman"/>
                <w:color w:val="auto"/>
                <w:sz w:val="24"/>
              </w:rPr>
              <w:t>——污染物i的浓度占标率，%；</w:t>
            </w:r>
          </w:p>
          <w:p>
            <w:pPr>
              <w:keepNext w:val="0"/>
              <w:keepLines w:val="0"/>
              <w:pageBreakBefore w:val="0"/>
              <w:widowControl w:val="0"/>
              <w:kinsoku/>
              <w:wordWrap/>
              <w:overflowPunct/>
              <w:topLinePunct w:val="0"/>
              <w:autoSpaceDE/>
              <w:autoSpaceDN/>
              <w:bidi w:val="0"/>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 xml:space="preserve">      C</w:t>
            </w:r>
            <w:r>
              <w:rPr>
                <w:rFonts w:hint="default" w:ascii="Times New Roman" w:hAnsi="Times New Roman" w:cs="Times New Roman"/>
                <w:color w:val="auto"/>
                <w:sz w:val="24"/>
                <w:vertAlign w:val="subscript"/>
              </w:rPr>
              <w:t>i</w:t>
            </w:r>
            <w:r>
              <w:rPr>
                <w:rFonts w:hint="default" w:ascii="Times New Roman" w:hAnsi="Times New Roman" w:cs="Times New Roman"/>
                <w:color w:val="auto"/>
                <w:sz w:val="24"/>
              </w:rPr>
              <w:t>——污染物i的实测浓度，mg/m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520" w:lineRule="exact"/>
              <w:ind w:right="0" w:firstLine="1200" w:firstLineChars="500"/>
              <w:textAlignment w:val="auto"/>
              <w:rPr>
                <w:rFonts w:hint="default"/>
                <w:sz w:val="24"/>
              </w:rPr>
            </w:pPr>
            <w:r>
              <w:rPr>
                <w:rFonts w:hint="default" w:ascii="Times New Roman" w:hAnsi="Times New Roman" w:cs="Times New Roman"/>
                <w:color w:val="auto"/>
                <w:sz w:val="24"/>
              </w:rPr>
              <w:t>C</w:t>
            </w:r>
            <w:r>
              <w:rPr>
                <w:rFonts w:hint="default" w:ascii="Times New Roman" w:hAnsi="Times New Roman" w:cs="Times New Roman"/>
                <w:color w:val="auto"/>
                <w:sz w:val="24"/>
                <w:vertAlign w:val="subscript"/>
              </w:rPr>
              <w:t>o</w:t>
            </w:r>
            <w:r>
              <w:rPr>
                <w:rFonts w:hint="default" w:ascii="Times New Roman" w:hAnsi="Times New Roman" w:cs="Times New Roman"/>
                <w:color w:val="auto"/>
                <w:sz w:val="24"/>
              </w:rPr>
              <w:t>——污染物i的评价标准，mg/m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p>
          <w:p>
            <w:pPr>
              <w:keepNext w:val="0"/>
              <w:keepLines w:val="0"/>
              <w:suppressLineNumbers w:val="0"/>
              <w:spacing w:before="0" w:beforeAutospacing="0" w:after="0" w:afterAutospacing="0" w:line="520" w:lineRule="exact"/>
              <w:ind w:left="0" w:right="0" w:firstLine="480" w:firstLineChars="200"/>
              <w:rPr>
                <w:rFonts w:hint="default"/>
                <w:sz w:val="24"/>
              </w:rPr>
            </w:pPr>
            <w:r>
              <w:rPr>
                <w:rFonts w:hint="default"/>
                <w:sz w:val="24"/>
              </w:rPr>
              <w:t>（5）监测与评价结果</w:t>
            </w:r>
          </w:p>
          <w:p>
            <w:pPr>
              <w:pStyle w:val="30"/>
              <w:keepNext w:val="0"/>
              <w:keepLines w:val="0"/>
              <w:suppressLineNumbers w:val="0"/>
              <w:spacing w:before="0" w:beforeAutospacing="0" w:after="0" w:afterAutospacing="0"/>
              <w:ind w:right="0" w:firstLine="480"/>
              <w:rPr>
                <w:rFonts w:hint="default"/>
              </w:rPr>
            </w:pPr>
            <w:r>
              <w:rPr>
                <w:rFonts w:hint="eastAsia"/>
              </w:rPr>
              <w:t>TSP</w:t>
            </w:r>
            <w:r>
              <w:rPr>
                <w:rFonts w:hint="default"/>
              </w:rPr>
              <w:t>监测与评价结果，见表3-2。</w:t>
            </w:r>
          </w:p>
          <w:p>
            <w:pPr>
              <w:pStyle w:val="62"/>
              <w:keepNext w:val="0"/>
              <w:keepLines w:val="0"/>
              <w:suppressLineNumbers w:val="0"/>
              <w:spacing w:before="0" w:beforeLines="0" w:beforeAutospacing="0" w:after="0" w:afterAutospacing="0"/>
              <w:ind w:left="0" w:right="0"/>
              <w:rPr>
                <w:rFonts w:hint="default"/>
                <w:sz w:val="24"/>
              </w:rPr>
            </w:pPr>
            <w:r>
              <w:rPr>
                <w:rFonts w:hint="default"/>
                <w:sz w:val="24"/>
              </w:rPr>
              <w:t>表</w:t>
            </w:r>
            <w:r>
              <w:rPr>
                <w:rFonts w:hint="eastAsia"/>
                <w:sz w:val="24"/>
              </w:rPr>
              <w:t>3-2</w:t>
            </w:r>
            <w:r>
              <w:rPr>
                <w:rFonts w:hint="default"/>
                <w:sz w:val="24"/>
              </w:rPr>
              <w:t xml:space="preserve">  </w:t>
            </w:r>
            <w:r>
              <w:rPr>
                <w:rFonts w:hint="eastAsia"/>
                <w:sz w:val="24"/>
              </w:rPr>
              <w:t>特征因子</w:t>
            </w:r>
            <w:r>
              <w:rPr>
                <w:rFonts w:hint="default"/>
                <w:sz w:val="24"/>
              </w:rPr>
              <w:t>评价结果一览表</w:t>
            </w:r>
          </w:p>
          <w:tbl>
            <w:tblPr>
              <w:tblStyle w:val="31"/>
              <w:tblW w:w="4996" w:type="pct"/>
              <w:tblInd w:w="15"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1437"/>
              <w:gridCol w:w="1191"/>
              <w:gridCol w:w="1689"/>
              <w:gridCol w:w="1257"/>
              <w:gridCol w:w="979"/>
              <w:gridCol w:w="1415"/>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c>
                <w:tcPr>
                  <w:tcW w:w="90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rPr>
                  </w:pPr>
                  <w:r>
                    <w:rPr>
                      <w:rFonts w:hint="default"/>
                    </w:rPr>
                    <w:t>监测项目</w:t>
                  </w:r>
                </w:p>
              </w:tc>
              <w:tc>
                <w:tcPr>
                  <w:tcW w:w="74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rPr>
                  </w:pPr>
                  <w:r>
                    <w:rPr>
                      <w:rFonts w:hint="default"/>
                    </w:rPr>
                    <w:t>监测点位</w:t>
                  </w:r>
                </w:p>
              </w:tc>
              <w:tc>
                <w:tcPr>
                  <w:tcW w:w="105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rPr>
                  </w:pPr>
                  <w:r>
                    <w:rPr>
                      <w:rFonts w:hint="default"/>
                    </w:rPr>
                    <w:t>小时值浓度范围</w:t>
                  </w:r>
                </w:p>
              </w:tc>
              <w:tc>
                <w:tcPr>
                  <w:tcW w:w="788" w:type="pct"/>
                  <w:tcBorders>
                    <w:tl2br w:val="nil"/>
                    <w:tr2bl w:val="nil"/>
                  </w:tcBorders>
                  <w:vAlign w:val="center"/>
                </w:tcPr>
                <w:p>
                  <w:pPr>
                    <w:pStyle w:val="68"/>
                    <w:keepNext w:val="0"/>
                    <w:keepLines w:val="0"/>
                    <w:suppressLineNumbers w:val="0"/>
                    <w:spacing w:before="0" w:beforeAutospacing="0" w:after="0" w:afterAutospacing="0"/>
                    <w:ind w:left="0" w:right="0"/>
                    <w:rPr>
                      <w:rFonts w:hint="default" w:ascii="Times New Roman" w:hAnsi="Times New Roman" w:eastAsia="宋体"/>
                      <w:b w:val="0"/>
                      <w:lang w:eastAsia="zh-CN"/>
                    </w:rPr>
                  </w:pPr>
                  <w:r>
                    <w:rPr>
                      <w:rFonts w:hint="default" w:ascii="Times New Roman" w:hAnsi="Times New Roman" w:eastAsia="宋体"/>
                      <w:b w:val="0"/>
                      <w:lang w:eastAsia="zh-CN"/>
                    </w:rPr>
                    <w:t>最大浓度占标率</w:t>
                  </w:r>
                </w:p>
                <w:p>
                  <w:pPr>
                    <w:keepNext w:val="0"/>
                    <w:keepLines w:val="0"/>
                    <w:suppressLineNumbers w:val="0"/>
                    <w:spacing w:before="0" w:beforeAutospacing="0" w:after="0" w:afterAutospacing="0"/>
                    <w:ind w:left="0" w:right="0"/>
                    <w:jc w:val="center"/>
                    <w:rPr>
                      <w:rFonts w:hint="default"/>
                    </w:rPr>
                  </w:pPr>
                  <w:r>
                    <w:rPr>
                      <w:rFonts w:hint="eastAsia"/>
                    </w:rPr>
                    <w:t>（</w:t>
                  </w:r>
                  <w:r>
                    <w:rPr>
                      <w:rFonts w:hint="default"/>
                    </w:rPr>
                    <w:t>%</w:t>
                  </w:r>
                  <w:r>
                    <w:rPr>
                      <w:rFonts w:hint="eastAsia"/>
                    </w:rPr>
                    <w:t>）</w:t>
                  </w:r>
                </w:p>
              </w:tc>
              <w:tc>
                <w:tcPr>
                  <w:tcW w:w="614" w:type="pct"/>
                  <w:tcBorders>
                    <w:tl2br w:val="nil"/>
                    <w:tr2bl w:val="nil"/>
                  </w:tcBorders>
                  <w:vAlign w:val="center"/>
                </w:tcPr>
                <w:p>
                  <w:pPr>
                    <w:pStyle w:val="68"/>
                    <w:keepNext w:val="0"/>
                    <w:keepLines w:val="0"/>
                    <w:suppressLineNumbers w:val="0"/>
                    <w:spacing w:before="0" w:beforeAutospacing="0" w:after="0" w:afterAutospacing="0"/>
                    <w:ind w:left="0" w:right="0"/>
                    <w:rPr>
                      <w:rFonts w:hint="default" w:ascii="Times New Roman" w:hAnsi="Times New Roman" w:eastAsia="宋体"/>
                      <w:b w:val="0"/>
                      <w:lang w:eastAsia="zh-CN"/>
                    </w:rPr>
                  </w:pPr>
                  <w:r>
                    <w:rPr>
                      <w:rFonts w:hint="default" w:ascii="Times New Roman" w:hAnsi="Times New Roman" w:eastAsia="宋体"/>
                      <w:b w:val="0"/>
                      <w:lang w:eastAsia="zh-CN"/>
                    </w:rPr>
                    <w:t>达标</w:t>
                  </w:r>
                </w:p>
                <w:p>
                  <w:pPr>
                    <w:pStyle w:val="68"/>
                    <w:keepNext w:val="0"/>
                    <w:keepLines w:val="0"/>
                    <w:suppressLineNumbers w:val="0"/>
                    <w:spacing w:before="0" w:beforeAutospacing="0" w:after="0" w:afterAutospacing="0"/>
                    <w:ind w:left="0" w:right="0"/>
                    <w:rPr>
                      <w:rFonts w:hint="default" w:ascii="Times New Roman" w:hAnsi="Times New Roman" w:eastAsia="宋体"/>
                      <w:b w:val="0"/>
                      <w:lang w:eastAsia="zh-CN"/>
                    </w:rPr>
                  </w:pPr>
                  <w:r>
                    <w:rPr>
                      <w:rFonts w:hint="default" w:ascii="Times New Roman" w:hAnsi="Times New Roman" w:eastAsia="宋体"/>
                      <w:b w:val="0"/>
                      <w:lang w:eastAsia="zh-CN"/>
                    </w:rPr>
                    <w:t>情况</w:t>
                  </w:r>
                </w:p>
              </w:tc>
              <w:tc>
                <w:tcPr>
                  <w:tcW w:w="88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rPr>
                  </w:pPr>
                  <w:r>
                    <w:rPr>
                      <w:rFonts w:hint="default"/>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c>
                <w:tcPr>
                  <w:tcW w:w="90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rPr>
                  </w:pPr>
                  <w:r>
                    <w:rPr>
                      <w:rFonts w:hint="eastAsia"/>
                    </w:rPr>
                    <w:t>TSP</w:t>
                  </w:r>
                </w:p>
              </w:tc>
              <w:tc>
                <w:tcPr>
                  <w:tcW w:w="74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rPr>
                  </w:pPr>
                  <w:r>
                    <w:rPr>
                      <w:rFonts w:hint="eastAsia"/>
                    </w:rPr>
                    <w:t>项目区内</w:t>
                  </w:r>
                </w:p>
              </w:tc>
              <w:tc>
                <w:tcPr>
                  <w:tcW w:w="105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eastAsia="宋体" w:cs="宋体"/>
                      <w:sz w:val="21"/>
                      <w:szCs w:val="21"/>
                      <w:lang w:val="en-US" w:eastAsia="zh-CN"/>
                    </w:rPr>
                    <w:t>0.1</w:t>
                  </w:r>
                  <w:r>
                    <w:rPr>
                      <w:rFonts w:hint="eastAsia" w:cs="宋体"/>
                      <w:sz w:val="21"/>
                      <w:szCs w:val="21"/>
                      <w:lang w:val="en-US" w:eastAsia="zh-CN"/>
                    </w:rPr>
                    <w:t>98</w:t>
                  </w:r>
                  <w:r>
                    <w:rPr>
                      <w:rFonts w:hint="eastAsia" w:eastAsia="宋体" w:cs="宋体"/>
                      <w:sz w:val="21"/>
                      <w:szCs w:val="21"/>
                      <w:lang w:val="en-US" w:eastAsia="zh-CN"/>
                    </w:rPr>
                    <w:t>-0.</w:t>
                  </w:r>
                  <w:r>
                    <w:rPr>
                      <w:rFonts w:hint="eastAsia" w:cs="宋体"/>
                      <w:sz w:val="21"/>
                      <w:szCs w:val="21"/>
                      <w:lang w:val="en-US" w:eastAsia="zh-CN"/>
                    </w:rPr>
                    <w:t>217</w:t>
                  </w:r>
                </w:p>
              </w:tc>
              <w:tc>
                <w:tcPr>
                  <w:tcW w:w="78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72.3</w:t>
                  </w:r>
                </w:p>
              </w:tc>
              <w:tc>
                <w:tcPr>
                  <w:tcW w:w="61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rPr>
                  </w:pPr>
                  <w:r>
                    <w:rPr>
                      <w:rFonts w:hint="default"/>
                    </w:rPr>
                    <w:t>达标</w:t>
                  </w:r>
                </w:p>
              </w:tc>
              <w:tc>
                <w:tcPr>
                  <w:tcW w:w="88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rPr>
                  </w:pPr>
                  <w:r>
                    <w:rPr>
                      <w:rFonts w:hint="eastAsia"/>
                    </w:rPr>
                    <w:t>0.</w:t>
                  </w:r>
                  <w:r>
                    <w:rPr>
                      <w:rFonts w:hint="eastAsia"/>
                      <w:lang w:val="en-US" w:eastAsia="zh-CN"/>
                    </w:rPr>
                    <w:t>3</w:t>
                  </w:r>
                  <w:r>
                    <w:rPr>
                      <w:rFonts w:hint="default"/>
                    </w:rPr>
                    <w:t>mg/m</w:t>
                  </w:r>
                  <w:r>
                    <w:rPr>
                      <w:rFonts w:hint="default"/>
                      <w:vertAlign w:val="superscript"/>
                    </w:rPr>
                    <w:t>3</w:t>
                  </w:r>
                </w:p>
              </w:tc>
            </w:tr>
          </w:tbl>
          <w:p>
            <w:pPr>
              <w:autoSpaceDE w:val="0"/>
              <w:autoSpaceDN w:val="0"/>
              <w:adjustRightInd w:val="0"/>
              <w:spacing w:line="520" w:lineRule="exact"/>
              <w:ind w:firstLine="480" w:firstLineChars="200"/>
              <w:rPr>
                <w:rFonts w:hint="eastAsia"/>
                <w:b/>
                <w:bCs/>
                <w:sz w:val="24"/>
                <w:szCs w:val="24"/>
              </w:rPr>
            </w:pPr>
            <w:r>
              <w:rPr>
                <w:rFonts w:hint="eastAsia"/>
                <w:sz w:val="24"/>
                <w:szCs w:val="24"/>
              </w:rPr>
              <w:t>根据监测结果可知</w:t>
            </w:r>
            <w:r>
              <w:rPr>
                <w:rFonts w:hint="default"/>
                <w:sz w:val="24"/>
                <w:szCs w:val="24"/>
              </w:rPr>
              <w:t>，</w:t>
            </w:r>
            <w:r>
              <w:rPr>
                <w:rFonts w:hint="eastAsia"/>
                <w:sz w:val="24"/>
                <w:szCs w:val="24"/>
              </w:rPr>
              <w:t>项目区内监测点TSP浓度满足</w:t>
            </w:r>
            <w:r>
              <w:rPr>
                <w:rFonts w:hint="default"/>
                <w:sz w:val="24"/>
                <w:szCs w:val="24"/>
              </w:rPr>
              <w:t>《</w:t>
            </w:r>
            <w:r>
              <w:rPr>
                <w:rFonts w:hint="eastAsia"/>
                <w:sz w:val="24"/>
                <w:szCs w:val="24"/>
              </w:rPr>
              <w:t>环境空气质量标准</w:t>
            </w:r>
            <w:r>
              <w:rPr>
                <w:rFonts w:hint="default"/>
                <w:sz w:val="24"/>
                <w:szCs w:val="24"/>
              </w:rPr>
              <w:t>》（</w:t>
            </w:r>
            <w:r>
              <w:rPr>
                <w:rFonts w:hint="eastAsia"/>
                <w:sz w:val="24"/>
                <w:szCs w:val="24"/>
              </w:rPr>
              <w:t>GB3095-2012</w:t>
            </w:r>
            <w:r>
              <w:rPr>
                <w:rFonts w:hint="default"/>
                <w:sz w:val="24"/>
                <w:szCs w:val="24"/>
              </w:rPr>
              <w:t>）</w:t>
            </w:r>
            <w:r>
              <w:rPr>
                <w:rFonts w:hint="eastAsia"/>
                <w:sz w:val="24"/>
                <w:szCs w:val="24"/>
                <w:lang w:eastAsia="zh-CN"/>
              </w:rPr>
              <w:t>限值</w:t>
            </w:r>
            <w:r>
              <w:rPr>
                <w:rFonts w:hint="eastAsia"/>
                <w:sz w:val="24"/>
                <w:szCs w:val="24"/>
              </w:rPr>
              <w:t>要求</w:t>
            </w:r>
            <w:r>
              <w:rPr>
                <w:rFonts w:hint="default"/>
                <w:sz w:val="24"/>
                <w:szCs w:val="24"/>
              </w:rPr>
              <w:t>。</w:t>
            </w:r>
          </w:p>
          <w:p>
            <w:pPr>
              <w:autoSpaceDE w:val="0"/>
              <w:autoSpaceDN w:val="0"/>
              <w:adjustRightInd w:val="0"/>
              <w:spacing w:line="520" w:lineRule="exact"/>
              <w:ind w:firstLine="482" w:firstLineChars="200"/>
              <w:rPr>
                <w:b/>
                <w:bCs/>
                <w:sz w:val="24"/>
              </w:rPr>
            </w:pPr>
            <w:r>
              <w:rPr>
                <w:rFonts w:hint="eastAsia"/>
                <w:b/>
                <w:bCs/>
                <w:sz w:val="24"/>
              </w:rPr>
              <w:t>2、地表水</w:t>
            </w:r>
          </w:p>
          <w:p>
            <w:pPr>
              <w:pStyle w:val="65"/>
            </w:pPr>
            <w:r>
              <w:rPr>
                <w:lang w:val="zh-CN"/>
              </w:rPr>
              <w:t>本项目</w:t>
            </w:r>
            <w:r>
              <w:rPr>
                <w:rFonts w:hint="eastAsia"/>
                <w:lang w:val="zh-CN"/>
              </w:rPr>
              <w:t>运营期无生产废水产生</w:t>
            </w:r>
            <w:r>
              <w:t>。</w:t>
            </w:r>
            <w:r>
              <w:rPr>
                <w:rFonts w:hint="eastAsia"/>
                <w:lang w:val="en-US" w:eastAsia="zh-CN"/>
              </w:rPr>
              <w:t>餐饮废水经隔油池处理后同生活污水一起排入园区管网，最终进入污水处理厂处理。</w:t>
            </w:r>
            <w:r>
              <w:rPr>
                <w:rFonts w:hint="eastAsia"/>
                <w:lang w:val="zh-CN"/>
              </w:rPr>
              <w:t>根据</w:t>
            </w:r>
            <w:r>
              <w:rPr>
                <w:lang w:val="zh-CN"/>
              </w:rPr>
              <w:t>《环境影响评价技术导则</w:t>
            </w:r>
            <w:r>
              <w:rPr>
                <w:rFonts w:hint="eastAsia"/>
              </w:rPr>
              <w:t xml:space="preserve">  </w:t>
            </w:r>
            <w:r>
              <w:rPr>
                <w:lang w:val="zh-CN"/>
              </w:rPr>
              <w:t>地面水环境》（HJ/T2.3-2018）</w:t>
            </w:r>
            <w:r>
              <w:rPr>
                <w:rFonts w:hint="eastAsia"/>
              </w:rPr>
              <w:t>本次评价不开展地表水质量现状调查。</w:t>
            </w:r>
          </w:p>
          <w:p>
            <w:pPr>
              <w:pStyle w:val="65"/>
              <w:ind w:firstLine="482"/>
              <w:rPr>
                <w:b/>
                <w:bCs/>
              </w:rPr>
            </w:pPr>
            <w:r>
              <w:rPr>
                <w:rFonts w:hint="eastAsia"/>
                <w:b/>
                <w:bCs/>
              </w:rPr>
              <w:t>3、地下水、土壤环境</w:t>
            </w:r>
          </w:p>
          <w:p>
            <w:pPr>
              <w:autoSpaceDE w:val="0"/>
              <w:autoSpaceDN w:val="0"/>
              <w:adjustRightInd w:val="0"/>
              <w:spacing w:line="520" w:lineRule="exact"/>
              <w:ind w:left="0" w:leftChars="0" w:firstLine="480" w:firstLineChars="200"/>
              <w:rPr>
                <w:sz w:val="24"/>
                <w:szCs w:val="32"/>
              </w:rPr>
            </w:pPr>
            <w:r>
              <w:rPr>
                <w:rFonts w:hint="eastAsia"/>
                <w:sz w:val="24"/>
                <w:szCs w:val="32"/>
              </w:rPr>
              <w:t>根据《环境影响评价技术导则 地下水环境》（HJ610-2016）附录A，本项目属于“</w:t>
            </w:r>
            <w:r>
              <w:rPr>
                <w:rFonts w:hint="eastAsia"/>
                <w:sz w:val="24"/>
                <w:szCs w:val="32"/>
                <w:lang w:val="en-US" w:eastAsia="zh-CN"/>
              </w:rPr>
              <w:t>J非金属采选及制品制造</w:t>
            </w:r>
            <w:r>
              <w:rPr>
                <w:rFonts w:hint="eastAsia"/>
                <w:sz w:val="24"/>
                <w:szCs w:val="32"/>
              </w:rPr>
              <w:t>”中第</w:t>
            </w:r>
            <w:r>
              <w:rPr>
                <w:rFonts w:hint="eastAsia"/>
                <w:sz w:val="24"/>
                <w:szCs w:val="32"/>
                <w:lang w:val="en-US" w:eastAsia="zh-CN"/>
              </w:rPr>
              <w:t>69</w:t>
            </w:r>
            <w:r>
              <w:rPr>
                <w:rFonts w:hint="eastAsia"/>
                <w:sz w:val="24"/>
                <w:szCs w:val="32"/>
              </w:rPr>
              <w:t>项</w:t>
            </w:r>
            <w:r>
              <w:rPr>
                <w:rFonts w:hint="eastAsia"/>
                <w:sz w:val="24"/>
                <w:szCs w:val="32"/>
                <w:lang w:val="en-US" w:eastAsia="zh-CN"/>
              </w:rPr>
              <w:t>石墨及其他非金属矿物制品</w:t>
            </w:r>
            <w:r>
              <w:rPr>
                <w:rFonts w:hint="eastAsia"/>
                <w:sz w:val="24"/>
                <w:szCs w:val="32"/>
              </w:rPr>
              <w:t>：报告表“</w:t>
            </w:r>
            <w:r>
              <w:rPr>
                <w:rFonts w:hint="eastAsia"/>
                <w:sz w:val="24"/>
                <w:szCs w:val="32"/>
                <w:lang w:val="en-US" w:eastAsia="zh-CN"/>
              </w:rPr>
              <w:t>其他</w:t>
            </w:r>
            <w:r>
              <w:rPr>
                <w:rFonts w:hint="eastAsia"/>
                <w:sz w:val="24"/>
                <w:szCs w:val="32"/>
              </w:rPr>
              <w:t>”</w:t>
            </w:r>
            <w:r>
              <w:rPr>
                <w:rFonts w:hint="eastAsia"/>
                <w:sz w:val="24"/>
                <w:szCs w:val="32"/>
                <w:lang w:eastAsia="zh-CN"/>
              </w:rPr>
              <w:t>。</w:t>
            </w:r>
            <w:r>
              <w:rPr>
                <w:rFonts w:hint="eastAsia"/>
                <w:sz w:val="24"/>
                <w:szCs w:val="32"/>
                <w:lang w:val="en-US" w:eastAsia="zh-CN"/>
              </w:rPr>
              <w:t>地下水环境影响评价等级为IV类，</w:t>
            </w:r>
            <w:r>
              <w:rPr>
                <w:rFonts w:hint="eastAsia"/>
                <w:sz w:val="24"/>
                <w:szCs w:val="32"/>
              </w:rPr>
              <w:t>因此本项目不开展地下水环境影响评价。</w:t>
            </w:r>
          </w:p>
          <w:p>
            <w:pPr>
              <w:autoSpaceDE w:val="0"/>
              <w:autoSpaceDN w:val="0"/>
              <w:adjustRightInd w:val="0"/>
              <w:spacing w:line="520" w:lineRule="exact"/>
              <w:ind w:firstLine="480" w:firstLineChars="200"/>
            </w:pPr>
            <w:r>
              <w:rPr>
                <w:rFonts w:hint="eastAsia"/>
                <w:sz w:val="24"/>
                <w:szCs w:val="32"/>
              </w:rPr>
              <w:t xml:space="preserve">根据《环境影响评价技术导则 </w:t>
            </w:r>
            <w:r>
              <w:rPr>
                <w:sz w:val="24"/>
                <w:szCs w:val="32"/>
              </w:rPr>
              <w:t xml:space="preserve"> </w:t>
            </w:r>
            <w:r>
              <w:rPr>
                <w:rFonts w:hint="eastAsia"/>
                <w:sz w:val="24"/>
                <w:szCs w:val="32"/>
              </w:rPr>
              <w:t>土壤环境（试行）》（HJ964-2018）本项目属于土壤评价行业分类“</w:t>
            </w:r>
            <w:r>
              <w:rPr>
                <w:rFonts w:hint="eastAsia"/>
                <w:sz w:val="24"/>
                <w:szCs w:val="32"/>
                <w:lang w:val="en-US" w:eastAsia="zh-CN"/>
              </w:rPr>
              <w:t>金属冶炼和压延加工及非金属矿物制品</w:t>
            </w:r>
            <w:r>
              <w:rPr>
                <w:rFonts w:hint="eastAsia"/>
                <w:sz w:val="24"/>
                <w:szCs w:val="32"/>
              </w:rPr>
              <w:t>”</w:t>
            </w:r>
            <w:r>
              <w:rPr>
                <w:rFonts w:hint="eastAsia"/>
                <w:sz w:val="24"/>
                <w:szCs w:val="32"/>
                <w:lang w:val="en-US" w:eastAsia="zh-CN"/>
              </w:rPr>
              <w:t>中的“其他”</w:t>
            </w:r>
            <w:r>
              <w:rPr>
                <w:rFonts w:hint="eastAsia"/>
                <w:sz w:val="24"/>
                <w:szCs w:val="32"/>
              </w:rPr>
              <w:t>，本项目土壤评价类别为</w:t>
            </w:r>
            <w:r>
              <w:rPr>
                <w:rFonts w:hint="eastAsia"/>
                <w:sz w:val="24"/>
                <w:szCs w:val="32"/>
                <w:lang w:val="en-US" w:eastAsia="zh-CN"/>
              </w:rPr>
              <w:t>III</w:t>
            </w:r>
            <w:r>
              <w:rPr>
                <w:rFonts w:hint="eastAsia"/>
                <w:sz w:val="24"/>
                <w:szCs w:val="32"/>
              </w:rPr>
              <w:t>类，</w:t>
            </w:r>
            <w:r>
              <w:rPr>
                <w:rFonts w:hint="eastAsia"/>
                <w:sz w:val="24"/>
                <w:szCs w:val="32"/>
                <w:lang w:val="en-US" w:eastAsia="zh-CN"/>
              </w:rPr>
              <w:t>项目占地规模为小型，周围敏感程度为不敏感，</w:t>
            </w:r>
            <w:r>
              <w:rPr>
                <w:rFonts w:hint="eastAsia"/>
                <w:sz w:val="24"/>
                <w:szCs w:val="32"/>
              </w:rPr>
              <w:t>所以本项目可不开展土壤环境影响评价。</w:t>
            </w:r>
          </w:p>
          <w:p>
            <w:pPr>
              <w:autoSpaceDE w:val="0"/>
              <w:autoSpaceDN w:val="0"/>
              <w:adjustRightInd w:val="0"/>
              <w:spacing w:line="520" w:lineRule="exact"/>
              <w:ind w:firstLine="482" w:firstLineChars="200"/>
              <w:rPr>
                <w:b/>
                <w:bCs/>
                <w:sz w:val="24"/>
              </w:rPr>
            </w:pPr>
            <w:r>
              <w:rPr>
                <w:rFonts w:hint="eastAsia"/>
                <w:b/>
                <w:bCs/>
                <w:sz w:val="24"/>
              </w:rPr>
              <w:t>4、</w:t>
            </w:r>
            <w:r>
              <w:rPr>
                <w:b/>
                <w:bCs/>
                <w:sz w:val="24"/>
              </w:rPr>
              <w:t>声环境</w:t>
            </w:r>
          </w:p>
          <w:p>
            <w:pPr>
              <w:autoSpaceDE w:val="0"/>
              <w:autoSpaceDN w:val="0"/>
              <w:adjustRightInd w:val="0"/>
              <w:spacing w:line="520" w:lineRule="exact"/>
              <w:ind w:firstLine="480" w:firstLineChars="200"/>
              <w:rPr>
                <w:sz w:val="24"/>
                <w:lang w:val="zh-CN"/>
              </w:rPr>
            </w:pPr>
            <w:r>
              <w:rPr>
                <w:sz w:val="24"/>
              </w:rPr>
              <w:t>新疆昌吉</w:t>
            </w:r>
            <w:r>
              <w:rPr>
                <w:rFonts w:hint="eastAsia"/>
                <w:sz w:val="24"/>
              </w:rPr>
              <w:t>回族自治</w:t>
            </w:r>
            <w:r>
              <w:rPr>
                <w:sz w:val="24"/>
              </w:rPr>
              <w:t>州</w:t>
            </w:r>
            <w:r>
              <w:rPr>
                <w:rFonts w:hint="eastAsia"/>
                <w:sz w:val="24"/>
              </w:rPr>
              <w:t>甘泉堡工业园区（阜康阜西产业园区）</w:t>
            </w:r>
            <w:r>
              <w:rPr>
                <w:rFonts w:hint="eastAsia" w:ascii="Times New Roman" w:hAnsi="Times New Roman" w:cs="Times New Roman"/>
                <w:sz w:val="24"/>
                <w:szCs w:val="24"/>
              </w:rPr>
              <w:t>小微企业创新区</w:t>
            </w:r>
            <w:r>
              <w:rPr>
                <w:rFonts w:hint="eastAsia"/>
                <w:sz w:val="24"/>
              </w:rPr>
              <w:t>，中心地理坐标为：东经8</w:t>
            </w:r>
            <w:r>
              <w:rPr>
                <w:rFonts w:hint="eastAsia"/>
                <w:sz w:val="24"/>
                <w:lang w:val="en-US" w:eastAsia="zh-CN"/>
              </w:rPr>
              <w:t>7</w:t>
            </w:r>
            <w:r>
              <w:rPr>
                <w:sz w:val="24"/>
              </w:rPr>
              <w:t>°</w:t>
            </w:r>
            <w:r>
              <w:rPr>
                <w:rFonts w:hint="eastAsia"/>
                <w:sz w:val="24"/>
                <w:lang w:val="en-US" w:eastAsia="zh-CN"/>
              </w:rPr>
              <w:t>49</w:t>
            </w:r>
            <w:r>
              <w:rPr>
                <w:sz w:val="24"/>
              </w:rPr>
              <w:t>′</w:t>
            </w:r>
            <w:r>
              <w:rPr>
                <w:rFonts w:hint="eastAsia"/>
                <w:sz w:val="24"/>
                <w:lang w:val="en-US" w:eastAsia="zh-CN"/>
              </w:rPr>
              <w:t>13.403</w:t>
            </w:r>
            <w:r>
              <w:rPr>
                <w:sz w:val="24"/>
              </w:rPr>
              <w:t>″，</w:t>
            </w:r>
            <w:r>
              <w:rPr>
                <w:rFonts w:hint="eastAsia"/>
                <w:sz w:val="24"/>
              </w:rPr>
              <w:t>北纬44</w:t>
            </w:r>
            <w:r>
              <w:rPr>
                <w:sz w:val="24"/>
              </w:rPr>
              <w:t>°</w:t>
            </w:r>
            <w:r>
              <w:rPr>
                <w:rFonts w:hint="eastAsia"/>
                <w:sz w:val="24"/>
                <w:lang w:val="en-US" w:eastAsia="zh-CN"/>
              </w:rPr>
              <w:t>9</w:t>
            </w:r>
            <w:r>
              <w:rPr>
                <w:sz w:val="24"/>
              </w:rPr>
              <w:t>′</w:t>
            </w:r>
            <w:r>
              <w:rPr>
                <w:rFonts w:hint="eastAsia"/>
                <w:sz w:val="24"/>
                <w:lang w:val="en-US" w:eastAsia="zh-CN"/>
              </w:rPr>
              <w:t>36.088</w:t>
            </w:r>
            <w:r>
              <w:rPr>
                <w:sz w:val="24"/>
              </w:rPr>
              <w:t>″</w:t>
            </w:r>
            <w:r>
              <w:rPr>
                <w:rFonts w:hint="eastAsia"/>
                <w:sz w:val="24"/>
              </w:rPr>
              <w:t>。东侧为</w:t>
            </w:r>
            <w:r>
              <w:rPr>
                <w:rFonts w:hint="eastAsia"/>
                <w:sz w:val="24"/>
                <w:lang w:val="en-US" w:eastAsia="zh-CN"/>
              </w:rPr>
              <w:t>园区道路</w:t>
            </w:r>
            <w:r>
              <w:rPr>
                <w:rFonts w:hint="eastAsia"/>
                <w:sz w:val="24"/>
              </w:rPr>
              <w:t>，南侧为</w:t>
            </w:r>
            <w:r>
              <w:rPr>
                <w:rFonts w:hint="eastAsia"/>
                <w:sz w:val="24"/>
                <w:lang w:val="en-US" w:eastAsia="zh-CN"/>
              </w:rPr>
              <w:t>吉成仓储设备制造有限公司</w:t>
            </w:r>
            <w:r>
              <w:rPr>
                <w:rFonts w:hint="eastAsia"/>
                <w:sz w:val="24"/>
              </w:rPr>
              <w:t>，</w:t>
            </w:r>
            <w:r>
              <w:rPr>
                <w:rFonts w:hint="eastAsia"/>
                <w:sz w:val="24"/>
                <w:lang w:val="en-US" w:eastAsia="zh-CN"/>
              </w:rPr>
              <w:t>西侧为新疆三维包装有限公司，</w:t>
            </w:r>
            <w:r>
              <w:rPr>
                <w:rFonts w:hint="eastAsia"/>
                <w:sz w:val="24"/>
              </w:rPr>
              <w:t>北侧为</w:t>
            </w:r>
            <w:r>
              <w:rPr>
                <w:rFonts w:hint="eastAsia"/>
                <w:sz w:val="24"/>
                <w:lang w:val="en-US" w:eastAsia="zh-CN"/>
              </w:rPr>
              <w:t>闲置厂房</w:t>
            </w:r>
            <w:r>
              <w:rPr>
                <w:rFonts w:hint="eastAsia"/>
                <w:sz w:val="24"/>
              </w:rPr>
              <w:t>。本项目用地为工业用地</w:t>
            </w:r>
            <w:r>
              <w:rPr>
                <w:rFonts w:hint="eastAsia"/>
                <w:sz w:val="24"/>
                <w:lang w:val="zh-CN"/>
              </w:rPr>
              <w:t>，项目所在区域属于</w:t>
            </w:r>
            <w:r>
              <w:rPr>
                <w:rFonts w:hint="eastAsia"/>
                <w:sz w:val="24"/>
              </w:rPr>
              <w:t>3</w:t>
            </w:r>
            <w:r>
              <w:rPr>
                <w:rFonts w:hint="eastAsia"/>
                <w:sz w:val="24"/>
                <w:lang w:val="zh-CN"/>
              </w:rPr>
              <w:t>类区域，执行《声环境质量标准》（GB3096-2008）</w:t>
            </w:r>
            <w:r>
              <w:rPr>
                <w:rFonts w:hint="eastAsia"/>
                <w:sz w:val="24"/>
              </w:rPr>
              <w:t>3</w:t>
            </w:r>
            <w:r>
              <w:rPr>
                <w:rFonts w:hint="eastAsia"/>
                <w:sz w:val="24"/>
                <w:lang w:val="zh-CN"/>
              </w:rPr>
              <w:t>类标准，即昼间≤6</w:t>
            </w:r>
            <w:r>
              <w:rPr>
                <w:rFonts w:hint="eastAsia"/>
                <w:sz w:val="24"/>
              </w:rPr>
              <w:t>5</w:t>
            </w:r>
            <w:r>
              <w:rPr>
                <w:rFonts w:hint="eastAsia"/>
                <w:sz w:val="24"/>
                <w:lang w:val="zh-CN"/>
              </w:rPr>
              <w:t>dB(A)、夜间≤5</w:t>
            </w:r>
            <w:r>
              <w:rPr>
                <w:rFonts w:hint="eastAsia"/>
                <w:sz w:val="24"/>
              </w:rPr>
              <w:t>5</w:t>
            </w:r>
            <w:r>
              <w:rPr>
                <w:rFonts w:hint="eastAsia"/>
                <w:sz w:val="24"/>
                <w:lang w:val="zh-CN"/>
              </w:rPr>
              <w:t>dB(A)。</w:t>
            </w:r>
          </w:p>
          <w:p>
            <w:pPr>
              <w:autoSpaceDE w:val="0"/>
              <w:autoSpaceDN w:val="0"/>
              <w:adjustRightInd w:val="0"/>
              <w:spacing w:line="520" w:lineRule="exact"/>
              <w:ind w:firstLine="480" w:firstLineChars="200"/>
              <w:rPr>
                <w:rFonts w:hAnsi="宋体" w:cs="宋体"/>
                <w:kern w:val="0"/>
              </w:rPr>
            </w:pPr>
            <w:r>
              <w:rPr>
                <w:rFonts w:hint="eastAsia"/>
                <w:sz w:val="24"/>
                <w:lang w:val="zh-CN"/>
              </w:rPr>
              <w:t>本项目为新建项目，由于项目</w:t>
            </w:r>
            <w:r>
              <w:rPr>
                <w:sz w:val="24"/>
                <w:lang w:val="zh-CN"/>
              </w:rPr>
              <w:t>厂界外50m</w:t>
            </w:r>
            <w:r>
              <w:rPr>
                <w:rFonts w:hint="eastAsia"/>
                <w:sz w:val="24"/>
                <w:lang w:val="zh-CN"/>
              </w:rPr>
              <w:t>范围内不存在声环境保护目标，本次评价不对项目区进行现状监测</w:t>
            </w:r>
            <w:r>
              <w:rPr>
                <w:sz w:val="24"/>
                <w:lang w:val="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vAlign w:val="center"/>
          </w:tcPr>
          <w:p>
            <w:pPr>
              <w:adjustRightInd w:val="0"/>
              <w:snapToGrid w:val="0"/>
              <w:jc w:val="center"/>
              <w:rPr>
                <w:rFonts w:ascii="宋体" w:hAnsi="宋体" w:cs="宋体"/>
                <w:kern w:val="0"/>
                <w:sz w:val="24"/>
              </w:rPr>
            </w:pPr>
            <w:r>
              <w:rPr>
                <w:rFonts w:hint="eastAsia" w:ascii="宋体" w:hAnsi="宋体" w:cs="宋体"/>
                <w:kern w:val="0"/>
                <w:sz w:val="24"/>
              </w:rPr>
              <w:t>环</w:t>
            </w:r>
          </w:p>
          <w:p>
            <w:pPr>
              <w:adjustRightInd w:val="0"/>
              <w:snapToGrid w:val="0"/>
              <w:jc w:val="center"/>
              <w:rPr>
                <w:rFonts w:ascii="宋体" w:hAnsi="宋体" w:cs="宋体"/>
                <w:kern w:val="0"/>
                <w:sz w:val="24"/>
              </w:rPr>
            </w:pPr>
            <w:r>
              <w:rPr>
                <w:rFonts w:hint="eastAsia" w:ascii="宋体" w:hAnsi="宋体" w:cs="宋体"/>
                <w:kern w:val="0"/>
                <w:sz w:val="24"/>
              </w:rPr>
              <w:t>境</w:t>
            </w:r>
          </w:p>
          <w:p>
            <w:pPr>
              <w:adjustRightInd w:val="0"/>
              <w:snapToGrid w:val="0"/>
              <w:jc w:val="center"/>
              <w:rPr>
                <w:rFonts w:ascii="宋体" w:hAnsi="宋体" w:cs="宋体"/>
                <w:kern w:val="0"/>
                <w:sz w:val="24"/>
              </w:rPr>
            </w:pPr>
            <w:r>
              <w:rPr>
                <w:rFonts w:hint="eastAsia" w:ascii="宋体" w:hAnsi="宋体" w:cs="宋体"/>
                <w:kern w:val="0"/>
                <w:sz w:val="24"/>
              </w:rPr>
              <w:t>保</w:t>
            </w:r>
          </w:p>
          <w:p>
            <w:pPr>
              <w:adjustRightInd w:val="0"/>
              <w:snapToGrid w:val="0"/>
              <w:jc w:val="center"/>
              <w:rPr>
                <w:rFonts w:ascii="宋体" w:hAnsi="宋体" w:cs="宋体"/>
                <w:kern w:val="0"/>
                <w:sz w:val="24"/>
              </w:rPr>
            </w:pPr>
            <w:r>
              <w:rPr>
                <w:rFonts w:hint="eastAsia" w:ascii="宋体" w:hAnsi="宋体" w:cs="宋体"/>
                <w:kern w:val="0"/>
                <w:sz w:val="24"/>
              </w:rPr>
              <w:t>护</w:t>
            </w:r>
          </w:p>
          <w:p>
            <w:pPr>
              <w:adjustRightInd w:val="0"/>
              <w:snapToGrid w:val="0"/>
              <w:jc w:val="center"/>
              <w:rPr>
                <w:rFonts w:ascii="宋体" w:hAnsi="宋体" w:cs="宋体"/>
                <w:kern w:val="0"/>
                <w:sz w:val="24"/>
              </w:rPr>
            </w:pPr>
            <w:r>
              <w:rPr>
                <w:rFonts w:hint="eastAsia" w:ascii="宋体" w:hAnsi="宋体" w:cs="宋体"/>
                <w:kern w:val="0"/>
                <w:sz w:val="24"/>
              </w:rPr>
              <w:t>目</w:t>
            </w:r>
          </w:p>
          <w:p>
            <w:pPr>
              <w:adjustRightInd w:val="0"/>
              <w:snapToGrid w:val="0"/>
              <w:jc w:val="center"/>
              <w:rPr>
                <w:rFonts w:ascii="宋体" w:hAnsi="宋体" w:cs="宋体"/>
                <w:kern w:val="0"/>
                <w:sz w:val="24"/>
              </w:rPr>
            </w:pPr>
            <w:r>
              <w:rPr>
                <w:rFonts w:hint="eastAsia" w:ascii="宋体" w:hAnsi="宋体" w:cs="宋体"/>
                <w:kern w:val="0"/>
                <w:sz w:val="24"/>
              </w:rPr>
              <w:t>标</w:t>
            </w:r>
          </w:p>
        </w:tc>
        <w:tc>
          <w:tcPr>
            <w:tcW w:w="8190" w:type="dxa"/>
            <w:vAlign w:val="center"/>
          </w:tcPr>
          <w:p>
            <w:pPr>
              <w:spacing w:line="480" w:lineRule="exact"/>
              <w:ind w:firstLine="482" w:firstLineChars="200"/>
              <w:rPr>
                <w:b/>
                <w:bCs/>
                <w:sz w:val="24"/>
              </w:rPr>
            </w:pPr>
            <w:r>
              <w:rPr>
                <w:rFonts w:hint="eastAsia"/>
                <w:b/>
                <w:bCs/>
                <w:sz w:val="24"/>
              </w:rPr>
              <w:t>1、</w:t>
            </w:r>
            <w:r>
              <w:rPr>
                <w:b/>
                <w:bCs/>
                <w:sz w:val="24"/>
              </w:rPr>
              <w:t>大气环境</w:t>
            </w:r>
          </w:p>
          <w:p>
            <w:pPr>
              <w:spacing w:line="480" w:lineRule="exact"/>
              <w:ind w:firstLine="480" w:firstLineChars="200"/>
              <w:rPr>
                <w:sz w:val="24"/>
              </w:rPr>
            </w:pPr>
            <w:r>
              <w:rPr>
                <w:rFonts w:hint="eastAsia"/>
                <w:sz w:val="24"/>
              </w:rPr>
              <w:t>本项目厂界外500m范围内无自然保护区、风景名胜区、居住区、文化区和农村地区中人群较集中的区域等保护目标。</w:t>
            </w:r>
          </w:p>
          <w:p>
            <w:pPr>
              <w:spacing w:line="480" w:lineRule="exact"/>
              <w:ind w:firstLine="482" w:firstLineChars="200"/>
              <w:rPr>
                <w:b/>
                <w:bCs/>
                <w:sz w:val="24"/>
              </w:rPr>
            </w:pPr>
            <w:r>
              <w:rPr>
                <w:rFonts w:hint="eastAsia"/>
                <w:b/>
                <w:bCs/>
                <w:sz w:val="24"/>
              </w:rPr>
              <w:t>2、</w:t>
            </w:r>
            <w:r>
              <w:rPr>
                <w:b/>
                <w:bCs/>
                <w:sz w:val="24"/>
              </w:rPr>
              <w:t>声环境</w:t>
            </w:r>
          </w:p>
          <w:p>
            <w:pPr>
              <w:spacing w:line="480" w:lineRule="exact"/>
              <w:ind w:firstLine="480" w:firstLineChars="200"/>
              <w:rPr>
                <w:sz w:val="24"/>
              </w:rPr>
            </w:pPr>
            <w:r>
              <w:rPr>
                <w:rFonts w:hint="eastAsia"/>
                <w:sz w:val="24"/>
              </w:rPr>
              <w:t>本项目厂界外50m范围内无声环境保护目标。</w:t>
            </w:r>
          </w:p>
          <w:p>
            <w:pPr>
              <w:spacing w:line="480" w:lineRule="exact"/>
              <w:ind w:firstLine="482" w:firstLineChars="200"/>
              <w:rPr>
                <w:b/>
                <w:bCs/>
                <w:sz w:val="24"/>
              </w:rPr>
            </w:pPr>
            <w:r>
              <w:rPr>
                <w:rFonts w:hint="eastAsia"/>
                <w:b/>
                <w:bCs/>
                <w:sz w:val="24"/>
              </w:rPr>
              <w:t>3、</w:t>
            </w:r>
            <w:r>
              <w:rPr>
                <w:b/>
                <w:bCs/>
                <w:sz w:val="24"/>
              </w:rPr>
              <w:t>地下水环境</w:t>
            </w:r>
          </w:p>
          <w:p>
            <w:pPr>
              <w:spacing w:line="480" w:lineRule="exact"/>
              <w:ind w:firstLine="480" w:firstLineChars="200"/>
              <w:rPr>
                <w:rFonts w:ascii="宋体" w:hAnsi="宋体"/>
                <w:kern w:val="0"/>
              </w:rPr>
            </w:pPr>
            <w:r>
              <w:rPr>
                <w:rFonts w:hint="eastAsia"/>
                <w:sz w:val="24"/>
              </w:rPr>
              <w:t>本项目厂界外500m范围内无地下水集中式饮用水水源和热水、矿泉水、温泉等特殊地下水资源。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tcMar>
              <w:left w:w="28" w:type="dxa"/>
              <w:right w:w="28" w:type="dxa"/>
            </w:tcMar>
            <w:vAlign w:val="center"/>
          </w:tcPr>
          <w:p>
            <w:pPr>
              <w:adjustRightInd w:val="0"/>
              <w:snapToGrid w:val="0"/>
              <w:jc w:val="center"/>
              <w:rPr>
                <w:rFonts w:ascii="宋体" w:hAnsi="宋体" w:cs="宋体"/>
                <w:kern w:val="0"/>
                <w:sz w:val="24"/>
              </w:rPr>
            </w:pPr>
            <w:r>
              <w:rPr>
                <w:rFonts w:hint="eastAsia" w:ascii="宋体" w:hAnsi="宋体" w:cs="宋体"/>
                <w:kern w:val="0"/>
                <w:sz w:val="24"/>
              </w:rPr>
              <w:t>污</w:t>
            </w:r>
          </w:p>
          <w:p>
            <w:pPr>
              <w:adjustRightInd w:val="0"/>
              <w:snapToGrid w:val="0"/>
              <w:jc w:val="center"/>
              <w:rPr>
                <w:rFonts w:ascii="宋体" w:hAnsi="宋体" w:cs="宋体"/>
                <w:kern w:val="0"/>
                <w:sz w:val="24"/>
              </w:rPr>
            </w:pPr>
            <w:r>
              <w:rPr>
                <w:rFonts w:hint="eastAsia" w:ascii="宋体" w:hAnsi="宋体" w:cs="宋体"/>
                <w:kern w:val="0"/>
                <w:sz w:val="24"/>
              </w:rPr>
              <w:t>染</w:t>
            </w:r>
          </w:p>
          <w:p>
            <w:pPr>
              <w:adjustRightInd w:val="0"/>
              <w:snapToGrid w:val="0"/>
              <w:jc w:val="center"/>
              <w:rPr>
                <w:rFonts w:ascii="宋体" w:hAnsi="宋体" w:cs="宋体"/>
                <w:kern w:val="0"/>
                <w:sz w:val="24"/>
              </w:rPr>
            </w:pPr>
            <w:r>
              <w:rPr>
                <w:rFonts w:hint="eastAsia" w:ascii="宋体" w:hAnsi="宋体" w:cs="宋体"/>
                <w:kern w:val="0"/>
                <w:sz w:val="24"/>
              </w:rPr>
              <w:t>物</w:t>
            </w:r>
          </w:p>
          <w:p>
            <w:pPr>
              <w:adjustRightInd w:val="0"/>
              <w:snapToGrid w:val="0"/>
              <w:jc w:val="center"/>
              <w:rPr>
                <w:rFonts w:ascii="宋体" w:hAnsi="宋体" w:cs="宋体"/>
                <w:kern w:val="0"/>
                <w:sz w:val="24"/>
              </w:rPr>
            </w:pPr>
            <w:r>
              <w:rPr>
                <w:rFonts w:hint="eastAsia" w:ascii="宋体" w:hAnsi="宋体" w:cs="宋体"/>
                <w:kern w:val="0"/>
                <w:sz w:val="24"/>
              </w:rPr>
              <w:t>排</w:t>
            </w:r>
          </w:p>
          <w:p>
            <w:pPr>
              <w:adjustRightInd w:val="0"/>
              <w:snapToGrid w:val="0"/>
              <w:jc w:val="center"/>
              <w:rPr>
                <w:rFonts w:ascii="宋体" w:hAnsi="宋体" w:cs="宋体"/>
                <w:kern w:val="0"/>
                <w:sz w:val="24"/>
              </w:rPr>
            </w:pPr>
            <w:r>
              <w:rPr>
                <w:rFonts w:hint="eastAsia" w:ascii="宋体" w:hAnsi="宋体" w:cs="宋体"/>
                <w:kern w:val="0"/>
                <w:sz w:val="24"/>
              </w:rPr>
              <w:t>放</w:t>
            </w:r>
          </w:p>
          <w:p>
            <w:pPr>
              <w:adjustRightInd w:val="0"/>
              <w:snapToGrid w:val="0"/>
              <w:jc w:val="center"/>
              <w:rPr>
                <w:rFonts w:ascii="宋体" w:hAnsi="宋体" w:cs="宋体"/>
                <w:kern w:val="0"/>
                <w:sz w:val="24"/>
              </w:rPr>
            </w:pPr>
            <w:r>
              <w:rPr>
                <w:rFonts w:hint="eastAsia" w:ascii="宋体" w:hAnsi="宋体" w:cs="宋体"/>
                <w:kern w:val="0"/>
                <w:sz w:val="24"/>
              </w:rPr>
              <w:t>控</w:t>
            </w:r>
          </w:p>
          <w:p>
            <w:pPr>
              <w:adjustRightInd w:val="0"/>
              <w:snapToGrid w:val="0"/>
              <w:jc w:val="center"/>
              <w:rPr>
                <w:rFonts w:ascii="宋体" w:hAnsi="宋体" w:cs="宋体"/>
                <w:kern w:val="0"/>
                <w:sz w:val="24"/>
              </w:rPr>
            </w:pPr>
            <w:r>
              <w:rPr>
                <w:rFonts w:hint="eastAsia" w:ascii="宋体" w:hAnsi="宋体" w:cs="宋体"/>
                <w:kern w:val="0"/>
                <w:sz w:val="24"/>
              </w:rPr>
              <w:t>制</w:t>
            </w:r>
          </w:p>
          <w:p>
            <w:pPr>
              <w:adjustRightInd w:val="0"/>
              <w:snapToGrid w:val="0"/>
              <w:jc w:val="center"/>
              <w:rPr>
                <w:rFonts w:ascii="宋体" w:hAnsi="宋体" w:cs="宋体"/>
                <w:kern w:val="0"/>
                <w:sz w:val="24"/>
              </w:rPr>
            </w:pPr>
            <w:r>
              <w:rPr>
                <w:rFonts w:hint="eastAsia" w:ascii="宋体" w:hAnsi="宋体" w:cs="宋体"/>
                <w:kern w:val="0"/>
                <w:sz w:val="24"/>
              </w:rPr>
              <w:t>标</w:t>
            </w:r>
          </w:p>
          <w:p>
            <w:pPr>
              <w:adjustRightInd w:val="0"/>
              <w:snapToGrid w:val="0"/>
              <w:jc w:val="center"/>
              <w:rPr>
                <w:rFonts w:ascii="宋体" w:hAnsi="宋体" w:cs="宋体"/>
                <w:kern w:val="0"/>
                <w:sz w:val="24"/>
              </w:rPr>
            </w:pPr>
            <w:r>
              <w:rPr>
                <w:rFonts w:hint="eastAsia" w:ascii="宋体" w:hAnsi="宋体" w:cs="宋体"/>
                <w:kern w:val="0"/>
                <w:sz w:val="24"/>
              </w:rPr>
              <w:t>准</w:t>
            </w:r>
          </w:p>
        </w:tc>
        <w:tc>
          <w:tcPr>
            <w:tcW w:w="8190" w:type="dxa"/>
            <w:vAlign w:val="center"/>
          </w:tcPr>
          <w:p>
            <w:pPr>
              <w:pStyle w:val="65"/>
              <w:rPr>
                <w:rFonts w:hint="eastAsia" w:eastAsia="宋体"/>
                <w:szCs w:val="22"/>
                <w:lang w:eastAsia="zh-CN"/>
              </w:rPr>
            </w:pPr>
            <w:r>
              <w:rPr>
                <w:rFonts w:hint="eastAsia"/>
                <w:szCs w:val="22"/>
              </w:rPr>
              <w:t>（</w:t>
            </w:r>
            <w:r>
              <w:rPr>
                <w:szCs w:val="22"/>
              </w:rPr>
              <w:t>1</w:t>
            </w:r>
            <w:r>
              <w:rPr>
                <w:rFonts w:hint="eastAsia"/>
                <w:szCs w:val="22"/>
              </w:rPr>
              <w:t>）大气污染物：本项目有组织颗粒物</w:t>
            </w:r>
            <w:r>
              <w:rPr>
                <w:szCs w:val="22"/>
              </w:rPr>
              <w:t>执行</w:t>
            </w:r>
            <w:r>
              <w:rPr>
                <w:rFonts w:hint="eastAsia" w:hAnsi="宋体"/>
              </w:rPr>
              <w:t>《</w:t>
            </w:r>
            <w:r>
              <w:rPr>
                <w:rFonts w:hint="eastAsia" w:hAnsi="宋体"/>
                <w:lang w:val="en-US" w:eastAsia="zh-CN"/>
              </w:rPr>
              <w:t>水泥</w:t>
            </w:r>
            <w:r>
              <w:rPr>
                <w:rFonts w:hint="eastAsia" w:hAnsi="宋体"/>
                <w:lang w:eastAsia="zh-CN"/>
              </w:rPr>
              <w:t>工业</w:t>
            </w:r>
            <w:r>
              <w:rPr>
                <w:rFonts w:hint="eastAsia" w:hAnsi="宋体"/>
              </w:rPr>
              <w:t>大气污染物排放标准》（GB</w:t>
            </w:r>
            <w:r>
              <w:rPr>
                <w:rFonts w:hint="eastAsia" w:hAnsi="宋体"/>
                <w:lang w:val="en-US" w:eastAsia="zh-CN"/>
              </w:rPr>
              <w:t>4915-2013）</w:t>
            </w:r>
            <w:r>
              <w:rPr>
                <w:rFonts w:hint="eastAsia"/>
                <w:szCs w:val="22"/>
              </w:rPr>
              <w:t>表2的</w:t>
            </w:r>
            <w:r>
              <w:rPr>
                <w:rFonts w:hint="eastAsia"/>
                <w:szCs w:val="22"/>
                <w:lang w:eastAsia="zh-CN"/>
              </w:rPr>
              <w:t>大气污染物</w:t>
            </w:r>
            <w:r>
              <w:rPr>
                <w:rFonts w:hint="eastAsia"/>
                <w:szCs w:val="22"/>
              </w:rPr>
              <w:t>颗粒物</w:t>
            </w:r>
            <w:r>
              <w:rPr>
                <w:rFonts w:hint="eastAsia"/>
                <w:szCs w:val="22"/>
                <w:lang w:val="en-US" w:eastAsia="zh-CN"/>
              </w:rPr>
              <w:t>特别排放</w:t>
            </w:r>
            <w:r>
              <w:rPr>
                <w:rFonts w:hint="eastAsia"/>
                <w:szCs w:val="22"/>
              </w:rPr>
              <w:t>限值</w:t>
            </w:r>
            <w:r>
              <w:rPr>
                <w:rFonts w:hint="eastAsia"/>
                <w:szCs w:val="22"/>
                <w:lang w:eastAsia="zh-CN"/>
              </w:rPr>
              <w:t>（</w:t>
            </w:r>
            <w:r>
              <w:rPr>
                <w:rFonts w:hint="eastAsia"/>
                <w:szCs w:val="22"/>
                <w:lang w:val="en-US" w:eastAsia="zh-CN"/>
              </w:rPr>
              <w:t>10mg/m</w:t>
            </w:r>
            <w:r>
              <w:rPr>
                <w:rFonts w:hint="eastAsia"/>
                <w:szCs w:val="22"/>
                <w:vertAlign w:val="superscript"/>
                <w:lang w:val="en-US" w:eastAsia="zh-CN"/>
              </w:rPr>
              <w:t>3</w:t>
            </w:r>
            <w:r>
              <w:rPr>
                <w:rFonts w:hint="eastAsia"/>
                <w:szCs w:val="22"/>
                <w:lang w:eastAsia="zh-CN"/>
              </w:rPr>
              <w:t>）</w:t>
            </w:r>
            <w:r>
              <w:rPr>
                <w:rFonts w:hint="eastAsia"/>
                <w:szCs w:val="22"/>
              </w:rPr>
              <w:t>；</w:t>
            </w:r>
            <w:r>
              <w:rPr>
                <w:rFonts w:hint="eastAsia" w:hAnsi="宋体"/>
              </w:rPr>
              <w:t>厂界颗粒物执行《</w:t>
            </w:r>
            <w:r>
              <w:rPr>
                <w:rFonts w:hint="eastAsia" w:hAnsi="宋体"/>
                <w:lang w:val="en-US" w:eastAsia="zh-CN"/>
              </w:rPr>
              <w:t>水泥</w:t>
            </w:r>
            <w:r>
              <w:rPr>
                <w:rFonts w:hint="eastAsia" w:hAnsi="宋体"/>
                <w:lang w:eastAsia="zh-CN"/>
              </w:rPr>
              <w:t>工业</w:t>
            </w:r>
            <w:r>
              <w:rPr>
                <w:rFonts w:hint="eastAsia" w:hAnsi="宋体"/>
              </w:rPr>
              <w:t>大气污染物排放标准》（GB</w:t>
            </w:r>
            <w:r>
              <w:rPr>
                <w:rFonts w:hint="eastAsia" w:hAnsi="宋体"/>
                <w:lang w:val="en-US" w:eastAsia="zh-CN"/>
              </w:rPr>
              <w:t>4915-2013</w:t>
            </w:r>
            <w:r>
              <w:rPr>
                <w:rFonts w:hint="eastAsia" w:hAnsi="宋体"/>
              </w:rPr>
              <w:t>）新污染源颗粒物的无组织排放标准</w:t>
            </w:r>
            <w:r>
              <w:rPr>
                <w:rFonts w:hint="eastAsia" w:hAnsi="宋体"/>
                <w:lang w:eastAsia="zh-CN"/>
              </w:rPr>
              <w:t>（</w:t>
            </w:r>
            <w:r>
              <w:rPr>
                <w:rFonts w:hint="eastAsia" w:hAnsi="宋体"/>
                <w:lang w:val="en-US" w:eastAsia="zh-CN"/>
              </w:rPr>
              <w:t>1mg/m</w:t>
            </w:r>
            <w:r>
              <w:rPr>
                <w:rFonts w:hint="eastAsia" w:hAnsi="宋体"/>
                <w:vertAlign w:val="superscript"/>
                <w:lang w:val="en-US" w:eastAsia="zh-CN"/>
              </w:rPr>
              <w:t>3</w:t>
            </w:r>
            <w:r>
              <w:rPr>
                <w:rFonts w:hint="eastAsia" w:hAnsi="宋体"/>
                <w:lang w:eastAsia="zh-CN"/>
              </w:rPr>
              <w:t>）。</w:t>
            </w:r>
          </w:p>
          <w:p>
            <w:pPr>
              <w:pStyle w:val="81"/>
              <w:spacing w:line="240" w:lineRule="auto"/>
              <w:rPr>
                <w:rFonts w:hint="default"/>
                <w:vertAlign w:val="superscript"/>
                <w:lang w:val="en-US"/>
              </w:rPr>
            </w:pPr>
            <w:r>
              <w:t>表3-</w:t>
            </w:r>
            <w:r>
              <w:rPr>
                <w:rFonts w:hint="eastAsia"/>
                <w:lang w:val="en-US" w:eastAsia="zh-CN"/>
              </w:rPr>
              <w:t>3</w:t>
            </w:r>
            <w:r>
              <w:t xml:space="preserve"> </w:t>
            </w:r>
            <w:r>
              <w:rPr>
                <w:rFonts w:hint="eastAsia"/>
              </w:rPr>
              <w:t xml:space="preserve"> </w:t>
            </w:r>
            <w:r>
              <w:rPr>
                <w:rFonts w:hint="eastAsia"/>
                <w:lang w:val="en-US" w:eastAsia="zh-CN"/>
              </w:rPr>
              <w:t>水泥</w:t>
            </w:r>
            <w:r>
              <w:rPr>
                <w:rFonts w:hint="eastAsia"/>
                <w:lang w:eastAsia="zh-CN"/>
              </w:rPr>
              <w:t>工业</w:t>
            </w:r>
            <w:r>
              <w:rPr>
                <w:rFonts w:hint="eastAsia"/>
              </w:rPr>
              <w:t>大气污染物</w:t>
            </w:r>
            <w:r>
              <w:t>排放</w:t>
            </w:r>
            <w:r>
              <w:rPr>
                <w:rFonts w:hint="eastAsia"/>
                <w:lang w:eastAsia="zh-CN"/>
              </w:rPr>
              <w:t>标准</w:t>
            </w:r>
            <w:r>
              <w:rPr>
                <w:rFonts w:hint="eastAsia"/>
                <w:lang w:val="en-US" w:eastAsia="zh-CN"/>
              </w:rPr>
              <w:t xml:space="preserve">  </w:t>
            </w:r>
            <w:r>
              <w:rPr>
                <w:rFonts w:hint="eastAsia"/>
                <w:lang w:eastAsia="zh-CN"/>
              </w:rPr>
              <w:t>单位：</w:t>
            </w:r>
            <w:r>
              <w:rPr>
                <w:rFonts w:hint="default" w:ascii="Times New Roman" w:hAnsi="Times New Roman" w:cs="Times New Roman"/>
                <w:lang w:val="en-US" w:eastAsia="zh-CN"/>
              </w:rPr>
              <w:t>mg/m</w:t>
            </w:r>
            <w:r>
              <w:rPr>
                <w:rFonts w:hint="default" w:ascii="Times New Roman" w:hAnsi="Times New Roman" w:cs="Times New Roman"/>
                <w:vertAlign w:val="superscript"/>
                <w:lang w:val="en-US" w:eastAsia="zh-CN"/>
              </w:rPr>
              <w:t>3</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7"/>
              <w:gridCol w:w="1597"/>
              <w:gridCol w:w="1807"/>
              <w:gridCol w:w="29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95" w:type="pct"/>
                  <w:vAlign w:val="center"/>
                </w:tcPr>
                <w:p>
                  <w:pPr>
                    <w:adjustRightInd w:val="0"/>
                    <w:snapToGrid w:val="0"/>
                    <w:jc w:val="center"/>
                    <w:rPr>
                      <w:bCs/>
                      <w:szCs w:val="21"/>
                    </w:rPr>
                  </w:pPr>
                  <w:r>
                    <w:rPr>
                      <w:bCs/>
                      <w:szCs w:val="21"/>
                    </w:rPr>
                    <w:t>污染物</w:t>
                  </w:r>
                </w:p>
              </w:tc>
              <w:tc>
                <w:tcPr>
                  <w:tcW w:w="1001" w:type="pct"/>
                  <w:vAlign w:val="center"/>
                </w:tcPr>
                <w:p>
                  <w:pPr>
                    <w:adjustRightInd w:val="0"/>
                    <w:snapToGrid w:val="0"/>
                    <w:jc w:val="center"/>
                    <w:rPr>
                      <w:bCs/>
                      <w:szCs w:val="21"/>
                    </w:rPr>
                  </w:pPr>
                  <w:r>
                    <w:rPr>
                      <w:bCs/>
                      <w:szCs w:val="21"/>
                    </w:rPr>
                    <w:t>限值</w:t>
                  </w:r>
                </w:p>
              </w:tc>
              <w:tc>
                <w:tcPr>
                  <w:tcW w:w="1133" w:type="pct"/>
                  <w:vAlign w:val="center"/>
                </w:tcPr>
                <w:p>
                  <w:pPr>
                    <w:adjustRightInd w:val="0"/>
                    <w:snapToGrid w:val="0"/>
                    <w:jc w:val="center"/>
                    <w:rPr>
                      <w:bCs/>
                      <w:szCs w:val="21"/>
                    </w:rPr>
                  </w:pPr>
                  <w:r>
                    <w:rPr>
                      <w:bCs/>
                      <w:szCs w:val="21"/>
                    </w:rPr>
                    <w:t>污染物排放监控位置</w:t>
                  </w:r>
                </w:p>
              </w:tc>
              <w:tc>
                <w:tcPr>
                  <w:tcW w:w="1868" w:type="pct"/>
                  <w:vAlign w:val="center"/>
                </w:tcPr>
                <w:p>
                  <w:pPr>
                    <w:adjustRightInd w:val="0"/>
                    <w:snapToGrid w:val="0"/>
                    <w:jc w:val="center"/>
                    <w:rPr>
                      <w:bCs/>
                      <w:szCs w:val="21"/>
                    </w:rPr>
                  </w:pPr>
                  <w:r>
                    <w:rPr>
                      <w:rFonts w:hint="eastAsia"/>
                      <w:bCs/>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995" w:type="pct"/>
                  <w:vAlign w:val="center"/>
                </w:tcPr>
                <w:p>
                  <w:pPr>
                    <w:adjustRightInd w:val="0"/>
                    <w:snapToGrid w:val="0"/>
                    <w:jc w:val="center"/>
                    <w:rPr>
                      <w:bCs/>
                      <w:szCs w:val="21"/>
                    </w:rPr>
                  </w:pPr>
                  <w:r>
                    <w:rPr>
                      <w:rFonts w:hint="eastAsia"/>
                      <w:bCs/>
                      <w:szCs w:val="21"/>
                    </w:rPr>
                    <w:t>有组织颗粒物</w:t>
                  </w:r>
                </w:p>
              </w:tc>
              <w:tc>
                <w:tcPr>
                  <w:tcW w:w="1001" w:type="pct"/>
                  <w:vAlign w:val="center"/>
                </w:tcPr>
                <w:p>
                  <w:pPr>
                    <w:adjustRightInd w:val="0"/>
                    <w:snapToGrid w:val="0"/>
                    <w:jc w:val="center"/>
                    <w:rPr>
                      <w:rFonts w:hint="default" w:eastAsia="宋体"/>
                      <w:bCs/>
                      <w:szCs w:val="21"/>
                      <w:lang w:val="en-US" w:eastAsia="zh-CN"/>
                    </w:rPr>
                  </w:pPr>
                  <w:r>
                    <w:rPr>
                      <w:rFonts w:hint="eastAsia"/>
                      <w:bCs/>
                      <w:szCs w:val="21"/>
                      <w:lang w:val="en-US" w:eastAsia="zh-CN"/>
                    </w:rPr>
                    <w:t>10</w:t>
                  </w:r>
                </w:p>
              </w:tc>
              <w:tc>
                <w:tcPr>
                  <w:tcW w:w="1133" w:type="pct"/>
                  <w:vAlign w:val="center"/>
                </w:tcPr>
                <w:p>
                  <w:pPr>
                    <w:adjustRightInd w:val="0"/>
                    <w:snapToGrid w:val="0"/>
                    <w:jc w:val="center"/>
                    <w:rPr>
                      <w:bCs/>
                      <w:szCs w:val="21"/>
                    </w:rPr>
                  </w:pPr>
                  <w:r>
                    <w:rPr>
                      <w:rFonts w:hint="eastAsia"/>
                      <w:bCs/>
                      <w:szCs w:val="21"/>
                    </w:rPr>
                    <w:t>排气口</w:t>
                  </w:r>
                </w:p>
              </w:tc>
              <w:tc>
                <w:tcPr>
                  <w:tcW w:w="1868" w:type="pct"/>
                  <w:vMerge w:val="restart"/>
                  <w:vAlign w:val="center"/>
                </w:tcPr>
                <w:p>
                  <w:pPr>
                    <w:adjustRightInd w:val="0"/>
                    <w:snapToGrid w:val="0"/>
                    <w:jc w:val="center"/>
                    <w:rPr>
                      <w:bCs/>
                      <w:szCs w:val="21"/>
                    </w:rPr>
                  </w:pPr>
                  <w:r>
                    <w:rPr>
                      <w:rFonts w:hint="eastAsia"/>
                      <w:bCs/>
                      <w:szCs w:val="21"/>
                    </w:rPr>
                    <w:t>《水泥工业大气污染物排放标准》（GB4915-20</w:t>
                  </w:r>
                  <w:r>
                    <w:rPr>
                      <w:rFonts w:hint="eastAsia"/>
                      <w:bCs/>
                      <w:szCs w:val="21"/>
                      <w:lang w:val="en-US" w:eastAsia="zh-CN"/>
                    </w:rPr>
                    <w:t>13</w:t>
                  </w:r>
                  <w:r>
                    <w:rPr>
                      <w:rFonts w:hint="eastAsia"/>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995" w:type="pct"/>
                  <w:vAlign w:val="center"/>
                </w:tcPr>
                <w:p>
                  <w:pPr>
                    <w:adjustRightInd w:val="0"/>
                    <w:snapToGrid w:val="0"/>
                    <w:jc w:val="center"/>
                    <w:rPr>
                      <w:bCs/>
                      <w:szCs w:val="21"/>
                    </w:rPr>
                  </w:pPr>
                  <w:r>
                    <w:rPr>
                      <w:rFonts w:hint="eastAsia"/>
                      <w:bCs/>
                      <w:szCs w:val="21"/>
                    </w:rPr>
                    <w:t>无组织颗粒物</w:t>
                  </w:r>
                </w:p>
              </w:tc>
              <w:tc>
                <w:tcPr>
                  <w:tcW w:w="1001" w:type="pct"/>
                  <w:vAlign w:val="center"/>
                </w:tcPr>
                <w:p>
                  <w:pPr>
                    <w:adjustRightInd w:val="0"/>
                    <w:snapToGrid w:val="0"/>
                    <w:jc w:val="center"/>
                    <w:rPr>
                      <w:rFonts w:hint="default" w:eastAsia="宋体"/>
                      <w:bCs/>
                      <w:szCs w:val="21"/>
                      <w:lang w:val="en-US" w:eastAsia="zh-CN"/>
                    </w:rPr>
                  </w:pPr>
                  <w:r>
                    <w:rPr>
                      <w:rFonts w:hint="eastAsia"/>
                      <w:bCs/>
                      <w:szCs w:val="21"/>
                      <w:lang w:val="en-US" w:eastAsia="zh-CN"/>
                    </w:rPr>
                    <w:t>0.5</w:t>
                  </w:r>
                </w:p>
              </w:tc>
              <w:tc>
                <w:tcPr>
                  <w:tcW w:w="1133" w:type="pct"/>
                  <w:vAlign w:val="center"/>
                </w:tcPr>
                <w:p>
                  <w:pPr>
                    <w:adjustRightInd w:val="0"/>
                    <w:snapToGrid w:val="0"/>
                    <w:jc w:val="center"/>
                    <w:rPr>
                      <w:rFonts w:hint="default" w:eastAsia="宋体"/>
                      <w:bCs/>
                      <w:szCs w:val="21"/>
                      <w:lang w:val="en-US" w:eastAsia="zh-CN"/>
                    </w:rPr>
                  </w:pPr>
                  <w:r>
                    <w:rPr>
                      <w:rFonts w:hint="eastAsia"/>
                      <w:bCs/>
                      <w:szCs w:val="21"/>
                    </w:rPr>
                    <w:t>厂界</w:t>
                  </w:r>
                  <w:r>
                    <w:rPr>
                      <w:rFonts w:hint="eastAsia"/>
                      <w:bCs/>
                      <w:szCs w:val="21"/>
                      <w:lang w:val="en-US" w:eastAsia="zh-CN"/>
                    </w:rPr>
                    <w:t>外20m处</w:t>
                  </w:r>
                </w:p>
              </w:tc>
              <w:tc>
                <w:tcPr>
                  <w:tcW w:w="1868" w:type="pct"/>
                  <w:vMerge w:val="continue"/>
                  <w:vAlign w:val="center"/>
                </w:tcPr>
                <w:p>
                  <w:pPr>
                    <w:adjustRightInd w:val="0"/>
                    <w:snapToGrid w:val="0"/>
                    <w:jc w:val="center"/>
                    <w:rPr>
                      <w:bCs/>
                      <w:szCs w:val="21"/>
                    </w:rPr>
                  </w:pPr>
                </w:p>
              </w:tc>
            </w:tr>
          </w:tbl>
          <w:p>
            <w:pPr>
              <w:spacing w:line="520" w:lineRule="exact"/>
              <w:ind w:firstLine="480" w:firstLineChars="200"/>
              <w:rPr>
                <w:rStyle w:val="37"/>
                <w:rFonts w:hint="eastAsia" w:eastAsia="宋体"/>
                <w:kern w:val="0"/>
                <w:sz w:val="24"/>
                <w:lang w:eastAsia="zh-CN"/>
              </w:rPr>
            </w:pPr>
            <w:r>
              <w:rPr>
                <w:sz w:val="24"/>
              </w:rPr>
              <w:t>（2）废水：</w:t>
            </w:r>
            <w:r>
              <w:rPr>
                <w:kern w:val="0"/>
                <w:sz w:val="24"/>
              </w:rPr>
              <w:t>废水执行《污水综合排放标准》（GB8978-1996）三级标准</w:t>
            </w:r>
            <w:r>
              <w:rPr>
                <w:rFonts w:hint="eastAsia"/>
                <w:kern w:val="0"/>
                <w:sz w:val="24"/>
                <w:lang w:eastAsia="zh-CN"/>
              </w:rPr>
              <w:t>。</w:t>
            </w:r>
          </w:p>
          <w:p>
            <w:pPr>
              <w:pStyle w:val="62"/>
              <w:spacing w:before="0" w:beforeLines="0"/>
              <w:rPr>
                <w:sz w:val="24"/>
              </w:rPr>
            </w:pPr>
            <w:r>
              <w:rPr>
                <w:sz w:val="24"/>
              </w:rPr>
              <w:t>表3-</w:t>
            </w:r>
            <w:r>
              <w:rPr>
                <w:rFonts w:hint="eastAsia"/>
                <w:sz w:val="24"/>
                <w:lang w:val="en-US" w:eastAsia="zh-CN"/>
              </w:rPr>
              <w:t>4</w:t>
            </w:r>
            <w:r>
              <w:rPr>
                <w:sz w:val="24"/>
              </w:rPr>
              <w:t xml:space="preserve">  </w:t>
            </w:r>
            <w:r>
              <w:rPr>
                <w:rFonts w:hint="eastAsia"/>
                <w:sz w:val="24"/>
              </w:rPr>
              <w:t>污水综合排放</w:t>
            </w:r>
            <w:r>
              <w:rPr>
                <w:sz w:val="24"/>
              </w:rPr>
              <w:t>标准</w:t>
            </w:r>
            <w:r>
              <w:rPr>
                <w:rFonts w:hint="eastAsia"/>
                <w:sz w:val="24"/>
              </w:rPr>
              <w:t xml:space="preserve">  单位：mg/L</w:t>
            </w:r>
          </w:p>
          <w:tbl>
            <w:tblPr>
              <w:tblStyle w:val="32"/>
              <w:tblW w:w="4998" w:type="pct"/>
              <w:tblInd w:w="1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8"/>
              <w:gridCol w:w="1942"/>
              <w:gridCol w:w="46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41"/>
                    <w:ind w:firstLine="0" w:firstLineChars="0"/>
                    <w:jc w:val="center"/>
                  </w:pPr>
                  <w:r>
                    <w:rPr>
                      <w:rFonts w:hint="eastAsia"/>
                    </w:rPr>
                    <w:t>序号</w:t>
                  </w:r>
                </w:p>
              </w:tc>
              <w:tc>
                <w:tcPr>
                  <w:tcW w:w="1218" w:type="pct"/>
                  <w:tcBorders>
                    <w:tl2br w:val="nil"/>
                    <w:tr2bl w:val="nil"/>
                  </w:tcBorders>
                </w:tcPr>
                <w:p>
                  <w:pPr>
                    <w:pStyle w:val="41"/>
                    <w:ind w:firstLine="0" w:firstLineChars="0"/>
                    <w:jc w:val="center"/>
                  </w:pPr>
                  <w:r>
                    <w:rPr>
                      <w:rFonts w:hint="eastAsia"/>
                    </w:rPr>
                    <w:t>项目</w:t>
                  </w:r>
                </w:p>
              </w:tc>
              <w:tc>
                <w:tcPr>
                  <w:tcW w:w="2898" w:type="pct"/>
                  <w:tcBorders>
                    <w:tl2br w:val="nil"/>
                    <w:tr2bl w:val="nil"/>
                  </w:tcBorders>
                </w:tcPr>
                <w:p>
                  <w:pPr>
                    <w:pStyle w:val="41"/>
                    <w:ind w:firstLine="420"/>
                    <w:jc w:val="center"/>
                  </w:pPr>
                  <w:r>
                    <w:rPr>
                      <w:rFonts w:hint="eastAsia"/>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41"/>
                    <w:ind w:firstLine="0" w:firstLineChars="0"/>
                    <w:jc w:val="center"/>
                  </w:pPr>
                  <w:r>
                    <w:rPr>
                      <w:rFonts w:hint="eastAsia"/>
                    </w:rPr>
                    <w:t>1</w:t>
                  </w:r>
                </w:p>
              </w:tc>
              <w:tc>
                <w:tcPr>
                  <w:tcW w:w="1218" w:type="pct"/>
                  <w:tcBorders>
                    <w:tl2br w:val="nil"/>
                    <w:tr2bl w:val="nil"/>
                  </w:tcBorders>
                </w:tcPr>
                <w:p>
                  <w:pPr>
                    <w:pStyle w:val="41"/>
                    <w:ind w:firstLine="0" w:firstLineChars="0"/>
                    <w:jc w:val="center"/>
                  </w:pPr>
                  <w:r>
                    <w:rPr>
                      <w:rFonts w:hint="eastAsia"/>
                    </w:rPr>
                    <w:t>pH</w:t>
                  </w:r>
                </w:p>
              </w:tc>
              <w:tc>
                <w:tcPr>
                  <w:tcW w:w="2898" w:type="pct"/>
                  <w:tcBorders>
                    <w:tl2br w:val="nil"/>
                    <w:tr2bl w:val="nil"/>
                  </w:tcBorders>
                </w:tcPr>
                <w:p>
                  <w:pPr>
                    <w:pStyle w:val="41"/>
                    <w:ind w:firstLine="420"/>
                    <w:jc w:val="center"/>
                  </w:pPr>
                  <w:r>
                    <w:rPr>
                      <w:rFonts w:hint="eastAsia"/>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41"/>
                    <w:ind w:firstLine="0" w:firstLineChars="0"/>
                    <w:jc w:val="center"/>
                  </w:pPr>
                  <w:r>
                    <w:rPr>
                      <w:rFonts w:hint="eastAsia"/>
                    </w:rPr>
                    <w:t>2</w:t>
                  </w:r>
                </w:p>
              </w:tc>
              <w:tc>
                <w:tcPr>
                  <w:tcW w:w="1218" w:type="pct"/>
                  <w:tcBorders>
                    <w:tl2br w:val="nil"/>
                    <w:tr2bl w:val="nil"/>
                  </w:tcBorders>
                </w:tcPr>
                <w:p>
                  <w:pPr>
                    <w:pStyle w:val="41"/>
                    <w:ind w:firstLine="0" w:firstLineChars="0"/>
                    <w:jc w:val="center"/>
                  </w:pPr>
                  <w:r>
                    <w:rPr>
                      <w:rFonts w:hint="eastAsia"/>
                    </w:rPr>
                    <w:t>悬浮物</w:t>
                  </w:r>
                </w:p>
              </w:tc>
              <w:tc>
                <w:tcPr>
                  <w:tcW w:w="2898" w:type="pct"/>
                  <w:tcBorders>
                    <w:tl2br w:val="nil"/>
                    <w:tr2bl w:val="nil"/>
                  </w:tcBorders>
                </w:tcPr>
                <w:p>
                  <w:pPr>
                    <w:pStyle w:val="41"/>
                    <w:ind w:firstLine="420"/>
                    <w:jc w:val="center"/>
                  </w:pPr>
                  <w:r>
                    <w:rPr>
                      <w:rFonts w:hint="eastAsia"/>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41"/>
                    <w:ind w:firstLine="0" w:firstLineChars="0"/>
                    <w:jc w:val="center"/>
                  </w:pPr>
                  <w:r>
                    <w:rPr>
                      <w:rFonts w:hint="eastAsia"/>
                    </w:rPr>
                    <w:t>3</w:t>
                  </w:r>
                </w:p>
              </w:tc>
              <w:tc>
                <w:tcPr>
                  <w:tcW w:w="1218" w:type="pct"/>
                  <w:tcBorders>
                    <w:tl2br w:val="nil"/>
                    <w:tr2bl w:val="nil"/>
                  </w:tcBorders>
                </w:tcPr>
                <w:p>
                  <w:pPr>
                    <w:pStyle w:val="41"/>
                    <w:ind w:firstLine="0" w:firstLineChars="0"/>
                    <w:jc w:val="center"/>
                  </w:pPr>
                  <w:r>
                    <w:rPr>
                      <w:rFonts w:hint="eastAsia"/>
                    </w:rPr>
                    <w:t>BOD</w:t>
                  </w:r>
                  <w:r>
                    <w:rPr>
                      <w:rFonts w:hint="eastAsia"/>
                      <w:vertAlign w:val="subscript"/>
                    </w:rPr>
                    <w:t>5</w:t>
                  </w:r>
                </w:p>
              </w:tc>
              <w:tc>
                <w:tcPr>
                  <w:tcW w:w="2898" w:type="pct"/>
                  <w:tcBorders>
                    <w:tl2br w:val="nil"/>
                    <w:tr2bl w:val="nil"/>
                  </w:tcBorders>
                </w:tcPr>
                <w:p>
                  <w:pPr>
                    <w:pStyle w:val="41"/>
                    <w:ind w:firstLine="420"/>
                    <w:jc w:val="center"/>
                  </w:pPr>
                  <w:r>
                    <w:rPr>
                      <w:rFonts w:hint="eastAsia"/>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41"/>
                    <w:ind w:firstLine="0" w:firstLineChars="0"/>
                    <w:jc w:val="center"/>
                  </w:pPr>
                  <w:r>
                    <w:rPr>
                      <w:rFonts w:hint="eastAsia"/>
                    </w:rPr>
                    <w:t>4</w:t>
                  </w:r>
                </w:p>
              </w:tc>
              <w:tc>
                <w:tcPr>
                  <w:tcW w:w="1218" w:type="pct"/>
                  <w:tcBorders>
                    <w:tl2br w:val="nil"/>
                    <w:tr2bl w:val="nil"/>
                  </w:tcBorders>
                </w:tcPr>
                <w:p>
                  <w:pPr>
                    <w:pStyle w:val="41"/>
                    <w:ind w:firstLine="0" w:firstLineChars="0"/>
                    <w:jc w:val="center"/>
                  </w:pPr>
                  <w:r>
                    <w:rPr>
                      <w:rFonts w:hint="eastAsia"/>
                    </w:rPr>
                    <w:t>COD</w:t>
                  </w:r>
                </w:p>
              </w:tc>
              <w:tc>
                <w:tcPr>
                  <w:tcW w:w="2898" w:type="pct"/>
                  <w:tcBorders>
                    <w:tl2br w:val="nil"/>
                    <w:tr2bl w:val="nil"/>
                  </w:tcBorders>
                </w:tcPr>
                <w:p>
                  <w:pPr>
                    <w:pStyle w:val="41"/>
                    <w:ind w:firstLine="420"/>
                    <w:jc w:val="center"/>
                  </w:pPr>
                  <w:r>
                    <w:rPr>
                      <w:rFonts w:hint="eastAsia"/>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41"/>
                    <w:ind w:firstLine="0" w:firstLineChars="0"/>
                    <w:jc w:val="center"/>
                    <w:rPr>
                      <w:rFonts w:hint="eastAsia" w:eastAsia="宋体"/>
                      <w:lang w:val="en-US" w:eastAsia="zh-CN"/>
                    </w:rPr>
                  </w:pPr>
                  <w:r>
                    <w:rPr>
                      <w:rFonts w:hint="eastAsia"/>
                      <w:lang w:val="en-US" w:eastAsia="zh-CN"/>
                    </w:rPr>
                    <w:t>5</w:t>
                  </w:r>
                </w:p>
              </w:tc>
              <w:tc>
                <w:tcPr>
                  <w:tcW w:w="1218" w:type="pct"/>
                  <w:tcBorders>
                    <w:tl2br w:val="nil"/>
                    <w:tr2bl w:val="nil"/>
                  </w:tcBorders>
                </w:tcPr>
                <w:p>
                  <w:pPr>
                    <w:pStyle w:val="41"/>
                    <w:ind w:firstLine="0" w:firstLineChars="0"/>
                    <w:jc w:val="center"/>
                    <w:rPr>
                      <w:rFonts w:hint="default" w:eastAsia="宋体"/>
                      <w:vertAlign w:val="baseline"/>
                      <w:lang w:val="en-US" w:eastAsia="zh-CN"/>
                    </w:rPr>
                  </w:pPr>
                  <w:r>
                    <w:rPr>
                      <w:rFonts w:hint="eastAsia"/>
                      <w:lang w:val="en-US" w:eastAsia="zh-CN"/>
                    </w:rPr>
                    <w:t>NH</w:t>
                  </w:r>
                  <w:r>
                    <w:rPr>
                      <w:rFonts w:hint="eastAsia"/>
                      <w:vertAlign w:val="subscript"/>
                      <w:lang w:val="en-US" w:eastAsia="zh-CN"/>
                    </w:rPr>
                    <w:t>3</w:t>
                  </w:r>
                  <w:r>
                    <w:rPr>
                      <w:rFonts w:hint="eastAsia"/>
                      <w:vertAlign w:val="baseline"/>
                      <w:lang w:val="en-US" w:eastAsia="zh-CN"/>
                    </w:rPr>
                    <w:t>-N</w:t>
                  </w:r>
                </w:p>
              </w:tc>
              <w:tc>
                <w:tcPr>
                  <w:tcW w:w="2898" w:type="pct"/>
                  <w:tcBorders>
                    <w:tl2br w:val="nil"/>
                    <w:tr2bl w:val="nil"/>
                  </w:tcBorders>
                </w:tcPr>
                <w:p>
                  <w:pPr>
                    <w:pStyle w:val="41"/>
                    <w:ind w:firstLine="420"/>
                    <w:jc w:val="center"/>
                    <w:rPr>
                      <w:rFonts w:hint="eastAsia" w:eastAsia="宋体"/>
                      <w:lang w:val="en-US" w:eastAsia="zh-CN"/>
                    </w:rPr>
                  </w:pPr>
                  <w:r>
                    <w:rPr>
                      <w:rFonts w:hint="eastAsia"/>
                      <w:lang w:val="en-US" w:eastAsia="zh-CN"/>
                    </w:rPr>
                    <w:t>/</w:t>
                  </w:r>
                </w:p>
              </w:tc>
            </w:tr>
          </w:tbl>
          <w:p>
            <w:pPr>
              <w:pStyle w:val="65"/>
              <w:rPr>
                <w:szCs w:val="22"/>
              </w:rPr>
            </w:pPr>
            <w:r>
              <w:rPr>
                <w:rFonts w:hint="eastAsia"/>
                <w:szCs w:val="22"/>
              </w:rPr>
              <w:t>（3）噪声：厂界</w:t>
            </w:r>
            <w:r>
              <w:rPr>
                <w:szCs w:val="22"/>
              </w:rPr>
              <w:t>噪声执行《工业企业厂界环境噪声排放标准》(GB12348-2008)中</w:t>
            </w:r>
            <w:r>
              <w:rPr>
                <w:rFonts w:hint="eastAsia"/>
                <w:szCs w:val="22"/>
              </w:rPr>
              <w:t>3</w:t>
            </w:r>
            <w:r>
              <w:rPr>
                <w:szCs w:val="22"/>
              </w:rPr>
              <w:t>类标准</w:t>
            </w:r>
            <w:r>
              <w:rPr>
                <w:rFonts w:hint="eastAsia"/>
                <w:szCs w:val="22"/>
              </w:rPr>
              <w:t>；</w:t>
            </w:r>
          </w:p>
          <w:p>
            <w:pPr>
              <w:pStyle w:val="81"/>
              <w:spacing w:line="240" w:lineRule="auto"/>
              <w:rPr>
                <w:rFonts w:hint="default" w:eastAsia="黑体"/>
                <w:lang w:val="en-US" w:eastAsia="zh-CN"/>
              </w:rPr>
            </w:pPr>
            <w:r>
              <w:t>表3-</w:t>
            </w:r>
            <w:r>
              <w:rPr>
                <w:rFonts w:hint="eastAsia"/>
                <w:lang w:val="en-US" w:eastAsia="zh-CN"/>
              </w:rPr>
              <w:t>5</w:t>
            </w:r>
            <w:r>
              <w:t xml:space="preserve">  工业企业厂界环境噪声排放标准</w:t>
            </w:r>
            <w:r>
              <w:rPr>
                <w:rStyle w:val="37"/>
                <w:rFonts w:hint="eastAsia" w:ascii="Times New Roman" w:hAnsi="Times New Roman" w:eastAsia="宋体" w:cs="Times New Roman"/>
                <w:snapToGrid/>
                <w:szCs w:val="20"/>
                <w:lang w:val="en-US" w:eastAsia="zh-CN"/>
              </w:rPr>
              <w:t xml:space="preserve">  </w:t>
            </w:r>
            <w:r>
              <w:rPr>
                <w:rFonts w:hint="eastAsia" w:ascii="黑体" w:hAnsi="黑体" w:eastAsia="黑体" w:cs="黑体"/>
                <w:lang w:eastAsia="zh-CN"/>
              </w:rPr>
              <w:t>单位</w:t>
            </w:r>
            <w:r>
              <w:rPr>
                <w:rFonts w:hint="eastAsia" w:eastAsia="宋体"/>
                <w:lang w:eastAsia="zh-CN"/>
              </w:rPr>
              <w:t>：</w:t>
            </w:r>
            <w:r>
              <w:rPr>
                <w:rFonts w:hint="eastAsia"/>
                <w:lang w:val="en-US" w:eastAsia="zh-CN"/>
              </w:rPr>
              <w:t>dB（A）</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4"/>
              <w:gridCol w:w="2660"/>
              <w:gridCol w:w="26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6" w:hRule="atLeast"/>
              </w:trPr>
              <w:tc>
                <w:tcPr>
                  <w:tcW w:w="2654" w:type="dxa"/>
                  <w:vAlign w:val="center"/>
                </w:tcPr>
                <w:p>
                  <w:pPr>
                    <w:jc w:val="center"/>
                    <w:rPr>
                      <w:szCs w:val="21"/>
                    </w:rPr>
                  </w:pPr>
                  <w:r>
                    <w:rPr>
                      <w:szCs w:val="21"/>
                    </w:rPr>
                    <w:t>类  别</w:t>
                  </w:r>
                </w:p>
              </w:tc>
              <w:tc>
                <w:tcPr>
                  <w:tcW w:w="2660" w:type="dxa"/>
                  <w:vAlign w:val="center"/>
                </w:tcPr>
                <w:p>
                  <w:pPr>
                    <w:jc w:val="center"/>
                    <w:rPr>
                      <w:szCs w:val="21"/>
                    </w:rPr>
                  </w:pPr>
                  <w:r>
                    <w:rPr>
                      <w:szCs w:val="21"/>
                    </w:rPr>
                    <w:t>昼  间</w:t>
                  </w:r>
                </w:p>
              </w:tc>
              <w:tc>
                <w:tcPr>
                  <w:tcW w:w="2660" w:type="dxa"/>
                  <w:vAlign w:val="center"/>
                </w:tcPr>
                <w:p>
                  <w:pPr>
                    <w:jc w:val="center"/>
                    <w:rPr>
                      <w:szCs w:val="21"/>
                    </w:rPr>
                  </w:pPr>
                  <w:r>
                    <w:rPr>
                      <w:szCs w:val="21"/>
                    </w:rPr>
                    <w:t>夜  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654" w:type="dxa"/>
                  <w:vAlign w:val="center"/>
                </w:tcPr>
                <w:p>
                  <w:pPr>
                    <w:jc w:val="center"/>
                    <w:rPr>
                      <w:szCs w:val="21"/>
                    </w:rPr>
                  </w:pPr>
                  <w:r>
                    <w:rPr>
                      <w:rFonts w:hint="eastAsia"/>
                      <w:szCs w:val="21"/>
                    </w:rPr>
                    <w:t>3</w:t>
                  </w:r>
                  <w:r>
                    <w:rPr>
                      <w:szCs w:val="21"/>
                    </w:rPr>
                    <w:t>类标准</w:t>
                  </w:r>
                </w:p>
              </w:tc>
              <w:tc>
                <w:tcPr>
                  <w:tcW w:w="2660" w:type="dxa"/>
                  <w:vAlign w:val="center"/>
                </w:tcPr>
                <w:p>
                  <w:pPr>
                    <w:jc w:val="center"/>
                    <w:rPr>
                      <w:szCs w:val="21"/>
                    </w:rPr>
                  </w:pPr>
                  <w:r>
                    <w:rPr>
                      <w:szCs w:val="21"/>
                    </w:rPr>
                    <w:t>6</w:t>
                  </w:r>
                  <w:r>
                    <w:rPr>
                      <w:rFonts w:hint="eastAsia"/>
                      <w:szCs w:val="21"/>
                    </w:rPr>
                    <w:t>5</w:t>
                  </w:r>
                  <w:r>
                    <w:t>dB（A）</w:t>
                  </w:r>
                </w:p>
              </w:tc>
              <w:tc>
                <w:tcPr>
                  <w:tcW w:w="2660" w:type="dxa"/>
                  <w:vAlign w:val="center"/>
                </w:tcPr>
                <w:p>
                  <w:pPr>
                    <w:jc w:val="center"/>
                    <w:rPr>
                      <w:szCs w:val="21"/>
                    </w:rPr>
                  </w:pPr>
                  <w:r>
                    <w:rPr>
                      <w:szCs w:val="21"/>
                    </w:rPr>
                    <w:t>5</w:t>
                  </w:r>
                  <w:r>
                    <w:rPr>
                      <w:rFonts w:hint="eastAsia"/>
                      <w:szCs w:val="21"/>
                    </w:rPr>
                    <w:t>5</w:t>
                  </w:r>
                  <w:r>
                    <w:t>dB（A）</w:t>
                  </w:r>
                </w:p>
              </w:tc>
            </w:tr>
          </w:tbl>
          <w:p>
            <w:pPr>
              <w:pStyle w:val="65"/>
              <w:rPr>
                <w:bCs/>
              </w:rPr>
            </w:pPr>
            <w:r>
              <w:rPr>
                <w:rFonts w:hint="eastAsia"/>
                <w:szCs w:val="22"/>
              </w:rPr>
              <w:t>（4）一般固废：</w:t>
            </w:r>
            <w:r>
              <w:rPr>
                <w:rFonts w:hint="eastAsia"/>
                <w:bCs/>
              </w:rPr>
              <w:t>《一般工业固体废物贮存和填埋污染控制标准》（GB18599-2020）；</w:t>
            </w:r>
          </w:p>
          <w:p>
            <w:pPr>
              <w:pStyle w:val="65"/>
              <w:rPr>
                <w:rFonts w:ascii="宋体" w:hAnsi="宋体"/>
                <w:kern w:val="0"/>
              </w:rPr>
            </w:pPr>
            <w:r>
              <w:rPr>
                <w:rFonts w:hint="eastAsia"/>
                <w:szCs w:val="22"/>
              </w:rPr>
              <w:t>（5）危险废物：</w:t>
            </w:r>
            <w:r>
              <w:rPr>
                <w:szCs w:val="22"/>
              </w:rPr>
              <w:t>危险</w:t>
            </w:r>
            <w:r>
              <w:t>废物执行《危险废物贮存污染控制标准》（GB1859</w:t>
            </w:r>
            <w:r>
              <w:rPr>
                <w:rFonts w:hint="eastAsia"/>
                <w:lang w:val="en-US" w:eastAsia="zh-CN"/>
              </w:rPr>
              <w:t>7</w:t>
            </w:r>
            <w:r>
              <w:t>-2001）及环保部公告2013第36号</w:t>
            </w: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7" w:hRule="atLeast"/>
          <w:jc w:val="center"/>
        </w:trPr>
        <w:tc>
          <w:tcPr>
            <w:tcW w:w="800" w:type="dxa"/>
            <w:vAlign w:val="center"/>
          </w:tcPr>
          <w:p>
            <w:pPr>
              <w:adjustRightInd w:val="0"/>
              <w:snapToGrid w:val="0"/>
              <w:jc w:val="center"/>
              <w:rPr>
                <w:rFonts w:ascii="宋体" w:hAnsi="宋体" w:cs="宋体"/>
                <w:kern w:val="0"/>
                <w:sz w:val="24"/>
              </w:rPr>
            </w:pPr>
            <w:r>
              <w:rPr>
                <w:rFonts w:hint="eastAsia" w:ascii="宋体" w:hAnsi="宋体" w:cs="宋体"/>
                <w:kern w:val="0"/>
                <w:sz w:val="24"/>
              </w:rPr>
              <w:t>总</w:t>
            </w:r>
          </w:p>
          <w:p>
            <w:pPr>
              <w:adjustRightInd w:val="0"/>
              <w:snapToGrid w:val="0"/>
              <w:jc w:val="center"/>
              <w:rPr>
                <w:rFonts w:ascii="宋体" w:hAnsi="宋体" w:cs="宋体"/>
                <w:kern w:val="0"/>
                <w:sz w:val="24"/>
              </w:rPr>
            </w:pPr>
            <w:r>
              <w:rPr>
                <w:rFonts w:hint="eastAsia" w:ascii="宋体" w:hAnsi="宋体" w:cs="宋体"/>
                <w:kern w:val="0"/>
                <w:sz w:val="24"/>
              </w:rPr>
              <w:t>量</w:t>
            </w:r>
          </w:p>
          <w:p>
            <w:pPr>
              <w:adjustRightInd w:val="0"/>
              <w:snapToGrid w:val="0"/>
              <w:jc w:val="center"/>
              <w:rPr>
                <w:rFonts w:ascii="宋体" w:hAnsi="宋体" w:cs="宋体"/>
                <w:kern w:val="0"/>
                <w:sz w:val="24"/>
              </w:rPr>
            </w:pPr>
            <w:r>
              <w:rPr>
                <w:rFonts w:hint="eastAsia" w:ascii="宋体" w:hAnsi="宋体" w:cs="宋体"/>
                <w:kern w:val="0"/>
                <w:sz w:val="24"/>
              </w:rPr>
              <w:t>控</w:t>
            </w:r>
          </w:p>
          <w:p>
            <w:pPr>
              <w:adjustRightInd w:val="0"/>
              <w:snapToGrid w:val="0"/>
              <w:jc w:val="center"/>
              <w:rPr>
                <w:rFonts w:ascii="宋体" w:hAnsi="宋体" w:cs="宋体"/>
                <w:kern w:val="0"/>
                <w:sz w:val="24"/>
              </w:rPr>
            </w:pPr>
            <w:r>
              <w:rPr>
                <w:rFonts w:hint="eastAsia" w:ascii="宋体" w:hAnsi="宋体" w:cs="宋体"/>
                <w:kern w:val="0"/>
                <w:sz w:val="24"/>
              </w:rPr>
              <w:t>制</w:t>
            </w:r>
          </w:p>
          <w:p>
            <w:pPr>
              <w:adjustRightInd w:val="0"/>
              <w:snapToGrid w:val="0"/>
              <w:jc w:val="center"/>
              <w:rPr>
                <w:rFonts w:ascii="宋体" w:hAnsi="宋体" w:cs="宋体"/>
                <w:kern w:val="0"/>
                <w:sz w:val="24"/>
              </w:rPr>
            </w:pPr>
            <w:r>
              <w:rPr>
                <w:rFonts w:hint="eastAsia" w:ascii="宋体" w:hAnsi="宋体" w:cs="宋体"/>
                <w:kern w:val="0"/>
                <w:sz w:val="24"/>
              </w:rPr>
              <w:t>指</w:t>
            </w:r>
          </w:p>
          <w:p>
            <w:pPr>
              <w:adjustRightInd w:val="0"/>
              <w:snapToGrid w:val="0"/>
              <w:jc w:val="center"/>
              <w:rPr>
                <w:rFonts w:ascii="宋体" w:hAnsi="宋体" w:cs="宋体"/>
                <w:kern w:val="0"/>
                <w:sz w:val="24"/>
              </w:rPr>
            </w:pPr>
            <w:r>
              <w:rPr>
                <w:rFonts w:hint="eastAsia" w:ascii="宋体" w:hAnsi="宋体" w:cs="宋体"/>
                <w:kern w:val="0"/>
                <w:sz w:val="24"/>
              </w:rPr>
              <w:t>标</w:t>
            </w:r>
          </w:p>
        </w:tc>
        <w:tc>
          <w:tcPr>
            <w:tcW w:w="8190" w:type="dxa"/>
            <w:vAlign w:val="center"/>
          </w:tcPr>
          <w:p>
            <w:pPr>
              <w:spacing w:line="360" w:lineRule="auto"/>
              <w:ind w:firstLine="480" w:firstLineChars="200"/>
              <w:rPr>
                <w:sz w:val="24"/>
              </w:rPr>
            </w:pPr>
            <w:r>
              <w:rPr>
                <w:sz w:val="24"/>
              </w:rPr>
              <w:t>根据国家规定的总量控制污染物种类，结合本项目的排污特点、所在区域的环境质量现状等因素综合考虑，本项目总量控制污染物为颗粒物，因此将颗粒物设为本项目总量控制指标，</w:t>
            </w:r>
            <w:r>
              <w:rPr>
                <w:rFonts w:hint="eastAsia"/>
                <w:sz w:val="24"/>
                <w:highlight w:val="none"/>
              </w:rPr>
              <w:t>新增排放量从当地减排总量中2倍削减替代</w:t>
            </w:r>
            <w:r>
              <w:rPr>
                <w:rFonts w:hint="eastAsia"/>
                <w:sz w:val="24"/>
                <w:highlight w:val="none"/>
                <w:lang w:eastAsia="zh-CN"/>
              </w:rPr>
              <w:t>，本项目产生颗粒物的量为</w:t>
            </w:r>
            <w:r>
              <w:rPr>
                <w:rFonts w:hint="eastAsia"/>
                <w:color w:val="auto"/>
                <w:sz w:val="24"/>
                <w:highlight w:val="none"/>
                <w:lang w:val="en-US" w:eastAsia="zh-CN"/>
              </w:rPr>
              <w:t>0.033t/a，则本项目</w:t>
            </w:r>
            <w:r>
              <w:rPr>
                <w:color w:val="auto"/>
                <w:sz w:val="24"/>
              </w:rPr>
              <w:t>建议申请指标为：颗粒物</w:t>
            </w:r>
            <w:r>
              <w:rPr>
                <w:rFonts w:hint="eastAsia"/>
                <w:color w:val="auto"/>
                <w:sz w:val="24"/>
                <w:lang w:val="en-US" w:eastAsia="zh-CN"/>
              </w:rPr>
              <w:t>0.066</w:t>
            </w:r>
            <w:r>
              <w:rPr>
                <w:color w:val="auto"/>
                <w:sz w:val="24"/>
              </w:rPr>
              <w:t>t/a。</w:t>
            </w:r>
          </w:p>
          <w:p>
            <w:pPr>
              <w:spacing w:line="360" w:lineRule="auto"/>
              <w:ind w:firstLine="480" w:firstLineChars="200"/>
              <w:rPr>
                <w:rFonts w:ascii="宋体" w:hAnsi="宋体" w:cs="宋体"/>
                <w:sz w:val="24"/>
              </w:rPr>
            </w:pPr>
            <w:r>
              <w:rPr>
                <w:bCs/>
                <w:sz w:val="24"/>
              </w:rPr>
              <w:t>因此，根据上述建议值可以作为环保管理部门制定企业污染物排放</w:t>
            </w:r>
            <w:r>
              <w:rPr>
                <w:sz w:val="24"/>
              </w:rPr>
              <w:t>总量</w:t>
            </w:r>
            <w:r>
              <w:rPr>
                <w:bCs/>
                <w:sz w:val="24"/>
              </w:rPr>
              <w:t>控制指标的参考。</w:t>
            </w:r>
          </w:p>
        </w:tc>
      </w:tr>
    </w:tbl>
    <w:p>
      <w:pPr>
        <w:pStyle w:val="26"/>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31"/>
        <w:tblW w:w="984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1"/>
        <w:gridCol w:w="92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8" w:hRule="atLeast"/>
          <w:jc w:val="center"/>
        </w:trPr>
        <w:tc>
          <w:tcPr>
            <w:tcW w:w="581" w:type="dxa"/>
            <w:tcMar>
              <w:left w:w="28" w:type="dxa"/>
              <w:right w:w="28" w:type="dxa"/>
            </w:tcMar>
            <w:vAlign w:val="center"/>
          </w:tcPr>
          <w:p>
            <w:pPr>
              <w:widowControl/>
              <w:spacing w:line="520" w:lineRule="exact"/>
              <w:jc w:val="center"/>
              <w:rPr>
                <w:sz w:val="24"/>
              </w:rPr>
            </w:pPr>
            <w:r>
              <w:rPr>
                <w:sz w:val="24"/>
              </w:rPr>
              <w:t>施工</w:t>
            </w:r>
          </w:p>
          <w:p>
            <w:pPr>
              <w:widowControl/>
              <w:spacing w:line="520" w:lineRule="exact"/>
              <w:jc w:val="center"/>
              <w:rPr>
                <w:sz w:val="24"/>
              </w:rPr>
            </w:pPr>
            <w:r>
              <w:rPr>
                <w:sz w:val="24"/>
              </w:rPr>
              <w:t>期环</w:t>
            </w:r>
          </w:p>
          <w:p>
            <w:pPr>
              <w:widowControl/>
              <w:spacing w:line="520" w:lineRule="exact"/>
              <w:jc w:val="center"/>
              <w:rPr>
                <w:sz w:val="24"/>
              </w:rPr>
            </w:pPr>
            <w:r>
              <w:rPr>
                <w:sz w:val="24"/>
              </w:rPr>
              <w:t>境保</w:t>
            </w:r>
          </w:p>
          <w:p>
            <w:pPr>
              <w:widowControl/>
              <w:spacing w:line="520" w:lineRule="exact"/>
              <w:jc w:val="center"/>
              <w:rPr>
                <w:sz w:val="24"/>
              </w:rPr>
            </w:pPr>
            <w:r>
              <w:rPr>
                <w:sz w:val="24"/>
              </w:rPr>
              <w:t>护措</w:t>
            </w:r>
          </w:p>
          <w:p>
            <w:pPr>
              <w:widowControl/>
              <w:spacing w:line="520" w:lineRule="exact"/>
              <w:jc w:val="center"/>
              <w:rPr>
                <w:sz w:val="24"/>
              </w:rPr>
            </w:pPr>
            <w:r>
              <w:rPr>
                <w:sz w:val="24"/>
              </w:rPr>
              <w:t>施</w:t>
            </w:r>
          </w:p>
        </w:tc>
        <w:tc>
          <w:tcPr>
            <w:tcW w:w="9265" w:type="dxa"/>
            <w:vAlign w:val="center"/>
          </w:tcPr>
          <w:p>
            <w:pPr>
              <w:widowControl/>
              <w:spacing w:line="520" w:lineRule="exact"/>
              <w:ind w:firstLine="482" w:firstLineChars="200"/>
              <w:rPr>
                <w:b/>
                <w:bCs/>
                <w:sz w:val="24"/>
              </w:rPr>
            </w:pPr>
            <w:r>
              <w:rPr>
                <w:b/>
                <w:bCs/>
                <w:sz w:val="24"/>
              </w:rPr>
              <w:t>1、大气环境</w:t>
            </w:r>
          </w:p>
          <w:p>
            <w:pPr>
              <w:widowControl/>
              <w:spacing w:line="520" w:lineRule="exact"/>
              <w:ind w:firstLine="480" w:firstLineChars="200"/>
              <w:rPr>
                <w:sz w:val="24"/>
              </w:rPr>
            </w:pPr>
            <w:r>
              <w:rPr>
                <w:sz w:val="24"/>
              </w:rPr>
              <w:t>本项目施工期主要大气污染物为扬尘和施工机械尾气。</w:t>
            </w:r>
          </w:p>
          <w:p>
            <w:pPr>
              <w:widowControl/>
              <w:spacing w:line="520" w:lineRule="exact"/>
              <w:ind w:firstLine="482" w:firstLineChars="200"/>
              <w:rPr>
                <w:sz w:val="24"/>
              </w:rPr>
            </w:pPr>
            <w:r>
              <w:rPr>
                <w:b/>
                <w:bCs/>
                <w:sz w:val="24"/>
              </w:rPr>
              <w:t>施工扬尘污染防治措施：</w:t>
            </w:r>
          </w:p>
          <w:p>
            <w:pPr>
              <w:widowControl/>
              <w:spacing w:line="520" w:lineRule="exact"/>
              <w:ind w:firstLine="480" w:firstLineChars="200"/>
              <w:rPr>
                <w:sz w:val="24"/>
              </w:rPr>
            </w:pPr>
            <w:r>
              <w:rPr>
                <w:sz w:val="24"/>
              </w:rPr>
              <w:t>（1）施工现场采取洒水、覆盖、铺装等降尘措施；建筑垃圾采取封闭方式清运，严禁高处抛洒；易产生扬尘的材料采取封闭运输；</w:t>
            </w:r>
          </w:p>
          <w:p>
            <w:pPr>
              <w:widowControl/>
              <w:spacing w:line="520" w:lineRule="exact"/>
              <w:ind w:firstLine="480" w:firstLineChars="200"/>
              <w:rPr>
                <w:sz w:val="24"/>
              </w:rPr>
            </w:pPr>
            <w:r>
              <w:rPr>
                <w:sz w:val="24"/>
              </w:rPr>
              <w:t>（2）施工现场禁止焚烧沥青、油毡、橡胶、垃圾等易产生有毒有害烟尘和恶臭气体的物质；</w:t>
            </w:r>
          </w:p>
          <w:p>
            <w:pPr>
              <w:widowControl/>
              <w:spacing w:line="520" w:lineRule="exact"/>
              <w:ind w:firstLine="480" w:firstLineChars="200"/>
              <w:rPr>
                <w:sz w:val="24"/>
              </w:rPr>
            </w:pPr>
            <w:r>
              <w:rPr>
                <w:sz w:val="24"/>
              </w:rPr>
              <w:t>（3）建筑垃圾运输、处理时，按照城市人民政府市容环境卫生行政主管部门规定的时间、路线和要求，清运到指定的场所处理；</w:t>
            </w:r>
          </w:p>
          <w:p>
            <w:pPr>
              <w:widowControl/>
              <w:spacing w:line="520" w:lineRule="exact"/>
              <w:ind w:firstLine="480" w:firstLineChars="200"/>
              <w:rPr>
                <w:sz w:val="24"/>
              </w:rPr>
            </w:pPr>
            <w:r>
              <w:rPr>
                <w:sz w:val="24"/>
              </w:rPr>
              <w:t>（4）临时性的废弃物堆场，应当设置围挡、防尘网等防尘设施；</w:t>
            </w:r>
          </w:p>
          <w:p>
            <w:pPr>
              <w:widowControl/>
              <w:spacing w:line="520" w:lineRule="exact"/>
              <w:ind w:firstLine="480" w:firstLineChars="200"/>
              <w:rPr>
                <w:sz w:val="24"/>
              </w:rPr>
            </w:pPr>
            <w:r>
              <w:rPr>
                <w:sz w:val="24"/>
              </w:rPr>
              <w:t>（5）进出工地的物料、垃圾运输车辆，应尽可能采用密闭车斗，并保证物料不遗撒外漏。若无密闭车斗，物料、垃圾的装载高度不得超过车辆槽帮上沿，车斗应用苫布遮盖严实。苫布边缘至少要遮住槽帮上沿以下15cm，保证物料、垃圾等不露出。车辆应按照批准的路线和时间进行物料、垃圾的运输；</w:t>
            </w:r>
          </w:p>
          <w:p>
            <w:pPr>
              <w:widowControl/>
              <w:spacing w:line="520" w:lineRule="exact"/>
              <w:ind w:firstLine="480" w:firstLineChars="200"/>
              <w:rPr>
                <w:sz w:val="24"/>
              </w:rPr>
            </w:pPr>
            <w:r>
              <w:rPr>
                <w:sz w:val="24"/>
              </w:rPr>
              <w:t>（6）运输车辆、机械设备废气防治措施：施工机械为期主要含有CO、NOx等污染物。应采取以下措施</w:t>
            </w:r>
            <w:r>
              <w:rPr>
                <w:b/>
                <w:bCs/>
                <w:sz w:val="24"/>
              </w:rPr>
              <w:t>：</w:t>
            </w:r>
            <w:r>
              <w:rPr>
                <w:sz w:val="24"/>
              </w:rPr>
              <w:t>施工场地内限速行驶并保持路面的清洁。加强对施工车辆的检修和维护，严禁使用超期服役和尾气超标的车辆。对施工期进出现场车流量进行合理安排，防止施工现场车流量过大。尽可能使用耗油低，排气小的施工车辆，选用优质燃油，减少机械和车辆有害废气排放。</w:t>
            </w:r>
          </w:p>
          <w:p>
            <w:pPr>
              <w:widowControl/>
              <w:spacing w:line="520" w:lineRule="exact"/>
              <w:ind w:firstLine="482" w:firstLineChars="200"/>
              <w:rPr>
                <w:b/>
                <w:bCs/>
                <w:sz w:val="24"/>
              </w:rPr>
            </w:pPr>
            <w:r>
              <w:rPr>
                <w:b/>
                <w:bCs/>
                <w:sz w:val="24"/>
              </w:rPr>
              <w:t>2、水环境</w:t>
            </w:r>
          </w:p>
          <w:p>
            <w:pPr>
              <w:pStyle w:val="65"/>
              <w:rPr>
                <w:rFonts w:cs="Times New Roman"/>
              </w:rPr>
            </w:pPr>
            <w:r>
              <w:rPr>
                <w:rFonts w:cs="Times New Roman"/>
              </w:rPr>
              <w:t>（1）工程施工期间，施工单位应严格执行《建设工程施工场地文明施工及环境管理暂行规定》，对排水进行组织设计，严禁乱排、乱流污染环境；</w:t>
            </w:r>
          </w:p>
          <w:p>
            <w:pPr>
              <w:pStyle w:val="65"/>
              <w:rPr>
                <w:rFonts w:cs="Times New Roman"/>
              </w:rPr>
            </w:pPr>
            <w:r>
              <w:rPr>
                <w:rFonts w:cs="Times New Roman"/>
              </w:rPr>
              <w:t>（2）定期清洁建筑施工机械表面不必要的润滑油及其它油污，对废油应妥善处置；</w:t>
            </w:r>
          </w:p>
          <w:p>
            <w:pPr>
              <w:pStyle w:val="65"/>
              <w:rPr>
                <w:rFonts w:cs="Times New Roman"/>
              </w:rPr>
            </w:pPr>
            <w:r>
              <w:rPr>
                <w:rFonts w:cs="Times New Roman"/>
              </w:rPr>
              <w:t>（3）加强施工机械设备的维修保养，避免在施工过程中燃料油的跑、冒、滴、漏；</w:t>
            </w:r>
          </w:p>
          <w:p>
            <w:pPr>
              <w:pStyle w:val="65"/>
              <w:rPr>
                <w:rFonts w:cs="Times New Roman"/>
              </w:rPr>
            </w:pPr>
            <w:r>
              <w:rPr>
                <w:rFonts w:cs="Times New Roman"/>
              </w:rPr>
              <w:t>（4）不得随意在施工区域内冲洗汽车，对施工机械进行检修和清洗时必须定点，检修和清洗场地必须经水泥硬化，清洗污水应根据废水性质进行隔渣、隔油和沉淀处理，用于道路的洒水降尘；</w:t>
            </w:r>
          </w:p>
          <w:p>
            <w:pPr>
              <w:pStyle w:val="65"/>
              <w:rPr>
                <w:rFonts w:cs="Times New Roman"/>
              </w:rPr>
            </w:pPr>
            <w:r>
              <w:rPr>
                <w:rFonts w:cs="Times New Roman"/>
              </w:rPr>
              <w:t>（5）施工人员的生活污水，不得随地倾倒，以防污染当地水质，施工现场不设置生活区，全部依托</w:t>
            </w:r>
            <w:r>
              <w:rPr>
                <w:rFonts w:hint="eastAsia" w:cs="Times New Roman"/>
                <w:lang w:val="en-US" w:eastAsia="zh-CN"/>
              </w:rPr>
              <w:t>厂区内现有厕所</w:t>
            </w:r>
            <w:r>
              <w:rPr>
                <w:rFonts w:cs="Times New Roman"/>
              </w:rPr>
              <w:t>。</w:t>
            </w:r>
          </w:p>
          <w:p>
            <w:pPr>
              <w:widowControl/>
              <w:spacing w:line="520" w:lineRule="exact"/>
              <w:ind w:firstLine="482" w:firstLineChars="200"/>
              <w:rPr>
                <w:b/>
                <w:bCs/>
                <w:sz w:val="24"/>
              </w:rPr>
            </w:pPr>
            <w:r>
              <w:rPr>
                <w:b/>
                <w:bCs/>
                <w:sz w:val="24"/>
              </w:rPr>
              <w:t>3、噪声</w:t>
            </w:r>
          </w:p>
          <w:p>
            <w:pPr>
              <w:widowControl/>
              <w:spacing w:line="520" w:lineRule="exact"/>
              <w:ind w:firstLine="480" w:firstLineChars="200"/>
              <w:rPr>
                <w:sz w:val="24"/>
                <w:lang w:val="zh-CN"/>
              </w:rPr>
            </w:pPr>
            <w:r>
              <w:rPr>
                <w:sz w:val="24"/>
                <w:lang w:val="zh-CN"/>
              </w:rPr>
              <w:t>本项目施工期间的噪声主要来自施工机械和运输车辆，为了减少施工现场噪声污染的影响，施工过程中可采取以下噪声防治措施：</w:t>
            </w:r>
          </w:p>
          <w:p>
            <w:pPr>
              <w:widowControl/>
              <w:spacing w:line="520" w:lineRule="exact"/>
              <w:ind w:firstLine="480" w:firstLineChars="200"/>
              <w:rPr>
                <w:sz w:val="24"/>
                <w:lang w:val="zh-CN"/>
              </w:rPr>
            </w:pPr>
            <w:r>
              <w:rPr>
                <w:sz w:val="24"/>
                <w:lang w:val="zh-CN"/>
              </w:rPr>
              <w:t>（</w:t>
            </w:r>
            <w:r>
              <w:rPr>
                <w:rFonts w:hint="eastAsia"/>
                <w:sz w:val="24"/>
                <w:lang w:val="en-US" w:eastAsia="zh-CN"/>
              </w:rPr>
              <w:t>1</w:t>
            </w:r>
            <w:r>
              <w:rPr>
                <w:sz w:val="24"/>
                <w:lang w:val="zh-CN"/>
              </w:rPr>
              <w:t>）制订合理的施工计划，尽可能避免高噪声设备同时施工。高噪声施工时间尽量安排在昼间进行，除抢险等特殊情况外，严禁夜间进行高噪声施工作业。</w:t>
            </w:r>
          </w:p>
          <w:p>
            <w:pPr>
              <w:widowControl/>
              <w:spacing w:line="520" w:lineRule="exact"/>
              <w:ind w:firstLine="480" w:firstLineChars="200"/>
              <w:rPr>
                <w:sz w:val="24"/>
                <w:lang w:val="zh-CN"/>
              </w:rPr>
            </w:pPr>
            <w:r>
              <w:rPr>
                <w:sz w:val="24"/>
                <w:lang w:val="zh-CN"/>
              </w:rPr>
              <w:t>（</w:t>
            </w:r>
            <w:r>
              <w:rPr>
                <w:rFonts w:hint="eastAsia"/>
                <w:sz w:val="24"/>
                <w:lang w:val="en-US" w:eastAsia="zh-CN"/>
              </w:rPr>
              <w:t>2</w:t>
            </w:r>
            <w:r>
              <w:rPr>
                <w:sz w:val="24"/>
                <w:lang w:val="zh-CN"/>
              </w:rPr>
              <w:t>）合理布局高噪声设备，空压机、电锯、备用发电机等可移动的高噪声设备放置在远离环境敏感点一侧，避免在同一地点安排大量动力机械设备，以免局部声级过高。</w:t>
            </w:r>
          </w:p>
          <w:p>
            <w:pPr>
              <w:widowControl/>
              <w:spacing w:line="520" w:lineRule="exact"/>
              <w:ind w:firstLine="480" w:firstLineChars="200"/>
              <w:rPr>
                <w:sz w:val="24"/>
                <w:lang w:val="zh-CN"/>
              </w:rPr>
            </w:pPr>
            <w:r>
              <w:rPr>
                <w:sz w:val="24"/>
                <w:lang w:val="zh-CN"/>
              </w:rPr>
              <w:t>（</w:t>
            </w:r>
            <w:r>
              <w:rPr>
                <w:rFonts w:hint="eastAsia"/>
                <w:sz w:val="24"/>
                <w:lang w:val="en-US" w:eastAsia="zh-CN"/>
              </w:rPr>
              <w:t>3</w:t>
            </w:r>
            <w:r>
              <w:rPr>
                <w:sz w:val="24"/>
                <w:lang w:val="zh-CN"/>
              </w:rPr>
              <w:t>）施工单位应尽量选用低噪声或带有隔音、消音的机械设备，如以液压机械代替燃油机械，并加强对设备的维护保养。</w:t>
            </w:r>
          </w:p>
          <w:p>
            <w:pPr>
              <w:widowControl/>
              <w:spacing w:line="520" w:lineRule="exact"/>
              <w:ind w:firstLine="480" w:firstLineChars="200"/>
              <w:rPr>
                <w:sz w:val="24"/>
                <w:lang w:val="zh-CN"/>
              </w:rPr>
            </w:pPr>
            <w:r>
              <w:rPr>
                <w:sz w:val="24"/>
                <w:lang w:val="zh-CN"/>
              </w:rPr>
              <w:t>（</w:t>
            </w:r>
            <w:r>
              <w:rPr>
                <w:rFonts w:hint="eastAsia"/>
                <w:sz w:val="24"/>
                <w:lang w:val="en-US" w:eastAsia="zh-CN"/>
              </w:rPr>
              <w:t>4</w:t>
            </w:r>
            <w:r>
              <w:rPr>
                <w:sz w:val="24"/>
                <w:lang w:val="zh-CN"/>
              </w:rPr>
              <w:t>）降低人为噪声，按规定操作机械设备，模板、支架拆卸吊装过程中，遵守作业规定，减少碰撞噪音。尽量少用哨子等指挥作业，而代以现代化设备，如用无线对讲机等。</w:t>
            </w:r>
          </w:p>
          <w:p>
            <w:pPr>
              <w:widowControl/>
              <w:spacing w:line="520" w:lineRule="exact"/>
              <w:ind w:firstLine="480" w:firstLineChars="200"/>
              <w:rPr>
                <w:sz w:val="24"/>
                <w:lang w:val="zh-CN"/>
              </w:rPr>
            </w:pPr>
            <w:r>
              <w:rPr>
                <w:sz w:val="24"/>
                <w:lang w:val="zh-CN"/>
              </w:rPr>
              <w:t>（</w:t>
            </w:r>
            <w:r>
              <w:rPr>
                <w:rFonts w:hint="eastAsia"/>
                <w:sz w:val="24"/>
                <w:lang w:val="en-US" w:eastAsia="zh-CN"/>
              </w:rPr>
              <w:t>5</w:t>
            </w:r>
            <w:r>
              <w:rPr>
                <w:sz w:val="24"/>
                <w:lang w:val="zh-CN"/>
              </w:rPr>
              <w:t>）对位置相对固定的高噪声机械设备，尽量在工棚内操作，不能进入棚内的，可采取围档之类的单面隔声板。对各施工环节中噪声较为突出且又难以对声源进行降噪的设备装置，应采取临时围障措施，围障最好敷以吸声材料，以此达到降噪效果。</w:t>
            </w:r>
          </w:p>
          <w:p>
            <w:pPr>
              <w:widowControl/>
              <w:spacing w:line="520" w:lineRule="exact"/>
              <w:ind w:firstLine="480" w:firstLineChars="200"/>
              <w:rPr>
                <w:sz w:val="24"/>
                <w:lang w:val="zh-CN"/>
              </w:rPr>
            </w:pPr>
            <w:r>
              <w:rPr>
                <w:sz w:val="24"/>
                <w:lang w:val="zh-CN"/>
              </w:rPr>
              <w:t>（</w:t>
            </w:r>
            <w:r>
              <w:rPr>
                <w:rFonts w:hint="eastAsia"/>
                <w:sz w:val="24"/>
                <w:lang w:val="en-US" w:eastAsia="zh-CN"/>
              </w:rPr>
              <w:t>6</w:t>
            </w:r>
            <w:r>
              <w:rPr>
                <w:sz w:val="24"/>
                <w:lang w:val="zh-CN"/>
              </w:rPr>
              <w:t>）加强运输车辆的管理，按规定组织车辆运输，合理规定运输通道。施工场地内道路应尽量保持平坦，减少由于道路不平而引起的车辆颠簸噪声。</w:t>
            </w:r>
          </w:p>
          <w:p>
            <w:pPr>
              <w:widowControl/>
              <w:numPr>
                <w:ilvl w:val="0"/>
                <w:numId w:val="11"/>
              </w:numPr>
              <w:spacing w:line="520" w:lineRule="exact"/>
              <w:ind w:firstLine="482" w:firstLineChars="200"/>
              <w:rPr>
                <w:b/>
                <w:bCs/>
                <w:sz w:val="24"/>
              </w:rPr>
            </w:pPr>
            <w:r>
              <w:rPr>
                <w:b/>
                <w:bCs/>
                <w:sz w:val="24"/>
              </w:rPr>
              <w:t>固体废物</w:t>
            </w:r>
          </w:p>
          <w:p>
            <w:pPr>
              <w:widowControl/>
              <w:spacing w:line="520" w:lineRule="exact"/>
              <w:ind w:firstLine="480" w:firstLineChars="200"/>
              <w:rPr>
                <w:sz w:val="24"/>
              </w:rPr>
            </w:pPr>
            <w:r>
              <w:rPr>
                <w:sz w:val="24"/>
              </w:rPr>
              <w:t>为防止施工期固体废物对周围环境带来不利影响，要求采取以下污染防治措施：</w:t>
            </w:r>
          </w:p>
          <w:p>
            <w:pPr>
              <w:widowControl/>
              <w:spacing w:line="520" w:lineRule="exact"/>
              <w:ind w:firstLine="480" w:firstLineChars="200"/>
              <w:rPr>
                <w:sz w:val="24"/>
              </w:rPr>
            </w:pPr>
            <w:r>
              <w:rPr>
                <w:sz w:val="24"/>
              </w:rPr>
              <w:t>（1）将可回收的废品进行分类收集，不能回收的建筑垃圾以无机物成分为主，应及时外运至当地垃圾填埋场处置</w:t>
            </w:r>
            <w:r>
              <w:rPr>
                <w:rFonts w:hint="eastAsia"/>
                <w:sz w:val="24"/>
              </w:rPr>
              <w:t>。</w:t>
            </w:r>
          </w:p>
          <w:p>
            <w:pPr>
              <w:widowControl/>
              <w:spacing w:line="520" w:lineRule="exact"/>
              <w:ind w:firstLine="480" w:firstLineChars="200"/>
              <w:rPr>
                <w:sz w:val="24"/>
              </w:rPr>
            </w:pPr>
            <w:r>
              <w:rPr>
                <w:sz w:val="24"/>
              </w:rPr>
              <w:t>（2）施工建筑固废，应设专门场地堆存，定期及时外运处理，运输时做好防扬散，防洒漏工作，避免固废影响环境</w:t>
            </w:r>
            <w:r>
              <w:rPr>
                <w:rFonts w:hint="eastAsia"/>
                <w:sz w:val="24"/>
              </w:rPr>
              <w:t>。</w:t>
            </w:r>
          </w:p>
          <w:p>
            <w:pPr>
              <w:widowControl/>
              <w:spacing w:line="520" w:lineRule="exact"/>
              <w:ind w:firstLine="480" w:firstLineChars="200"/>
              <w:rPr>
                <w:sz w:val="24"/>
              </w:rPr>
            </w:pPr>
            <w:r>
              <w:rPr>
                <w:sz w:val="24"/>
              </w:rPr>
              <w:t>（3）施工人员的生活垃圾应集中收集，不允许随地乱抛，影响环境卫生，或混入建筑垃圾；生活垃圾应纳入城市生活垃圾收运处理系统</w:t>
            </w:r>
            <w:r>
              <w:rPr>
                <w:rFonts w:hint="eastAsia"/>
                <w:sz w:val="24"/>
              </w:rPr>
              <w:t>。</w:t>
            </w:r>
          </w:p>
          <w:p>
            <w:pPr>
              <w:widowControl/>
              <w:spacing w:line="520" w:lineRule="exact"/>
              <w:ind w:firstLine="480" w:firstLineChars="200"/>
              <w:rPr>
                <w:sz w:val="24"/>
              </w:rPr>
            </w:pPr>
            <w:r>
              <w:rPr>
                <w:sz w:val="24"/>
              </w:rPr>
              <w:t>（4）建筑固体废弃物和生活垃圾堆存时间不易超过24h，应与相关部门协调好，做到日产日清，不得随意排放，对当地环境基本无影响。</w:t>
            </w:r>
          </w:p>
          <w:p>
            <w:pPr>
              <w:pStyle w:val="65"/>
              <w:rPr>
                <w:rFonts w:hint="eastAsia" w:eastAsia="宋体" w:cs="Times New Roman"/>
                <w:lang w:eastAsia="zh-CN"/>
              </w:rPr>
            </w:pPr>
            <w:r>
              <w:rPr>
                <w:rFonts w:cs="Times New Roman"/>
              </w:rPr>
              <w:t>只要严格管理，对施工建筑垃圾和生活垃圾做到及时清运，对当地环境不会产生明显影响</w:t>
            </w:r>
            <w:r>
              <w:rPr>
                <w:rFonts w:hint="eastAsia" w:cs="Times New Roman"/>
                <w:lang w:eastAsia="zh-CN"/>
              </w:rPr>
              <w:t>。</w:t>
            </w:r>
          </w:p>
          <w:p>
            <w:pPr>
              <w:pStyle w:val="65"/>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baseline"/>
              <w:rPr>
                <w:rFonts w:hint="default"/>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581" w:type="dxa"/>
            <w:tcMar>
              <w:left w:w="28" w:type="dxa"/>
              <w:right w:w="28" w:type="dxa"/>
            </w:tcMar>
            <w:vAlign w:val="center"/>
          </w:tcPr>
          <w:p>
            <w:pPr>
              <w:adjustRightInd w:val="0"/>
              <w:snapToGrid w:val="0"/>
              <w:spacing w:line="520" w:lineRule="exact"/>
              <w:jc w:val="center"/>
              <w:rPr>
                <w:bCs/>
                <w:sz w:val="24"/>
              </w:rPr>
            </w:pPr>
            <w:r>
              <w:rPr>
                <w:bCs/>
                <w:sz w:val="24"/>
              </w:rPr>
              <w:t>运营</w:t>
            </w:r>
          </w:p>
          <w:p>
            <w:pPr>
              <w:adjustRightInd w:val="0"/>
              <w:snapToGrid w:val="0"/>
              <w:spacing w:line="520" w:lineRule="exact"/>
              <w:jc w:val="center"/>
              <w:rPr>
                <w:bCs/>
                <w:sz w:val="24"/>
              </w:rPr>
            </w:pPr>
            <w:r>
              <w:rPr>
                <w:bCs/>
                <w:sz w:val="24"/>
              </w:rPr>
              <w:t>期环</w:t>
            </w:r>
          </w:p>
          <w:p>
            <w:pPr>
              <w:adjustRightInd w:val="0"/>
              <w:snapToGrid w:val="0"/>
              <w:spacing w:line="520" w:lineRule="exact"/>
              <w:jc w:val="center"/>
              <w:rPr>
                <w:bCs/>
                <w:sz w:val="24"/>
              </w:rPr>
            </w:pPr>
            <w:r>
              <w:rPr>
                <w:bCs/>
                <w:sz w:val="24"/>
              </w:rPr>
              <w:t>境影</w:t>
            </w:r>
          </w:p>
          <w:p>
            <w:pPr>
              <w:adjustRightInd w:val="0"/>
              <w:snapToGrid w:val="0"/>
              <w:spacing w:line="520" w:lineRule="exact"/>
              <w:jc w:val="center"/>
              <w:rPr>
                <w:bCs/>
                <w:sz w:val="24"/>
              </w:rPr>
            </w:pPr>
            <w:r>
              <w:rPr>
                <w:bCs/>
                <w:sz w:val="24"/>
              </w:rPr>
              <w:t>响和</w:t>
            </w:r>
          </w:p>
          <w:p>
            <w:pPr>
              <w:adjustRightInd w:val="0"/>
              <w:snapToGrid w:val="0"/>
              <w:spacing w:line="520" w:lineRule="exact"/>
              <w:jc w:val="center"/>
              <w:rPr>
                <w:bCs/>
                <w:sz w:val="24"/>
              </w:rPr>
            </w:pPr>
            <w:r>
              <w:rPr>
                <w:bCs/>
                <w:sz w:val="24"/>
              </w:rPr>
              <w:t>保护</w:t>
            </w:r>
          </w:p>
          <w:p>
            <w:pPr>
              <w:adjustRightInd w:val="0"/>
              <w:snapToGrid w:val="0"/>
              <w:spacing w:line="520" w:lineRule="exact"/>
              <w:jc w:val="center"/>
              <w:rPr>
                <w:bCs/>
                <w:sz w:val="24"/>
              </w:rPr>
            </w:pPr>
            <w:r>
              <w:rPr>
                <w:bCs/>
                <w:sz w:val="24"/>
              </w:rPr>
              <w:t>措施</w:t>
            </w:r>
          </w:p>
        </w:tc>
        <w:tc>
          <w:tcPr>
            <w:tcW w:w="9265" w:type="dxa"/>
            <w:vAlign w:val="center"/>
          </w:tcPr>
          <w:p>
            <w:pPr>
              <w:widowControl/>
              <w:numPr>
                <w:ilvl w:val="0"/>
                <w:numId w:val="12"/>
              </w:numPr>
              <w:spacing w:line="520" w:lineRule="exact"/>
              <w:ind w:firstLine="482" w:firstLineChars="200"/>
              <w:rPr>
                <w:b/>
                <w:bCs/>
                <w:sz w:val="24"/>
              </w:rPr>
            </w:pPr>
            <w:r>
              <w:rPr>
                <w:rFonts w:hint="eastAsia"/>
                <w:b/>
                <w:bCs/>
                <w:sz w:val="24"/>
              </w:rPr>
              <w:t>大气环境影响分析</w:t>
            </w:r>
          </w:p>
          <w:p>
            <w:pPr>
              <w:snapToGrid w:val="0"/>
              <w:spacing w:line="520" w:lineRule="exact"/>
              <w:ind w:firstLine="482" w:firstLineChars="200"/>
              <w:rPr>
                <w:rFonts w:hAnsi="宋体"/>
                <w:b/>
                <w:bCs/>
                <w:sz w:val="24"/>
              </w:rPr>
            </w:pPr>
            <w:r>
              <w:rPr>
                <w:rFonts w:hint="eastAsia" w:hAnsi="宋体"/>
                <w:b/>
                <w:bCs/>
                <w:sz w:val="24"/>
              </w:rPr>
              <w:t>1</w:t>
            </w:r>
            <w:r>
              <w:rPr>
                <w:rFonts w:hAnsi="宋体"/>
                <w:b/>
                <w:bCs/>
                <w:sz w:val="24"/>
              </w:rPr>
              <w:t>.1</w:t>
            </w:r>
            <w:r>
              <w:rPr>
                <w:rFonts w:hint="eastAsia" w:hAnsi="宋体"/>
                <w:b/>
                <w:bCs/>
                <w:sz w:val="24"/>
              </w:rPr>
              <w:t>大气污染物源强估算</w:t>
            </w:r>
          </w:p>
          <w:p>
            <w:pPr>
              <w:widowControl/>
              <w:spacing w:line="520" w:lineRule="exact"/>
              <w:ind w:firstLine="480" w:firstLineChars="200"/>
              <w:rPr>
                <w:sz w:val="24"/>
              </w:rPr>
            </w:pPr>
            <w:r>
              <w:rPr>
                <w:rFonts w:hint="eastAsia" w:hAnsi="宋体"/>
                <w:kern w:val="0"/>
                <w:sz w:val="24"/>
              </w:rPr>
              <w:t>1.1.1</w:t>
            </w:r>
            <w:r>
              <w:rPr>
                <w:rFonts w:hint="eastAsia" w:hAnsi="宋体"/>
                <w:kern w:val="0"/>
                <w:sz w:val="24"/>
                <w:lang w:val="en-US" w:eastAsia="zh-CN"/>
              </w:rPr>
              <w:t>搅拌</w:t>
            </w:r>
            <w:r>
              <w:rPr>
                <w:sz w:val="24"/>
              </w:rPr>
              <w:t>粉尘</w:t>
            </w:r>
          </w:p>
          <w:p>
            <w:pPr>
              <w:pStyle w:val="2"/>
              <w:spacing w:line="520" w:lineRule="exact"/>
              <w:ind w:firstLine="480" w:firstLineChars="200"/>
              <w:jc w:val="both"/>
              <w:rPr>
                <w:rFonts w:hint="eastAsia" w:ascii="Times New Roman" w:eastAsia="宋体"/>
                <w:b w:val="0"/>
                <w:bCs/>
                <w:lang w:eastAsia="zh-CN"/>
              </w:rPr>
            </w:pPr>
            <w:r>
              <w:rPr>
                <w:rFonts w:ascii="Times New Roman"/>
                <w:b w:val="0"/>
                <w:bCs/>
              </w:rPr>
              <w:t>本项目生产工艺中</w:t>
            </w:r>
            <w:r>
              <w:rPr>
                <w:rFonts w:hint="eastAsia" w:ascii="Times New Roman"/>
                <w:b w:val="0"/>
                <w:bCs/>
                <w:lang w:val="en-US" w:eastAsia="zh-CN"/>
              </w:rPr>
              <w:t>物料搅拌</w:t>
            </w:r>
            <w:r>
              <w:rPr>
                <w:rFonts w:ascii="Times New Roman"/>
                <w:b w:val="0"/>
                <w:bCs/>
              </w:rPr>
              <w:t>环节会产生粉尘，根据《排放源统计调查产排污核算方法和系数手册（2021年版）》中</w:t>
            </w:r>
            <w:r>
              <w:rPr>
                <w:rFonts w:hint="eastAsia" w:ascii="Times New Roman"/>
                <w:b w:val="0"/>
                <w:bCs/>
                <w:lang w:val="en-US" w:eastAsia="zh-CN"/>
              </w:rPr>
              <w:t>3021</w:t>
            </w:r>
            <w:r>
              <w:rPr>
                <w:rFonts w:hint="eastAsia" w:ascii="Times New Roman"/>
                <w:b w:val="0"/>
                <w:bCs/>
              </w:rPr>
              <w:t>水泥制品制造（含3022砼结构构件、3029其他水泥类似制品制造）行业系数</w:t>
            </w:r>
            <w:r>
              <w:rPr>
                <w:rFonts w:hint="eastAsia" w:ascii="Times New Roman"/>
                <w:b w:val="0"/>
                <w:bCs/>
                <w:lang w:val="en-US" w:eastAsia="zh-CN"/>
              </w:rPr>
              <w:t>手</w:t>
            </w:r>
            <w:r>
              <w:rPr>
                <w:rFonts w:ascii="Times New Roman"/>
                <w:b w:val="0"/>
                <w:bCs/>
              </w:rPr>
              <w:t>册，本项目生产工艺产污系数详见下表</w:t>
            </w:r>
            <w:r>
              <w:rPr>
                <w:rFonts w:hint="eastAsia" w:ascii="Times New Roman"/>
                <w:b w:val="0"/>
                <w:bCs/>
                <w:lang w:eastAsia="zh-CN"/>
              </w:rPr>
              <w:t>。</w:t>
            </w:r>
          </w:p>
          <w:p>
            <w:pPr>
              <w:widowControl/>
              <w:jc w:val="center"/>
              <w:rPr>
                <w:rFonts w:hint="eastAsia" w:eastAsia="黑体"/>
                <w:sz w:val="24"/>
                <w:lang w:eastAsia="zh-CN"/>
              </w:rPr>
            </w:pPr>
            <w:r>
              <w:rPr>
                <w:rFonts w:hint="eastAsia" w:eastAsia="黑体"/>
                <w:sz w:val="24"/>
              </w:rPr>
              <w:t>表4-1  水泥制品制造</w:t>
            </w:r>
            <w:r>
              <w:rPr>
                <w:rFonts w:hint="eastAsia" w:eastAsia="黑体"/>
                <w:sz w:val="24"/>
                <w:lang w:eastAsia="zh-CN"/>
              </w:rPr>
              <w:t>产污系数表</w:t>
            </w:r>
          </w:p>
          <w:tbl>
            <w:tblPr>
              <w:tblStyle w:val="32"/>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97"/>
              <w:gridCol w:w="1001"/>
              <w:gridCol w:w="1001"/>
              <w:gridCol w:w="1005"/>
              <w:gridCol w:w="1006"/>
              <w:gridCol w:w="1006"/>
              <w:gridCol w:w="1012"/>
              <w:gridCol w:w="1007"/>
              <w:gridCol w:w="100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51" w:type="pct"/>
                  <w:tcBorders>
                    <w:tl2br w:val="nil"/>
                    <w:tr2bl w:val="nil"/>
                  </w:tcBorders>
                  <w:vAlign w:val="center"/>
                </w:tcPr>
                <w:p>
                  <w:pPr>
                    <w:widowControl/>
                    <w:jc w:val="center"/>
                    <w:rPr>
                      <w:rFonts w:hint="eastAsia" w:eastAsia="宋体"/>
                      <w:szCs w:val="21"/>
                      <w:lang w:val="en-US" w:eastAsia="zh-CN"/>
                    </w:rPr>
                  </w:pPr>
                  <w:r>
                    <w:rPr>
                      <w:rFonts w:hint="eastAsia"/>
                      <w:szCs w:val="21"/>
                      <w:lang w:val="en-US" w:eastAsia="zh-CN"/>
                    </w:rPr>
                    <w:t>工段名称</w:t>
                  </w:r>
                </w:p>
              </w:tc>
              <w:tc>
                <w:tcPr>
                  <w:tcW w:w="553" w:type="pct"/>
                  <w:tcBorders>
                    <w:tl2br w:val="nil"/>
                    <w:tr2bl w:val="nil"/>
                  </w:tcBorders>
                  <w:vAlign w:val="center"/>
                </w:tcPr>
                <w:p>
                  <w:pPr>
                    <w:widowControl/>
                    <w:jc w:val="center"/>
                    <w:rPr>
                      <w:szCs w:val="21"/>
                    </w:rPr>
                  </w:pPr>
                  <w:r>
                    <w:rPr>
                      <w:szCs w:val="21"/>
                    </w:rPr>
                    <w:t>产品名称</w:t>
                  </w:r>
                </w:p>
              </w:tc>
              <w:tc>
                <w:tcPr>
                  <w:tcW w:w="553" w:type="pct"/>
                  <w:tcBorders>
                    <w:tl2br w:val="nil"/>
                    <w:tr2bl w:val="nil"/>
                  </w:tcBorders>
                  <w:vAlign w:val="center"/>
                </w:tcPr>
                <w:p>
                  <w:pPr>
                    <w:widowControl/>
                    <w:jc w:val="center"/>
                    <w:rPr>
                      <w:szCs w:val="21"/>
                    </w:rPr>
                  </w:pPr>
                  <w:r>
                    <w:rPr>
                      <w:szCs w:val="21"/>
                    </w:rPr>
                    <w:t>原料名称</w:t>
                  </w:r>
                </w:p>
              </w:tc>
              <w:tc>
                <w:tcPr>
                  <w:tcW w:w="555" w:type="pct"/>
                  <w:tcBorders>
                    <w:tl2br w:val="nil"/>
                    <w:tr2bl w:val="nil"/>
                  </w:tcBorders>
                  <w:vAlign w:val="center"/>
                </w:tcPr>
                <w:p>
                  <w:pPr>
                    <w:widowControl/>
                    <w:jc w:val="center"/>
                    <w:rPr>
                      <w:szCs w:val="21"/>
                    </w:rPr>
                  </w:pPr>
                  <w:r>
                    <w:rPr>
                      <w:szCs w:val="21"/>
                    </w:rPr>
                    <w:t>工艺名称</w:t>
                  </w:r>
                </w:p>
              </w:tc>
              <w:tc>
                <w:tcPr>
                  <w:tcW w:w="556" w:type="pct"/>
                  <w:tcBorders>
                    <w:tl2br w:val="nil"/>
                    <w:tr2bl w:val="nil"/>
                  </w:tcBorders>
                  <w:vAlign w:val="center"/>
                </w:tcPr>
                <w:p>
                  <w:pPr>
                    <w:widowControl/>
                    <w:jc w:val="center"/>
                    <w:rPr>
                      <w:szCs w:val="21"/>
                    </w:rPr>
                  </w:pPr>
                  <w:r>
                    <w:rPr>
                      <w:szCs w:val="21"/>
                    </w:rPr>
                    <w:t>规模等级</w:t>
                  </w:r>
                </w:p>
              </w:tc>
              <w:tc>
                <w:tcPr>
                  <w:tcW w:w="1115" w:type="pct"/>
                  <w:gridSpan w:val="2"/>
                  <w:tcBorders>
                    <w:tl2br w:val="nil"/>
                    <w:tr2bl w:val="nil"/>
                  </w:tcBorders>
                  <w:vAlign w:val="center"/>
                </w:tcPr>
                <w:p>
                  <w:pPr>
                    <w:widowControl/>
                    <w:jc w:val="center"/>
                    <w:rPr>
                      <w:szCs w:val="21"/>
                    </w:rPr>
                  </w:pPr>
                  <w:r>
                    <w:rPr>
                      <w:szCs w:val="21"/>
                    </w:rPr>
                    <w:t>污染物指标</w:t>
                  </w:r>
                </w:p>
              </w:tc>
              <w:tc>
                <w:tcPr>
                  <w:tcW w:w="556" w:type="pct"/>
                  <w:tcBorders>
                    <w:tl2br w:val="nil"/>
                    <w:tr2bl w:val="nil"/>
                  </w:tcBorders>
                  <w:vAlign w:val="center"/>
                </w:tcPr>
                <w:p>
                  <w:pPr>
                    <w:widowControl/>
                    <w:jc w:val="center"/>
                    <w:rPr>
                      <w:szCs w:val="21"/>
                    </w:rPr>
                  </w:pPr>
                  <w:r>
                    <w:rPr>
                      <w:szCs w:val="21"/>
                    </w:rPr>
                    <w:t>系数单位</w:t>
                  </w:r>
                </w:p>
              </w:tc>
              <w:tc>
                <w:tcPr>
                  <w:tcW w:w="557" w:type="pct"/>
                  <w:tcBorders>
                    <w:tl2br w:val="nil"/>
                    <w:tr2bl w:val="nil"/>
                  </w:tcBorders>
                  <w:vAlign w:val="center"/>
                </w:tcPr>
                <w:p>
                  <w:pPr>
                    <w:widowControl/>
                    <w:jc w:val="center"/>
                    <w:rPr>
                      <w:szCs w:val="21"/>
                    </w:rPr>
                  </w:pPr>
                  <w:r>
                    <w:rPr>
                      <w:szCs w:val="21"/>
                    </w:rPr>
                    <w:t>产污系数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51" w:type="pct"/>
                  <w:tcBorders>
                    <w:tl2br w:val="nil"/>
                    <w:tr2bl w:val="nil"/>
                  </w:tcBorders>
                  <w:vAlign w:val="center"/>
                </w:tcPr>
                <w:p>
                  <w:pPr>
                    <w:widowControl/>
                    <w:jc w:val="center"/>
                    <w:rPr>
                      <w:rFonts w:hint="eastAsia" w:eastAsia="宋体"/>
                      <w:szCs w:val="21"/>
                      <w:lang w:val="en-US" w:eastAsia="zh-CN"/>
                    </w:rPr>
                  </w:pPr>
                  <w:r>
                    <w:rPr>
                      <w:rFonts w:hint="eastAsia"/>
                      <w:szCs w:val="21"/>
                      <w:lang w:val="en-US" w:eastAsia="zh-CN"/>
                    </w:rPr>
                    <w:t>物料输送</w:t>
                  </w:r>
                </w:p>
              </w:tc>
              <w:tc>
                <w:tcPr>
                  <w:tcW w:w="553" w:type="pct"/>
                  <w:vMerge w:val="restart"/>
                  <w:tcBorders>
                    <w:tl2br w:val="nil"/>
                    <w:tr2bl w:val="nil"/>
                  </w:tcBorders>
                  <w:vAlign w:val="center"/>
                </w:tcPr>
                <w:p>
                  <w:pPr>
                    <w:widowControl/>
                    <w:jc w:val="center"/>
                    <w:rPr>
                      <w:rFonts w:hint="default" w:eastAsia="宋体"/>
                      <w:szCs w:val="21"/>
                      <w:lang w:val="en-US" w:eastAsia="zh-CN"/>
                    </w:rPr>
                  </w:pPr>
                  <w:r>
                    <w:rPr>
                      <w:rFonts w:hint="eastAsia"/>
                      <w:szCs w:val="21"/>
                      <w:lang w:val="en-US" w:eastAsia="zh-CN"/>
                    </w:rPr>
                    <w:t>各种水泥制品</w:t>
                  </w:r>
                </w:p>
              </w:tc>
              <w:tc>
                <w:tcPr>
                  <w:tcW w:w="553" w:type="pct"/>
                  <w:vMerge w:val="restart"/>
                  <w:tcBorders>
                    <w:tl2br w:val="nil"/>
                    <w:tr2bl w:val="nil"/>
                  </w:tcBorders>
                  <w:vAlign w:val="center"/>
                </w:tcPr>
                <w:p>
                  <w:pPr>
                    <w:widowControl/>
                    <w:jc w:val="center"/>
                    <w:rPr>
                      <w:rFonts w:hint="default" w:eastAsia="宋体"/>
                      <w:szCs w:val="21"/>
                      <w:lang w:val="en-US" w:eastAsia="zh-CN"/>
                    </w:rPr>
                  </w:pPr>
                  <w:r>
                    <w:rPr>
                      <w:rFonts w:hint="eastAsia"/>
                      <w:szCs w:val="21"/>
                      <w:lang w:val="en-US" w:eastAsia="zh-CN"/>
                    </w:rPr>
                    <w:t>水泥、砂子等</w:t>
                  </w:r>
                </w:p>
              </w:tc>
              <w:tc>
                <w:tcPr>
                  <w:tcW w:w="555" w:type="pct"/>
                  <w:tcBorders>
                    <w:tl2br w:val="nil"/>
                    <w:tr2bl w:val="nil"/>
                  </w:tcBorders>
                  <w:vAlign w:val="center"/>
                </w:tcPr>
                <w:p>
                  <w:pPr>
                    <w:widowControl/>
                    <w:jc w:val="center"/>
                    <w:rPr>
                      <w:rFonts w:hint="default" w:eastAsia="宋体"/>
                      <w:szCs w:val="21"/>
                      <w:lang w:val="en-US" w:eastAsia="zh-CN"/>
                    </w:rPr>
                  </w:pPr>
                  <w:r>
                    <w:rPr>
                      <w:rFonts w:hint="eastAsia"/>
                      <w:szCs w:val="21"/>
                      <w:lang w:val="en-US" w:eastAsia="zh-CN"/>
                    </w:rPr>
                    <w:t>物料输送储存</w:t>
                  </w:r>
                </w:p>
              </w:tc>
              <w:tc>
                <w:tcPr>
                  <w:tcW w:w="556" w:type="pct"/>
                  <w:vMerge w:val="restart"/>
                  <w:tcBorders>
                    <w:tl2br w:val="nil"/>
                    <w:tr2bl w:val="nil"/>
                  </w:tcBorders>
                  <w:vAlign w:val="center"/>
                </w:tcPr>
                <w:p>
                  <w:pPr>
                    <w:widowControl/>
                    <w:jc w:val="center"/>
                    <w:rPr>
                      <w:rFonts w:hint="eastAsia" w:eastAsia="宋体"/>
                      <w:szCs w:val="21"/>
                      <w:lang w:val="en-US" w:eastAsia="zh-CN"/>
                    </w:rPr>
                  </w:pPr>
                  <w:r>
                    <w:rPr>
                      <w:rFonts w:hint="eastAsia"/>
                      <w:szCs w:val="21"/>
                      <w:lang w:val="en-US" w:eastAsia="zh-CN"/>
                    </w:rPr>
                    <w:t>所有规模</w:t>
                  </w:r>
                </w:p>
              </w:tc>
              <w:tc>
                <w:tcPr>
                  <w:tcW w:w="556" w:type="pct"/>
                  <w:vMerge w:val="restart"/>
                  <w:tcBorders>
                    <w:tl2br w:val="nil"/>
                    <w:tr2bl w:val="nil"/>
                  </w:tcBorders>
                  <w:vAlign w:val="center"/>
                </w:tcPr>
                <w:p>
                  <w:pPr>
                    <w:widowControl/>
                    <w:jc w:val="center"/>
                    <w:rPr>
                      <w:rFonts w:hint="eastAsia" w:eastAsia="宋体"/>
                      <w:szCs w:val="21"/>
                      <w:lang w:val="en-US" w:eastAsia="zh-CN"/>
                    </w:rPr>
                  </w:pPr>
                  <w:r>
                    <w:rPr>
                      <w:rFonts w:hint="eastAsia"/>
                      <w:szCs w:val="21"/>
                      <w:lang w:val="en-US" w:eastAsia="zh-CN"/>
                    </w:rPr>
                    <w:t>废气</w:t>
                  </w:r>
                </w:p>
              </w:tc>
              <w:tc>
                <w:tcPr>
                  <w:tcW w:w="558" w:type="pct"/>
                  <w:tcBorders>
                    <w:tl2br w:val="nil"/>
                    <w:tr2bl w:val="nil"/>
                  </w:tcBorders>
                  <w:vAlign w:val="center"/>
                </w:tcPr>
                <w:p>
                  <w:pPr>
                    <w:widowControl/>
                    <w:jc w:val="center"/>
                    <w:rPr>
                      <w:rFonts w:hint="eastAsia" w:eastAsia="宋体"/>
                      <w:szCs w:val="21"/>
                      <w:lang w:val="en-US" w:eastAsia="zh-CN"/>
                    </w:rPr>
                  </w:pPr>
                  <w:r>
                    <w:rPr>
                      <w:rFonts w:hint="eastAsia"/>
                      <w:szCs w:val="21"/>
                      <w:lang w:val="en-US" w:eastAsia="zh-CN"/>
                    </w:rPr>
                    <w:t>颗粒物</w:t>
                  </w:r>
                </w:p>
              </w:tc>
              <w:tc>
                <w:tcPr>
                  <w:tcW w:w="556" w:type="pct"/>
                  <w:tcBorders>
                    <w:tl2br w:val="nil"/>
                    <w:tr2bl w:val="nil"/>
                  </w:tcBorders>
                  <w:vAlign w:val="center"/>
                </w:tcPr>
                <w:p>
                  <w:pPr>
                    <w:widowControl/>
                    <w:jc w:val="center"/>
                    <w:rPr>
                      <w:rFonts w:hint="default" w:eastAsia="宋体"/>
                      <w:szCs w:val="21"/>
                      <w:lang w:val="en-US" w:eastAsia="zh-CN"/>
                    </w:rPr>
                  </w:pPr>
                  <w:r>
                    <w:rPr>
                      <w:rFonts w:hint="eastAsia"/>
                      <w:szCs w:val="21"/>
                      <w:lang w:val="en-US" w:eastAsia="zh-CN"/>
                    </w:rPr>
                    <w:t>千克/吨-产品</w:t>
                  </w:r>
                </w:p>
              </w:tc>
              <w:tc>
                <w:tcPr>
                  <w:tcW w:w="557" w:type="pct"/>
                  <w:tcBorders>
                    <w:tl2br w:val="nil"/>
                    <w:tr2bl w:val="nil"/>
                  </w:tcBorders>
                  <w:vAlign w:val="center"/>
                </w:tcPr>
                <w:p>
                  <w:pPr>
                    <w:widowControl/>
                    <w:jc w:val="center"/>
                    <w:rPr>
                      <w:rFonts w:hint="default" w:eastAsia="宋体"/>
                      <w:szCs w:val="21"/>
                      <w:lang w:val="en-US" w:eastAsia="zh-CN"/>
                    </w:rPr>
                  </w:pPr>
                  <w:r>
                    <w:rPr>
                      <w:rFonts w:hint="eastAsia"/>
                      <w:szCs w:val="21"/>
                      <w:lang w:val="en-US" w:eastAsia="zh-CN"/>
                    </w:rPr>
                    <w:t>0.19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51" w:type="pct"/>
                  <w:tcBorders>
                    <w:tl2br w:val="nil"/>
                    <w:tr2bl w:val="nil"/>
                  </w:tcBorders>
                  <w:vAlign w:val="center"/>
                </w:tcPr>
                <w:p>
                  <w:pPr>
                    <w:widowControl/>
                    <w:jc w:val="center"/>
                    <w:rPr>
                      <w:rFonts w:hint="default" w:eastAsia="宋体"/>
                      <w:sz w:val="21"/>
                      <w:szCs w:val="21"/>
                      <w:lang w:val="en-US" w:eastAsia="zh-CN"/>
                    </w:rPr>
                  </w:pPr>
                  <w:r>
                    <w:rPr>
                      <w:rFonts w:hint="eastAsia"/>
                      <w:sz w:val="21"/>
                      <w:szCs w:val="21"/>
                      <w:lang w:val="en-US" w:eastAsia="zh-CN"/>
                    </w:rPr>
                    <w:t>物料搅拌</w:t>
                  </w:r>
                </w:p>
              </w:tc>
              <w:tc>
                <w:tcPr>
                  <w:tcW w:w="553" w:type="pct"/>
                  <w:vMerge w:val="continue"/>
                  <w:tcBorders>
                    <w:tl2br w:val="nil"/>
                    <w:tr2bl w:val="nil"/>
                  </w:tcBorders>
                  <w:vAlign w:val="center"/>
                </w:tcPr>
                <w:p>
                  <w:pPr>
                    <w:widowControl/>
                    <w:jc w:val="center"/>
                    <w:rPr>
                      <w:sz w:val="21"/>
                      <w:szCs w:val="21"/>
                    </w:rPr>
                  </w:pPr>
                </w:p>
              </w:tc>
              <w:tc>
                <w:tcPr>
                  <w:tcW w:w="553" w:type="pct"/>
                  <w:vMerge w:val="continue"/>
                  <w:tcBorders>
                    <w:tl2br w:val="nil"/>
                    <w:tr2bl w:val="nil"/>
                  </w:tcBorders>
                  <w:vAlign w:val="center"/>
                </w:tcPr>
                <w:p>
                  <w:pPr>
                    <w:widowControl/>
                    <w:jc w:val="center"/>
                    <w:rPr>
                      <w:sz w:val="21"/>
                      <w:szCs w:val="21"/>
                    </w:rPr>
                  </w:pPr>
                </w:p>
              </w:tc>
              <w:tc>
                <w:tcPr>
                  <w:tcW w:w="555" w:type="pct"/>
                  <w:tcBorders>
                    <w:tl2br w:val="nil"/>
                    <w:tr2bl w:val="nil"/>
                  </w:tcBorders>
                  <w:vAlign w:val="center"/>
                </w:tcPr>
                <w:p>
                  <w:pPr>
                    <w:widowControl/>
                    <w:jc w:val="center"/>
                    <w:rPr>
                      <w:rFonts w:hint="default" w:eastAsia="宋体"/>
                      <w:sz w:val="21"/>
                      <w:szCs w:val="21"/>
                      <w:lang w:val="en-US" w:eastAsia="zh-CN"/>
                    </w:rPr>
                  </w:pPr>
                  <w:r>
                    <w:rPr>
                      <w:rFonts w:hint="eastAsia"/>
                      <w:sz w:val="21"/>
                      <w:szCs w:val="21"/>
                      <w:lang w:val="en-US" w:eastAsia="zh-CN"/>
                    </w:rPr>
                    <w:t>物料混合搅拌</w:t>
                  </w:r>
                </w:p>
              </w:tc>
              <w:tc>
                <w:tcPr>
                  <w:tcW w:w="556" w:type="pct"/>
                  <w:vMerge w:val="continue"/>
                  <w:tcBorders>
                    <w:tl2br w:val="nil"/>
                    <w:tr2bl w:val="nil"/>
                  </w:tcBorders>
                  <w:vAlign w:val="center"/>
                </w:tcPr>
                <w:p>
                  <w:pPr>
                    <w:widowControl/>
                    <w:jc w:val="center"/>
                    <w:rPr>
                      <w:sz w:val="21"/>
                      <w:szCs w:val="21"/>
                    </w:rPr>
                  </w:pPr>
                </w:p>
              </w:tc>
              <w:tc>
                <w:tcPr>
                  <w:tcW w:w="556" w:type="pct"/>
                  <w:vMerge w:val="continue"/>
                  <w:tcBorders>
                    <w:tl2br w:val="nil"/>
                    <w:tr2bl w:val="nil"/>
                  </w:tcBorders>
                  <w:vAlign w:val="center"/>
                </w:tcPr>
                <w:p>
                  <w:pPr>
                    <w:widowControl/>
                    <w:jc w:val="center"/>
                    <w:rPr>
                      <w:sz w:val="21"/>
                      <w:szCs w:val="21"/>
                    </w:rPr>
                  </w:pPr>
                </w:p>
              </w:tc>
              <w:tc>
                <w:tcPr>
                  <w:tcW w:w="558" w:type="pct"/>
                  <w:tcBorders>
                    <w:tl2br w:val="nil"/>
                    <w:tr2bl w:val="nil"/>
                  </w:tcBorders>
                  <w:vAlign w:val="center"/>
                </w:tcPr>
                <w:p>
                  <w:pPr>
                    <w:widowControl/>
                    <w:jc w:val="center"/>
                    <w:rPr>
                      <w:rFonts w:hint="eastAsia" w:eastAsia="宋体"/>
                      <w:sz w:val="21"/>
                      <w:szCs w:val="21"/>
                      <w:lang w:val="en-US" w:eastAsia="zh-CN"/>
                    </w:rPr>
                  </w:pPr>
                  <w:r>
                    <w:rPr>
                      <w:rFonts w:hint="eastAsia"/>
                      <w:sz w:val="21"/>
                      <w:szCs w:val="21"/>
                      <w:lang w:val="en-US" w:eastAsia="zh-CN"/>
                    </w:rPr>
                    <w:t>颗粒物</w:t>
                  </w:r>
                </w:p>
              </w:tc>
              <w:tc>
                <w:tcPr>
                  <w:tcW w:w="556" w:type="pct"/>
                  <w:tcBorders>
                    <w:tl2br w:val="nil"/>
                    <w:tr2bl w:val="nil"/>
                  </w:tcBorders>
                  <w:vAlign w:val="center"/>
                </w:tcPr>
                <w:p>
                  <w:pPr>
                    <w:widowControl/>
                    <w:jc w:val="center"/>
                    <w:rPr>
                      <w:sz w:val="21"/>
                      <w:szCs w:val="21"/>
                    </w:rPr>
                  </w:pPr>
                  <w:r>
                    <w:rPr>
                      <w:rFonts w:hint="eastAsia"/>
                      <w:szCs w:val="21"/>
                      <w:lang w:val="en-US" w:eastAsia="zh-CN"/>
                    </w:rPr>
                    <w:t>千克/吨-产品</w:t>
                  </w:r>
                </w:p>
              </w:tc>
              <w:tc>
                <w:tcPr>
                  <w:tcW w:w="557" w:type="pct"/>
                  <w:tcBorders>
                    <w:tl2br w:val="nil"/>
                    <w:tr2bl w:val="nil"/>
                  </w:tcBorders>
                  <w:vAlign w:val="center"/>
                </w:tcPr>
                <w:p>
                  <w:pPr>
                    <w:widowControl/>
                    <w:jc w:val="center"/>
                    <w:rPr>
                      <w:rFonts w:hint="default" w:eastAsia="宋体"/>
                      <w:sz w:val="21"/>
                      <w:szCs w:val="21"/>
                      <w:lang w:val="en-US" w:eastAsia="zh-CN"/>
                    </w:rPr>
                  </w:pPr>
                  <w:r>
                    <w:rPr>
                      <w:rFonts w:hint="eastAsia"/>
                      <w:sz w:val="21"/>
                      <w:szCs w:val="21"/>
                      <w:lang w:val="en-US" w:eastAsia="zh-CN"/>
                    </w:rPr>
                    <w:t>0.523</w:t>
                  </w:r>
                </w:p>
              </w:tc>
            </w:tr>
          </w:tbl>
          <w:p>
            <w:pPr>
              <w:widowControl/>
              <w:spacing w:line="520" w:lineRule="exact"/>
              <w:ind w:firstLine="480" w:firstLineChars="200"/>
              <w:rPr>
                <w:rFonts w:hAnsi="宋体"/>
                <w:sz w:val="24"/>
                <w:szCs w:val="32"/>
              </w:rPr>
            </w:pPr>
            <w:r>
              <w:rPr>
                <w:sz w:val="24"/>
              </w:rPr>
              <w:t>本项目年产约</w:t>
            </w:r>
            <w:r>
              <w:rPr>
                <w:rFonts w:hint="eastAsia"/>
                <w:sz w:val="24"/>
                <w:lang w:val="en-US" w:eastAsia="zh-CN"/>
              </w:rPr>
              <w:t>60</w:t>
            </w:r>
            <w:r>
              <w:rPr>
                <w:sz w:val="24"/>
              </w:rPr>
              <w:t>万</w:t>
            </w:r>
            <w:r>
              <w:rPr>
                <w:rFonts w:hint="eastAsia"/>
                <w:sz w:val="24"/>
                <w:lang w:val="en-US" w:eastAsia="zh-CN"/>
              </w:rPr>
              <w:t>m</w:t>
            </w:r>
            <w:r>
              <w:rPr>
                <w:rFonts w:hint="eastAsia"/>
                <w:sz w:val="24"/>
                <w:vertAlign w:val="superscript"/>
                <w:lang w:val="en-US" w:eastAsia="zh-CN"/>
              </w:rPr>
              <w:t>2</w:t>
            </w:r>
            <w:r>
              <w:rPr>
                <w:rFonts w:hint="eastAsia"/>
                <w:sz w:val="24"/>
                <w:vertAlign w:val="baseline"/>
                <w:lang w:val="en-US" w:eastAsia="zh-CN"/>
              </w:rPr>
              <w:t>复合保温模板</w:t>
            </w:r>
            <w:r>
              <w:rPr>
                <w:sz w:val="24"/>
              </w:rPr>
              <w:t>，</w:t>
            </w:r>
            <w:r>
              <w:rPr>
                <w:rFonts w:hint="eastAsia"/>
                <w:sz w:val="24"/>
                <w:lang w:val="en-US" w:eastAsia="zh-CN"/>
              </w:rPr>
              <w:t>每</w:t>
            </w:r>
            <w:r>
              <w:rPr>
                <w:rFonts w:hint="eastAsia"/>
                <w:sz w:val="24"/>
                <w:vertAlign w:val="baseline"/>
                <w:lang w:val="en-US" w:eastAsia="zh-CN"/>
              </w:rPr>
              <w:t>平方米产品约35kg，则本项目年产复合保温模板21000t</w:t>
            </w:r>
            <w:r>
              <w:rPr>
                <w:rFonts w:hint="eastAsia"/>
                <w:sz w:val="24"/>
              </w:rPr>
              <w:t>。</w:t>
            </w:r>
            <w:r>
              <w:rPr>
                <w:sz w:val="24"/>
              </w:rPr>
              <w:t>根据上表产污系数，本项目</w:t>
            </w:r>
            <w:r>
              <w:rPr>
                <w:rFonts w:hint="eastAsia"/>
                <w:sz w:val="24"/>
                <w:lang w:val="en-US" w:eastAsia="zh-CN"/>
              </w:rPr>
              <w:t>搅拌环节</w:t>
            </w:r>
            <w:r>
              <w:rPr>
                <w:sz w:val="24"/>
              </w:rPr>
              <w:t>产生粉尘量为</w:t>
            </w:r>
            <w:r>
              <w:rPr>
                <w:rFonts w:hint="eastAsia"/>
                <w:sz w:val="24"/>
                <w:lang w:val="en-US" w:eastAsia="zh-CN"/>
              </w:rPr>
              <w:t>10.983</w:t>
            </w:r>
            <w:r>
              <w:rPr>
                <w:sz w:val="24"/>
              </w:rPr>
              <w:t>t/a，</w:t>
            </w:r>
            <w:r>
              <w:rPr>
                <w:rFonts w:hint="eastAsia"/>
                <w:sz w:val="24"/>
                <w:lang w:val="en-US" w:eastAsia="zh-CN"/>
              </w:rPr>
              <w:t>本项目搅拌环节在密闭搅拌机中进行，粉尘经设备自带</w:t>
            </w:r>
            <w:r>
              <w:rPr>
                <w:rFonts w:hint="eastAsia"/>
                <w:sz w:val="24"/>
              </w:rPr>
              <w:t>布袋除尘（除尘效率99</w:t>
            </w:r>
            <w:r>
              <w:rPr>
                <w:rFonts w:hint="eastAsia"/>
                <w:sz w:val="24"/>
                <w:lang w:val="en-US" w:eastAsia="zh-CN"/>
              </w:rPr>
              <w:t>.7</w:t>
            </w:r>
            <w:r>
              <w:rPr>
                <w:rFonts w:hint="eastAsia"/>
                <w:sz w:val="24"/>
              </w:rPr>
              <w:t>%</w:t>
            </w:r>
            <w:r>
              <w:rPr>
                <w:rFonts w:hint="eastAsia"/>
                <w:sz w:val="24"/>
                <w:lang w:eastAsia="zh-CN"/>
              </w:rPr>
              <w:t>，</w:t>
            </w:r>
            <w:r>
              <w:rPr>
                <w:rFonts w:hint="eastAsia"/>
                <w:sz w:val="24"/>
                <w:lang w:val="en-US" w:eastAsia="zh-CN"/>
              </w:rPr>
              <w:t>风速2m/min，过滤面积83.3m</w:t>
            </w:r>
            <w:r>
              <w:rPr>
                <w:rFonts w:hint="eastAsia"/>
                <w:sz w:val="24"/>
                <w:vertAlign w:val="superscript"/>
                <w:lang w:val="en-US" w:eastAsia="zh-CN"/>
              </w:rPr>
              <w:t>2</w:t>
            </w:r>
            <w:r>
              <w:rPr>
                <w:rFonts w:hint="eastAsia"/>
                <w:sz w:val="24"/>
              </w:rPr>
              <w:t>）</w:t>
            </w:r>
            <w:r>
              <w:rPr>
                <w:rFonts w:hint="eastAsia"/>
                <w:sz w:val="24"/>
                <w:lang w:val="en-US" w:eastAsia="zh-CN"/>
              </w:rPr>
              <w:t>处理后通过</w:t>
            </w:r>
            <w:r>
              <w:rPr>
                <w:rFonts w:hint="eastAsia"/>
                <w:sz w:val="24"/>
              </w:rPr>
              <w:t>15m排气筒</w:t>
            </w:r>
            <w:r>
              <w:rPr>
                <w:rFonts w:hint="eastAsia"/>
                <w:sz w:val="24"/>
                <w:lang w:eastAsia="zh-CN"/>
              </w:rPr>
              <w:t>（</w:t>
            </w:r>
            <w:r>
              <w:rPr>
                <w:rFonts w:hint="eastAsia"/>
                <w:sz w:val="24"/>
                <w:lang w:val="en-US" w:eastAsia="zh-CN"/>
              </w:rPr>
              <w:t>DA001</w:t>
            </w:r>
            <w:r>
              <w:rPr>
                <w:rFonts w:hint="eastAsia"/>
                <w:sz w:val="24"/>
                <w:lang w:eastAsia="zh-CN"/>
              </w:rPr>
              <w:t>）</w:t>
            </w:r>
            <w:r>
              <w:rPr>
                <w:rFonts w:hint="eastAsia"/>
                <w:sz w:val="24"/>
                <w:lang w:val="en-US" w:eastAsia="zh-CN"/>
              </w:rPr>
              <w:t>排放</w:t>
            </w:r>
            <w:r>
              <w:rPr>
                <w:rFonts w:hint="eastAsia"/>
                <w:sz w:val="24"/>
              </w:rPr>
              <w:t>，风机风量为10000m</w:t>
            </w:r>
            <w:r>
              <w:rPr>
                <w:rFonts w:hint="eastAsia"/>
                <w:sz w:val="24"/>
                <w:vertAlign w:val="superscript"/>
              </w:rPr>
              <w:t>3</w:t>
            </w:r>
            <w:r>
              <w:rPr>
                <w:rFonts w:hint="eastAsia"/>
                <w:sz w:val="24"/>
              </w:rPr>
              <w:t>/h。经除尘设备处理后</w:t>
            </w:r>
            <w:r>
              <w:rPr>
                <w:rFonts w:hint="eastAsia"/>
                <w:sz w:val="24"/>
                <w:lang w:val="en-US" w:eastAsia="zh-CN"/>
              </w:rPr>
              <w:t>本环节</w:t>
            </w:r>
            <w:r>
              <w:rPr>
                <w:rFonts w:hint="eastAsia"/>
                <w:sz w:val="24"/>
              </w:rPr>
              <w:t>粉尘排放量为</w:t>
            </w:r>
            <w:r>
              <w:rPr>
                <w:rFonts w:hint="eastAsia"/>
                <w:sz w:val="24"/>
                <w:lang w:val="en-US" w:eastAsia="zh-CN"/>
              </w:rPr>
              <w:t>0.033</w:t>
            </w:r>
            <w:r>
              <w:rPr>
                <w:rFonts w:hint="eastAsia"/>
                <w:sz w:val="24"/>
              </w:rPr>
              <w:t>t/a，排放浓度为</w:t>
            </w:r>
            <w:r>
              <w:rPr>
                <w:rFonts w:hint="eastAsia"/>
                <w:sz w:val="24"/>
                <w:lang w:val="en-US" w:eastAsia="zh-CN"/>
              </w:rPr>
              <w:t>1.719</w:t>
            </w:r>
            <w:r>
              <w:rPr>
                <w:rFonts w:hint="eastAsia"/>
                <w:sz w:val="24"/>
              </w:rPr>
              <w:t>mg/m</w:t>
            </w:r>
            <w:r>
              <w:rPr>
                <w:rFonts w:hint="eastAsia"/>
                <w:sz w:val="24"/>
                <w:vertAlign w:val="superscript"/>
              </w:rPr>
              <w:t>3</w:t>
            </w:r>
            <w:r>
              <w:rPr>
                <w:rFonts w:hint="eastAsia"/>
                <w:sz w:val="24"/>
              </w:rPr>
              <w:t>，排放速率为</w:t>
            </w:r>
            <w:r>
              <w:rPr>
                <w:rFonts w:hint="eastAsia"/>
                <w:sz w:val="24"/>
                <w:lang w:val="en-US" w:eastAsia="zh-CN"/>
              </w:rPr>
              <w:t>0.017</w:t>
            </w:r>
            <w:r>
              <w:rPr>
                <w:rFonts w:hint="eastAsia"/>
                <w:sz w:val="24"/>
              </w:rPr>
              <w:t>kg/h，</w:t>
            </w:r>
            <w:r>
              <w:rPr>
                <w:rFonts w:hint="eastAsia" w:hAnsi="宋体"/>
                <w:sz w:val="24"/>
                <w:szCs w:val="32"/>
              </w:rPr>
              <w:t>《</w:t>
            </w:r>
            <w:r>
              <w:rPr>
                <w:rFonts w:hint="eastAsia" w:hAnsi="宋体"/>
                <w:sz w:val="24"/>
                <w:szCs w:val="32"/>
                <w:lang w:val="en-US" w:eastAsia="zh-CN"/>
              </w:rPr>
              <w:t>水泥</w:t>
            </w:r>
            <w:r>
              <w:rPr>
                <w:rFonts w:hint="eastAsia" w:hAnsi="宋体"/>
                <w:sz w:val="24"/>
                <w:szCs w:val="32"/>
                <w:lang w:eastAsia="zh-CN"/>
              </w:rPr>
              <w:t>工业</w:t>
            </w:r>
            <w:r>
              <w:rPr>
                <w:rFonts w:hint="eastAsia" w:hAnsi="宋体"/>
                <w:sz w:val="24"/>
                <w:szCs w:val="32"/>
              </w:rPr>
              <w:t>大气污染物排放标准》（GB</w:t>
            </w:r>
            <w:r>
              <w:rPr>
                <w:rFonts w:hint="eastAsia" w:hAnsi="宋体"/>
                <w:sz w:val="24"/>
                <w:szCs w:val="32"/>
                <w:lang w:val="en-US" w:eastAsia="zh-CN"/>
              </w:rPr>
              <w:t>4915-2013</w:t>
            </w:r>
            <w:r>
              <w:rPr>
                <w:rFonts w:hint="eastAsia" w:hAnsi="宋体"/>
                <w:sz w:val="24"/>
                <w:szCs w:val="32"/>
              </w:rPr>
              <w:t>）</w:t>
            </w:r>
            <w:r>
              <w:rPr>
                <w:rFonts w:hint="eastAsia"/>
                <w:sz w:val="24"/>
                <w:szCs w:val="28"/>
              </w:rPr>
              <w:t>表2的</w:t>
            </w:r>
            <w:r>
              <w:rPr>
                <w:rFonts w:hint="eastAsia"/>
                <w:sz w:val="24"/>
                <w:szCs w:val="28"/>
                <w:lang w:eastAsia="zh-CN"/>
              </w:rPr>
              <w:t>大气污染物</w:t>
            </w:r>
            <w:r>
              <w:rPr>
                <w:rFonts w:hint="eastAsia"/>
                <w:sz w:val="24"/>
                <w:szCs w:val="28"/>
              </w:rPr>
              <w:t>颗粒物</w:t>
            </w:r>
            <w:r>
              <w:rPr>
                <w:rFonts w:hint="eastAsia"/>
                <w:sz w:val="24"/>
                <w:szCs w:val="28"/>
                <w:lang w:val="en-US" w:eastAsia="zh-CN"/>
              </w:rPr>
              <w:t>特别排放限值</w:t>
            </w:r>
            <w:r>
              <w:rPr>
                <w:rFonts w:hint="eastAsia"/>
                <w:sz w:val="24"/>
                <w:szCs w:val="28"/>
                <w:lang w:eastAsia="zh-CN"/>
              </w:rPr>
              <w:t>（</w:t>
            </w:r>
            <w:r>
              <w:rPr>
                <w:rFonts w:hint="eastAsia"/>
                <w:sz w:val="24"/>
                <w:szCs w:val="28"/>
                <w:lang w:val="en-US" w:eastAsia="zh-CN"/>
              </w:rPr>
              <w:t>10mg/m</w:t>
            </w:r>
            <w:r>
              <w:rPr>
                <w:rFonts w:hint="eastAsia"/>
                <w:sz w:val="24"/>
                <w:szCs w:val="28"/>
                <w:vertAlign w:val="superscript"/>
                <w:lang w:val="en-US" w:eastAsia="zh-CN"/>
              </w:rPr>
              <w:t>3</w:t>
            </w:r>
            <w:r>
              <w:rPr>
                <w:rFonts w:hint="eastAsia"/>
                <w:sz w:val="24"/>
                <w:szCs w:val="28"/>
                <w:lang w:eastAsia="zh-CN"/>
              </w:rPr>
              <w:t>）</w:t>
            </w:r>
            <w:r>
              <w:rPr>
                <w:rFonts w:hint="eastAsia"/>
                <w:sz w:val="24"/>
              </w:rPr>
              <w:t>，对周围环境影响不大。</w:t>
            </w:r>
          </w:p>
          <w:p>
            <w:pPr>
              <w:pStyle w:val="2"/>
              <w:spacing w:line="520" w:lineRule="exact"/>
              <w:ind w:firstLine="480" w:firstLineChars="200"/>
              <w:jc w:val="both"/>
              <w:rPr>
                <w:rFonts w:hint="eastAsia" w:ascii="Times New Roman"/>
                <w:b w:val="0"/>
                <w:bCs/>
                <w:lang w:eastAsia="zh-CN"/>
              </w:rPr>
            </w:pPr>
            <w:r>
              <w:rPr>
                <w:rFonts w:hint="eastAsia" w:ascii="Times New Roman"/>
                <w:b w:val="0"/>
                <w:bCs/>
                <w:lang w:eastAsia="zh-CN"/>
              </w:rPr>
              <w:t>排气筒参数详见下表。</w:t>
            </w:r>
          </w:p>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val="0"/>
                <w:sz w:val="24"/>
                <w:lang w:val="en-US" w:eastAsia="zh-CN"/>
              </w:rPr>
            </w:pPr>
            <w:r>
              <w:rPr>
                <w:rFonts w:hint="default" w:ascii="Times New Roman" w:hAnsi="Times New Roman" w:eastAsia="黑体" w:cs="Times New Roman"/>
                <w:b w:val="0"/>
                <w:bCs w:val="0"/>
                <w:sz w:val="24"/>
                <w:lang w:eastAsia="zh-CN"/>
              </w:rPr>
              <w:t>表</w:t>
            </w:r>
            <w:r>
              <w:rPr>
                <w:rFonts w:hint="eastAsia" w:ascii="Times New Roman" w:hAnsi="Times New Roman" w:eastAsia="黑体" w:cs="Times New Roman"/>
                <w:b w:val="0"/>
                <w:bCs w:val="0"/>
                <w:sz w:val="24"/>
                <w:lang w:val="en-US" w:eastAsia="zh-CN"/>
              </w:rPr>
              <w:t>4</w:t>
            </w:r>
            <w:r>
              <w:rPr>
                <w:rFonts w:hint="default" w:ascii="Times New Roman" w:hAnsi="Times New Roman" w:eastAsia="黑体" w:cs="Times New Roman"/>
                <w:b w:val="0"/>
                <w:bCs w:val="0"/>
                <w:sz w:val="24"/>
                <w:lang w:val="en-US" w:eastAsia="zh-CN"/>
              </w:rPr>
              <w:t>-</w:t>
            </w:r>
            <w:r>
              <w:rPr>
                <w:rFonts w:hint="eastAsia" w:ascii="Times New Roman" w:hAnsi="Times New Roman" w:eastAsia="黑体" w:cs="Times New Roman"/>
                <w:b w:val="0"/>
                <w:bCs w:val="0"/>
                <w:sz w:val="24"/>
                <w:lang w:val="en-US" w:eastAsia="zh-CN"/>
              </w:rPr>
              <w:t>2</w:t>
            </w:r>
            <w:r>
              <w:rPr>
                <w:rFonts w:hint="default" w:ascii="Times New Roman" w:hAnsi="Times New Roman" w:eastAsia="黑体" w:cs="Times New Roman"/>
                <w:b w:val="0"/>
                <w:bCs w:val="0"/>
                <w:sz w:val="24"/>
                <w:lang w:val="en-US" w:eastAsia="zh-CN"/>
              </w:rPr>
              <w:t xml:space="preserve">  排气筒参数</w:t>
            </w:r>
          </w:p>
          <w:tbl>
            <w:tblPr>
              <w:tblStyle w:val="32"/>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49"/>
              <w:gridCol w:w="1162"/>
              <w:gridCol w:w="1408"/>
              <w:gridCol w:w="3417"/>
              <w:gridCol w:w="14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排气筒编号</w:t>
                  </w:r>
                </w:p>
              </w:tc>
              <w:tc>
                <w:tcPr>
                  <w:tcW w:w="64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高度</w:t>
                  </w:r>
                </w:p>
              </w:tc>
              <w:tc>
                <w:tcPr>
                  <w:tcW w:w="778"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内径</w:t>
                  </w:r>
                </w:p>
              </w:tc>
              <w:tc>
                <w:tcPr>
                  <w:tcW w:w="1888"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地理位置坐标</w:t>
                  </w:r>
                </w:p>
              </w:tc>
              <w:tc>
                <w:tcPr>
                  <w:tcW w:w="778"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温度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DA001</w:t>
                  </w:r>
                </w:p>
              </w:tc>
              <w:tc>
                <w:tcPr>
                  <w:tcW w:w="64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15m</w:t>
                  </w:r>
                </w:p>
              </w:tc>
              <w:tc>
                <w:tcPr>
                  <w:tcW w:w="778"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0.5</w:t>
                  </w:r>
                </w:p>
              </w:tc>
              <w:tc>
                <w:tcPr>
                  <w:tcW w:w="1888"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87°49′16.749″</w:t>
                  </w:r>
                  <w:r>
                    <w:rPr>
                      <w:rFonts w:hint="eastAsia" w:ascii="Times New Roman" w:hAnsi="Times New Roman" w:cs="Times New Roman"/>
                      <w:b w:val="0"/>
                      <w:bCs w:val="0"/>
                      <w:sz w:val="21"/>
                      <w:szCs w:val="21"/>
                      <w:vertAlign w:val="baseline"/>
                      <w:lang w:val="en-US" w:eastAsia="zh-CN"/>
                    </w:rPr>
                    <w:t>，</w:t>
                  </w:r>
                  <w:r>
                    <w:rPr>
                      <w:rFonts w:hint="default" w:ascii="Times New Roman" w:hAnsi="Times New Roman" w:eastAsia="宋体" w:cs="Times New Roman"/>
                      <w:b w:val="0"/>
                      <w:bCs w:val="0"/>
                      <w:sz w:val="21"/>
                      <w:szCs w:val="21"/>
                      <w:vertAlign w:val="baseline"/>
                      <w:lang w:val="en-US" w:eastAsia="zh-CN"/>
                    </w:rPr>
                    <w:t>44°9′36.802″</w:t>
                  </w:r>
                </w:p>
              </w:tc>
              <w:tc>
                <w:tcPr>
                  <w:tcW w:w="778"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25</w:t>
                  </w:r>
                  <w:r>
                    <w:rPr>
                      <w:rFonts w:hint="default" w:ascii="Times New Roman" w:hAnsi="Times New Roman" w:eastAsia="宋体" w:cs="Times New Roman"/>
                      <w:b w:val="0"/>
                      <w:bCs w:val="0"/>
                      <w:sz w:val="21"/>
                      <w:szCs w:val="21"/>
                      <w:vertAlign w:val="baseline"/>
                      <w:lang w:val="en-US" w:eastAsia="zh-CN"/>
                    </w:rPr>
                    <w:t>℃</w:t>
                  </w:r>
                </w:p>
              </w:tc>
            </w:tr>
          </w:tbl>
          <w:p>
            <w:pPr>
              <w:spacing w:line="520" w:lineRule="exact"/>
              <w:ind w:firstLine="480" w:firstLineChars="200"/>
              <w:rPr>
                <w:rFonts w:hint="eastAsia" w:hAnsi="宋体"/>
                <w:b w:val="0"/>
                <w:bCs w:val="0"/>
                <w:sz w:val="24"/>
                <w:vertAlign w:val="baseline"/>
                <w:lang w:val="en-US" w:eastAsia="zh-CN"/>
              </w:rPr>
            </w:pPr>
            <w:r>
              <w:rPr>
                <w:rFonts w:hint="eastAsia" w:hAnsi="宋体"/>
                <w:b w:val="0"/>
                <w:bCs w:val="0"/>
                <w:sz w:val="24"/>
                <w:lang w:eastAsia="zh-CN"/>
              </w:rPr>
              <w:t>非正常工况：本项目非正常工况主要为除尘设备故障导致粉尘</w:t>
            </w:r>
            <w:r>
              <w:rPr>
                <w:rFonts w:hint="eastAsia" w:hAnsi="宋体"/>
                <w:b w:val="0"/>
                <w:bCs w:val="0"/>
                <w:sz w:val="24"/>
                <w:vertAlign w:val="baseline"/>
                <w:lang w:val="en-US" w:eastAsia="zh-CN"/>
              </w:rPr>
              <w:t>排放量骤然增加。详情见下表：</w:t>
            </w:r>
          </w:p>
          <w:p>
            <w:pPr>
              <w:pStyle w:val="2"/>
              <w:jc w:val="center"/>
              <w:rPr>
                <w:rFonts w:hint="default" w:ascii="Times New Roman" w:hAnsi="Times New Roman" w:eastAsia="宋体" w:cs="Times New Roman"/>
                <w:b/>
                <w:bCs w:val="0"/>
                <w:color w:val="auto"/>
                <w:sz w:val="21"/>
                <w:szCs w:val="21"/>
                <w:lang w:val="en-US" w:eastAsia="zh-CN"/>
              </w:rPr>
            </w:pPr>
            <w:r>
              <w:rPr>
                <w:rFonts w:hint="default" w:ascii="Times New Roman" w:hAnsi="Times New Roman" w:eastAsia="黑体" w:cs="Times New Roman"/>
                <w:b w:val="0"/>
                <w:bCs w:val="0"/>
                <w:sz w:val="24"/>
                <w:vertAlign w:val="baseline"/>
                <w:lang w:val="en-US" w:eastAsia="zh-CN"/>
              </w:rPr>
              <w:t>表4-</w:t>
            </w:r>
            <w:r>
              <w:rPr>
                <w:rFonts w:hint="eastAsia" w:ascii="Times New Roman" w:hAnsi="Times New Roman" w:eastAsia="黑体" w:cs="Times New Roman"/>
                <w:b w:val="0"/>
                <w:bCs w:val="0"/>
                <w:sz w:val="24"/>
                <w:vertAlign w:val="baseline"/>
                <w:lang w:val="en-US" w:eastAsia="zh-CN"/>
              </w:rPr>
              <w:t>3</w:t>
            </w:r>
            <w:r>
              <w:rPr>
                <w:rFonts w:hint="default" w:ascii="Times New Roman" w:hAnsi="Times New Roman" w:eastAsia="黑体" w:cs="Times New Roman"/>
                <w:b w:val="0"/>
                <w:bCs w:val="0"/>
                <w:sz w:val="24"/>
                <w:vertAlign w:val="baseline"/>
                <w:lang w:val="en-US" w:eastAsia="zh-CN"/>
              </w:rPr>
              <w:t xml:space="preserve">  非正常工况废气污染物产生及排放情况</w:t>
            </w:r>
          </w:p>
          <w:tbl>
            <w:tblPr>
              <w:tblStyle w:val="31"/>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86"/>
              <w:gridCol w:w="1006"/>
              <w:gridCol w:w="983"/>
              <w:gridCol w:w="1643"/>
              <w:gridCol w:w="885"/>
              <w:gridCol w:w="2255"/>
              <w:gridCol w:w="11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600"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排放源</w:t>
                  </w:r>
                </w:p>
              </w:tc>
              <w:tc>
                <w:tcPr>
                  <w:tcW w:w="556"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污染物</w:t>
                  </w:r>
                </w:p>
              </w:tc>
              <w:tc>
                <w:tcPr>
                  <w:tcW w:w="543"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排放量kg/h</w:t>
                  </w:r>
                </w:p>
              </w:tc>
              <w:tc>
                <w:tcPr>
                  <w:tcW w:w="908"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排放浓度mg/m³</w:t>
                  </w:r>
                </w:p>
              </w:tc>
              <w:tc>
                <w:tcPr>
                  <w:tcW w:w="489"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持续</w:t>
                  </w:r>
                </w:p>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时间</w:t>
                  </w:r>
                </w:p>
              </w:tc>
              <w:tc>
                <w:tcPr>
                  <w:tcW w:w="1246"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非正常工况</w:t>
                  </w:r>
                </w:p>
              </w:tc>
              <w:tc>
                <w:tcPr>
                  <w:tcW w:w="655"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应对</w:t>
                  </w:r>
                </w:p>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90" w:hRule="atLeast"/>
              </w:trPr>
              <w:tc>
                <w:tcPr>
                  <w:tcW w:w="600"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1#车间除尘设备</w:t>
                  </w:r>
                </w:p>
              </w:tc>
              <w:tc>
                <w:tcPr>
                  <w:tcW w:w="556"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颗粒物</w:t>
                  </w:r>
                </w:p>
              </w:tc>
              <w:tc>
                <w:tcPr>
                  <w:tcW w:w="543" w:type="pct"/>
                  <w:tcBorders>
                    <w:tl2br w:val="nil"/>
                    <w:tr2bl w:val="nil"/>
                  </w:tcBorders>
                  <w:noWrap w:val="0"/>
                  <w:vAlign w:val="center"/>
                </w:tcPr>
                <w:p>
                  <w:pPr>
                    <w:widowControl/>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5.72</w:t>
                  </w:r>
                </w:p>
              </w:tc>
              <w:tc>
                <w:tcPr>
                  <w:tcW w:w="908" w:type="pct"/>
                  <w:tcBorders>
                    <w:tl2br w:val="nil"/>
                    <w:tr2bl w:val="nil"/>
                  </w:tcBorders>
                  <w:noWrap w:val="0"/>
                  <w:vAlign w:val="center"/>
                </w:tcPr>
                <w:p>
                  <w:pPr>
                    <w:widowControl/>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572.031</w:t>
                  </w:r>
                </w:p>
              </w:tc>
              <w:tc>
                <w:tcPr>
                  <w:tcW w:w="489"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1h</w:t>
                  </w:r>
                </w:p>
              </w:tc>
              <w:tc>
                <w:tcPr>
                  <w:tcW w:w="1246"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除尘设备故障</w:t>
                  </w:r>
                </w:p>
              </w:tc>
              <w:tc>
                <w:tcPr>
                  <w:tcW w:w="655" w:type="pct"/>
                  <w:tcBorders>
                    <w:tl2br w:val="nil"/>
                    <w:tr2bl w:val="nil"/>
                  </w:tcBorders>
                  <w:noWrap w:val="0"/>
                  <w:vAlign w:val="center"/>
                </w:tcPr>
                <w:p>
                  <w:pPr>
                    <w:pStyle w:val="2"/>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紧急检修、更换布袋</w:t>
                  </w:r>
                </w:p>
              </w:tc>
            </w:tr>
          </w:tbl>
          <w:p>
            <w:pPr>
              <w:adjustRightInd w:val="0"/>
              <w:snapToGrid w:val="0"/>
              <w:spacing w:line="520" w:lineRule="exact"/>
              <w:ind w:firstLine="480" w:firstLineChars="200"/>
              <w:rPr>
                <w:b w:val="0"/>
                <w:bCs/>
                <w:kern w:val="0"/>
              </w:rPr>
            </w:pPr>
            <w:r>
              <w:rPr>
                <w:sz w:val="24"/>
              </w:rPr>
              <w:t>1.1.2</w:t>
            </w:r>
            <w:r>
              <w:rPr>
                <w:rFonts w:hint="eastAsia" w:hAnsi="宋体"/>
                <w:kern w:val="0"/>
                <w:sz w:val="24"/>
                <w:lang w:val="en-US" w:eastAsia="zh-CN"/>
              </w:rPr>
              <w:t>储存、输送</w:t>
            </w:r>
            <w:r>
              <w:rPr>
                <w:rFonts w:hint="eastAsia" w:hAnsi="宋体"/>
                <w:kern w:val="0"/>
                <w:sz w:val="24"/>
              </w:rPr>
              <w:t>扬尘</w:t>
            </w:r>
          </w:p>
          <w:p>
            <w:pPr>
              <w:pStyle w:val="30"/>
              <w:spacing w:after="0"/>
              <w:ind w:left="0" w:leftChars="0" w:firstLine="480"/>
              <w:rPr>
                <w:rFonts w:hint="eastAsia" w:eastAsia="宋体"/>
                <w:lang w:val="en-US" w:eastAsia="zh-CN"/>
              </w:rPr>
            </w:pPr>
            <w:r>
              <w:rPr>
                <w:rFonts w:hint="eastAsia"/>
                <w:bCs/>
                <w:lang w:val="en-US" w:eastAsia="zh-CN"/>
              </w:rPr>
              <w:t>本项目水泥和砂石料通过罐车输送至厂区水泥筒仓和砂石料筒仓中，输送环节密闭。根据表4-1</w:t>
            </w:r>
            <w:r>
              <w:rPr>
                <w:bCs/>
              </w:rPr>
              <w:t>计算得，本项目</w:t>
            </w:r>
            <w:r>
              <w:rPr>
                <w:rFonts w:hint="eastAsia"/>
                <w:bCs/>
                <w:lang w:val="en-US" w:eastAsia="zh-CN"/>
              </w:rPr>
              <w:t>储存</w:t>
            </w:r>
            <w:r>
              <w:rPr>
                <w:bCs/>
              </w:rPr>
              <w:t>起尘量约为</w:t>
            </w:r>
            <w:r>
              <w:rPr>
                <w:rFonts w:hint="eastAsia"/>
                <w:bCs/>
                <w:lang w:val="en-US" w:eastAsia="zh-CN"/>
              </w:rPr>
              <w:t>2.052</w:t>
            </w:r>
            <w:r>
              <w:rPr>
                <w:bCs/>
              </w:rPr>
              <w:t>t/a，</w:t>
            </w:r>
            <w:r>
              <w:rPr>
                <w:rFonts w:hint="eastAsia"/>
                <w:bCs/>
                <w:lang w:val="en-US" w:eastAsia="zh-CN"/>
              </w:rPr>
              <w:t>粉尘分别经两个筒仓自带的两台布袋除尘装置（除尘效率99.7%）处理后通过筒仓排气孔排出，排出粉尘量总为0.006t/a</w:t>
            </w:r>
            <w:r>
              <w:rPr>
                <w:bCs/>
              </w:rPr>
              <w:t>。</w:t>
            </w:r>
          </w:p>
          <w:p>
            <w:pPr>
              <w:widowControl/>
              <w:spacing w:line="520" w:lineRule="exact"/>
              <w:ind w:firstLine="480" w:firstLineChars="200"/>
              <w:rPr>
                <w:rFonts w:hint="default" w:eastAsia="宋体"/>
                <w:b w:val="0"/>
                <w:bCs w:val="0"/>
                <w:sz w:val="24"/>
                <w:lang w:val="en-US" w:eastAsia="zh-CN"/>
              </w:rPr>
            </w:pPr>
            <w:r>
              <w:rPr>
                <w:rFonts w:hint="eastAsia"/>
                <w:b w:val="0"/>
                <w:bCs w:val="0"/>
                <w:sz w:val="24"/>
                <w:lang w:val="en-US" w:eastAsia="zh-CN"/>
              </w:rPr>
              <w:t>1.1.3运输扬尘</w:t>
            </w:r>
          </w:p>
          <w:p>
            <w:pPr>
              <w:spacing w:line="520" w:lineRule="exact"/>
              <w:ind w:firstLine="480" w:firstLineChars="200"/>
              <w:rPr>
                <w:sz w:val="24"/>
                <w:szCs w:val="32"/>
              </w:rPr>
            </w:pPr>
            <w:r>
              <w:rPr>
                <w:sz w:val="24"/>
                <w:szCs w:val="32"/>
              </w:rPr>
              <w:t>车辆行驶产生的扬尘，在道路完全干燥的情况下，可按下列经验公式计算：</w:t>
            </w:r>
          </w:p>
          <w:p>
            <w:pPr>
              <w:spacing w:line="520" w:lineRule="exact"/>
              <w:ind w:firstLine="1440" w:firstLineChars="600"/>
              <w:rPr>
                <w:sz w:val="24"/>
                <w:szCs w:val="32"/>
              </w:rPr>
            </w:pPr>
            <w:r>
              <w:rPr>
                <w:sz w:val="24"/>
                <w:szCs w:val="32"/>
              </w:rPr>
              <w:t>Q=0.123(V/5)(W/6.8)</w:t>
            </w:r>
            <w:r>
              <w:rPr>
                <w:sz w:val="24"/>
                <w:szCs w:val="32"/>
                <w:vertAlign w:val="superscript"/>
              </w:rPr>
              <w:t>0.85</w:t>
            </w:r>
            <w:r>
              <w:rPr>
                <w:sz w:val="24"/>
                <w:szCs w:val="32"/>
              </w:rPr>
              <w:t>(P/0.5)</w:t>
            </w:r>
            <w:r>
              <w:rPr>
                <w:sz w:val="24"/>
                <w:szCs w:val="32"/>
                <w:vertAlign w:val="superscript"/>
              </w:rPr>
              <w:t>0.75</w:t>
            </w:r>
          </w:p>
          <w:p>
            <w:pPr>
              <w:spacing w:line="520" w:lineRule="exact"/>
              <w:ind w:firstLine="720" w:firstLineChars="300"/>
              <w:rPr>
                <w:sz w:val="24"/>
                <w:szCs w:val="32"/>
              </w:rPr>
            </w:pPr>
            <w:r>
              <w:rPr>
                <w:sz w:val="24"/>
                <w:szCs w:val="32"/>
              </w:rPr>
              <w:t>式中：Q：汽车行驶时的扬尘，kg/km·辆；</w:t>
            </w:r>
          </w:p>
          <w:p>
            <w:pPr>
              <w:spacing w:line="520" w:lineRule="exact"/>
              <w:ind w:firstLine="1440" w:firstLineChars="600"/>
              <w:rPr>
                <w:sz w:val="24"/>
                <w:szCs w:val="32"/>
              </w:rPr>
            </w:pPr>
            <w:r>
              <w:rPr>
                <w:sz w:val="24"/>
                <w:szCs w:val="32"/>
              </w:rPr>
              <w:t>V：汽车行驶速度，km/h；</w:t>
            </w:r>
          </w:p>
          <w:p>
            <w:pPr>
              <w:spacing w:line="520" w:lineRule="exact"/>
              <w:ind w:firstLine="1440" w:firstLineChars="600"/>
              <w:rPr>
                <w:sz w:val="24"/>
                <w:szCs w:val="32"/>
              </w:rPr>
            </w:pPr>
            <w:r>
              <w:rPr>
                <w:sz w:val="24"/>
                <w:szCs w:val="32"/>
              </w:rPr>
              <w:t>W：汽车载重，t；</w:t>
            </w:r>
          </w:p>
          <w:p>
            <w:pPr>
              <w:spacing w:line="520" w:lineRule="exact"/>
              <w:ind w:firstLine="1440" w:firstLineChars="600"/>
              <w:rPr>
                <w:sz w:val="24"/>
                <w:szCs w:val="32"/>
              </w:rPr>
            </w:pPr>
            <w:r>
              <w:rPr>
                <w:sz w:val="24"/>
                <w:szCs w:val="32"/>
              </w:rPr>
              <w:t>P：道路表面粉尘量，kg/m</w:t>
            </w:r>
            <w:r>
              <w:rPr>
                <w:sz w:val="24"/>
                <w:szCs w:val="32"/>
                <w:vertAlign w:val="superscript"/>
              </w:rPr>
              <w:t>2</w:t>
            </w:r>
            <w:r>
              <w:rPr>
                <w:sz w:val="24"/>
                <w:szCs w:val="32"/>
              </w:rPr>
              <w:t>。</w:t>
            </w:r>
          </w:p>
          <w:p>
            <w:pPr>
              <w:spacing w:line="520" w:lineRule="exact"/>
              <w:ind w:firstLine="480" w:firstLineChars="200"/>
            </w:pPr>
            <w:r>
              <w:rPr>
                <w:sz w:val="24"/>
                <w:szCs w:val="32"/>
              </w:rPr>
              <w:t>本项目车辆在厂区内行驶距离按100m计，本项目平均每天发空车、重载各</w:t>
            </w:r>
            <w:r>
              <w:rPr>
                <w:rFonts w:hint="eastAsia"/>
                <w:sz w:val="24"/>
                <w:szCs w:val="32"/>
                <w:lang w:val="en-US" w:eastAsia="zh-CN"/>
              </w:rPr>
              <w:t>1</w:t>
            </w:r>
            <w:r>
              <w:rPr>
                <w:sz w:val="24"/>
                <w:szCs w:val="32"/>
              </w:rPr>
              <w:t>辆·次；空车车重10t，载重车重约</w:t>
            </w:r>
            <w:r>
              <w:rPr>
                <w:rFonts w:hint="eastAsia"/>
                <w:sz w:val="24"/>
                <w:szCs w:val="32"/>
                <w:lang w:val="en-US" w:eastAsia="zh-CN"/>
              </w:rPr>
              <w:t>6</w:t>
            </w:r>
            <w:r>
              <w:rPr>
                <w:sz w:val="24"/>
                <w:szCs w:val="32"/>
              </w:rPr>
              <w:t>0t，以速度10km/h，在不同路面清洁度情况下的扬尘见下表。</w:t>
            </w:r>
          </w:p>
          <w:p>
            <w:pPr>
              <w:pStyle w:val="99"/>
              <w:rPr>
                <w:rFonts w:ascii="黑体" w:hAnsi="黑体" w:eastAsia="黑体" w:cs="黑体"/>
                <w:b w:val="0"/>
                <w:bCs/>
                <w:sz w:val="24"/>
                <w:szCs w:val="32"/>
              </w:rPr>
            </w:pPr>
            <w:r>
              <w:rPr>
                <w:rFonts w:hint="eastAsia" w:ascii="黑体" w:hAnsi="黑体" w:eastAsia="黑体" w:cs="黑体"/>
                <w:b w:val="0"/>
                <w:bCs/>
                <w:sz w:val="24"/>
                <w:szCs w:val="32"/>
              </w:rPr>
              <w:t>表</w:t>
            </w:r>
            <w:r>
              <w:rPr>
                <w:rFonts w:hint="eastAsia" w:ascii="黑体" w:hAnsi="黑体" w:eastAsia="黑体" w:cs="黑体"/>
                <w:b w:val="0"/>
                <w:bCs/>
                <w:sz w:val="24"/>
                <w:szCs w:val="32"/>
                <w:lang w:val="en-US" w:eastAsia="zh-CN"/>
              </w:rPr>
              <w:t>4.4</w:t>
            </w:r>
            <w:r>
              <w:rPr>
                <w:rFonts w:hint="eastAsia" w:ascii="黑体" w:hAnsi="黑体" w:eastAsia="黑体" w:cs="黑体"/>
                <w:b w:val="0"/>
                <w:bCs/>
                <w:sz w:val="24"/>
                <w:szCs w:val="32"/>
              </w:rPr>
              <w:t xml:space="preserve">  车辆行驶扬尘量  单位 kg/d</w:t>
            </w:r>
          </w:p>
          <w:tbl>
            <w:tblPr>
              <w:tblStyle w:val="31"/>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90"/>
              <w:gridCol w:w="1292"/>
              <w:gridCol w:w="1292"/>
              <w:gridCol w:w="1292"/>
              <w:gridCol w:w="1292"/>
              <w:gridCol w:w="1293"/>
              <w:gridCol w:w="12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13" w:type="pct"/>
                  <w:vAlign w:val="center"/>
                </w:tcPr>
                <w:p>
                  <w:pPr>
                    <w:jc w:val="right"/>
                    <w:rPr>
                      <w:szCs w:val="21"/>
                    </w:rPr>
                  </w:pPr>
                  <w:r>
                    <w:rPr>
                      <w:rFonts w:eastAsia="Times New Roman"/>
                      <w:szCs w:val="21"/>
                    </w:rPr>
                    <mc:AlternateContent>
                      <mc:Choice Requires="wps">
                        <w:drawing>
                          <wp:anchor distT="0" distB="0" distL="114300" distR="114300" simplePos="0" relativeHeight="251712512" behindDoc="0" locked="0" layoutInCell="1" allowOverlap="1">
                            <wp:simplePos x="0" y="0"/>
                            <wp:positionH relativeFrom="column">
                              <wp:posOffset>-39370</wp:posOffset>
                            </wp:positionH>
                            <wp:positionV relativeFrom="paragraph">
                              <wp:posOffset>8255</wp:posOffset>
                            </wp:positionV>
                            <wp:extent cx="698500" cy="386080"/>
                            <wp:effectExtent l="2540" t="4445" r="3810" b="9525"/>
                            <wp:wrapNone/>
                            <wp:docPr id="137" name="自选图形 2"/>
                            <wp:cNvGraphicFramePr/>
                            <a:graphic xmlns:a="http://schemas.openxmlformats.org/drawingml/2006/main">
                              <a:graphicData uri="http://schemas.microsoft.com/office/word/2010/wordprocessingShape">
                                <wps:wsp>
                                  <wps:cNvCnPr>
                                    <a:cxnSpLocks noChangeShapeType="1"/>
                                  </wps:cNvCnPr>
                                  <wps:spPr bwMode="auto">
                                    <a:xfrm>
                                      <a:off x="0" y="0"/>
                                      <a:ext cx="698500" cy="386080"/>
                                    </a:xfrm>
                                    <a:prstGeom prst="straightConnector1">
                                      <a:avLst/>
                                    </a:prstGeom>
                                    <a:noFill/>
                                    <a:ln w="9525">
                                      <a:solidFill>
                                        <a:srgbClr val="000000"/>
                                      </a:solidFill>
                                      <a:round/>
                                    </a:ln>
                                  </wps:spPr>
                                  <wps:bodyPr/>
                                </wps:wsp>
                              </a:graphicData>
                            </a:graphic>
                          </wp:anchor>
                        </w:drawing>
                      </mc:Choice>
                      <mc:Fallback>
                        <w:pict>
                          <v:shape id="自选图形 2" o:spid="_x0000_s1026" o:spt="32" type="#_x0000_t32" style="position:absolute;left:0pt;margin-left:-3.1pt;margin-top:0.65pt;height:30.4pt;width:55pt;z-index:251712512;mso-width-relative:page;mso-height-relative:page;" filled="f" stroked="t" coordsize="21600,21600" o:gfxdata="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87dznNYAAAAHAQAADwAAAAAAAAABACAAAAAiAAAAZHJzL2Rvd25yZXYueG1sUEsBAhQA&#10;FAAAAAgAh07iQOjfKgL0AQAAuwMAAA4AAAAAAAAAAQAgAAAAJQEAAGRycy9lMm9Eb2MueG1sUEsF&#10;BgAAAAAGAAYAWQEAAIsFAAAAAA==&#10;">
                            <v:fill on="f" focussize="0,0"/>
                            <v:stroke color="#000000" joinstyle="round"/>
                            <v:imagedata o:title=""/>
                            <o:lock v:ext="edit" aspectratio="f"/>
                          </v:shape>
                        </w:pict>
                      </mc:Fallback>
                    </mc:AlternateContent>
                  </w:r>
                  <w:r>
                    <w:rPr>
                      <w:szCs w:val="21"/>
                    </w:rPr>
                    <w:t>路况</w:t>
                  </w:r>
                </w:p>
                <w:p>
                  <w:pPr>
                    <w:rPr>
                      <w:szCs w:val="21"/>
                    </w:rPr>
                  </w:pPr>
                  <w:r>
                    <w:rPr>
                      <w:szCs w:val="21"/>
                    </w:rPr>
                    <w:t>车况</w:t>
                  </w:r>
                </w:p>
              </w:tc>
              <w:tc>
                <w:tcPr>
                  <w:tcW w:w="714" w:type="pct"/>
                  <w:vAlign w:val="center"/>
                </w:tcPr>
                <w:p>
                  <w:pPr>
                    <w:jc w:val="center"/>
                    <w:rPr>
                      <w:szCs w:val="21"/>
                    </w:rPr>
                  </w:pPr>
                  <w:r>
                    <w:rPr>
                      <w:szCs w:val="21"/>
                    </w:rPr>
                    <w:t>0.1kg/m</w:t>
                  </w:r>
                  <w:r>
                    <w:rPr>
                      <w:szCs w:val="21"/>
                      <w:vertAlign w:val="superscript"/>
                    </w:rPr>
                    <w:t>2</w:t>
                  </w:r>
                </w:p>
              </w:tc>
              <w:tc>
                <w:tcPr>
                  <w:tcW w:w="714" w:type="pct"/>
                  <w:vAlign w:val="center"/>
                </w:tcPr>
                <w:p>
                  <w:pPr>
                    <w:jc w:val="center"/>
                    <w:rPr>
                      <w:szCs w:val="21"/>
                    </w:rPr>
                  </w:pPr>
                  <w:r>
                    <w:rPr>
                      <w:szCs w:val="21"/>
                    </w:rPr>
                    <w:t>0.2kg/m</w:t>
                  </w:r>
                  <w:r>
                    <w:rPr>
                      <w:szCs w:val="21"/>
                      <w:vertAlign w:val="superscript"/>
                    </w:rPr>
                    <w:t>2</w:t>
                  </w:r>
                </w:p>
              </w:tc>
              <w:tc>
                <w:tcPr>
                  <w:tcW w:w="714" w:type="pct"/>
                  <w:vAlign w:val="center"/>
                </w:tcPr>
                <w:p>
                  <w:pPr>
                    <w:jc w:val="center"/>
                    <w:rPr>
                      <w:szCs w:val="21"/>
                    </w:rPr>
                  </w:pPr>
                  <w:r>
                    <w:rPr>
                      <w:szCs w:val="21"/>
                    </w:rPr>
                    <w:t>0.3kg/m</w:t>
                  </w:r>
                  <w:r>
                    <w:rPr>
                      <w:szCs w:val="21"/>
                      <w:vertAlign w:val="superscript"/>
                    </w:rPr>
                    <w:t>2</w:t>
                  </w:r>
                </w:p>
              </w:tc>
              <w:tc>
                <w:tcPr>
                  <w:tcW w:w="714" w:type="pct"/>
                  <w:vAlign w:val="center"/>
                </w:tcPr>
                <w:p>
                  <w:pPr>
                    <w:jc w:val="center"/>
                    <w:rPr>
                      <w:szCs w:val="21"/>
                    </w:rPr>
                  </w:pPr>
                  <w:r>
                    <w:rPr>
                      <w:szCs w:val="21"/>
                    </w:rPr>
                    <w:t>0.4kg/m</w:t>
                  </w:r>
                  <w:r>
                    <w:rPr>
                      <w:szCs w:val="21"/>
                      <w:vertAlign w:val="superscript"/>
                    </w:rPr>
                    <w:t>2</w:t>
                  </w:r>
                </w:p>
              </w:tc>
              <w:tc>
                <w:tcPr>
                  <w:tcW w:w="714" w:type="pct"/>
                  <w:vAlign w:val="center"/>
                </w:tcPr>
                <w:p>
                  <w:pPr>
                    <w:jc w:val="center"/>
                    <w:rPr>
                      <w:szCs w:val="21"/>
                    </w:rPr>
                  </w:pPr>
                  <w:r>
                    <w:rPr>
                      <w:szCs w:val="21"/>
                    </w:rPr>
                    <w:t>0.5kg/m</w:t>
                  </w:r>
                  <w:r>
                    <w:rPr>
                      <w:szCs w:val="21"/>
                      <w:vertAlign w:val="superscript"/>
                    </w:rPr>
                    <w:t>2</w:t>
                  </w:r>
                </w:p>
              </w:tc>
              <w:tc>
                <w:tcPr>
                  <w:tcW w:w="714" w:type="pct"/>
                  <w:vAlign w:val="center"/>
                </w:tcPr>
                <w:p>
                  <w:pPr>
                    <w:jc w:val="center"/>
                    <w:rPr>
                      <w:szCs w:val="21"/>
                    </w:rPr>
                  </w:pPr>
                  <w:r>
                    <w:rPr>
                      <w:szCs w:val="21"/>
                    </w:rPr>
                    <w:t>0.6kg/m</w:t>
                  </w:r>
                  <w:r>
                    <w:rPr>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13" w:type="pct"/>
                  <w:vAlign w:val="center"/>
                </w:tcPr>
                <w:p>
                  <w:pPr>
                    <w:jc w:val="center"/>
                    <w:rPr>
                      <w:szCs w:val="21"/>
                    </w:rPr>
                  </w:pPr>
                  <w:r>
                    <w:rPr>
                      <w:szCs w:val="21"/>
                    </w:rPr>
                    <w:t>空车</w:t>
                  </w:r>
                </w:p>
              </w:tc>
              <w:tc>
                <w:tcPr>
                  <w:tcW w:w="714" w:type="pct"/>
                  <w:vAlign w:val="center"/>
                </w:tcPr>
                <w:p>
                  <w:pPr>
                    <w:jc w:val="center"/>
                    <w:rPr>
                      <w:szCs w:val="21"/>
                    </w:rPr>
                  </w:pPr>
                  <w:r>
                    <w:rPr>
                      <w:szCs w:val="21"/>
                    </w:rPr>
                    <w:t>0.102</w:t>
                  </w:r>
                </w:p>
              </w:tc>
              <w:tc>
                <w:tcPr>
                  <w:tcW w:w="714" w:type="pct"/>
                  <w:vAlign w:val="center"/>
                </w:tcPr>
                <w:p>
                  <w:pPr>
                    <w:jc w:val="center"/>
                    <w:rPr>
                      <w:szCs w:val="21"/>
                    </w:rPr>
                  </w:pPr>
                  <w:r>
                    <w:rPr>
                      <w:szCs w:val="21"/>
                    </w:rPr>
                    <w:t>0.172</w:t>
                  </w:r>
                </w:p>
              </w:tc>
              <w:tc>
                <w:tcPr>
                  <w:tcW w:w="714" w:type="pct"/>
                  <w:vAlign w:val="center"/>
                </w:tcPr>
                <w:p>
                  <w:pPr>
                    <w:jc w:val="center"/>
                    <w:rPr>
                      <w:szCs w:val="21"/>
                    </w:rPr>
                  </w:pPr>
                  <w:r>
                    <w:rPr>
                      <w:szCs w:val="21"/>
                    </w:rPr>
                    <w:t>0.233</w:t>
                  </w:r>
                </w:p>
              </w:tc>
              <w:tc>
                <w:tcPr>
                  <w:tcW w:w="714" w:type="pct"/>
                  <w:vAlign w:val="center"/>
                </w:tcPr>
                <w:p>
                  <w:pPr>
                    <w:jc w:val="center"/>
                    <w:rPr>
                      <w:szCs w:val="21"/>
                    </w:rPr>
                  </w:pPr>
                  <w:r>
                    <w:rPr>
                      <w:szCs w:val="21"/>
                    </w:rPr>
                    <w:t>0.288</w:t>
                  </w:r>
                </w:p>
              </w:tc>
              <w:tc>
                <w:tcPr>
                  <w:tcW w:w="714" w:type="pct"/>
                  <w:vAlign w:val="center"/>
                </w:tcPr>
                <w:p>
                  <w:pPr>
                    <w:jc w:val="center"/>
                    <w:rPr>
                      <w:szCs w:val="21"/>
                    </w:rPr>
                  </w:pPr>
                  <w:r>
                    <w:rPr>
                      <w:szCs w:val="21"/>
                    </w:rPr>
                    <w:t>0.341</w:t>
                  </w:r>
                </w:p>
              </w:tc>
              <w:tc>
                <w:tcPr>
                  <w:tcW w:w="714" w:type="pct"/>
                  <w:vAlign w:val="center"/>
                </w:tcPr>
                <w:p>
                  <w:pPr>
                    <w:jc w:val="center"/>
                    <w:rPr>
                      <w:szCs w:val="21"/>
                    </w:rPr>
                  </w:pPr>
                  <w:r>
                    <w:rPr>
                      <w:szCs w:val="21"/>
                    </w:rPr>
                    <w:t>0.391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13" w:type="pct"/>
                  <w:vAlign w:val="center"/>
                </w:tcPr>
                <w:p>
                  <w:pPr>
                    <w:jc w:val="center"/>
                    <w:rPr>
                      <w:szCs w:val="21"/>
                    </w:rPr>
                  </w:pPr>
                  <w:r>
                    <w:rPr>
                      <w:szCs w:val="21"/>
                    </w:rPr>
                    <w:t>重车</w:t>
                  </w:r>
                </w:p>
              </w:tc>
              <w:tc>
                <w:tcPr>
                  <w:tcW w:w="714" w:type="pct"/>
                  <w:vAlign w:val="center"/>
                </w:tcPr>
                <w:p>
                  <w:pPr>
                    <w:jc w:val="center"/>
                    <w:rPr>
                      <w:szCs w:val="21"/>
                    </w:rPr>
                  </w:pPr>
                  <w:r>
                    <w:rPr>
                      <w:szCs w:val="21"/>
                    </w:rPr>
                    <w:t>0.26</w:t>
                  </w:r>
                </w:p>
              </w:tc>
              <w:tc>
                <w:tcPr>
                  <w:tcW w:w="714" w:type="pct"/>
                  <w:vAlign w:val="center"/>
                </w:tcPr>
                <w:p>
                  <w:pPr>
                    <w:jc w:val="center"/>
                    <w:rPr>
                      <w:szCs w:val="21"/>
                    </w:rPr>
                  </w:pPr>
                  <w:r>
                    <w:rPr>
                      <w:szCs w:val="21"/>
                    </w:rPr>
                    <w:t>0.437</w:t>
                  </w:r>
                </w:p>
              </w:tc>
              <w:tc>
                <w:tcPr>
                  <w:tcW w:w="714" w:type="pct"/>
                  <w:vAlign w:val="center"/>
                </w:tcPr>
                <w:p>
                  <w:pPr>
                    <w:jc w:val="center"/>
                    <w:rPr>
                      <w:szCs w:val="21"/>
                    </w:rPr>
                  </w:pPr>
                  <w:r>
                    <w:rPr>
                      <w:szCs w:val="21"/>
                    </w:rPr>
                    <w:cr/>
                  </w:r>
                  <w:r>
                    <w:rPr>
                      <w:rFonts w:hint="eastAsia"/>
                      <w:szCs w:val="21"/>
                    </w:rPr>
                    <w:t>0.595</w:t>
                  </w:r>
                </w:p>
              </w:tc>
              <w:tc>
                <w:tcPr>
                  <w:tcW w:w="714" w:type="pct"/>
                  <w:vAlign w:val="center"/>
                </w:tcPr>
                <w:p>
                  <w:pPr>
                    <w:jc w:val="center"/>
                    <w:rPr>
                      <w:szCs w:val="21"/>
                    </w:rPr>
                  </w:pPr>
                  <w:r>
                    <w:rPr>
                      <w:rFonts w:hint="eastAsia"/>
                      <w:szCs w:val="21"/>
                    </w:rPr>
                    <w:t>0.35</w:t>
                  </w:r>
                </w:p>
              </w:tc>
              <w:tc>
                <w:tcPr>
                  <w:tcW w:w="714" w:type="pct"/>
                  <w:vAlign w:val="center"/>
                </w:tcPr>
                <w:p>
                  <w:pPr>
                    <w:jc w:val="center"/>
                    <w:rPr>
                      <w:szCs w:val="21"/>
                    </w:rPr>
                  </w:pPr>
                  <w:r>
                    <w:rPr>
                      <w:szCs w:val="21"/>
                    </w:rPr>
                    <w:t>0.87</w:t>
                  </w:r>
                </w:p>
              </w:tc>
              <w:tc>
                <w:tcPr>
                  <w:tcW w:w="714" w:type="pct"/>
                  <w:vAlign w:val="center"/>
                </w:tcPr>
                <w:p>
                  <w:pPr>
                    <w:jc w:val="center"/>
                    <w:rPr>
                      <w:szCs w:val="21"/>
                    </w:rPr>
                  </w:pPr>
                  <w:r>
                    <w:rPr>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13" w:type="pct"/>
                  <w:vAlign w:val="center"/>
                </w:tcPr>
                <w:p>
                  <w:pPr>
                    <w:jc w:val="center"/>
                    <w:rPr>
                      <w:szCs w:val="21"/>
                    </w:rPr>
                  </w:pPr>
                  <w:r>
                    <w:rPr>
                      <w:szCs w:val="21"/>
                    </w:rPr>
                    <w:t>合计</w:t>
                  </w:r>
                </w:p>
              </w:tc>
              <w:tc>
                <w:tcPr>
                  <w:tcW w:w="714" w:type="pct"/>
                  <w:vAlign w:val="center"/>
                </w:tcPr>
                <w:p>
                  <w:pPr>
                    <w:jc w:val="center"/>
                    <w:rPr>
                      <w:szCs w:val="21"/>
                    </w:rPr>
                  </w:pPr>
                  <w:r>
                    <w:rPr>
                      <w:rFonts w:hint="eastAsia"/>
                      <w:szCs w:val="21"/>
                    </w:rPr>
                    <w:t>0.362</w:t>
                  </w:r>
                </w:p>
              </w:tc>
              <w:tc>
                <w:tcPr>
                  <w:tcW w:w="714" w:type="pct"/>
                  <w:vAlign w:val="center"/>
                </w:tcPr>
                <w:p>
                  <w:pPr>
                    <w:jc w:val="center"/>
                    <w:rPr>
                      <w:szCs w:val="21"/>
                    </w:rPr>
                  </w:pPr>
                  <w:r>
                    <w:rPr>
                      <w:szCs w:val="21"/>
                    </w:rPr>
                    <w:t>0.609</w:t>
                  </w:r>
                </w:p>
              </w:tc>
              <w:tc>
                <w:tcPr>
                  <w:tcW w:w="714" w:type="pct"/>
                  <w:vAlign w:val="center"/>
                </w:tcPr>
                <w:p>
                  <w:pPr>
                    <w:jc w:val="center"/>
                    <w:rPr>
                      <w:szCs w:val="21"/>
                    </w:rPr>
                  </w:pPr>
                  <w:r>
                    <w:rPr>
                      <w:szCs w:val="21"/>
                    </w:rPr>
                    <w:t>0.838</w:t>
                  </w:r>
                </w:p>
              </w:tc>
              <w:tc>
                <w:tcPr>
                  <w:tcW w:w="714" w:type="pct"/>
                  <w:vAlign w:val="center"/>
                </w:tcPr>
                <w:p>
                  <w:pPr>
                    <w:jc w:val="center"/>
                    <w:rPr>
                      <w:szCs w:val="21"/>
                    </w:rPr>
                  </w:pPr>
                  <w:r>
                    <w:rPr>
                      <w:rFonts w:hint="eastAsia"/>
                      <w:szCs w:val="21"/>
                    </w:rPr>
                    <w:t>0.638</w:t>
                  </w:r>
                </w:p>
              </w:tc>
              <w:tc>
                <w:tcPr>
                  <w:tcW w:w="714" w:type="pct"/>
                  <w:vAlign w:val="center"/>
                </w:tcPr>
                <w:p>
                  <w:pPr>
                    <w:jc w:val="center"/>
                    <w:rPr>
                      <w:szCs w:val="21"/>
                    </w:rPr>
                  </w:pPr>
                  <w:r>
                    <w:rPr>
                      <w:szCs w:val="21"/>
                    </w:rPr>
                    <w:t>1.211</w:t>
                  </w:r>
                </w:p>
              </w:tc>
              <w:tc>
                <w:tcPr>
                  <w:tcW w:w="714" w:type="pct"/>
                  <w:vAlign w:val="center"/>
                </w:tcPr>
                <w:p>
                  <w:pPr>
                    <w:jc w:val="center"/>
                    <w:rPr>
                      <w:szCs w:val="21"/>
                    </w:rPr>
                  </w:pPr>
                  <w:r>
                    <w:rPr>
                      <w:szCs w:val="21"/>
                    </w:rPr>
                    <w:t>1.391</w:t>
                  </w:r>
                </w:p>
              </w:tc>
            </w:tr>
          </w:tbl>
          <w:p>
            <w:pPr>
              <w:widowControl/>
              <w:spacing w:line="520" w:lineRule="exact"/>
              <w:ind w:firstLine="480" w:firstLineChars="200"/>
              <w:rPr>
                <w:rFonts w:hint="eastAsia"/>
                <w:b w:val="0"/>
                <w:bCs w:val="0"/>
                <w:sz w:val="24"/>
              </w:rPr>
            </w:pPr>
            <w:r>
              <w:rPr>
                <w:sz w:val="24"/>
                <w:szCs w:val="32"/>
              </w:rPr>
              <w:t>根据本项目的情况，厂区路面为硬化道路，定期洒水。基于这种情况，本环评道路路况以0.1kg/m</w:t>
            </w:r>
            <w:r>
              <w:rPr>
                <w:sz w:val="24"/>
                <w:szCs w:val="32"/>
                <w:vertAlign w:val="superscript"/>
              </w:rPr>
              <w:t>2</w:t>
            </w:r>
            <w:r>
              <w:rPr>
                <w:sz w:val="24"/>
                <w:szCs w:val="32"/>
              </w:rPr>
              <w:t>计，则经计算，运输车辆起尘量为</w:t>
            </w:r>
            <w:r>
              <w:rPr>
                <w:rFonts w:hint="eastAsia"/>
                <w:sz w:val="24"/>
                <w:szCs w:val="32"/>
                <w:lang w:val="en-US" w:eastAsia="zh-CN"/>
              </w:rPr>
              <w:t>1.053kg/km·辆</w:t>
            </w:r>
            <w:r>
              <w:rPr>
                <w:sz w:val="24"/>
                <w:szCs w:val="32"/>
              </w:rPr>
              <w:t>，</w:t>
            </w:r>
            <w:r>
              <w:rPr>
                <w:rFonts w:hint="eastAsia"/>
                <w:sz w:val="24"/>
                <w:szCs w:val="32"/>
                <w:lang w:val="en-US" w:eastAsia="zh-CN"/>
              </w:rPr>
              <w:t>则本项目运输车辆年起尘量为0.025t/a</w:t>
            </w:r>
            <w:r>
              <w:rPr>
                <w:sz w:val="24"/>
                <w:szCs w:val="32"/>
              </w:rPr>
              <w:t>通过厂区每天洒水抑尘，扬尘产生量可降低</w:t>
            </w:r>
            <w:r>
              <w:rPr>
                <w:rFonts w:hint="eastAsia"/>
                <w:sz w:val="24"/>
                <w:szCs w:val="32"/>
              </w:rPr>
              <w:t>8</w:t>
            </w:r>
            <w:r>
              <w:rPr>
                <w:sz w:val="24"/>
                <w:szCs w:val="32"/>
              </w:rPr>
              <w:t>0%，则本项目运输车辆起尘量处理后为</w:t>
            </w:r>
            <w:r>
              <w:rPr>
                <w:rFonts w:hint="eastAsia"/>
                <w:sz w:val="24"/>
                <w:szCs w:val="32"/>
                <w:lang w:val="en-US" w:eastAsia="zh-CN"/>
              </w:rPr>
              <w:t>0.005</w:t>
            </w:r>
            <w:r>
              <w:rPr>
                <w:sz w:val="24"/>
                <w:szCs w:val="32"/>
              </w:rPr>
              <w:t>t/a。</w:t>
            </w:r>
          </w:p>
          <w:p>
            <w:pPr>
              <w:keepNext w:val="0"/>
              <w:keepLines w:val="0"/>
              <w:pageBreakBefore w:val="0"/>
              <w:widowControl/>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bCs/>
                <w:sz w:val="24"/>
                <w:szCs w:val="32"/>
              </w:rPr>
            </w:pPr>
            <w:r>
              <w:rPr>
                <w:rFonts w:hint="default" w:ascii="Times New Roman" w:hAnsi="Times New Roman" w:eastAsia="宋体" w:cs="Times New Roman"/>
                <w:sz w:val="24"/>
                <w:szCs w:val="24"/>
                <w:lang w:val="en-US" w:eastAsia="zh-CN"/>
              </w:rPr>
              <w:t>本项目无组织粉尘排放总量为0.011t/a</w:t>
            </w:r>
            <w:r>
              <w:rPr>
                <w:rFonts w:hint="eastAsia" w:cs="Times New Roman"/>
                <w:sz w:val="24"/>
                <w:szCs w:val="24"/>
                <w:lang w:val="en-US" w:eastAsia="zh-CN"/>
              </w:rPr>
              <w:t>。</w:t>
            </w:r>
            <w:r>
              <w:rPr>
                <w:rFonts w:hint="default" w:ascii="Times New Roman" w:hAnsi="Times New Roman" w:eastAsia="宋体" w:cs="Times New Roman"/>
                <w:bCs/>
                <w:sz w:val="24"/>
                <w:szCs w:val="32"/>
              </w:rPr>
              <w:t>本次评价采用《环境影响评价技术导则—大气环境》（HJ2.2-2018）附录A推荐模型清单中的AERSCREEN</w:t>
            </w:r>
            <w:r>
              <w:rPr>
                <w:rFonts w:hint="eastAsia" w:ascii="Times New Roman" w:hAnsi="Times New Roman" w:eastAsia="宋体" w:cs="Times New Roman"/>
                <w:bCs/>
                <w:sz w:val="24"/>
                <w:szCs w:val="32"/>
                <w:lang w:val="en-US" w:eastAsia="zh-CN"/>
              </w:rPr>
              <w:t>预测无组织废气浓度</w:t>
            </w:r>
            <w:r>
              <w:rPr>
                <w:rFonts w:hint="default" w:ascii="Times New Roman" w:hAnsi="Times New Roman" w:eastAsia="宋体" w:cs="Times New Roman"/>
                <w:bCs/>
                <w:sz w:val="24"/>
                <w:szCs w:val="32"/>
              </w:rPr>
              <w:t>。</w:t>
            </w:r>
          </w:p>
          <w:p>
            <w:pPr>
              <w:pStyle w:val="99"/>
              <w:rPr>
                <w:rFonts w:hint="default" w:ascii="Times New Roman" w:hAnsi="Times New Roman" w:eastAsia="黑体" w:cs="Times New Roman"/>
                <w:b w:val="0"/>
                <w:bCs/>
                <w:sz w:val="24"/>
                <w:szCs w:val="32"/>
              </w:rPr>
            </w:pPr>
            <w:r>
              <w:rPr>
                <w:rFonts w:hint="default" w:ascii="Times New Roman" w:hAnsi="Times New Roman" w:eastAsia="黑体" w:cs="Times New Roman"/>
                <w:b w:val="0"/>
                <w:bCs/>
                <w:sz w:val="24"/>
                <w:szCs w:val="32"/>
              </w:rPr>
              <w:t>表</w:t>
            </w:r>
            <w:r>
              <w:rPr>
                <w:rFonts w:hint="eastAsia" w:eastAsia="黑体" w:cs="Times New Roman"/>
                <w:b w:val="0"/>
                <w:bCs/>
                <w:sz w:val="24"/>
                <w:szCs w:val="32"/>
                <w:lang w:val="en-US" w:eastAsia="zh-CN"/>
              </w:rPr>
              <w:t>4-5</w:t>
            </w:r>
            <w:r>
              <w:rPr>
                <w:rFonts w:hint="default" w:ascii="Times New Roman" w:hAnsi="Times New Roman" w:eastAsia="黑体" w:cs="Times New Roman"/>
                <w:b w:val="0"/>
                <w:bCs/>
                <w:sz w:val="24"/>
                <w:szCs w:val="32"/>
              </w:rPr>
              <w:t xml:space="preserve">  无组织废气面源排放参数一览表</w:t>
            </w:r>
          </w:p>
          <w:tbl>
            <w:tblPr>
              <w:tblStyle w:val="75"/>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1318"/>
              <w:gridCol w:w="1073"/>
              <w:gridCol w:w="974"/>
              <w:gridCol w:w="985"/>
              <w:gridCol w:w="1232"/>
              <w:gridCol w:w="1232"/>
              <w:gridCol w:w="123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4" w:hRule="atLeast"/>
                <w:jc w:val="center"/>
              </w:trPr>
              <w:tc>
                <w:tcPr>
                  <w:tcW w:w="551"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名称</w:t>
                  </w:r>
                </w:p>
              </w:tc>
              <w:tc>
                <w:tcPr>
                  <w:tcW w:w="728"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面源海拔高度/m</w:t>
                  </w:r>
                </w:p>
              </w:tc>
              <w:tc>
                <w:tcPr>
                  <w:tcW w:w="593"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面源长度/m</w:t>
                  </w:r>
                </w:p>
              </w:tc>
              <w:tc>
                <w:tcPr>
                  <w:tcW w:w="538"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面源宽度/m</w:t>
                  </w:r>
                </w:p>
              </w:tc>
              <w:tc>
                <w:tcPr>
                  <w:tcW w:w="544"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面源有效排放高度/m</w:t>
                  </w:r>
                </w:p>
              </w:tc>
              <w:tc>
                <w:tcPr>
                  <w:tcW w:w="681"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年排放小时数/h</w:t>
                  </w:r>
                </w:p>
              </w:tc>
              <w:tc>
                <w:tcPr>
                  <w:tcW w:w="681"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排放工况</w:t>
                  </w:r>
                </w:p>
              </w:tc>
              <w:tc>
                <w:tcPr>
                  <w:tcW w:w="680"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污染物排放</w:t>
                  </w:r>
                </w:p>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量/(t/a)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551"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厂区</w:t>
                  </w:r>
                </w:p>
              </w:tc>
              <w:tc>
                <w:tcPr>
                  <w:tcW w:w="728"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506</w:t>
                  </w:r>
                </w:p>
              </w:tc>
              <w:tc>
                <w:tcPr>
                  <w:tcW w:w="593"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120</w:t>
                  </w:r>
                </w:p>
              </w:tc>
              <w:tc>
                <w:tcPr>
                  <w:tcW w:w="538"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w:t>
                  </w:r>
                </w:p>
              </w:tc>
              <w:tc>
                <w:tcPr>
                  <w:tcW w:w="544"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8</w:t>
                  </w:r>
                </w:p>
              </w:tc>
              <w:tc>
                <w:tcPr>
                  <w:tcW w:w="681" w:type="pct"/>
                  <w:vAlign w:val="center"/>
                </w:tcPr>
                <w:p>
                  <w:pPr>
                    <w:widowControl w:val="0"/>
                    <w:autoSpaceDE w:val="0"/>
                    <w:autoSpaceDN w:val="0"/>
                    <w:adjustRightInd w:val="0"/>
                    <w:snapToGrid w:val="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1920</w:t>
                  </w:r>
                </w:p>
              </w:tc>
              <w:tc>
                <w:tcPr>
                  <w:tcW w:w="681" w:type="pct"/>
                  <w:vAlign w:val="center"/>
                </w:tcPr>
                <w:p>
                  <w:pPr>
                    <w:pStyle w:val="39"/>
                    <w:widowControl w:val="0"/>
                    <w:autoSpaceDE w:val="0"/>
                    <w:autoSpaceDN w:val="0"/>
                    <w:jc w:val="center"/>
                    <w:rPr>
                      <w:rFonts w:hint="default" w:ascii="Times New Roman" w:hAnsi="Times New Roman" w:eastAsia="宋体" w:cs="Times New Roman"/>
                      <w:sz w:val="21"/>
                      <w:szCs w:val="21"/>
                      <w:vertAlign w:val="baseline"/>
                      <w:lang w:eastAsia="en-US"/>
                    </w:rPr>
                  </w:pPr>
                  <w:r>
                    <w:rPr>
                      <w:rFonts w:hint="default" w:ascii="Times New Roman" w:hAnsi="Times New Roman" w:eastAsia="宋体" w:cs="Times New Roman"/>
                      <w:sz w:val="21"/>
                      <w:szCs w:val="21"/>
                      <w:vertAlign w:val="baseline"/>
                      <w:lang w:eastAsia="en-US"/>
                    </w:rPr>
                    <w:t>正常</w:t>
                  </w:r>
                </w:p>
              </w:tc>
              <w:tc>
                <w:tcPr>
                  <w:tcW w:w="680" w:type="pct"/>
                  <w:vAlign w:val="center"/>
                </w:tcPr>
                <w:p>
                  <w:pPr>
                    <w:pStyle w:val="39"/>
                    <w:widowControl w:val="0"/>
                    <w:autoSpaceDE w:val="0"/>
                    <w:autoSpaceDN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eastAsia="en-US"/>
                    </w:rPr>
                    <w:t xml:space="preserve">TSP  </w:t>
                  </w:r>
                  <w:r>
                    <w:rPr>
                      <w:rFonts w:hint="eastAsia" w:ascii="Times New Roman" w:hAnsi="Times New Roman" w:eastAsia="宋体" w:cs="Times New Roman"/>
                      <w:sz w:val="21"/>
                      <w:szCs w:val="21"/>
                      <w:vertAlign w:val="baseline"/>
                      <w:lang w:val="en-US" w:eastAsia="zh-CN"/>
                    </w:rPr>
                    <w:t>0.011</w:t>
                  </w:r>
                </w:p>
              </w:tc>
            </w:tr>
          </w:tbl>
          <w:p>
            <w:pPr>
              <w:pStyle w:val="99"/>
              <w:rPr>
                <w:rFonts w:hint="default" w:ascii="Times New Roman" w:hAnsi="Times New Roman" w:eastAsia="黑体" w:cs="Times New Roman"/>
                <w:b w:val="0"/>
                <w:bCs/>
                <w:sz w:val="24"/>
                <w:szCs w:val="24"/>
              </w:rPr>
            </w:pPr>
            <w:r>
              <w:rPr>
                <w:rFonts w:hint="default" w:ascii="Times New Roman" w:hAnsi="Times New Roman" w:eastAsia="黑体" w:cs="Times New Roman"/>
                <w:b w:val="0"/>
                <w:bCs/>
                <w:sz w:val="24"/>
                <w:szCs w:val="24"/>
              </w:rPr>
              <w:t>表</w:t>
            </w:r>
            <w:r>
              <w:rPr>
                <w:rFonts w:hint="eastAsia" w:eastAsia="黑体" w:cs="Times New Roman"/>
                <w:b w:val="0"/>
                <w:bCs/>
                <w:sz w:val="24"/>
                <w:szCs w:val="24"/>
                <w:lang w:val="en-US" w:eastAsia="zh-CN"/>
              </w:rPr>
              <w:t>4-6</w:t>
            </w:r>
            <w:r>
              <w:rPr>
                <w:rFonts w:hint="default" w:ascii="Times New Roman" w:hAnsi="Times New Roman" w:eastAsia="黑体" w:cs="Times New Roman"/>
                <w:b w:val="0"/>
                <w:bCs/>
                <w:sz w:val="24"/>
                <w:szCs w:val="24"/>
              </w:rPr>
              <w:t xml:space="preserve">  估算模型参数表</w:t>
            </w:r>
          </w:p>
          <w:tbl>
            <w:tblPr>
              <w:tblStyle w:val="31"/>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70"/>
              <w:gridCol w:w="2964"/>
              <w:gridCol w:w="35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58" w:type="pct"/>
                  <w:gridSpan w:val="2"/>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参数</w:t>
                  </w:r>
                </w:p>
              </w:tc>
              <w:tc>
                <w:tcPr>
                  <w:tcW w:w="1941"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取值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20" w:type="pct"/>
                  <w:vMerge w:val="restar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城市农村/选项</w:t>
                  </w:r>
                </w:p>
              </w:tc>
              <w:tc>
                <w:tcPr>
                  <w:tcW w:w="1637"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城市/农村</w:t>
                  </w:r>
                </w:p>
              </w:tc>
              <w:tc>
                <w:tcPr>
                  <w:tcW w:w="3254" w:type="dxa"/>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城市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20" w:type="pct"/>
                  <w:vMerge w:val="continue"/>
                  <w:vAlign w:val="center"/>
                </w:tcPr>
                <w:p>
                  <w:pPr>
                    <w:pStyle w:val="76"/>
                    <w:rPr>
                      <w:rFonts w:hint="default" w:ascii="Times New Roman" w:hAnsi="Times New Roman" w:eastAsia="宋体" w:cs="Times New Roman"/>
                      <w:sz w:val="21"/>
                      <w:szCs w:val="21"/>
                    </w:rPr>
                  </w:pPr>
                </w:p>
              </w:tc>
              <w:tc>
                <w:tcPr>
                  <w:tcW w:w="1637"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人口数（城市人口数）</w:t>
                  </w:r>
                </w:p>
              </w:tc>
              <w:tc>
                <w:tcPr>
                  <w:tcW w:w="3254" w:type="dxa"/>
                  <w:vAlign w:val="center"/>
                </w:tcPr>
                <w:p>
                  <w:pPr>
                    <w:pStyle w:val="76"/>
                    <w:rPr>
                      <w:rFonts w:hint="default" w:ascii="Times New Roman" w:hAnsi="Times New Roman" w:eastAsia="宋体" w:cs="Times New Roman"/>
                      <w:sz w:val="21"/>
                      <w:szCs w:val="21"/>
                    </w:rPr>
                  </w:pPr>
                  <w:r>
                    <w:rPr>
                      <w:rFonts w:hint="eastAsia" w:cs="Times New Roman"/>
                      <w:sz w:val="21"/>
                      <w:szCs w:val="21"/>
                      <w:lang w:val="en-US" w:eastAsia="zh-CN"/>
                    </w:rPr>
                    <w:t>16.4</w:t>
                  </w:r>
                  <w:r>
                    <w:rPr>
                      <w:rFonts w:hint="default" w:ascii="Times New Roman" w:hAnsi="Times New Roman" w:eastAsia="宋体" w:cs="Times New Roman"/>
                      <w:sz w:val="21"/>
                      <w:szCs w:val="21"/>
                    </w:rPr>
                    <w:t>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58" w:type="pct"/>
                  <w:gridSpan w:val="2"/>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最高环境温度</w:t>
                  </w:r>
                </w:p>
              </w:tc>
              <w:tc>
                <w:tcPr>
                  <w:tcW w:w="3254" w:type="dxa"/>
                  <w:vAlign w:val="center"/>
                </w:tcPr>
                <w:p>
                  <w:pPr>
                    <w:pStyle w:val="76"/>
                    <w:rPr>
                      <w:rFonts w:hint="default" w:ascii="Times New Roman" w:hAnsi="Times New Roman" w:eastAsia="宋体" w:cs="Times New Roman"/>
                      <w:sz w:val="21"/>
                      <w:szCs w:val="21"/>
                    </w:rPr>
                  </w:pPr>
                  <w:r>
                    <w:rPr>
                      <w:rFonts w:hint="eastAsia" w:cs="Times New Roman"/>
                      <w:sz w:val="21"/>
                      <w:szCs w:val="21"/>
                      <w:lang w:val="en-US" w:eastAsia="zh-CN"/>
                    </w:rPr>
                    <w:t>40</w:t>
                  </w:r>
                  <w:r>
                    <w:rPr>
                      <w:rFonts w:hint="default" w:ascii="Times New Roman" w:hAnsi="Times New Roman" w:eastAsia="宋体" w:cs="Times New Roman"/>
                      <w:sz w:val="21"/>
                      <w:szCs w:val="21"/>
                    </w:rPr>
                    <w:t>°C</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58" w:type="pct"/>
                  <w:gridSpan w:val="2"/>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最低环境温度</w:t>
                  </w:r>
                </w:p>
              </w:tc>
              <w:tc>
                <w:tcPr>
                  <w:tcW w:w="3254" w:type="dxa"/>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r>
                    <w:rPr>
                      <w:rFonts w:hint="eastAsia" w:cs="Times New Roman"/>
                      <w:sz w:val="21"/>
                      <w:szCs w:val="21"/>
                      <w:lang w:val="en-US" w:eastAsia="zh-CN"/>
                    </w:rPr>
                    <w:t>16</w:t>
                  </w:r>
                  <w:r>
                    <w:rPr>
                      <w:rFonts w:hint="default" w:ascii="Times New Roman" w:hAnsi="Times New Roman" w:eastAsia="宋体" w:cs="Times New Roman"/>
                      <w:sz w:val="21"/>
                      <w:szCs w:val="21"/>
                    </w:rPr>
                    <w:t>°C</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58" w:type="pct"/>
                  <w:gridSpan w:val="2"/>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土地利用类型</w:t>
                  </w:r>
                </w:p>
              </w:tc>
              <w:tc>
                <w:tcPr>
                  <w:tcW w:w="1941" w:type="pct"/>
                  <w:vAlign w:val="center"/>
                </w:tcPr>
                <w:p>
                  <w:pPr>
                    <w:pStyle w:val="76"/>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城市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58" w:type="pct"/>
                  <w:gridSpan w:val="2"/>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区域湿度条件</w:t>
                  </w:r>
                </w:p>
              </w:tc>
              <w:tc>
                <w:tcPr>
                  <w:tcW w:w="1941"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干旱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20" w:type="pct"/>
                  <w:vMerge w:val="restar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是否考虑地形</w:t>
                  </w:r>
                </w:p>
              </w:tc>
              <w:tc>
                <w:tcPr>
                  <w:tcW w:w="1637"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考虑地形</w:t>
                  </w:r>
                </w:p>
              </w:tc>
              <w:tc>
                <w:tcPr>
                  <w:tcW w:w="1941"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20" w:type="pct"/>
                  <w:vMerge w:val="continue"/>
                  <w:vAlign w:val="center"/>
                </w:tcPr>
                <w:p>
                  <w:pPr>
                    <w:pStyle w:val="76"/>
                    <w:rPr>
                      <w:rFonts w:hint="default" w:ascii="Times New Roman" w:hAnsi="Times New Roman" w:eastAsia="宋体" w:cs="Times New Roman"/>
                      <w:sz w:val="21"/>
                      <w:szCs w:val="21"/>
                    </w:rPr>
                  </w:pPr>
                </w:p>
              </w:tc>
              <w:tc>
                <w:tcPr>
                  <w:tcW w:w="1637"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地形数据分辨率（m）</w:t>
                  </w:r>
                </w:p>
              </w:tc>
              <w:tc>
                <w:tcPr>
                  <w:tcW w:w="1941"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20" w:type="pct"/>
                  <w:vMerge w:val="restar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是否考虑海岸线熏烟</w:t>
                  </w:r>
                </w:p>
              </w:tc>
              <w:tc>
                <w:tcPr>
                  <w:tcW w:w="1637"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考虑海岸线熏烟</w:t>
                  </w:r>
                </w:p>
              </w:tc>
              <w:tc>
                <w:tcPr>
                  <w:tcW w:w="1941"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20" w:type="pct"/>
                  <w:vMerge w:val="continue"/>
                  <w:vAlign w:val="center"/>
                </w:tcPr>
                <w:p>
                  <w:pPr>
                    <w:pStyle w:val="76"/>
                    <w:rPr>
                      <w:rFonts w:hint="default" w:ascii="Times New Roman" w:hAnsi="Times New Roman" w:eastAsia="宋体" w:cs="Times New Roman"/>
                      <w:sz w:val="21"/>
                      <w:szCs w:val="21"/>
                    </w:rPr>
                  </w:pPr>
                </w:p>
              </w:tc>
              <w:tc>
                <w:tcPr>
                  <w:tcW w:w="1637"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海岸线距离/k</w:t>
                  </w:r>
                </w:p>
              </w:tc>
              <w:tc>
                <w:tcPr>
                  <w:tcW w:w="1941"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20" w:type="pct"/>
                  <w:vMerge w:val="continue"/>
                  <w:vAlign w:val="center"/>
                </w:tcPr>
                <w:p>
                  <w:pPr>
                    <w:pStyle w:val="76"/>
                    <w:rPr>
                      <w:rFonts w:hint="default" w:ascii="Times New Roman" w:hAnsi="Times New Roman" w:eastAsia="宋体" w:cs="Times New Roman"/>
                      <w:sz w:val="21"/>
                      <w:szCs w:val="21"/>
                    </w:rPr>
                  </w:pPr>
                </w:p>
              </w:tc>
              <w:tc>
                <w:tcPr>
                  <w:tcW w:w="1637"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海岸线方向/o</w:t>
                  </w:r>
                </w:p>
              </w:tc>
              <w:tc>
                <w:tcPr>
                  <w:tcW w:w="1941" w:type="pct"/>
                  <w:vAlign w:val="center"/>
                </w:tcPr>
                <w:p>
                  <w:pPr>
                    <w:pStyle w:val="7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bl>
          <w:p>
            <w:pPr>
              <w:pStyle w:val="99"/>
              <w:rPr>
                <w:rFonts w:hint="default" w:ascii="Times New Roman" w:hAnsi="Times New Roman" w:eastAsia="黑体" w:cs="Times New Roman"/>
                <w:b w:val="0"/>
                <w:bCs/>
                <w:sz w:val="24"/>
                <w:szCs w:val="24"/>
              </w:rPr>
            </w:pPr>
            <w:r>
              <w:rPr>
                <w:rFonts w:hint="default" w:ascii="Times New Roman" w:hAnsi="Times New Roman" w:eastAsia="黑体" w:cs="Times New Roman"/>
                <w:b w:val="0"/>
                <w:bCs/>
                <w:sz w:val="24"/>
                <w:szCs w:val="24"/>
              </w:rPr>
              <w:t>表</w:t>
            </w:r>
            <w:r>
              <w:rPr>
                <w:rFonts w:hint="eastAsia" w:eastAsia="黑体" w:cs="Times New Roman"/>
                <w:b w:val="0"/>
                <w:bCs/>
                <w:sz w:val="24"/>
                <w:szCs w:val="24"/>
                <w:lang w:val="en-US" w:eastAsia="zh-CN"/>
              </w:rPr>
              <w:t>4-7</w:t>
            </w:r>
            <w:r>
              <w:rPr>
                <w:rFonts w:hint="default" w:ascii="Times New Roman" w:hAnsi="Times New Roman" w:eastAsia="黑体" w:cs="Times New Roman"/>
                <w:b w:val="0"/>
                <w:bCs/>
                <w:sz w:val="24"/>
                <w:szCs w:val="24"/>
              </w:rPr>
              <w:t xml:space="preserve">  预测结果表</w:t>
            </w:r>
          </w:p>
          <w:tbl>
            <w:tblPr>
              <w:tblStyle w:val="75"/>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437"/>
              <w:gridCol w:w="2739"/>
              <w:gridCol w:w="486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widowControl w:val="0"/>
                    <w:autoSpaceDE w:val="0"/>
                    <w:autoSpaceDN w:val="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编号</w:t>
                  </w:r>
                </w:p>
              </w:tc>
              <w:tc>
                <w:tcPr>
                  <w:tcW w:w="1514" w:type="pct"/>
                  <w:vAlign w:val="center"/>
                </w:tcPr>
                <w:p>
                  <w:pPr>
                    <w:pStyle w:val="39"/>
                    <w:widowControl w:val="0"/>
                    <w:autoSpaceDE w:val="0"/>
                    <w:autoSpaceDN w:val="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en-US" w:bidi="ar-SA"/>
                    </w:rPr>
                    <w:t>出现距离</w:t>
                  </w:r>
                  <w:r>
                    <w:rPr>
                      <w:rFonts w:hint="eastAsia" w:ascii="Times New Roman" w:hAnsi="Times New Roman" w:eastAsia="宋体" w:cs="Times New Roman"/>
                      <w:kern w:val="2"/>
                      <w:sz w:val="21"/>
                      <w:szCs w:val="21"/>
                      <w:lang w:val="en-US" w:eastAsia="zh-CN" w:bidi="ar-SA"/>
                    </w:rPr>
                    <w:t>（m）</w:t>
                  </w:r>
                </w:p>
              </w:tc>
              <w:tc>
                <w:tcPr>
                  <w:tcW w:w="2691" w:type="pct"/>
                  <w:vAlign w:val="center"/>
                </w:tcPr>
                <w:p>
                  <w:pPr>
                    <w:pStyle w:val="39"/>
                    <w:widowControl w:val="0"/>
                    <w:autoSpaceDE w:val="0"/>
                    <w:autoSpaceDN w:val="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en-US" w:bidi="ar-SA"/>
                    </w:rPr>
                    <w:t>落地浓度</w:t>
                  </w:r>
                  <w:r>
                    <w:rPr>
                      <w:rFonts w:hint="eastAsia" w:ascii="Times New Roman" w:hAnsi="Times New Roman" w:eastAsia="宋体" w:cs="Times New Roman"/>
                      <w:kern w:val="2"/>
                      <w:sz w:val="21"/>
                      <w:szCs w:val="21"/>
                      <w:lang w:val="en-US" w:eastAsia="zh-CN" w:bidi="ar-SA"/>
                    </w:rPr>
                    <w:t>（mg/m</w:t>
                  </w:r>
                  <w:r>
                    <w:rPr>
                      <w:rFonts w:hint="eastAsia"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1" w:hRule="atLeast"/>
                <w:jc w:val="center"/>
              </w:trPr>
              <w:tc>
                <w:tcPr>
                  <w:tcW w:w="794" w:type="pct"/>
                  <w:vAlign w:val="center"/>
                </w:tcPr>
                <w:p>
                  <w:pPr>
                    <w:pStyle w:val="39"/>
                    <w:widowControl w:val="0"/>
                    <w:autoSpaceDE w:val="0"/>
                    <w:autoSpaceDN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1514" w:type="pct"/>
                  <w:vAlign w:val="center"/>
                </w:tcPr>
                <w:p>
                  <w:pPr>
                    <w:pStyle w:val="39"/>
                    <w:widowControl w:val="0"/>
                    <w:autoSpaceDE w:val="0"/>
                    <w:autoSpaceDN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2691"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pStyle w:val="39"/>
                    <w:widowControl w:val="0"/>
                    <w:autoSpaceDE w:val="0"/>
                    <w:autoSpaceDN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c>
              <w:tc>
                <w:tcPr>
                  <w:tcW w:w="1514" w:type="pct"/>
                  <w:vAlign w:val="center"/>
                </w:tcPr>
                <w:p>
                  <w:pPr>
                    <w:pStyle w:val="39"/>
                    <w:widowControl w:val="0"/>
                    <w:autoSpaceDE w:val="0"/>
                    <w:autoSpaceDN w:val="0"/>
                    <w:jc w:val="center"/>
                    <w:rPr>
                      <w:rFonts w:hint="default" w:ascii="Times New Roman" w:hAnsi="Times New Roman" w:eastAsia="宋体" w:cs="Times New Roman"/>
                      <w:kern w:val="2"/>
                      <w:sz w:val="21"/>
                      <w:szCs w:val="21"/>
                      <w:lang w:val="en-US" w:eastAsia="zh-CN" w:bidi="zh-CN"/>
                    </w:rPr>
                  </w:pPr>
                  <w:r>
                    <w:rPr>
                      <w:rFonts w:hint="eastAsia" w:ascii="Times New Roman" w:hAnsi="Times New Roman" w:eastAsia="宋体" w:cs="Times New Roman"/>
                      <w:sz w:val="21"/>
                      <w:szCs w:val="21"/>
                      <w:lang w:val="en-US" w:eastAsia="zh-CN"/>
                    </w:rPr>
                    <w:t>25</w:t>
                  </w:r>
                </w:p>
              </w:tc>
              <w:tc>
                <w:tcPr>
                  <w:tcW w:w="2691" w:type="pct"/>
                  <w:vAlign w:val="center"/>
                </w:tcPr>
                <w:p>
                  <w:pPr>
                    <w:widowControl w:val="0"/>
                    <w:autoSpaceDE w:val="0"/>
                    <w:autoSpaceDN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0.0023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pStyle w:val="39"/>
                    <w:widowControl w:val="0"/>
                    <w:autoSpaceDE w:val="0"/>
                    <w:autoSpaceDN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w:t>
                  </w:r>
                </w:p>
              </w:tc>
              <w:tc>
                <w:tcPr>
                  <w:tcW w:w="1514" w:type="pct"/>
                  <w:vAlign w:val="center"/>
                </w:tcPr>
                <w:p>
                  <w:pPr>
                    <w:pStyle w:val="39"/>
                    <w:widowControl w:val="0"/>
                    <w:autoSpaceDE w:val="0"/>
                    <w:autoSpaceDN w:val="0"/>
                    <w:jc w:val="center"/>
                    <w:rPr>
                      <w:rFonts w:hint="default" w:ascii="Times New Roman" w:hAnsi="Times New Roman" w:eastAsia="宋体" w:cs="Times New Roman"/>
                      <w:kern w:val="2"/>
                      <w:sz w:val="21"/>
                      <w:szCs w:val="21"/>
                      <w:lang w:val="en-US" w:eastAsia="zh-CN" w:bidi="zh-CN"/>
                    </w:rPr>
                  </w:pPr>
                  <w:r>
                    <w:rPr>
                      <w:rFonts w:hint="eastAsia" w:ascii="Times New Roman" w:hAnsi="Times New Roman" w:eastAsia="宋体" w:cs="Times New Roman"/>
                      <w:kern w:val="2"/>
                      <w:sz w:val="21"/>
                      <w:szCs w:val="21"/>
                      <w:lang w:val="en-US" w:eastAsia="zh-CN" w:bidi="zh-CN"/>
                    </w:rPr>
                    <w:t>50</w:t>
                  </w:r>
                </w:p>
              </w:tc>
              <w:tc>
                <w:tcPr>
                  <w:tcW w:w="2691" w:type="pct"/>
                  <w:vAlign w:val="center"/>
                </w:tcPr>
                <w:p>
                  <w:pPr>
                    <w:pStyle w:val="39"/>
                    <w:widowControl w:val="0"/>
                    <w:autoSpaceDE w:val="0"/>
                    <w:autoSpaceDN w:val="0"/>
                    <w:jc w:val="center"/>
                    <w:rPr>
                      <w:rFonts w:hint="default" w:ascii="Times New Roman" w:hAnsi="Times New Roman" w:eastAsia="宋体" w:cs="Times New Roman"/>
                      <w:kern w:val="2"/>
                      <w:sz w:val="21"/>
                      <w:szCs w:val="21"/>
                      <w:lang w:val="en-US" w:eastAsia="zh-CN" w:bidi="zh-CN"/>
                    </w:rPr>
                  </w:pPr>
                  <w:r>
                    <w:rPr>
                      <w:rFonts w:hint="eastAsia" w:ascii="Times New Roman" w:hAnsi="Times New Roman" w:eastAsia="宋体" w:cs="Times New Roman"/>
                      <w:kern w:val="2"/>
                      <w:sz w:val="21"/>
                      <w:szCs w:val="21"/>
                      <w:lang w:val="en-US" w:eastAsia="zh-CN" w:bidi="zh-CN"/>
                    </w:rPr>
                    <w:t>0.0027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pStyle w:val="39"/>
                    <w:widowControl w:val="0"/>
                    <w:autoSpaceDE w:val="0"/>
                    <w:autoSpaceDN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w:t>
                  </w:r>
                </w:p>
              </w:tc>
              <w:tc>
                <w:tcPr>
                  <w:tcW w:w="151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69</w:t>
                  </w:r>
                </w:p>
              </w:tc>
              <w:tc>
                <w:tcPr>
                  <w:tcW w:w="2691"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pStyle w:val="39"/>
                    <w:widowControl w:val="0"/>
                    <w:autoSpaceDE w:val="0"/>
                    <w:autoSpaceDN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w:t>
                  </w:r>
                </w:p>
              </w:tc>
              <w:tc>
                <w:tcPr>
                  <w:tcW w:w="151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75</w:t>
                  </w:r>
                </w:p>
              </w:tc>
              <w:tc>
                <w:tcPr>
                  <w:tcW w:w="2691"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w:t>
                  </w:r>
                </w:p>
              </w:tc>
              <w:tc>
                <w:tcPr>
                  <w:tcW w:w="151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100</w:t>
                  </w:r>
                </w:p>
              </w:tc>
              <w:tc>
                <w:tcPr>
                  <w:tcW w:w="2691"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w:t>
                  </w:r>
                </w:p>
              </w:tc>
              <w:tc>
                <w:tcPr>
                  <w:tcW w:w="151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500</w:t>
                  </w:r>
                </w:p>
              </w:tc>
              <w:tc>
                <w:tcPr>
                  <w:tcW w:w="2691"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w:t>
                  </w:r>
                </w:p>
              </w:tc>
              <w:tc>
                <w:tcPr>
                  <w:tcW w:w="151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1000</w:t>
                  </w:r>
                </w:p>
              </w:tc>
              <w:tc>
                <w:tcPr>
                  <w:tcW w:w="2691"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0.00008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w:t>
                  </w:r>
                </w:p>
              </w:tc>
              <w:tc>
                <w:tcPr>
                  <w:tcW w:w="151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1500</w:t>
                  </w:r>
                </w:p>
              </w:tc>
              <w:tc>
                <w:tcPr>
                  <w:tcW w:w="2691"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79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p>
              </w:tc>
              <w:tc>
                <w:tcPr>
                  <w:tcW w:w="1514"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2000</w:t>
                  </w:r>
                </w:p>
              </w:tc>
              <w:tc>
                <w:tcPr>
                  <w:tcW w:w="2691" w:type="pct"/>
                  <w:vAlign w:val="center"/>
                </w:tcPr>
                <w:p>
                  <w:pPr>
                    <w:pStyle w:val="39"/>
                    <w:widowControl w:val="0"/>
                    <w:autoSpaceDE w:val="0"/>
                    <w:autoSpaceDN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0.00003</w:t>
                  </w:r>
                </w:p>
              </w:tc>
            </w:tr>
          </w:tbl>
          <w:p>
            <w:pPr>
              <w:pStyle w:val="30"/>
              <w:spacing w:after="0" w:line="360" w:lineRule="auto"/>
              <w:ind w:left="0" w:leftChars="0" w:firstLine="48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由上表可知，本项目</w:t>
            </w:r>
            <w:r>
              <w:rPr>
                <w:rFonts w:hint="default" w:ascii="Times New Roman" w:hAnsi="Times New Roman" w:eastAsia="宋体" w:cs="Times New Roman"/>
                <w:sz w:val="24"/>
                <w:szCs w:val="24"/>
                <w:lang w:val="en-US" w:eastAsia="zh-CN"/>
              </w:rPr>
              <w:t>无组织颗粒物最大落地浓度为</w:t>
            </w:r>
            <w:r>
              <w:rPr>
                <w:rFonts w:hint="eastAsia" w:ascii="Times New Roman" w:hAnsi="Times New Roman" w:eastAsia="宋体" w:cs="Times New Roman"/>
                <w:sz w:val="24"/>
                <w:szCs w:val="24"/>
                <w:lang w:val="en-US" w:eastAsia="zh-CN"/>
              </w:rPr>
              <w:t>0.0029</w:t>
            </w:r>
            <w:r>
              <w:rPr>
                <w:rFonts w:hint="default" w:ascii="Times New Roman" w:hAnsi="Times New Roman" w:eastAsia="宋体" w:cs="Times New Roman"/>
                <w:sz w:val="24"/>
                <w:szCs w:val="24"/>
                <w:lang w:val="en-US" w:eastAsia="zh-CN"/>
              </w:rPr>
              <w:t>mg/m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无组织</w:t>
            </w:r>
            <w:r>
              <w:rPr>
                <w:rFonts w:hint="eastAsia" w:cs="Times New Roman"/>
                <w:sz w:val="24"/>
                <w:szCs w:val="24"/>
                <w:lang w:val="en-US" w:eastAsia="zh-CN"/>
              </w:rPr>
              <w:t>颗粒物最大落地浓度</w:t>
            </w:r>
            <w:r>
              <w:rPr>
                <w:rFonts w:hint="default" w:ascii="Times New Roman" w:hAnsi="Times New Roman" w:eastAsia="宋体" w:cs="Times New Roman"/>
                <w:sz w:val="24"/>
                <w:szCs w:val="24"/>
                <w:lang w:val="en-US" w:eastAsia="zh-CN"/>
              </w:rPr>
              <w:t>满足</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水泥</w:t>
            </w:r>
            <w:r>
              <w:rPr>
                <w:rFonts w:hint="default" w:ascii="Times New Roman" w:hAnsi="Times New Roman" w:eastAsia="宋体" w:cs="Times New Roman"/>
                <w:sz w:val="24"/>
                <w:szCs w:val="24"/>
                <w:lang w:eastAsia="zh-CN"/>
              </w:rPr>
              <w:t>工业</w:t>
            </w:r>
            <w:r>
              <w:rPr>
                <w:rFonts w:hint="default" w:ascii="Times New Roman" w:hAnsi="Times New Roman" w:eastAsia="宋体" w:cs="Times New Roman"/>
                <w:sz w:val="24"/>
                <w:szCs w:val="24"/>
              </w:rPr>
              <w:t>大气污染物排放标准》（GB</w:t>
            </w:r>
            <w:r>
              <w:rPr>
                <w:rFonts w:hint="default" w:ascii="Times New Roman" w:hAnsi="Times New Roman" w:eastAsia="宋体" w:cs="Times New Roman"/>
                <w:sz w:val="24"/>
                <w:szCs w:val="24"/>
                <w:lang w:val="en-US" w:eastAsia="zh-CN"/>
              </w:rPr>
              <w:t>4915-20</w:t>
            </w:r>
            <w:r>
              <w:rPr>
                <w:rFonts w:hint="eastAsia" w:cs="Times New Roman"/>
                <w:sz w:val="24"/>
                <w:szCs w:val="24"/>
                <w:lang w:val="en-US" w:eastAsia="zh-CN"/>
              </w:rPr>
              <w:t>13</w:t>
            </w:r>
            <w:r>
              <w:rPr>
                <w:rFonts w:hint="default" w:ascii="Times New Roman" w:hAnsi="Times New Roman" w:eastAsia="宋体" w:cs="Times New Roman"/>
                <w:sz w:val="24"/>
                <w:szCs w:val="24"/>
              </w:rPr>
              <w:t>）新污染源颗粒物的无组织排放标准</w:t>
            </w:r>
            <w:r>
              <w:rPr>
                <w:rFonts w:hint="default" w:ascii="Times New Roman" w:hAnsi="Times New Roman" w:eastAsia="宋体" w:cs="Times New Roman"/>
                <w:sz w:val="24"/>
                <w:szCs w:val="24"/>
                <w:lang w:eastAsia="zh-CN"/>
              </w:rPr>
              <w:t>（</w:t>
            </w:r>
            <w:r>
              <w:rPr>
                <w:rFonts w:hint="eastAsia" w:cs="Times New Roman"/>
                <w:sz w:val="24"/>
                <w:szCs w:val="24"/>
                <w:lang w:val="en-US" w:eastAsia="zh-CN"/>
              </w:rPr>
              <w:t>0.5</w:t>
            </w:r>
            <w:r>
              <w:rPr>
                <w:rFonts w:hint="default" w:ascii="Times New Roman" w:hAnsi="Times New Roman" w:eastAsia="宋体" w:cs="Times New Roman"/>
                <w:sz w:val="24"/>
                <w:szCs w:val="24"/>
                <w:lang w:val="en-US" w:eastAsia="zh-CN"/>
              </w:rPr>
              <w:t>mg/m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eastAsia="zh-CN"/>
              </w:rPr>
              <w:t>）。</w:t>
            </w:r>
          </w:p>
          <w:p>
            <w:pPr>
              <w:widowControl/>
              <w:jc w:val="center"/>
              <w:rPr>
                <w:rFonts w:eastAsia="黑体"/>
                <w:sz w:val="24"/>
              </w:rPr>
            </w:pPr>
            <w:r>
              <w:rPr>
                <w:rFonts w:eastAsia="黑体"/>
                <w:sz w:val="24"/>
              </w:rPr>
              <w:t>表4-</w:t>
            </w:r>
            <w:r>
              <w:rPr>
                <w:rFonts w:hint="eastAsia" w:eastAsia="黑体"/>
                <w:sz w:val="24"/>
                <w:lang w:val="en-US" w:eastAsia="zh-CN"/>
              </w:rPr>
              <w:t>8</w:t>
            </w:r>
            <w:r>
              <w:rPr>
                <w:rFonts w:eastAsia="黑体"/>
                <w:sz w:val="24"/>
              </w:rPr>
              <w:t xml:space="preserve">  废气排放情况一览表</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7"/>
              <w:gridCol w:w="1142"/>
              <w:gridCol w:w="959"/>
              <w:gridCol w:w="1195"/>
              <w:gridCol w:w="2738"/>
              <w:gridCol w:w="1064"/>
              <w:gridCol w:w="11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2" w:hRule="atLeast"/>
                <w:jc w:val="center"/>
              </w:trPr>
              <w:tc>
                <w:tcPr>
                  <w:tcW w:w="413"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排放形式</w:t>
                  </w:r>
                </w:p>
              </w:tc>
              <w:tc>
                <w:tcPr>
                  <w:tcW w:w="631"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w:t>
                  </w:r>
                </w:p>
              </w:tc>
              <w:tc>
                <w:tcPr>
                  <w:tcW w:w="530"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产生量</w:t>
                  </w:r>
                </w:p>
                <w:p>
                  <w:pPr>
                    <w:pStyle w:val="2"/>
                    <w:rPr>
                      <w:rFonts w:hint="default" w:ascii="Times New Roman" w:hAnsi="Times New Roman" w:eastAsia="宋体" w:cs="Times New Roman"/>
                      <w:sz w:val="21"/>
                      <w:szCs w:val="21"/>
                    </w:rPr>
                  </w:pPr>
                  <w:r>
                    <w:rPr>
                      <w:rFonts w:hint="default" w:ascii="Times New Roman" w:hAnsi="Times New Roman" w:eastAsia="宋体" w:cs="Times New Roman"/>
                      <w:b w:val="0"/>
                      <w:bCs/>
                      <w:sz w:val="21"/>
                      <w:szCs w:val="21"/>
                    </w:rPr>
                    <w:t>（t/a）</w:t>
                  </w:r>
                </w:p>
              </w:tc>
              <w:tc>
                <w:tcPr>
                  <w:tcW w:w="660" w:type="pct"/>
                  <w:tcBorders>
                    <w:tl2br w:val="nil"/>
                    <w:tr2bl w:val="nil"/>
                  </w:tcBorders>
                  <w:vAlign w:val="center"/>
                </w:tcPr>
                <w:p>
                  <w:pPr>
                    <w:widowControl/>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产生浓度</w:t>
                  </w:r>
                </w:p>
                <w:p>
                  <w:pPr>
                    <w:pStyle w:val="2"/>
                    <w:rPr>
                      <w:rFonts w:hint="default" w:ascii="Times New Roman" w:hAnsi="Times New Roman" w:eastAsia="宋体" w:cs="Times New Roman"/>
                      <w:sz w:val="21"/>
                      <w:szCs w:val="21"/>
                    </w:rPr>
                  </w:pPr>
                  <w:r>
                    <w:rPr>
                      <w:rFonts w:hint="default" w:ascii="Times New Roman" w:hAnsi="Times New Roman" w:eastAsia="宋体" w:cs="Times New Roman"/>
                      <w:b w:val="0"/>
                      <w:bCs w:val="0"/>
                      <w:sz w:val="21"/>
                      <w:szCs w:val="21"/>
                    </w:rPr>
                    <w:t>（mg/m</w:t>
                  </w:r>
                  <w:r>
                    <w:rPr>
                      <w:rFonts w:hint="default" w:ascii="Times New Roman" w:hAnsi="Times New Roman" w:eastAsia="宋体" w:cs="Times New Roman"/>
                      <w:b w:val="0"/>
                      <w:bCs w:val="0"/>
                      <w:sz w:val="21"/>
                      <w:szCs w:val="21"/>
                      <w:vertAlign w:val="superscript"/>
                    </w:rPr>
                    <w:t>3</w:t>
                  </w:r>
                  <w:r>
                    <w:rPr>
                      <w:rFonts w:hint="default" w:ascii="Times New Roman" w:hAnsi="Times New Roman" w:eastAsia="宋体" w:cs="Times New Roman"/>
                      <w:b w:val="0"/>
                      <w:bCs w:val="0"/>
                      <w:sz w:val="21"/>
                      <w:szCs w:val="21"/>
                    </w:rPr>
                    <w:t>）</w:t>
                  </w:r>
                </w:p>
              </w:tc>
              <w:tc>
                <w:tcPr>
                  <w:tcW w:w="1513"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处理措施</w:t>
                  </w:r>
                </w:p>
              </w:tc>
              <w:tc>
                <w:tcPr>
                  <w:tcW w:w="588"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排放量（t/a）</w:t>
                  </w:r>
                </w:p>
              </w:tc>
              <w:tc>
                <w:tcPr>
                  <w:tcW w:w="662"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排放浓度（mg/m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413"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有组织</w:t>
                  </w:r>
                </w:p>
              </w:tc>
              <w:tc>
                <w:tcPr>
                  <w:tcW w:w="631"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1#车间混料、成型粉尘</w:t>
                  </w:r>
                </w:p>
              </w:tc>
              <w:tc>
                <w:tcPr>
                  <w:tcW w:w="530" w:type="pct"/>
                  <w:tcBorders>
                    <w:tl2br w:val="nil"/>
                    <w:tr2bl w:val="nil"/>
                  </w:tcBorders>
                  <w:vAlign w:val="center"/>
                </w:tcPr>
                <w:p>
                  <w:pPr>
                    <w:widowControl/>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10.983</w:t>
                  </w:r>
                </w:p>
              </w:tc>
              <w:tc>
                <w:tcPr>
                  <w:tcW w:w="660" w:type="pct"/>
                  <w:tcBorders>
                    <w:tl2br w:val="nil"/>
                    <w:tr2bl w:val="nil"/>
                  </w:tcBorders>
                  <w:vAlign w:val="center"/>
                </w:tcPr>
                <w:p>
                  <w:pPr>
                    <w:widowControl/>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572.031</w:t>
                  </w:r>
                </w:p>
              </w:tc>
              <w:tc>
                <w:tcPr>
                  <w:tcW w:w="1513" w:type="pct"/>
                  <w:tcBorders>
                    <w:tl2br w:val="nil"/>
                    <w:tr2bl w:val="nil"/>
                  </w:tcBorders>
                  <w:vAlign w:val="center"/>
                </w:tcPr>
                <w:p>
                  <w:pPr>
                    <w:widowControl/>
                    <w:jc w:val="center"/>
                    <w:rPr>
                      <w:rFonts w:hint="eastAsia" w:ascii="Times New Roman" w:hAnsi="Times New Roman" w:eastAsia="宋体" w:cs="Times New Roman"/>
                      <w:sz w:val="21"/>
                      <w:szCs w:val="21"/>
                      <w:lang w:eastAsia="zh-CN"/>
                    </w:rPr>
                  </w:pPr>
                  <w:r>
                    <w:rPr>
                      <w:rFonts w:hint="eastAsia" w:cs="Times New Roman"/>
                      <w:sz w:val="21"/>
                      <w:szCs w:val="21"/>
                      <w:lang w:val="en-US" w:eastAsia="zh-CN"/>
                    </w:rPr>
                    <w:t>密闭搅拌机+</w:t>
                  </w:r>
                  <w:r>
                    <w:rPr>
                      <w:rFonts w:hint="default" w:ascii="Times New Roman" w:hAnsi="Times New Roman" w:eastAsia="宋体" w:cs="Times New Roman"/>
                      <w:sz w:val="21"/>
                      <w:szCs w:val="21"/>
                    </w:rPr>
                    <w:t>布袋除尘（除尘效率99</w:t>
                  </w:r>
                  <w:r>
                    <w:rPr>
                      <w:rFonts w:hint="eastAsia" w:cs="Times New Roman"/>
                      <w:sz w:val="21"/>
                      <w:szCs w:val="21"/>
                      <w:lang w:val="en-US" w:eastAsia="zh-CN"/>
                    </w:rPr>
                    <w:t>.7</w:t>
                  </w:r>
                  <w:r>
                    <w:rPr>
                      <w:rFonts w:hint="default" w:ascii="Times New Roman" w:hAnsi="Times New Roman" w:eastAsia="宋体" w:cs="Times New Roman"/>
                      <w:sz w:val="21"/>
                      <w:szCs w:val="21"/>
                    </w:rPr>
                    <w:t>%）+15m排气筒</w:t>
                  </w:r>
                  <w:r>
                    <w:rPr>
                      <w:rFonts w:hint="eastAsia" w:cs="Times New Roman"/>
                      <w:sz w:val="21"/>
                      <w:szCs w:val="21"/>
                      <w:lang w:eastAsia="zh-CN"/>
                    </w:rPr>
                    <w:t>（</w:t>
                  </w:r>
                  <w:r>
                    <w:rPr>
                      <w:rFonts w:hint="eastAsia" w:cs="Times New Roman"/>
                      <w:sz w:val="21"/>
                      <w:szCs w:val="21"/>
                      <w:lang w:val="en-US" w:eastAsia="zh-CN"/>
                    </w:rPr>
                    <w:t>DA001</w:t>
                  </w:r>
                  <w:r>
                    <w:rPr>
                      <w:rFonts w:hint="eastAsia" w:cs="Times New Roman"/>
                      <w:sz w:val="21"/>
                      <w:szCs w:val="21"/>
                      <w:lang w:eastAsia="zh-CN"/>
                    </w:rPr>
                    <w:t>）</w:t>
                  </w:r>
                </w:p>
              </w:tc>
              <w:tc>
                <w:tcPr>
                  <w:tcW w:w="588" w:type="pct"/>
                  <w:tcBorders>
                    <w:tl2br w:val="nil"/>
                    <w:tr2bl w:val="nil"/>
                  </w:tcBorders>
                  <w:vAlign w:val="center"/>
                </w:tcPr>
                <w:p>
                  <w:pPr>
                    <w:widowControl/>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0.033</w:t>
                  </w:r>
                </w:p>
              </w:tc>
              <w:tc>
                <w:tcPr>
                  <w:tcW w:w="662" w:type="pct"/>
                  <w:tcBorders>
                    <w:tl2br w:val="nil"/>
                    <w:tr2bl w:val="nil"/>
                  </w:tcBorders>
                  <w:vAlign w:val="center"/>
                </w:tcPr>
                <w:p>
                  <w:pPr>
                    <w:widowControl/>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1.719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13" w:type="pct"/>
                  <w:vMerge w:val="restar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w:t>
                  </w:r>
                </w:p>
              </w:tc>
              <w:tc>
                <w:tcPr>
                  <w:tcW w:w="631" w:type="pct"/>
                  <w:tcBorders>
                    <w:tl2br w:val="nil"/>
                    <w:tr2bl w:val="nil"/>
                  </w:tcBorders>
                  <w:vAlign w:val="center"/>
                </w:tcPr>
                <w:p>
                  <w:pPr>
                    <w:widowControl/>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储存粉尘</w:t>
                  </w:r>
                </w:p>
              </w:tc>
              <w:tc>
                <w:tcPr>
                  <w:tcW w:w="530" w:type="pct"/>
                  <w:tcBorders>
                    <w:tl2br w:val="nil"/>
                    <w:tr2bl w:val="nil"/>
                  </w:tcBorders>
                  <w:vAlign w:val="center"/>
                </w:tcPr>
                <w:p>
                  <w:pPr>
                    <w:widowControl/>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2.052</w:t>
                  </w:r>
                </w:p>
              </w:tc>
              <w:tc>
                <w:tcPr>
                  <w:tcW w:w="660"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513"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eastAsia" w:cs="Times New Roman"/>
                      <w:sz w:val="21"/>
                      <w:szCs w:val="21"/>
                      <w:lang w:val="en-US" w:eastAsia="zh-CN"/>
                    </w:rPr>
                    <w:t>水泥筒仓、砂石料筒仓自带布袋除尘器</w:t>
                  </w:r>
                  <w:r>
                    <w:rPr>
                      <w:rFonts w:hint="default" w:ascii="Times New Roman" w:hAnsi="Times New Roman" w:eastAsia="宋体" w:cs="Times New Roman"/>
                      <w:sz w:val="21"/>
                      <w:szCs w:val="21"/>
                    </w:rPr>
                    <w:t>（</w:t>
                  </w:r>
                  <w:r>
                    <w:rPr>
                      <w:rFonts w:hint="eastAsia" w:cs="Times New Roman"/>
                      <w:sz w:val="21"/>
                      <w:szCs w:val="21"/>
                      <w:lang w:val="en-US" w:eastAsia="zh-CN"/>
                    </w:rPr>
                    <w:t>除尘</w:t>
                  </w:r>
                  <w:r>
                    <w:rPr>
                      <w:rFonts w:hint="default" w:ascii="Times New Roman" w:hAnsi="Times New Roman" w:eastAsia="宋体" w:cs="Times New Roman"/>
                      <w:sz w:val="21"/>
                      <w:szCs w:val="21"/>
                    </w:rPr>
                    <w:t>效率99</w:t>
                  </w:r>
                  <w:r>
                    <w:rPr>
                      <w:rFonts w:hint="eastAsia" w:cs="Times New Roman"/>
                      <w:sz w:val="21"/>
                      <w:szCs w:val="21"/>
                      <w:lang w:val="en-US" w:eastAsia="zh-CN"/>
                    </w:rPr>
                    <w:t>.7</w:t>
                  </w:r>
                  <w:r>
                    <w:rPr>
                      <w:rFonts w:hint="default" w:ascii="Times New Roman" w:hAnsi="Times New Roman" w:eastAsia="宋体" w:cs="Times New Roman"/>
                      <w:sz w:val="21"/>
                      <w:szCs w:val="21"/>
                    </w:rPr>
                    <w:t>%）</w:t>
                  </w:r>
                </w:p>
              </w:tc>
              <w:tc>
                <w:tcPr>
                  <w:tcW w:w="588" w:type="pct"/>
                  <w:tcBorders>
                    <w:tl2br w:val="nil"/>
                    <w:tr2bl w:val="nil"/>
                  </w:tcBorders>
                  <w:vAlign w:val="center"/>
                </w:tcPr>
                <w:p>
                  <w:pPr>
                    <w:widowControl/>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0.006</w:t>
                  </w:r>
                </w:p>
              </w:tc>
              <w:tc>
                <w:tcPr>
                  <w:tcW w:w="662" w:type="pct"/>
                  <w:tcBorders>
                    <w:tl2br w:val="nil"/>
                    <w:tr2bl w:val="nil"/>
                  </w:tcBorders>
                  <w:vAlign w:val="center"/>
                </w:tcPr>
                <w:p>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13" w:type="pct"/>
                  <w:vMerge w:val="continue"/>
                  <w:tcBorders>
                    <w:tl2br w:val="nil"/>
                    <w:tr2bl w:val="nil"/>
                  </w:tcBorders>
                  <w:vAlign w:val="center"/>
                </w:tcPr>
                <w:p>
                  <w:pPr>
                    <w:widowControl/>
                    <w:jc w:val="center"/>
                    <w:rPr>
                      <w:rFonts w:hint="default" w:ascii="Times New Roman" w:hAnsi="Times New Roman" w:eastAsia="宋体" w:cs="Times New Roman"/>
                      <w:sz w:val="21"/>
                      <w:szCs w:val="21"/>
                    </w:rPr>
                  </w:pPr>
                </w:p>
              </w:tc>
              <w:tc>
                <w:tcPr>
                  <w:tcW w:w="631" w:type="pct"/>
                  <w:tcBorders>
                    <w:tl2br w:val="nil"/>
                    <w:tr2bl w:val="nil"/>
                  </w:tcBorders>
                  <w:vAlign w:val="center"/>
                </w:tcPr>
                <w:p>
                  <w:pPr>
                    <w:widowControl/>
                    <w:jc w:val="center"/>
                    <w:rPr>
                      <w:rFonts w:hint="default" w:cs="Times New Roman"/>
                      <w:sz w:val="21"/>
                      <w:szCs w:val="21"/>
                      <w:lang w:val="en-US" w:eastAsia="zh-CN"/>
                    </w:rPr>
                  </w:pPr>
                  <w:r>
                    <w:rPr>
                      <w:rFonts w:hint="eastAsia" w:cs="Times New Roman"/>
                      <w:sz w:val="21"/>
                      <w:szCs w:val="21"/>
                      <w:lang w:val="en-US" w:eastAsia="zh-CN"/>
                    </w:rPr>
                    <w:t>运输粉尘</w:t>
                  </w:r>
                </w:p>
              </w:tc>
              <w:tc>
                <w:tcPr>
                  <w:tcW w:w="530" w:type="pct"/>
                  <w:tcBorders>
                    <w:tl2br w:val="nil"/>
                    <w:tr2bl w:val="nil"/>
                  </w:tcBorders>
                  <w:vAlign w:val="center"/>
                </w:tcPr>
                <w:p>
                  <w:pPr>
                    <w:widowControl/>
                    <w:jc w:val="center"/>
                    <w:rPr>
                      <w:rFonts w:hint="default" w:cs="Times New Roman"/>
                      <w:sz w:val="21"/>
                      <w:szCs w:val="21"/>
                      <w:lang w:val="en-US" w:eastAsia="zh-CN"/>
                    </w:rPr>
                  </w:pPr>
                  <w:r>
                    <w:rPr>
                      <w:rFonts w:hint="eastAsia" w:cs="Times New Roman"/>
                      <w:sz w:val="21"/>
                      <w:szCs w:val="21"/>
                      <w:lang w:val="en-US" w:eastAsia="zh-CN"/>
                    </w:rPr>
                    <w:t>0.025</w:t>
                  </w:r>
                </w:p>
              </w:tc>
              <w:tc>
                <w:tcPr>
                  <w:tcW w:w="660" w:type="pct"/>
                  <w:tcBorders>
                    <w:tl2br w:val="nil"/>
                    <w:tr2bl w:val="nil"/>
                  </w:tcBorders>
                  <w:vAlign w:val="center"/>
                </w:tcPr>
                <w:p>
                  <w:pPr>
                    <w:widowControl/>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1513" w:type="pct"/>
                  <w:tcBorders>
                    <w:tl2br w:val="nil"/>
                    <w:tr2bl w:val="nil"/>
                  </w:tcBorders>
                  <w:vAlign w:val="center"/>
                </w:tcPr>
                <w:p>
                  <w:pPr>
                    <w:widowControl/>
                    <w:jc w:val="center"/>
                    <w:rPr>
                      <w:rFonts w:hint="default" w:cs="Times New Roman"/>
                      <w:sz w:val="21"/>
                      <w:szCs w:val="21"/>
                      <w:lang w:val="en-US" w:eastAsia="zh-CN"/>
                    </w:rPr>
                  </w:pPr>
                  <w:r>
                    <w:rPr>
                      <w:rFonts w:hint="eastAsia" w:cs="Times New Roman"/>
                      <w:sz w:val="21"/>
                      <w:szCs w:val="21"/>
                      <w:lang w:val="en-US" w:eastAsia="zh-CN"/>
                    </w:rPr>
                    <w:t>道路清洁，洒水抑尘（抑尘效率80%）</w:t>
                  </w:r>
                </w:p>
              </w:tc>
              <w:tc>
                <w:tcPr>
                  <w:tcW w:w="588" w:type="pct"/>
                  <w:tcBorders>
                    <w:tl2br w:val="nil"/>
                    <w:tr2bl w:val="nil"/>
                  </w:tcBorders>
                  <w:vAlign w:val="center"/>
                </w:tcPr>
                <w:p>
                  <w:pPr>
                    <w:widowControl/>
                    <w:jc w:val="center"/>
                    <w:rPr>
                      <w:rFonts w:hint="default" w:cs="Times New Roman"/>
                      <w:sz w:val="21"/>
                      <w:szCs w:val="21"/>
                      <w:lang w:val="en-US" w:eastAsia="zh-CN"/>
                    </w:rPr>
                  </w:pPr>
                  <w:r>
                    <w:rPr>
                      <w:rFonts w:hint="eastAsia" w:cs="Times New Roman"/>
                      <w:sz w:val="21"/>
                      <w:szCs w:val="21"/>
                      <w:lang w:val="en-US" w:eastAsia="zh-CN"/>
                    </w:rPr>
                    <w:t>0.005</w:t>
                  </w:r>
                </w:p>
              </w:tc>
              <w:tc>
                <w:tcPr>
                  <w:tcW w:w="662" w:type="pct"/>
                  <w:tcBorders>
                    <w:tl2br w:val="nil"/>
                    <w:tr2bl w:val="nil"/>
                  </w:tcBorders>
                  <w:vAlign w:val="center"/>
                </w:tcPr>
                <w:p>
                  <w:pPr>
                    <w:widowControl/>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r>
          </w:tbl>
          <w:p>
            <w:pPr>
              <w:widowControl/>
              <w:spacing w:line="520" w:lineRule="exact"/>
              <w:ind w:firstLine="482" w:firstLineChars="200"/>
              <w:rPr>
                <w:b/>
                <w:bCs/>
                <w:sz w:val="24"/>
              </w:rPr>
            </w:pPr>
            <w:r>
              <w:rPr>
                <w:rFonts w:hint="eastAsia"/>
                <w:b/>
                <w:bCs/>
                <w:sz w:val="24"/>
              </w:rPr>
              <w:t>1.2大气环境影响监测计划</w:t>
            </w:r>
          </w:p>
          <w:p>
            <w:pPr>
              <w:adjustRightInd w:val="0"/>
              <w:snapToGrid w:val="0"/>
              <w:spacing w:line="520" w:lineRule="exact"/>
              <w:ind w:firstLine="480" w:firstLineChars="200"/>
              <w:rPr>
                <w:sz w:val="24"/>
              </w:rPr>
            </w:pPr>
            <w:r>
              <w:rPr>
                <w:rFonts w:hint="eastAsia"/>
                <w:sz w:val="24"/>
              </w:rPr>
              <w:t>根据《</w:t>
            </w:r>
            <w:r>
              <w:rPr>
                <w:rFonts w:hint="eastAsia"/>
                <w:sz w:val="24"/>
                <w:lang w:eastAsia="zh-CN"/>
              </w:rPr>
              <w:t>排污许可证申请与核发技术规范</w:t>
            </w:r>
            <w:r>
              <w:rPr>
                <w:rFonts w:hint="eastAsia"/>
                <w:sz w:val="24"/>
              </w:rPr>
              <w:t xml:space="preserve"> </w:t>
            </w:r>
            <w:r>
              <w:rPr>
                <w:rFonts w:hint="eastAsia"/>
                <w:sz w:val="24"/>
                <w:lang w:val="en-US" w:eastAsia="zh-CN"/>
              </w:rPr>
              <w:t xml:space="preserve"> 水泥工业</w:t>
            </w:r>
            <w:r>
              <w:rPr>
                <w:rFonts w:hint="eastAsia"/>
                <w:sz w:val="24"/>
              </w:rPr>
              <w:t>》（H</w:t>
            </w:r>
            <w:r>
              <w:rPr>
                <w:sz w:val="24"/>
              </w:rPr>
              <w:t>J</w:t>
            </w:r>
            <w:r>
              <w:rPr>
                <w:rFonts w:hint="eastAsia"/>
                <w:sz w:val="24"/>
                <w:lang w:val="en-US" w:eastAsia="zh-CN"/>
              </w:rPr>
              <w:t>848-2017</w:t>
            </w:r>
            <w:r>
              <w:rPr>
                <w:rFonts w:hint="eastAsia"/>
                <w:sz w:val="24"/>
              </w:rPr>
              <w:t>）相关规定，本次评价确定本项目大气环境自行监测方案见表4</w:t>
            </w:r>
            <w:r>
              <w:rPr>
                <w:sz w:val="24"/>
              </w:rPr>
              <w:t>-</w:t>
            </w:r>
            <w:r>
              <w:rPr>
                <w:rFonts w:hint="eastAsia"/>
                <w:sz w:val="24"/>
                <w:lang w:val="en-US" w:eastAsia="zh-CN"/>
              </w:rPr>
              <w:t>9</w:t>
            </w:r>
            <w:r>
              <w:rPr>
                <w:rFonts w:hint="eastAsia"/>
                <w:sz w:val="24"/>
              </w:rPr>
              <w:t>。</w:t>
            </w:r>
          </w:p>
          <w:p>
            <w:pPr>
              <w:widowControl/>
              <w:ind w:firstLine="480" w:firstLineChars="200"/>
              <w:jc w:val="center"/>
              <w:rPr>
                <w:rFonts w:eastAsia="黑体"/>
                <w:sz w:val="24"/>
              </w:rPr>
            </w:pPr>
            <w:r>
              <w:rPr>
                <w:rFonts w:hint="eastAsia" w:eastAsia="黑体"/>
                <w:sz w:val="24"/>
              </w:rPr>
              <w:t>表4-</w:t>
            </w:r>
            <w:r>
              <w:rPr>
                <w:rFonts w:hint="eastAsia" w:eastAsia="黑体"/>
                <w:sz w:val="24"/>
                <w:lang w:val="en-US" w:eastAsia="zh-CN"/>
              </w:rPr>
              <w:t>9</w:t>
            </w:r>
            <w:r>
              <w:rPr>
                <w:rFonts w:hint="eastAsia" w:eastAsia="黑体"/>
                <w:sz w:val="24"/>
              </w:rPr>
              <w:t xml:space="preserve">  废气排放监测方案</w:t>
            </w:r>
          </w:p>
          <w:tbl>
            <w:tblPr>
              <w:tblStyle w:val="3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09"/>
              <w:gridCol w:w="2269"/>
              <w:gridCol w:w="1346"/>
              <w:gridCol w:w="30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332" w:type="pct"/>
                  <w:tcBorders>
                    <w:tl2br w:val="nil"/>
                    <w:tr2bl w:val="nil"/>
                  </w:tcBorders>
                  <w:vAlign w:val="center"/>
                </w:tcPr>
                <w:p>
                  <w:pPr>
                    <w:pStyle w:val="77"/>
                    <w:rPr>
                      <w:iCs/>
                    </w:rPr>
                  </w:pPr>
                  <w:r>
                    <w:rPr>
                      <w:rFonts w:hint="eastAsia"/>
                      <w:iCs/>
                    </w:rPr>
                    <w:t>监测位置</w:t>
                  </w:r>
                </w:p>
              </w:tc>
              <w:tc>
                <w:tcPr>
                  <w:tcW w:w="1254" w:type="pct"/>
                  <w:tcBorders>
                    <w:tl2br w:val="nil"/>
                    <w:tr2bl w:val="nil"/>
                  </w:tcBorders>
                  <w:vAlign w:val="center"/>
                </w:tcPr>
                <w:p>
                  <w:pPr>
                    <w:pStyle w:val="77"/>
                    <w:rPr>
                      <w:iCs/>
                    </w:rPr>
                  </w:pPr>
                  <w:r>
                    <w:rPr>
                      <w:rFonts w:hint="eastAsia"/>
                      <w:iCs/>
                    </w:rPr>
                    <w:t>监测项目</w:t>
                  </w:r>
                </w:p>
              </w:tc>
              <w:tc>
                <w:tcPr>
                  <w:tcW w:w="744" w:type="pct"/>
                  <w:tcBorders>
                    <w:tl2br w:val="nil"/>
                    <w:tr2bl w:val="nil"/>
                  </w:tcBorders>
                  <w:vAlign w:val="center"/>
                </w:tcPr>
                <w:p>
                  <w:pPr>
                    <w:pStyle w:val="77"/>
                    <w:rPr>
                      <w:iCs/>
                    </w:rPr>
                  </w:pPr>
                  <w:r>
                    <w:rPr>
                      <w:rFonts w:hint="eastAsia"/>
                      <w:iCs/>
                    </w:rPr>
                    <w:t>监测频率</w:t>
                  </w:r>
                </w:p>
              </w:tc>
              <w:tc>
                <w:tcPr>
                  <w:tcW w:w="1669" w:type="pct"/>
                  <w:tcBorders>
                    <w:tl2br w:val="nil"/>
                    <w:tr2bl w:val="nil"/>
                  </w:tcBorders>
                  <w:vAlign w:val="center"/>
                </w:tcPr>
                <w:p>
                  <w:pPr>
                    <w:pStyle w:val="77"/>
                    <w:rPr>
                      <w:iCs/>
                    </w:rPr>
                  </w:pPr>
                  <w:r>
                    <w:rPr>
                      <w:rFonts w:hint="eastAsia"/>
                      <w:iCs/>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332" w:type="pct"/>
                  <w:tcBorders>
                    <w:tl2br w:val="nil"/>
                    <w:tr2bl w:val="nil"/>
                  </w:tcBorders>
                  <w:vAlign w:val="center"/>
                </w:tcPr>
                <w:p>
                  <w:pPr>
                    <w:pStyle w:val="77"/>
                    <w:rPr>
                      <w:rFonts w:hint="default" w:eastAsia="宋体"/>
                      <w:iCs/>
                      <w:lang w:val="en-US" w:eastAsia="zh-CN"/>
                    </w:rPr>
                  </w:pPr>
                  <w:r>
                    <w:rPr>
                      <w:rFonts w:hint="eastAsia"/>
                      <w:iCs/>
                      <w:lang w:val="en-US" w:eastAsia="zh-CN"/>
                    </w:rPr>
                    <w:t>DA001搅拌废气排口</w:t>
                  </w:r>
                </w:p>
              </w:tc>
              <w:tc>
                <w:tcPr>
                  <w:tcW w:w="1254" w:type="pct"/>
                  <w:tcBorders>
                    <w:tl2br w:val="nil"/>
                    <w:tr2bl w:val="nil"/>
                  </w:tcBorders>
                  <w:vAlign w:val="center"/>
                </w:tcPr>
                <w:p>
                  <w:pPr>
                    <w:pStyle w:val="77"/>
                  </w:pPr>
                  <w:r>
                    <w:rPr>
                      <w:rFonts w:hint="eastAsia"/>
                    </w:rPr>
                    <w:t>颗粒物</w:t>
                  </w:r>
                </w:p>
              </w:tc>
              <w:tc>
                <w:tcPr>
                  <w:tcW w:w="744" w:type="pct"/>
                  <w:tcBorders>
                    <w:tl2br w:val="nil"/>
                    <w:tr2bl w:val="nil"/>
                  </w:tcBorders>
                  <w:vAlign w:val="center"/>
                </w:tcPr>
                <w:p>
                  <w:pPr>
                    <w:pStyle w:val="77"/>
                    <w:rPr>
                      <w:iCs/>
                    </w:rPr>
                  </w:pPr>
                  <w:r>
                    <w:rPr>
                      <w:rFonts w:hint="eastAsia"/>
                      <w:iCs/>
                      <w:lang w:val="en-US" w:eastAsia="zh-CN"/>
                    </w:rPr>
                    <w:t>两</w:t>
                  </w:r>
                  <w:r>
                    <w:rPr>
                      <w:rFonts w:hint="eastAsia"/>
                      <w:iCs/>
                    </w:rPr>
                    <w:t>年1次</w:t>
                  </w:r>
                </w:p>
              </w:tc>
              <w:tc>
                <w:tcPr>
                  <w:tcW w:w="1669" w:type="pct"/>
                  <w:vMerge w:val="restart"/>
                  <w:tcBorders>
                    <w:tl2br w:val="nil"/>
                    <w:tr2bl w:val="nil"/>
                  </w:tcBorders>
                  <w:vAlign w:val="center"/>
                </w:tcPr>
                <w:p>
                  <w:pPr>
                    <w:pStyle w:val="77"/>
                    <w:rPr>
                      <w:iCs/>
                    </w:rPr>
                  </w:pPr>
                  <w:r>
                    <w:rPr>
                      <w:rFonts w:hint="eastAsia"/>
                      <w:iCs/>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332" w:type="pct"/>
                  <w:tcBorders>
                    <w:tl2br w:val="nil"/>
                    <w:tr2bl w:val="nil"/>
                  </w:tcBorders>
                  <w:vAlign w:val="center"/>
                </w:tcPr>
                <w:p>
                  <w:pPr>
                    <w:pStyle w:val="77"/>
                    <w:rPr>
                      <w:rFonts w:hint="eastAsia" w:eastAsia="宋体"/>
                      <w:iCs/>
                      <w:lang w:eastAsia="zh-CN"/>
                    </w:rPr>
                  </w:pPr>
                  <w:r>
                    <w:rPr>
                      <w:rFonts w:hint="eastAsia"/>
                      <w:iCs/>
                    </w:rPr>
                    <w:t>厂界上风向</w:t>
                  </w:r>
                  <w:r>
                    <w:rPr>
                      <w:rFonts w:hint="eastAsia"/>
                      <w:iCs/>
                      <w:lang w:val="en-US" w:eastAsia="zh-CN"/>
                    </w:rPr>
                    <w:t>1点</w:t>
                  </w:r>
                  <w:r>
                    <w:rPr>
                      <w:rFonts w:hint="eastAsia"/>
                      <w:iCs/>
                    </w:rPr>
                    <w:t>，厂界下风向</w:t>
                  </w:r>
                  <w:r>
                    <w:rPr>
                      <w:rFonts w:hint="eastAsia"/>
                      <w:iCs/>
                      <w:lang w:val="en-US" w:eastAsia="zh-CN"/>
                    </w:rPr>
                    <w:t>3点</w:t>
                  </w:r>
                </w:p>
              </w:tc>
              <w:tc>
                <w:tcPr>
                  <w:tcW w:w="1254" w:type="pct"/>
                  <w:tcBorders>
                    <w:tl2br w:val="nil"/>
                    <w:tr2bl w:val="nil"/>
                  </w:tcBorders>
                  <w:vAlign w:val="center"/>
                </w:tcPr>
                <w:p>
                  <w:pPr>
                    <w:pStyle w:val="77"/>
                  </w:pPr>
                  <w:r>
                    <w:rPr>
                      <w:rFonts w:hint="eastAsia"/>
                    </w:rPr>
                    <w:t>无组织颗粒物</w:t>
                  </w:r>
                </w:p>
              </w:tc>
              <w:tc>
                <w:tcPr>
                  <w:tcW w:w="744" w:type="pct"/>
                  <w:tcBorders>
                    <w:tl2br w:val="nil"/>
                    <w:tr2bl w:val="nil"/>
                  </w:tcBorders>
                  <w:vAlign w:val="center"/>
                </w:tcPr>
                <w:p>
                  <w:pPr>
                    <w:pStyle w:val="77"/>
                    <w:rPr>
                      <w:iCs/>
                    </w:rPr>
                  </w:pPr>
                  <w:r>
                    <w:rPr>
                      <w:rFonts w:hint="eastAsia"/>
                      <w:iCs/>
                    </w:rPr>
                    <w:t>每</w:t>
                  </w:r>
                  <w:r>
                    <w:rPr>
                      <w:rFonts w:hint="eastAsia"/>
                      <w:iCs/>
                      <w:lang w:val="en-US" w:eastAsia="zh-CN"/>
                    </w:rPr>
                    <w:t>季度</w:t>
                  </w:r>
                  <w:r>
                    <w:rPr>
                      <w:rFonts w:hint="eastAsia"/>
                      <w:iCs/>
                    </w:rPr>
                    <w:t>1次</w:t>
                  </w:r>
                </w:p>
              </w:tc>
              <w:tc>
                <w:tcPr>
                  <w:tcW w:w="1669" w:type="pct"/>
                  <w:vMerge w:val="continue"/>
                  <w:tcBorders>
                    <w:tl2br w:val="nil"/>
                    <w:tr2bl w:val="nil"/>
                  </w:tcBorders>
                  <w:vAlign w:val="center"/>
                </w:tcPr>
                <w:p>
                  <w:pPr>
                    <w:pStyle w:val="77"/>
                    <w:rPr>
                      <w:iCs/>
                    </w:rPr>
                  </w:pPr>
                </w:p>
              </w:tc>
            </w:tr>
          </w:tbl>
          <w:p>
            <w:pPr>
              <w:widowControl/>
              <w:spacing w:line="520" w:lineRule="exact"/>
              <w:ind w:firstLine="482" w:firstLineChars="200"/>
              <w:rPr>
                <w:b/>
                <w:bCs/>
                <w:sz w:val="24"/>
              </w:rPr>
            </w:pPr>
            <w:r>
              <w:rPr>
                <w:rFonts w:hint="eastAsia"/>
                <w:b/>
                <w:bCs/>
                <w:sz w:val="24"/>
              </w:rPr>
              <w:t>2、废水</w:t>
            </w:r>
          </w:p>
          <w:p>
            <w:pPr>
              <w:pStyle w:val="65"/>
              <w:rPr>
                <w:rFonts w:cs="Times New Roman"/>
              </w:rPr>
            </w:pPr>
            <w:r>
              <w:t>本项目运营期产生的废水主要为生活污水。</w:t>
            </w:r>
          </w:p>
          <w:p>
            <w:pPr>
              <w:pStyle w:val="65"/>
              <w:ind w:firstLine="482"/>
              <w:rPr>
                <w:rFonts w:cs="Times New Roman"/>
                <w:b/>
                <w:bCs/>
              </w:rPr>
            </w:pPr>
            <w:r>
              <w:rPr>
                <w:rFonts w:hint="eastAsia" w:cs="Times New Roman"/>
                <w:b/>
                <w:bCs/>
              </w:rPr>
              <w:t>2</w:t>
            </w:r>
            <w:r>
              <w:rPr>
                <w:rFonts w:cs="Times New Roman"/>
                <w:b/>
                <w:bCs/>
              </w:rPr>
              <w:t>.</w:t>
            </w:r>
            <w:r>
              <w:rPr>
                <w:rFonts w:hint="eastAsia" w:cs="Times New Roman"/>
                <w:b/>
                <w:bCs/>
              </w:rPr>
              <w:t>1</w:t>
            </w:r>
            <w:r>
              <w:rPr>
                <w:rFonts w:cs="Times New Roman"/>
                <w:b/>
                <w:bCs/>
              </w:rPr>
              <w:t>生</w:t>
            </w:r>
            <w:r>
              <w:rPr>
                <w:rFonts w:hint="eastAsia" w:cs="Times New Roman"/>
                <w:b/>
                <w:bCs/>
              </w:rPr>
              <w:t>活污水</w:t>
            </w:r>
          </w:p>
          <w:p>
            <w:pPr>
              <w:adjustRightInd w:val="0"/>
              <w:snapToGrid w:val="0"/>
              <w:spacing w:line="520" w:lineRule="exact"/>
              <w:ind w:firstLine="480" w:firstLineChars="200"/>
              <w:rPr>
                <w:sz w:val="24"/>
              </w:rPr>
            </w:pPr>
            <w:r>
              <w:rPr>
                <w:sz w:val="24"/>
              </w:rPr>
              <w:t>生产废水：项目无生产废水产生</w:t>
            </w:r>
            <w:r>
              <w:rPr>
                <w:rFonts w:hint="eastAsia"/>
                <w:sz w:val="24"/>
                <w:lang w:eastAsia="zh-CN"/>
              </w:rPr>
              <w:t>，</w:t>
            </w:r>
            <w:r>
              <w:rPr>
                <w:rFonts w:hint="eastAsia"/>
                <w:sz w:val="24"/>
                <w:lang w:val="en-US" w:eastAsia="zh-CN"/>
              </w:rPr>
              <w:t>切割废水经集水池收集回用切割工艺，不外排</w:t>
            </w:r>
            <w:r>
              <w:rPr>
                <w:rFonts w:hint="eastAsia"/>
                <w:sz w:val="24"/>
              </w:rPr>
              <w:t>。</w:t>
            </w:r>
          </w:p>
          <w:p>
            <w:pPr>
              <w:adjustRightInd w:val="0"/>
              <w:snapToGrid w:val="0"/>
              <w:spacing w:line="520" w:lineRule="exact"/>
              <w:ind w:firstLine="480" w:firstLineChars="200"/>
              <w:rPr>
                <w:sz w:val="24"/>
              </w:rPr>
            </w:pPr>
            <w:r>
              <w:rPr>
                <w:sz w:val="24"/>
              </w:rPr>
              <w:t>生活污水：生活用水主要为工作人员的日常生活用水。本项目生活污水排放量为</w:t>
            </w:r>
            <w:r>
              <w:rPr>
                <w:rFonts w:hint="eastAsia"/>
                <w:sz w:val="24"/>
                <w:lang w:val="en-US" w:eastAsia="zh-CN"/>
              </w:rPr>
              <w:t>107.52</w:t>
            </w:r>
            <w:r>
              <w:rPr>
                <w:sz w:val="24"/>
              </w:rPr>
              <w:t>m</w:t>
            </w:r>
            <w:r>
              <w:rPr>
                <w:sz w:val="24"/>
                <w:vertAlign w:val="superscript"/>
              </w:rPr>
              <w:t>3</w:t>
            </w:r>
            <w:r>
              <w:rPr>
                <w:sz w:val="24"/>
              </w:rPr>
              <w:t>/a；排入园区下水管网，最终进入</w:t>
            </w:r>
            <w:r>
              <w:rPr>
                <w:rFonts w:hint="eastAsia"/>
                <w:sz w:val="24"/>
              </w:rPr>
              <w:t>阜康市西部城区污水处理厂</w:t>
            </w:r>
            <w:r>
              <w:rPr>
                <w:sz w:val="24"/>
              </w:rPr>
              <w:t>处理。污染物浓度及产生量分别为COD</w:t>
            </w:r>
            <w:r>
              <w:rPr>
                <w:sz w:val="24"/>
                <w:vertAlign w:val="subscript"/>
              </w:rPr>
              <w:t>Cr</w:t>
            </w:r>
            <w:r>
              <w:rPr>
                <w:sz w:val="24"/>
              </w:rPr>
              <w:t>：400mg/L，</w:t>
            </w:r>
            <w:r>
              <w:rPr>
                <w:rFonts w:hint="eastAsia"/>
                <w:sz w:val="24"/>
                <w:lang w:val="en-US" w:eastAsia="zh-CN"/>
              </w:rPr>
              <w:t>0.043</w:t>
            </w:r>
            <w:r>
              <w:rPr>
                <w:sz w:val="24"/>
              </w:rPr>
              <w:t>t/a；BOD</w:t>
            </w:r>
            <w:r>
              <w:rPr>
                <w:sz w:val="24"/>
                <w:vertAlign w:val="subscript"/>
              </w:rPr>
              <w:t>5</w:t>
            </w:r>
            <w:r>
              <w:rPr>
                <w:sz w:val="24"/>
              </w:rPr>
              <w:t>：200mg/L，</w:t>
            </w:r>
            <w:r>
              <w:rPr>
                <w:rFonts w:hint="eastAsia"/>
                <w:sz w:val="24"/>
                <w:lang w:val="en-US" w:eastAsia="zh-CN"/>
              </w:rPr>
              <w:t>0.022</w:t>
            </w:r>
            <w:r>
              <w:rPr>
                <w:sz w:val="24"/>
              </w:rPr>
              <w:t>t/a；NH</w:t>
            </w:r>
            <w:r>
              <w:rPr>
                <w:sz w:val="24"/>
                <w:vertAlign w:val="subscript"/>
              </w:rPr>
              <w:t>3</w:t>
            </w:r>
            <w:r>
              <w:rPr>
                <w:sz w:val="24"/>
              </w:rPr>
              <w:t>-N：35mg/L，</w:t>
            </w:r>
            <w:r>
              <w:rPr>
                <w:rFonts w:hint="eastAsia"/>
                <w:sz w:val="24"/>
                <w:lang w:val="en-US" w:eastAsia="zh-CN"/>
              </w:rPr>
              <w:t>0.004</w:t>
            </w:r>
            <w:r>
              <w:rPr>
                <w:sz w:val="24"/>
              </w:rPr>
              <w:t>t/a；SS：200mg/L，</w:t>
            </w:r>
            <w:r>
              <w:rPr>
                <w:rFonts w:hint="eastAsia"/>
                <w:sz w:val="24"/>
                <w:lang w:val="en-US" w:eastAsia="zh-CN"/>
              </w:rPr>
              <w:t>0.022</w:t>
            </w:r>
            <w:r>
              <w:rPr>
                <w:sz w:val="24"/>
              </w:rPr>
              <w:t>t/a。废水</w:t>
            </w:r>
            <w:r>
              <w:rPr>
                <w:rFonts w:hint="eastAsia"/>
                <w:sz w:val="24"/>
                <w:lang w:eastAsia="zh-CN"/>
              </w:rPr>
              <w:t>主要污染物浓度满足</w:t>
            </w:r>
            <w:r>
              <w:rPr>
                <w:sz w:val="24"/>
              </w:rPr>
              <w:t>《污水综合排放标准》（GB8978-1996）中的三级标准</w:t>
            </w:r>
            <w:r>
              <w:rPr>
                <w:rFonts w:hint="eastAsia"/>
                <w:sz w:val="24"/>
                <w:lang w:eastAsia="zh-CN"/>
              </w:rPr>
              <w:t>要求</w:t>
            </w:r>
            <w:r>
              <w:rPr>
                <w:sz w:val="24"/>
              </w:rPr>
              <w:t>。</w:t>
            </w:r>
          </w:p>
          <w:p>
            <w:pPr>
              <w:pStyle w:val="81"/>
              <w:keepNext w:val="0"/>
              <w:keepLines w:val="0"/>
              <w:pageBreakBefore w:val="0"/>
              <w:widowControl w:val="0"/>
              <w:kinsoku/>
              <w:wordWrap/>
              <w:overflowPunct/>
              <w:topLinePunct w:val="0"/>
              <w:autoSpaceDE/>
              <w:autoSpaceDN/>
              <w:bidi w:val="0"/>
              <w:adjustRightInd w:val="0"/>
              <w:snapToGrid w:val="0"/>
              <w:ind w:firstLine="480" w:firstLineChars="200"/>
              <w:jc w:val="both"/>
              <w:textAlignment w:val="baseline"/>
            </w:pPr>
            <w:r>
              <w:rPr>
                <w:rFonts w:hint="default" w:ascii="Times New Roman" w:hAnsi="Times New Roman" w:eastAsia="宋体" w:cs="Times New Roman"/>
                <w:sz w:val="24"/>
              </w:rPr>
              <w:t>餐饮废水：本项目餐饮废水共计</w:t>
            </w:r>
            <w:r>
              <w:rPr>
                <w:rFonts w:hint="default" w:ascii="Times New Roman" w:hAnsi="Times New Roman" w:eastAsia="宋体" w:cs="Times New Roman"/>
                <w:sz w:val="24"/>
                <w:lang w:val="en-US" w:eastAsia="zh-CN"/>
              </w:rPr>
              <w:t>40.32</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/a。污水的主要污染物浓度为COD</w:t>
            </w:r>
            <w:r>
              <w:rPr>
                <w:rFonts w:hint="default" w:ascii="Times New Roman" w:hAnsi="Times New Roman" w:eastAsia="宋体" w:cs="Times New Roman"/>
                <w:sz w:val="24"/>
                <w:vertAlign w:val="subscript"/>
              </w:rPr>
              <w:t>Cr</w:t>
            </w:r>
            <w:r>
              <w:rPr>
                <w:rFonts w:hint="default" w:ascii="Times New Roman" w:hAnsi="Times New Roman" w:eastAsia="宋体" w:cs="Times New Roman"/>
                <w:sz w:val="24"/>
              </w:rPr>
              <w:t>350mg/L、BOD</w:t>
            </w:r>
            <w:r>
              <w:rPr>
                <w:rFonts w:hint="default" w:ascii="Times New Roman" w:hAnsi="Times New Roman" w:eastAsia="宋体" w:cs="Times New Roman"/>
                <w:sz w:val="24"/>
                <w:vertAlign w:val="subscript"/>
              </w:rPr>
              <w:t>5</w:t>
            </w:r>
            <w:r>
              <w:rPr>
                <w:rFonts w:hint="default" w:ascii="Times New Roman" w:hAnsi="Times New Roman" w:eastAsia="宋体" w:cs="Times New Roman"/>
                <w:sz w:val="24"/>
              </w:rPr>
              <w:t>200mg/L、SS250mg/L、NH</w:t>
            </w:r>
            <w:r>
              <w:rPr>
                <w:rFonts w:hint="default" w:ascii="Times New Roman" w:hAnsi="Times New Roman" w:eastAsia="宋体" w:cs="Times New Roman"/>
                <w:sz w:val="24"/>
                <w:vertAlign w:val="subscript"/>
              </w:rPr>
              <w:t>3</w:t>
            </w:r>
            <w:r>
              <w:rPr>
                <w:rFonts w:hint="default" w:ascii="Times New Roman" w:hAnsi="Times New Roman" w:eastAsia="宋体" w:cs="Times New Roman"/>
                <w:sz w:val="24"/>
              </w:rPr>
              <w:t>-N30mg/L和动植物油80mg/L，产生量分别为COD</w:t>
            </w:r>
            <w:r>
              <w:rPr>
                <w:rFonts w:hint="default" w:ascii="Times New Roman" w:hAnsi="Times New Roman" w:eastAsia="宋体" w:cs="Times New Roman"/>
                <w:sz w:val="24"/>
                <w:vertAlign w:val="subscript"/>
              </w:rPr>
              <w:t>Cr</w:t>
            </w: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0.014</w:t>
            </w:r>
            <w:r>
              <w:rPr>
                <w:rFonts w:hint="default" w:ascii="Times New Roman" w:hAnsi="Times New Roman" w:eastAsia="宋体" w:cs="Times New Roman"/>
                <w:sz w:val="24"/>
              </w:rPr>
              <w:t>t/a、BOD</w:t>
            </w:r>
            <w:r>
              <w:rPr>
                <w:rFonts w:hint="default" w:ascii="Times New Roman" w:hAnsi="Times New Roman" w:eastAsia="宋体" w:cs="Times New Roman"/>
                <w:sz w:val="24"/>
                <w:vertAlign w:val="subscript"/>
              </w:rPr>
              <w:t>5</w:t>
            </w: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0.008</w:t>
            </w:r>
            <w:r>
              <w:rPr>
                <w:rFonts w:hint="default" w:ascii="Times New Roman" w:hAnsi="Times New Roman" w:eastAsia="宋体" w:cs="Times New Roman"/>
                <w:sz w:val="24"/>
              </w:rPr>
              <w:t>t/a、SS：</w:t>
            </w:r>
            <w:r>
              <w:rPr>
                <w:rFonts w:hint="default" w:ascii="Times New Roman" w:hAnsi="Times New Roman" w:eastAsia="宋体" w:cs="Times New Roman"/>
                <w:sz w:val="24"/>
                <w:lang w:val="en-US" w:eastAsia="zh-CN"/>
              </w:rPr>
              <w:t>0.01</w:t>
            </w:r>
            <w:r>
              <w:rPr>
                <w:rFonts w:hint="default" w:ascii="Times New Roman" w:hAnsi="Times New Roman" w:eastAsia="宋体" w:cs="Times New Roman"/>
                <w:sz w:val="24"/>
              </w:rPr>
              <w:t>t/a、NH</w:t>
            </w:r>
            <w:r>
              <w:rPr>
                <w:rFonts w:hint="default" w:ascii="Times New Roman" w:hAnsi="Times New Roman" w:eastAsia="宋体" w:cs="Times New Roman"/>
                <w:sz w:val="24"/>
                <w:vertAlign w:val="subscript"/>
              </w:rPr>
              <w:t>3</w:t>
            </w:r>
            <w:r>
              <w:rPr>
                <w:rFonts w:hint="default" w:ascii="Times New Roman" w:hAnsi="Times New Roman" w:eastAsia="宋体" w:cs="Times New Roman"/>
                <w:sz w:val="24"/>
              </w:rPr>
              <w:t>-N：</w:t>
            </w:r>
            <w:r>
              <w:rPr>
                <w:rFonts w:hint="default" w:ascii="Times New Roman" w:hAnsi="Times New Roman" w:eastAsia="宋体" w:cs="Times New Roman"/>
                <w:sz w:val="24"/>
                <w:lang w:val="en-US" w:eastAsia="zh-CN"/>
              </w:rPr>
              <w:t>0.001</w:t>
            </w:r>
            <w:r>
              <w:rPr>
                <w:rFonts w:hint="default" w:ascii="Times New Roman" w:hAnsi="Times New Roman" w:eastAsia="宋体" w:cs="Times New Roman"/>
                <w:sz w:val="24"/>
              </w:rPr>
              <w:t>t/a、动植物油：</w:t>
            </w:r>
            <w:r>
              <w:rPr>
                <w:rFonts w:hint="default" w:ascii="Times New Roman" w:hAnsi="Times New Roman" w:eastAsia="宋体" w:cs="Times New Roman"/>
                <w:sz w:val="24"/>
                <w:lang w:val="en-US" w:eastAsia="zh-CN"/>
              </w:rPr>
              <w:t>0.003</w:t>
            </w:r>
            <w:r>
              <w:rPr>
                <w:rFonts w:hint="default" w:ascii="Times New Roman" w:hAnsi="Times New Roman" w:eastAsia="宋体" w:cs="Times New Roman"/>
                <w:sz w:val="24"/>
              </w:rPr>
              <w:t>t/a。餐饮废水经油水分离器（隔油效率50%）处理后动植物油排放为</w:t>
            </w:r>
            <w:r>
              <w:rPr>
                <w:rFonts w:hint="default" w:ascii="Times New Roman" w:hAnsi="Times New Roman" w:eastAsia="宋体" w:cs="Times New Roman"/>
                <w:sz w:val="24"/>
                <w:lang w:val="en-US" w:eastAsia="zh-CN"/>
              </w:rPr>
              <w:t>0.002</w:t>
            </w:r>
            <w:r>
              <w:rPr>
                <w:rFonts w:hint="default" w:ascii="Times New Roman" w:hAnsi="Times New Roman" w:eastAsia="宋体" w:cs="Times New Roman"/>
                <w:sz w:val="24"/>
              </w:rPr>
              <w:t>t/a。废水主要污染物浓度满足《污水综合排放标准》（GB8978-1996）中的三级标准要求。餐饮废水经油水分离器处理后排入园区下水管网，最终进入阜康市西部城区污水处理厂处理。</w:t>
            </w:r>
          </w:p>
          <w:p>
            <w:pPr>
              <w:pStyle w:val="13"/>
              <w:widowControl w:val="0"/>
              <w:spacing w:before="0" w:after="0" w:line="240" w:lineRule="auto"/>
              <w:ind w:right="0"/>
              <w:jc w:val="center"/>
              <w:rPr>
                <w:rFonts w:ascii="黑体" w:hAnsi="黑体" w:eastAsia="黑体" w:cs="黑体"/>
                <w:sz w:val="24"/>
              </w:rPr>
            </w:pPr>
            <w:r>
              <w:rPr>
                <w:rFonts w:hint="eastAsia" w:ascii="黑体" w:hAnsi="黑体" w:eastAsia="黑体" w:cs="黑体"/>
                <w:sz w:val="24"/>
              </w:rPr>
              <w:t>表4-</w:t>
            </w:r>
            <w:r>
              <w:rPr>
                <w:rFonts w:hint="eastAsia" w:ascii="黑体" w:hAnsi="黑体" w:eastAsia="黑体" w:cs="黑体"/>
                <w:sz w:val="24"/>
                <w:lang w:val="en-US" w:eastAsia="zh-CN"/>
              </w:rPr>
              <w:t>10</w:t>
            </w:r>
            <w:r>
              <w:rPr>
                <w:rFonts w:hint="eastAsia" w:ascii="黑体" w:hAnsi="黑体" w:eastAsia="黑体" w:cs="黑体"/>
                <w:sz w:val="24"/>
              </w:rPr>
              <w:t xml:space="preserve">  废水产污表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57"/>
              <w:gridCol w:w="1150"/>
              <w:gridCol w:w="1148"/>
              <w:gridCol w:w="1208"/>
              <w:gridCol w:w="859"/>
              <w:gridCol w:w="1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913" w:type="pct"/>
                  <w:tcBorders>
                    <w:top w:val="single" w:color="auto" w:sz="12" w:space="0"/>
                    <w:left w:val="nil"/>
                    <w:bottom w:val="single" w:color="auto" w:sz="6" w:space="0"/>
                    <w:right w:val="single" w:color="auto" w:sz="6" w:space="0"/>
                  </w:tcBorders>
                  <w:vAlign w:val="center"/>
                </w:tcPr>
                <w:p>
                  <w:pPr>
                    <w:pStyle w:val="102"/>
                    <w:widowControl w:val="0"/>
                  </w:pPr>
                  <w:r>
                    <w:t>水质</w:t>
                  </w:r>
                </w:p>
              </w:tc>
              <w:tc>
                <w:tcPr>
                  <w:tcW w:w="636" w:type="pct"/>
                  <w:tcBorders>
                    <w:top w:val="single" w:color="auto" w:sz="12" w:space="0"/>
                    <w:left w:val="single" w:color="auto" w:sz="6" w:space="0"/>
                    <w:bottom w:val="single" w:color="auto" w:sz="6" w:space="0"/>
                    <w:right w:val="single" w:color="auto" w:sz="6" w:space="0"/>
                  </w:tcBorders>
                  <w:vAlign w:val="center"/>
                </w:tcPr>
                <w:p>
                  <w:pPr>
                    <w:pStyle w:val="102"/>
                    <w:widowControl w:val="0"/>
                  </w:pPr>
                  <w:r>
                    <w:t>COD</w:t>
                  </w:r>
                  <w:r>
                    <w:rPr>
                      <w:vertAlign w:val="subscript"/>
                    </w:rPr>
                    <w:t>cr</w:t>
                  </w:r>
                </w:p>
              </w:tc>
              <w:tc>
                <w:tcPr>
                  <w:tcW w:w="635" w:type="pct"/>
                  <w:tcBorders>
                    <w:top w:val="single" w:color="auto" w:sz="12" w:space="0"/>
                    <w:left w:val="single" w:color="auto" w:sz="6" w:space="0"/>
                    <w:bottom w:val="single" w:color="auto" w:sz="6" w:space="0"/>
                    <w:right w:val="single" w:color="auto" w:sz="6" w:space="0"/>
                  </w:tcBorders>
                  <w:vAlign w:val="center"/>
                </w:tcPr>
                <w:p>
                  <w:pPr>
                    <w:pStyle w:val="102"/>
                    <w:widowControl w:val="0"/>
                  </w:pPr>
                  <w:r>
                    <w:t>BOD</w:t>
                  </w:r>
                  <w:r>
                    <w:rPr>
                      <w:vertAlign w:val="subscript"/>
                    </w:rPr>
                    <w:t>5</w:t>
                  </w:r>
                </w:p>
              </w:tc>
              <w:tc>
                <w:tcPr>
                  <w:tcW w:w="668" w:type="pct"/>
                  <w:tcBorders>
                    <w:top w:val="single" w:color="auto" w:sz="12" w:space="0"/>
                    <w:left w:val="single" w:color="auto" w:sz="6" w:space="0"/>
                    <w:bottom w:val="single" w:color="auto" w:sz="6" w:space="0"/>
                    <w:right w:val="single" w:color="auto" w:sz="6" w:space="0"/>
                  </w:tcBorders>
                  <w:vAlign w:val="center"/>
                </w:tcPr>
                <w:p>
                  <w:pPr>
                    <w:pStyle w:val="102"/>
                    <w:widowControl w:val="0"/>
                  </w:pPr>
                  <w:r>
                    <w:t>SS</w:t>
                  </w:r>
                </w:p>
              </w:tc>
              <w:tc>
                <w:tcPr>
                  <w:tcW w:w="475" w:type="pct"/>
                  <w:tcBorders>
                    <w:top w:val="single" w:color="auto" w:sz="12" w:space="0"/>
                    <w:left w:val="single" w:color="auto" w:sz="6" w:space="0"/>
                    <w:bottom w:val="single" w:color="auto" w:sz="6" w:space="0"/>
                    <w:right w:val="nil"/>
                  </w:tcBorders>
                  <w:vAlign w:val="center"/>
                </w:tcPr>
                <w:p>
                  <w:pPr>
                    <w:pStyle w:val="102"/>
                    <w:widowControl w:val="0"/>
                  </w:pPr>
                  <w:r>
                    <w:t>NH</w:t>
                  </w:r>
                  <w:r>
                    <w:rPr>
                      <w:vertAlign w:val="subscript"/>
                    </w:rPr>
                    <w:t>3</w:t>
                  </w:r>
                  <w:r>
                    <w:t>-N</w:t>
                  </w:r>
                </w:p>
              </w:tc>
              <w:tc>
                <w:tcPr>
                  <w:tcW w:w="671" w:type="pct"/>
                  <w:tcBorders>
                    <w:top w:val="single" w:color="auto" w:sz="12" w:space="0"/>
                    <w:left w:val="single" w:color="auto" w:sz="6" w:space="0"/>
                    <w:bottom w:val="single" w:color="auto" w:sz="6" w:space="0"/>
                    <w:right w:val="nil"/>
                  </w:tcBorders>
                  <w:vAlign w:val="center"/>
                </w:tcPr>
                <w:p>
                  <w:pPr>
                    <w:pStyle w:val="102"/>
                    <w:widowControl w:val="0"/>
                  </w:pPr>
                  <w:r>
                    <w:rPr>
                      <w:rFonts w:hint="eastAsia"/>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913" w:type="pct"/>
                  <w:tcBorders>
                    <w:top w:val="single" w:color="auto" w:sz="6" w:space="0"/>
                    <w:left w:val="nil"/>
                    <w:bottom w:val="single" w:color="auto" w:sz="6" w:space="0"/>
                    <w:right w:val="single" w:color="auto" w:sz="6" w:space="0"/>
                  </w:tcBorders>
                  <w:vAlign w:val="center"/>
                </w:tcPr>
                <w:p>
                  <w:pPr>
                    <w:pStyle w:val="102"/>
                    <w:widowControl w:val="0"/>
                  </w:pPr>
                  <w:r>
                    <w:t>水污染物产生浓度(mg/L)</w:t>
                  </w:r>
                </w:p>
              </w:tc>
              <w:tc>
                <w:tcPr>
                  <w:tcW w:w="636" w:type="pct"/>
                  <w:tcBorders>
                    <w:top w:val="single" w:color="auto" w:sz="6" w:space="0"/>
                    <w:left w:val="single" w:color="auto" w:sz="6" w:space="0"/>
                    <w:bottom w:val="single" w:color="auto" w:sz="6" w:space="0"/>
                    <w:right w:val="single" w:color="auto" w:sz="6" w:space="0"/>
                  </w:tcBorders>
                  <w:vAlign w:val="center"/>
                </w:tcPr>
                <w:p>
                  <w:pPr>
                    <w:pStyle w:val="102"/>
                    <w:widowControl w:val="0"/>
                    <w:rPr>
                      <w:rFonts w:hint="default" w:eastAsia="宋体"/>
                      <w:lang w:val="en-US" w:eastAsia="zh-CN"/>
                    </w:rPr>
                  </w:pPr>
                  <w:r>
                    <w:rPr>
                      <w:rFonts w:hint="eastAsia"/>
                      <w:lang w:val="en-US" w:eastAsia="zh-CN"/>
                    </w:rPr>
                    <w:t>385</w:t>
                  </w:r>
                </w:p>
              </w:tc>
              <w:tc>
                <w:tcPr>
                  <w:tcW w:w="635" w:type="pct"/>
                  <w:tcBorders>
                    <w:top w:val="single" w:color="auto" w:sz="6" w:space="0"/>
                    <w:left w:val="single" w:color="auto" w:sz="6" w:space="0"/>
                    <w:bottom w:val="single" w:color="auto" w:sz="6" w:space="0"/>
                    <w:right w:val="single" w:color="auto" w:sz="6" w:space="0"/>
                  </w:tcBorders>
                  <w:vAlign w:val="center"/>
                </w:tcPr>
                <w:p>
                  <w:pPr>
                    <w:pStyle w:val="102"/>
                    <w:widowControl w:val="0"/>
                    <w:rPr>
                      <w:rFonts w:hint="default" w:eastAsia="宋体"/>
                      <w:lang w:val="en-US" w:eastAsia="zh-CN"/>
                    </w:rPr>
                  </w:pPr>
                  <w:r>
                    <w:rPr>
                      <w:rFonts w:hint="eastAsia"/>
                      <w:lang w:val="en-US" w:eastAsia="zh-CN"/>
                    </w:rPr>
                    <w:t>202</w:t>
                  </w:r>
                </w:p>
              </w:tc>
              <w:tc>
                <w:tcPr>
                  <w:tcW w:w="668" w:type="pct"/>
                  <w:tcBorders>
                    <w:top w:val="single" w:color="auto" w:sz="6" w:space="0"/>
                    <w:left w:val="single" w:color="auto" w:sz="6" w:space="0"/>
                    <w:bottom w:val="single" w:color="auto" w:sz="6" w:space="0"/>
                    <w:right w:val="single" w:color="auto" w:sz="6" w:space="0"/>
                  </w:tcBorders>
                  <w:vAlign w:val="center"/>
                </w:tcPr>
                <w:p>
                  <w:pPr>
                    <w:pStyle w:val="102"/>
                    <w:widowControl w:val="0"/>
                    <w:rPr>
                      <w:rFonts w:hint="default" w:eastAsia="宋体"/>
                      <w:lang w:val="en-US" w:eastAsia="zh-CN"/>
                    </w:rPr>
                  </w:pPr>
                  <w:r>
                    <w:rPr>
                      <w:rFonts w:hint="eastAsia"/>
                      <w:lang w:val="en-US" w:eastAsia="zh-CN"/>
                    </w:rPr>
                    <w:t>216</w:t>
                  </w:r>
                </w:p>
              </w:tc>
              <w:tc>
                <w:tcPr>
                  <w:tcW w:w="475" w:type="pct"/>
                  <w:tcBorders>
                    <w:top w:val="single" w:color="auto" w:sz="6" w:space="0"/>
                    <w:left w:val="single" w:color="auto" w:sz="6" w:space="0"/>
                    <w:bottom w:val="single" w:color="auto" w:sz="6" w:space="0"/>
                    <w:right w:val="nil"/>
                  </w:tcBorders>
                  <w:vAlign w:val="center"/>
                </w:tcPr>
                <w:p>
                  <w:pPr>
                    <w:pStyle w:val="102"/>
                    <w:widowControl w:val="0"/>
                    <w:rPr>
                      <w:rFonts w:hint="default" w:eastAsia="宋体"/>
                      <w:lang w:val="en-US" w:eastAsia="zh-CN"/>
                    </w:rPr>
                  </w:pPr>
                  <w:r>
                    <w:rPr>
                      <w:rFonts w:hint="eastAsia"/>
                      <w:lang w:val="en-US" w:eastAsia="zh-CN"/>
                    </w:rPr>
                    <w:t>81</w:t>
                  </w:r>
                </w:p>
              </w:tc>
              <w:tc>
                <w:tcPr>
                  <w:tcW w:w="671" w:type="pct"/>
                  <w:tcBorders>
                    <w:top w:val="single" w:color="auto" w:sz="6" w:space="0"/>
                    <w:left w:val="single" w:color="auto" w:sz="6" w:space="0"/>
                    <w:bottom w:val="single" w:color="auto" w:sz="6" w:space="0"/>
                    <w:right w:val="nil"/>
                  </w:tcBorders>
                  <w:vAlign w:val="center"/>
                </w:tcPr>
                <w:p>
                  <w:pPr>
                    <w:pStyle w:val="102"/>
                    <w:widowControl w:val="0"/>
                    <w:rPr>
                      <w:rFonts w:hint="default" w:eastAsia="宋体"/>
                      <w:lang w:val="en-US" w:eastAsia="zh-CN"/>
                    </w:rPr>
                  </w:pPr>
                  <w:r>
                    <w:rPr>
                      <w:rFonts w:hint="eastAsia"/>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913" w:type="pct"/>
                  <w:tcBorders>
                    <w:top w:val="single" w:color="auto" w:sz="6" w:space="0"/>
                    <w:left w:val="nil"/>
                    <w:bottom w:val="single" w:color="auto" w:sz="6" w:space="0"/>
                    <w:right w:val="single" w:color="auto" w:sz="6" w:space="0"/>
                  </w:tcBorders>
                  <w:vAlign w:val="center"/>
                </w:tcPr>
                <w:p>
                  <w:pPr>
                    <w:pStyle w:val="102"/>
                    <w:widowControl w:val="0"/>
                  </w:pPr>
                  <w:r>
                    <w:t>水污染物产生量（t/a）</w:t>
                  </w:r>
                </w:p>
              </w:tc>
              <w:tc>
                <w:tcPr>
                  <w:tcW w:w="636" w:type="pct"/>
                  <w:tcBorders>
                    <w:top w:val="single" w:color="auto" w:sz="6" w:space="0"/>
                    <w:left w:val="single" w:color="auto" w:sz="6" w:space="0"/>
                    <w:bottom w:val="single" w:color="auto" w:sz="6" w:space="0"/>
                    <w:right w:val="single" w:color="auto" w:sz="6" w:space="0"/>
                  </w:tcBorders>
                  <w:vAlign w:val="center"/>
                </w:tcPr>
                <w:p>
                  <w:pPr>
                    <w:pStyle w:val="102"/>
                    <w:widowControl w:val="0"/>
                    <w:rPr>
                      <w:rFonts w:hint="default" w:eastAsia="宋体"/>
                      <w:lang w:val="en-US" w:eastAsia="zh-CN"/>
                    </w:rPr>
                  </w:pPr>
                  <w:r>
                    <w:rPr>
                      <w:rFonts w:hint="eastAsia"/>
                      <w:lang w:val="en-US" w:eastAsia="zh-CN"/>
                    </w:rPr>
                    <w:t>0.057</w:t>
                  </w:r>
                </w:p>
              </w:tc>
              <w:tc>
                <w:tcPr>
                  <w:tcW w:w="635" w:type="pct"/>
                  <w:tcBorders>
                    <w:top w:val="single" w:color="auto" w:sz="6" w:space="0"/>
                    <w:left w:val="single" w:color="auto" w:sz="6" w:space="0"/>
                    <w:bottom w:val="single" w:color="auto" w:sz="6" w:space="0"/>
                    <w:right w:val="single" w:color="auto" w:sz="6" w:space="0"/>
                  </w:tcBorders>
                  <w:vAlign w:val="center"/>
                </w:tcPr>
                <w:p>
                  <w:pPr>
                    <w:pStyle w:val="102"/>
                    <w:widowControl w:val="0"/>
                    <w:rPr>
                      <w:rFonts w:hint="default" w:eastAsia="宋体"/>
                      <w:lang w:val="en-US" w:eastAsia="zh-CN"/>
                    </w:rPr>
                  </w:pPr>
                  <w:r>
                    <w:rPr>
                      <w:rFonts w:hint="eastAsia"/>
                      <w:lang w:val="en-US" w:eastAsia="zh-CN"/>
                    </w:rPr>
                    <w:t>0.03</w:t>
                  </w:r>
                </w:p>
              </w:tc>
              <w:tc>
                <w:tcPr>
                  <w:tcW w:w="668" w:type="pct"/>
                  <w:tcBorders>
                    <w:top w:val="single" w:color="auto" w:sz="6" w:space="0"/>
                    <w:left w:val="single" w:color="auto" w:sz="6" w:space="0"/>
                    <w:bottom w:val="single" w:color="auto" w:sz="6" w:space="0"/>
                    <w:right w:val="single" w:color="auto" w:sz="6" w:space="0"/>
                  </w:tcBorders>
                  <w:vAlign w:val="center"/>
                </w:tcPr>
                <w:p>
                  <w:pPr>
                    <w:pStyle w:val="102"/>
                    <w:widowControl w:val="0"/>
                    <w:rPr>
                      <w:rFonts w:hint="default" w:eastAsia="宋体"/>
                      <w:lang w:val="en-US" w:eastAsia="zh-CN"/>
                    </w:rPr>
                  </w:pPr>
                  <w:r>
                    <w:rPr>
                      <w:rFonts w:hint="eastAsia"/>
                      <w:lang w:val="en-US" w:eastAsia="zh-CN"/>
                    </w:rPr>
                    <w:t>0.03</w:t>
                  </w:r>
                </w:p>
              </w:tc>
              <w:tc>
                <w:tcPr>
                  <w:tcW w:w="475" w:type="pct"/>
                  <w:tcBorders>
                    <w:top w:val="single" w:color="auto" w:sz="6" w:space="0"/>
                    <w:left w:val="single" w:color="auto" w:sz="6" w:space="0"/>
                    <w:bottom w:val="single" w:color="auto" w:sz="6" w:space="0"/>
                    <w:right w:val="nil"/>
                  </w:tcBorders>
                  <w:vAlign w:val="center"/>
                </w:tcPr>
                <w:p>
                  <w:pPr>
                    <w:pStyle w:val="102"/>
                    <w:widowControl w:val="0"/>
                    <w:rPr>
                      <w:rFonts w:hint="default" w:eastAsia="宋体"/>
                      <w:lang w:val="en-US" w:eastAsia="zh-CN"/>
                    </w:rPr>
                  </w:pPr>
                  <w:r>
                    <w:rPr>
                      <w:rFonts w:hint="eastAsia"/>
                      <w:lang w:val="en-US" w:eastAsia="zh-CN"/>
                    </w:rPr>
                    <w:t>0.012</w:t>
                  </w:r>
                </w:p>
              </w:tc>
              <w:tc>
                <w:tcPr>
                  <w:tcW w:w="671" w:type="pct"/>
                  <w:tcBorders>
                    <w:top w:val="single" w:color="auto" w:sz="6" w:space="0"/>
                    <w:left w:val="single" w:color="auto" w:sz="6" w:space="0"/>
                    <w:bottom w:val="single" w:color="auto" w:sz="6" w:space="0"/>
                    <w:right w:val="nil"/>
                  </w:tcBorders>
                  <w:vAlign w:val="center"/>
                </w:tcPr>
                <w:p>
                  <w:pPr>
                    <w:pStyle w:val="102"/>
                    <w:widowControl w:val="0"/>
                    <w:rPr>
                      <w:rFonts w:hint="default" w:eastAsia="宋体"/>
                      <w:lang w:val="en-US" w:eastAsia="zh-CN"/>
                    </w:rPr>
                  </w:pPr>
                  <w:r>
                    <w:rPr>
                      <w:rFonts w:hint="eastAsia"/>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1913" w:type="pct"/>
                  <w:tcBorders>
                    <w:top w:val="single" w:color="auto" w:sz="6" w:space="0"/>
                    <w:left w:val="nil"/>
                    <w:bottom w:val="single" w:color="auto" w:sz="6" w:space="0"/>
                    <w:right w:val="single" w:color="auto" w:sz="6" w:space="0"/>
                  </w:tcBorders>
                  <w:vAlign w:val="center"/>
                </w:tcPr>
                <w:p>
                  <w:pPr>
                    <w:pStyle w:val="102"/>
                    <w:widowControl w:val="0"/>
                  </w:pPr>
                  <w:r>
                    <w:t>水污染物排放浓度(mg/L)</w:t>
                  </w:r>
                </w:p>
              </w:tc>
              <w:tc>
                <w:tcPr>
                  <w:tcW w:w="1150" w:type="dxa"/>
                  <w:tcBorders>
                    <w:top w:val="single" w:color="auto" w:sz="6" w:space="0"/>
                    <w:left w:val="single" w:color="auto" w:sz="6" w:space="0"/>
                    <w:bottom w:val="single" w:color="auto" w:sz="6" w:space="0"/>
                    <w:right w:val="single" w:color="auto" w:sz="6" w:space="0"/>
                  </w:tcBorders>
                  <w:vAlign w:val="center"/>
                </w:tcPr>
                <w:p>
                  <w:pPr>
                    <w:pStyle w:val="102"/>
                    <w:widowControl w:val="0"/>
                  </w:pPr>
                  <w:r>
                    <w:rPr>
                      <w:rFonts w:hint="eastAsia"/>
                      <w:lang w:val="en-US" w:eastAsia="zh-CN"/>
                    </w:rPr>
                    <w:t>385</w:t>
                  </w:r>
                </w:p>
              </w:tc>
              <w:tc>
                <w:tcPr>
                  <w:tcW w:w="1148" w:type="dxa"/>
                  <w:tcBorders>
                    <w:top w:val="single" w:color="auto" w:sz="6" w:space="0"/>
                    <w:left w:val="single" w:color="auto" w:sz="6" w:space="0"/>
                    <w:bottom w:val="single" w:color="auto" w:sz="6" w:space="0"/>
                    <w:right w:val="single" w:color="auto" w:sz="6" w:space="0"/>
                  </w:tcBorders>
                  <w:vAlign w:val="center"/>
                </w:tcPr>
                <w:p>
                  <w:pPr>
                    <w:pStyle w:val="102"/>
                    <w:widowControl w:val="0"/>
                  </w:pPr>
                  <w:r>
                    <w:rPr>
                      <w:rFonts w:hint="eastAsia"/>
                      <w:lang w:val="en-US" w:eastAsia="zh-CN"/>
                    </w:rPr>
                    <w:t>202</w:t>
                  </w:r>
                </w:p>
              </w:tc>
              <w:tc>
                <w:tcPr>
                  <w:tcW w:w="1208" w:type="dxa"/>
                  <w:tcBorders>
                    <w:top w:val="single" w:color="auto" w:sz="6" w:space="0"/>
                    <w:left w:val="single" w:color="auto" w:sz="6" w:space="0"/>
                    <w:bottom w:val="single" w:color="auto" w:sz="6" w:space="0"/>
                    <w:right w:val="single" w:color="auto" w:sz="6" w:space="0"/>
                  </w:tcBorders>
                  <w:vAlign w:val="center"/>
                </w:tcPr>
                <w:p>
                  <w:pPr>
                    <w:pStyle w:val="102"/>
                    <w:widowControl w:val="0"/>
                  </w:pPr>
                  <w:r>
                    <w:rPr>
                      <w:rFonts w:hint="eastAsia"/>
                      <w:lang w:val="en-US" w:eastAsia="zh-CN"/>
                    </w:rPr>
                    <w:t>216</w:t>
                  </w:r>
                </w:p>
              </w:tc>
              <w:tc>
                <w:tcPr>
                  <w:tcW w:w="859" w:type="dxa"/>
                  <w:tcBorders>
                    <w:top w:val="single" w:color="auto" w:sz="6" w:space="0"/>
                    <w:left w:val="single" w:color="auto" w:sz="6" w:space="0"/>
                    <w:bottom w:val="single" w:color="auto" w:sz="6" w:space="0"/>
                    <w:right w:val="nil"/>
                  </w:tcBorders>
                  <w:vAlign w:val="center"/>
                </w:tcPr>
                <w:p>
                  <w:pPr>
                    <w:pStyle w:val="102"/>
                    <w:widowControl w:val="0"/>
                  </w:pPr>
                  <w:r>
                    <w:rPr>
                      <w:rFonts w:hint="eastAsia"/>
                      <w:lang w:val="en-US" w:eastAsia="zh-CN"/>
                    </w:rPr>
                    <w:t>81</w:t>
                  </w:r>
                </w:p>
              </w:tc>
              <w:tc>
                <w:tcPr>
                  <w:tcW w:w="671" w:type="pct"/>
                  <w:tcBorders>
                    <w:top w:val="single" w:color="auto" w:sz="6" w:space="0"/>
                    <w:left w:val="single" w:color="auto" w:sz="6" w:space="0"/>
                    <w:bottom w:val="single" w:color="auto" w:sz="6" w:space="0"/>
                    <w:right w:val="nil"/>
                  </w:tcBorders>
                  <w:vAlign w:val="center"/>
                </w:tcPr>
                <w:p>
                  <w:pPr>
                    <w:pStyle w:val="102"/>
                    <w:widowControl w:val="0"/>
                    <w:rPr>
                      <w:rFonts w:hint="default" w:eastAsia="宋体"/>
                      <w:lang w:val="en-US" w:eastAsia="zh-CN"/>
                    </w:rPr>
                  </w:pPr>
                  <w:r>
                    <w:rPr>
                      <w:rFonts w:hint="eastAsia"/>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913" w:type="pct"/>
                  <w:tcBorders>
                    <w:top w:val="single" w:color="auto" w:sz="6" w:space="0"/>
                    <w:left w:val="nil"/>
                    <w:bottom w:val="single" w:color="auto" w:sz="6" w:space="0"/>
                    <w:right w:val="single" w:color="auto" w:sz="6" w:space="0"/>
                  </w:tcBorders>
                  <w:vAlign w:val="center"/>
                </w:tcPr>
                <w:p>
                  <w:pPr>
                    <w:pStyle w:val="102"/>
                    <w:widowControl w:val="0"/>
                  </w:pPr>
                  <w:r>
                    <w:t>水污染物排放量（t/a）</w:t>
                  </w:r>
                </w:p>
              </w:tc>
              <w:tc>
                <w:tcPr>
                  <w:tcW w:w="1150" w:type="dxa"/>
                  <w:tcBorders>
                    <w:top w:val="single" w:color="auto" w:sz="6" w:space="0"/>
                    <w:left w:val="single" w:color="auto" w:sz="6" w:space="0"/>
                    <w:bottom w:val="single" w:color="auto" w:sz="6" w:space="0"/>
                    <w:right w:val="single" w:color="auto" w:sz="6" w:space="0"/>
                  </w:tcBorders>
                  <w:vAlign w:val="center"/>
                </w:tcPr>
                <w:p>
                  <w:pPr>
                    <w:pStyle w:val="102"/>
                    <w:widowControl w:val="0"/>
                  </w:pPr>
                  <w:r>
                    <w:rPr>
                      <w:rFonts w:hint="eastAsia"/>
                      <w:lang w:val="en-US" w:eastAsia="zh-CN"/>
                    </w:rPr>
                    <w:t>0.057</w:t>
                  </w:r>
                </w:p>
              </w:tc>
              <w:tc>
                <w:tcPr>
                  <w:tcW w:w="1148" w:type="dxa"/>
                  <w:tcBorders>
                    <w:top w:val="single" w:color="auto" w:sz="6" w:space="0"/>
                    <w:left w:val="single" w:color="auto" w:sz="6" w:space="0"/>
                    <w:bottom w:val="single" w:color="auto" w:sz="6" w:space="0"/>
                    <w:right w:val="single" w:color="auto" w:sz="6" w:space="0"/>
                  </w:tcBorders>
                  <w:vAlign w:val="center"/>
                </w:tcPr>
                <w:p>
                  <w:pPr>
                    <w:pStyle w:val="102"/>
                    <w:widowControl w:val="0"/>
                  </w:pPr>
                  <w:r>
                    <w:rPr>
                      <w:rFonts w:hint="eastAsia"/>
                      <w:lang w:val="en-US" w:eastAsia="zh-CN"/>
                    </w:rPr>
                    <w:t>0.03</w:t>
                  </w:r>
                </w:p>
              </w:tc>
              <w:tc>
                <w:tcPr>
                  <w:tcW w:w="1208" w:type="dxa"/>
                  <w:tcBorders>
                    <w:top w:val="single" w:color="auto" w:sz="6" w:space="0"/>
                    <w:left w:val="single" w:color="auto" w:sz="6" w:space="0"/>
                    <w:bottom w:val="single" w:color="auto" w:sz="6" w:space="0"/>
                    <w:right w:val="single" w:color="auto" w:sz="6" w:space="0"/>
                  </w:tcBorders>
                  <w:vAlign w:val="center"/>
                </w:tcPr>
                <w:p>
                  <w:pPr>
                    <w:pStyle w:val="102"/>
                    <w:widowControl w:val="0"/>
                  </w:pPr>
                  <w:r>
                    <w:rPr>
                      <w:rFonts w:hint="eastAsia"/>
                      <w:lang w:val="en-US" w:eastAsia="zh-CN"/>
                    </w:rPr>
                    <w:t>0.03</w:t>
                  </w:r>
                </w:p>
              </w:tc>
              <w:tc>
                <w:tcPr>
                  <w:tcW w:w="859" w:type="dxa"/>
                  <w:tcBorders>
                    <w:top w:val="single" w:color="auto" w:sz="6" w:space="0"/>
                    <w:left w:val="single" w:color="auto" w:sz="6" w:space="0"/>
                    <w:bottom w:val="single" w:color="auto" w:sz="6" w:space="0"/>
                    <w:right w:val="nil"/>
                  </w:tcBorders>
                  <w:vAlign w:val="center"/>
                </w:tcPr>
                <w:p>
                  <w:pPr>
                    <w:pStyle w:val="102"/>
                    <w:widowControl w:val="0"/>
                  </w:pPr>
                  <w:r>
                    <w:rPr>
                      <w:rFonts w:hint="eastAsia"/>
                      <w:lang w:val="en-US" w:eastAsia="zh-CN"/>
                    </w:rPr>
                    <w:t>0.012</w:t>
                  </w:r>
                </w:p>
              </w:tc>
              <w:tc>
                <w:tcPr>
                  <w:tcW w:w="671" w:type="pct"/>
                  <w:tcBorders>
                    <w:top w:val="single" w:color="auto" w:sz="6" w:space="0"/>
                    <w:left w:val="single" w:color="auto" w:sz="6" w:space="0"/>
                    <w:bottom w:val="single" w:color="auto" w:sz="6" w:space="0"/>
                    <w:right w:val="nil"/>
                  </w:tcBorders>
                  <w:vAlign w:val="center"/>
                </w:tcPr>
                <w:p>
                  <w:pPr>
                    <w:pStyle w:val="102"/>
                    <w:widowControl w:val="0"/>
                    <w:rPr>
                      <w:rFonts w:hint="default" w:eastAsia="宋体"/>
                      <w:lang w:val="en-US" w:eastAsia="zh-CN"/>
                    </w:rPr>
                  </w:pPr>
                  <w:r>
                    <w:rPr>
                      <w:rFonts w:hint="eastAsia"/>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913" w:type="pct"/>
                  <w:tcBorders>
                    <w:top w:val="single" w:color="auto" w:sz="6" w:space="0"/>
                    <w:left w:val="nil"/>
                    <w:bottom w:val="single" w:color="auto" w:sz="12" w:space="0"/>
                    <w:right w:val="single" w:color="auto" w:sz="6" w:space="0"/>
                  </w:tcBorders>
                  <w:vAlign w:val="center"/>
                </w:tcPr>
                <w:p>
                  <w:pPr>
                    <w:pStyle w:val="102"/>
                    <w:widowControl w:val="0"/>
                  </w:pPr>
                  <w:r>
                    <w:t>《污水综合排放标准》（GB8978-1996）三级标准(mg/L)</w:t>
                  </w:r>
                </w:p>
              </w:tc>
              <w:tc>
                <w:tcPr>
                  <w:tcW w:w="636" w:type="pct"/>
                  <w:tcBorders>
                    <w:top w:val="single" w:color="auto" w:sz="6" w:space="0"/>
                    <w:left w:val="single" w:color="auto" w:sz="6" w:space="0"/>
                    <w:bottom w:val="single" w:color="auto" w:sz="12" w:space="0"/>
                    <w:right w:val="single" w:color="auto" w:sz="6" w:space="0"/>
                  </w:tcBorders>
                  <w:vAlign w:val="center"/>
                </w:tcPr>
                <w:p>
                  <w:pPr>
                    <w:pStyle w:val="102"/>
                    <w:widowControl w:val="0"/>
                  </w:pPr>
                  <w:r>
                    <w:t>500</w:t>
                  </w:r>
                </w:p>
              </w:tc>
              <w:tc>
                <w:tcPr>
                  <w:tcW w:w="635" w:type="pct"/>
                  <w:tcBorders>
                    <w:top w:val="single" w:color="auto" w:sz="6" w:space="0"/>
                    <w:left w:val="single" w:color="auto" w:sz="6" w:space="0"/>
                    <w:bottom w:val="single" w:color="auto" w:sz="12" w:space="0"/>
                    <w:right w:val="single" w:color="auto" w:sz="6" w:space="0"/>
                  </w:tcBorders>
                  <w:vAlign w:val="center"/>
                </w:tcPr>
                <w:p>
                  <w:pPr>
                    <w:pStyle w:val="102"/>
                    <w:widowControl w:val="0"/>
                  </w:pPr>
                  <w:r>
                    <w:t>300</w:t>
                  </w:r>
                </w:p>
              </w:tc>
              <w:tc>
                <w:tcPr>
                  <w:tcW w:w="668" w:type="pct"/>
                  <w:tcBorders>
                    <w:top w:val="single" w:color="auto" w:sz="6" w:space="0"/>
                    <w:left w:val="single" w:color="auto" w:sz="6" w:space="0"/>
                    <w:bottom w:val="single" w:color="auto" w:sz="12" w:space="0"/>
                    <w:right w:val="single" w:color="auto" w:sz="6" w:space="0"/>
                  </w:tcBorders>
                  <w:vAlign w:val="center"/>
                </w:tcPr>
                <w:p>
                  <w:pPr>
                    <w:pStyle w:val="102"/>
                    <w:widowControl w:val="0"/>
                  </w:pPr>
                  <w:r>
                    <w:t>400</w:t>
                  </w:r>
                </w:p>
              </w:tc>
              <w:tc>
                <w:tcPr>
                  <w:tcW w:w="475" w:type="pct"/>
                  <w:tcBorders>
                    <w:top w:val="single" w:color="auto" w:sz="6" w:space="0"/>
                    <w:left w:val="single" w:color="auto" w:sz="6" w:space="0"/>
                    <w:bottom w:val="single" w:color="auto" w:sz="12" w:space="0"/>
                    <w:right w:val="nil"/>
                  </w:tcBorders>
                  <w:vAlign w:val="center"/>
                </w:tcPr>
                <w:p>
                  <w:pPr>
                    <w:pStyle w:val="102"/>
                    <w:widowControl w:val="0"/>
                  </w:pPr>
                  <w:r>
                    <w:t>/</w:t>
                  </w:r>
                </w:p>
              </w:tc>
              <w:tc>
                <w:tcPr>
                  <w:tcW w:w="671" w:type="pct"/>
                  <w:tcBorders>
                    <w:top w:val="single" w:color="auto" w:sz="6" w:space="0"/>
                    <w:left w:val="single" w:color="auto" w:sz="6" w:space="0"/>
                    <w:bottom w:val="single" w:color="auto" w:sz="12" w:space="0"/>
                    <w:right w:val="nil"/>
                  </w:tcBorders>
                  <w:vAlign w:val="center"/>
                </w:tcPr>
                <w:p>
                  <w:pPr>
                    <w:pStyle w:val="102"/>
                    <w:widowControl w:val="0"/>
                  </w:pPr>
                  <w:r>
                    <w:rPr>
                      <w:rFonts w:hint="eastAsia"/>
                    </w:rPr>
                    <w:t>100</w:t>
                  </w:r>
                </w:p>
              </w:tc>
            </w:tr>
          </w:tbl>
          <w:p>
            <w:pPr>
              <w:adjustRightInd w:val="0"/>
              <w:snapToGrid w:val="0"/>
              <w:spacing w:line="520" w:lineRule="exact"/>
              <w:ind w:firstLine="482" w:firstLineChars="200"/>
              <w:rPr>
                <w:b/>
                <w:bCs/>
                <w:sz w:val="24"/>
              </w:rPr>
            </w:pPr>
            <w:r>
              <w:rPr>
                <w:b/>
                <w:bCs/>
                <w:sz w:val="24"/>
              </w:rPr>
              <w:t>2.2</w:t>
            </w:r>
            <w:r>
              <w:rPr>
                <w:rFonts w:hint="eastAsia"/>
                <w:b/>
                <w:bCs/>
                <w:sz w:val="24"/>
              </w:rPr>
              <w:t>污水处理厂</w:t>
            </w:r>
            <w:r>
              <w:rPr>
                <w:b/>
                <w:bCs/>
                <w:sz w:val="24"/>
              </w:rPr>
              <w:t>依托可行性分析</w:t>
            </w:r>
          </w:p>
          <w:p>
            <w:pPr>
              <w:pStyle w:val="65"/>
            </w:pPr>
            <w:r>
              <w:rPr>
                <w:rFonts w:hint="eastAsia" w:ascii="Times New Roman" w:hAnsi="Times New Roman" w:eastAsia="宋体" w:cs="宋体"/>
                <w:color w:val="000000" w:themeColor="text1"/>
                <w:sz w:val="24"/>
                <w:szCs w:val="24"/>
                <w14:textFill>
                  <w14:solidFill>
                    <w14:schemeClr w14:val="tx1"/>
                  </w14:solidFill>
                </w14:textFill>
              </w:rPr>
              <w:t>本项目废水</w:t>
            </w:r>
            <w:r>
              <w:rPr>
                <w:rFonts w:hint="eastAsia" w:ascii="Times New Roman" w:hAnsi="Times New Roman" w:eastAsia="宋体" w:cs="宋体"/>
                <w:color w:val="000000" w:themeColor="text1"/>
                <w:sz w:val="24"/>
                <w:szCs w:val="24"/>
                <w:lang w:val="en-US" w:eastAsia="zh-CN"/>
                <w14:textFill>
                  <w14:solidFill>
                    <w14:schemeClr w14:val="tx1"/>
                  </w14:solidFill>
                </w14:textFill>
              </w:rPr>
              <w:t>主要为员工日常生活</w:t>
            </w:r>
            <w:r>
              <w:rPr>
                <w:rFonts w:hint="eastAsia" w:ascii="Times New Roman" w:hAnsi="Times New Roman" w:eastAsia="宋体" w:cs="宋体"/>
                <w:color w:val="000000" w:themeColor="text1"/>
                <w:sz w:val="24"/>
                <w:szCs w:val="24"/>
                <w14:textFill>
                  <w14:solidFill>
                    <w14:schemeClr w14:val="tx1"/>
                  </w14:solidFill>
                </w14:textFill>
              </w:rPr>
              <w:t>废水</w:t>
            </w:r>
            <w:r>
              <w:rPr>
                <w:rFonts w:hint="eastAsia" w:ascii="Times New Roman" w:hAnsi="Times New Roman" w:eastAsia="宋体" w:cs="宋体"/>
                <w:color w:val="000000" w:themeColor="text1"/>
                <w:sz w:val="24"/>
                <w:szCs w:val="24"/>
                <w:lang w:val="en-US" w:eastAsia="zh-CN"/>
                <w14:textFill>
                  <w14:solidFill>
                    <w14:schemeClr w14:val="tx1"/>
                  </w14:solidFill>
                </w14:textFill>
              </w:rPr>
              <w:t>及餐饮</w:t>
            </w:r>
            <w:r>
              <w:rPr>
                <w:rFonts w:hint="eastAsia" w:ascii="Times New Roman" w:hAnsi="Times New Roman" w:eastAsia="宋体" w:cs="宋体"/>
                <w:color w:val="000000" w:themeColor="text1"/>
                <w:sz w:val="24"/>
                <w:szCs w:val="24"/>
                <w14:textFill>
                  <w14:solidFill>
                    <w14:schemeClr w14:val="tx1"/>
                  </w14:solidFill>
                </w14:textFill>
              </w:rPr>
              <w:t>废水</w:t>
            </w:r>
            <w:r>
              <w:rPr>
                <w:rFonts w:hint="eastAsia" w:ascii="Times New Roman" w:hAnsi="Times New Roman" w:eastAsia="宋体" w:cs="宋体"/>
                <w:color w:val="000000" w:themeColor="text1"/>
                <w:sz w:val="24"/>
                <w:szCs w:val="24"/>
                <w:lang w:eastAsia="zh-CN"/>
                <w14:textFill>
                  <w14:solidFill>
                    <w14:schemeClr w14:val="tx1"/>
                  </w14:solidFill>
                </w14:textFill>
              </w:rPr>
              <w:t>，</w:t>
            </w:r>
            <w:r>
              <w:rPr>
                <w:rFonts w:hint="eastAsia" w:ascii="Times New Roman" w:hAnsi="Times New Roman" w:eastAsia="宋体" w:cs="宋体"/>
                <w:color w:val="000000" w:themeColor="text1"/>
                <w:sz w:val="24"/>
                <w:szCs w:val="24"/>
                <w:lang w:val="en-US" w:eastAsia="zh-CN"/>
                <w14:textFill>
                  <w14:solidFill>
                    <w14:schemeClr w14:val="tx1"/>
                  </w14:solidFill>
                </w14:textFill>
              </w:rPr>
              <w:t>餐饮废水经</w:t>
            </w:r>
            <w:r>
              <w:rPr>
                <w:rFonts w:hint="eastAsia" w:eastAsia="宋体" w:cs="宋体"/>
                <w:color w:val="000000" w:themeColor="text1"/>
                <w:sz w:val="24"/>
                <w:szCs w:val="24"/>
                <w:lang w:val="en-US" w:eastAsia="zh-CN"/>
                <w14:textFill>
                  <w14:solidFill>
                    <w14:schemeClr w14:val="tx1"/>
                  </w14:solidFill>
                </w14:textFill>
              </w:rPr>
              <w:t>油水分离器</w:t>
            </w:r>
            <w:r>
              <w:rPr>
                <w:rFonts w:hint="eastAsia" w:ascii="Times New Roman" w:hAnsi="Times New Roman" w:eastAsia="宋体" w:cs="宋体"/>
                <w:color w:val="000000" w:themeColor="text1"/>
                <w:sz w:val="24"/>
                <w:szCs w:val="24"/>
                <w:lang w:val="en-US" w:eastAsia="zh-CN"/>
                <w14:textFill>
                  <w14:solidFill>
                    <w14:schemeClr w14:val="tx1"/>
                  </w14:solidFill>
                </w14:textFill>
              </w:rPr>
              <w:t>处理后同生活污水</w:t>
            </w:r>
            <w:r>
              <w:rPr>
                <w:rFonts w:hint="eastAsia" w:ascii="Times New Roman" w:hAnsi="Times New Roman" w:eastAsia="宋体" w:cs="宋体"/>
                <w:color w:val="000000" w:themeColor="text1"/>
                <w:sz w:val="24"/>
                <w:szCs w:val="24"/>
                <w14:textFill>
                  <w14:solidFill>
                    <w14:schemeClr w14:val="tx1"/>
                  </w14:solidFill>
                </w14:textFill>
              </w:rPr>
              <w:t>排入阜康市西部城区污水处理厂</w:t>
            </w:r>
            <w:r>
              <w:rPr>
                <w:rFonts w:hint="eastAsia" w:eastAsia="宋体" w:cs="宋体"/>
                <w:color w:val="000000" w:themeColor="text1"/>
                <w:sz w:val="24"/>
                <w:szCs w:val="24"/>
                <w:lang w:val="en-US" w:eastAsia="zh-CN"/>
                <w14:textFill>
                  <w14:solidFill>
                    <w14:schemeClr w14:val="tx1"/>
                  </w14:solidFill>
                </w14:textFill>
              </w:rPr>
              <w:t>进一步</w:t>
            </w:r>
            <w:r>
              <w:rPr>
                <w:rFonts w:hint="eastAsia" w:ascii="Times New Roman" w:hAnsi="Times New Roman" w:eastAsia="宋体" w:cs="宋体"/>
                <w:color w:val="000000" w:themeColor="text1"/>
                <w:sz w:val="24"/>
                <w:szCs w:val="24"/>
                <w14:textFill>
                  <w14:solidFill>
                    <w14:schemeClr w14:val="tx1"/>
                  </w14:solidFill>
                </w14:textFill>
              </w:rPr>
              <w:t>处理</w:t>
            </w:r>
            <w:r>
              <w:rPr>
                <w:rFonts w:hint="eastAsia" w:ascii="Times New Roman" w:hAnsi="Times New Roman" w:eastAsia="宋体" w:cs="宋体"/>
                <w:color w:val="000000" w:themeColor="text1"/>
                <w:sz w:val="24"/>
                <w:szCs w:val="24"/>
                <w:lang w:eastAsia="zh-CN"/>
                <w14:textFill>
                  <w14:solidFill>
                    <w14:schemeClr w14:val="tx1"/>
                  </w14:solidFill>
                </w14:textFill>
              </w:rPr>
              <w:t>。</w:t>
            </w:r>
            <w:r>
              <w:rPr>
                <w:rFonts w:hint="eastAsia" w:ascii="Times New Roman" w:hAnsi="Times New Roman" w:eastAsia="宋体" w:cs="宋体"/>
                <w:color w:val="000000" w:themeColor="text1"/>
                <w:sz w:val="24"/>
                <w:szCs w:val="24"/>
                <w14:textFill>
                  <w14:solidFill>
                    <w14:schemeClr w14:val="tx1"/>
                  </w14:solidFill>
                </w14:textFill>
              </w:rPr>
              <w:t>阜康市西部城区污水处理厂又名阜西区污水处理厂，于2017年建设，阜西区污水处理厂采用较为先进的污水处理工艺水解酸化+ A</w:t>
            </w:r>
            <w:r>
              <w:rPr>
                <w:rFonts w:hint="eastAsia" w:ascii="Times New Roman" w:hAnsi="Times New Roman" w:eastAsia="宋体" w:cs="宋体"/>
                <w:color w:val="000000" w:themeColor="text1"/>
                <w:sz w:val="24"/>
                <w:szCs w:val="24"/>
                <w:vertAlign w:val="superscript"/>
                <w14:textFill>
                  <w14:solidFill>
                    <w14:schemeClr w14:val="tx1"/>
                  </w14:solidFill>
                </w14:textFill>
              </w:rPr>
              <w:t>2</w:t>
            </w:r>
            <w:r>
              <w:rPr>
                <w:rFonts w:hint="eastAsia" w:ascii="Times New Roman" w:hAnsi="Times New Roman" w:eastAsia="宋体" w:cs="宋体"/>
                <w:color w:val="000000" w:themeColor="text1"/>
                <w:sz w:val="24"/>
                <w:szCs w:val="24"/>
                <w14:textFill>
                  <w14:solidFill>
                    <w14:schemeClr w14:val="tx1"/>
                  </w14:solidFill>
                </w14:textFill>
              </w:rPr>
              <w:t>/O+ MBR膜池，其设计规模为5万立方米/日，目前日处理规模达到2万立方米/日，园区内下水管网均已敷设完毕，各企业内排水管网与园区主下水管网接通后即可排水。根据实地调查，目前项目区污水管网已经铺设完毕，阜西区污水处理厂已投入运营，经处理后的污水水质满足《城镇污水处理厂污染物排放标准》（GB18918-2002）一级A排放标准，目前仍有充足容量，可以满足项目污水处理要求。本项目废水排放浓度可满足《污水综合排放标准》（GB8978-1996）表4三级污染物排放标准限值。因此，污水排放可满足园区污水处理厂入管网要求</w:t>
            </w:r>
            <w:r>
              <w:rPr>
                <w:rFonts w:cs="Times New Roman"/>
              </w:rPr>
              <w:t>，排入该污水处理厂是可行的。</w:t>
            </w:r>
          </w:p>
          <w:p>
            <w:pPr>
              <w:pStyle w:val="13"/>
              <w:spacing w:before="0" w:after="0" w:line="520" w:lineRule="exact"/>
              <w:ind w:right="0" w:firstLine="482" w:firstLineChars="200"/>
              <w:rPr>
                <w:b/>
                <w:bCs/>
                <w:kern w:val="2"/>
                <w:sz w:val="24"/>
                <w:szCs w:val="24"/>
              </w:rPr>
            </w:pPr>
            <w:r>
              <w:rPr>
                <w:rFonts w:hint="eastAsia"/>
                <w:b/>
                <w:bCs/>
                <w:kern w:val="2"/>
                <w:sz w:val="24"/>
                <w:szCs w:val="24"/>
              </w:rPr>
              <w:t>2.3废水排放监测计划</w:t>
            </w:r>
          </w:p>
          <w:p>
            <w:pPr>
              <w:widowControl/>
              <w:ind w:firstLine="480" w:firstLineChars="200"/>
              <w:jc w:val="center"/>
              <w:rPr>
                <w:rFonts w:ascii="黑体" w:hAnsi="黑体" w:eastAsia="黑体" w:cs="黑体"/>
                <w:sz w:val="24"/>
              </w:rPr>
            </w:pPr>
            <w:r>
              <w:rPr>
                <w:rFonts w:hint="eastAsia" w:ascii="黑体" w:hAnsi="黑体" w:eastAsia="黑体" w:cs="黑体"/>
                <w:sz w:val="24"/>
              </w:rPr>
              <w:t>表4-</w:t>
            </w:r>
            <w:r>
              <w:rPr>
                <w:rFonts w:hint="eastAsia" w:ascii="黑体" w:hAnsi="黑体" w:eastAsia="黑体" w:cs="黑体"/>
                <w:sz w:val="24"/>
                <w:lang w:val="en-US" w:eastAsia="zh-CN"/>
              </w:rPr>
              <w:t>11</w:t>
            </w:r>
            <w:r>
              <w:rPr>
                <w:rFonts w:hint="eastAsia" w:ascii="黑体" w:hAnsi="黑体" w:eastAsia="黑体" w:cs="黑体"/>
                <w:sz w:val="24"/>
              </w:rPr>
              <w:t xml:space="preserve">  废水排放监测方案</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7"/>
              <w:gridCol w:w="3073"/>
              <w:gridCol w:w="1346"/>
              <w:gridCol w:w="30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88" w:type="pct"/>
                  <w:tcBorders>
                    <w:tl2br w:val="nil"/>
                    <w:tr2bl w:val="nil"/>
                  </w:tcBorders>
                  <w:vAlign w:val="center"/>
                </w:tcPr>
                <w:p>
                  <w:pPr>
                    <w:pStyle w:val="77"/>
                    <w:rPr>
                      <w:iCs/>
                    </w:rPr>
                  </w:pPr>
                  <w:r>
                    <w:rPr>
                      <w:iCs/>
                    </w:rPr>
                    <w:t>监测位置</w:t>
                  </w:r>
                </w:p>
              </w:tc>
              <w:tc>
                <w:tcPr>
                  <w:tcW w:w="1698" w:type="pct"/>
                  <w:tcBorders>
                    <w:tl2br w:val="nil"/>
                    <w:tr2bl w:val="nil"/>
                  </w:tcBorders>
                  <w:vAlign w:val="center"/>
                </w:tcPr>
                <w:p>
                  <w:pPr>
                    <w:pStyle w:val="77"/>
                    <w:rPr>
                      <w:iCs/>
                    </w:rPr>
                  </w:pPr>
                  <w:r>
                    <w:rPr>
                      <w:iCs/>
                    </w:rPr>
                    <w:t>监测项目</w:t>
                  </w:r>
                </w:p>
              </w:tc>
              <w:tc>
                <w:tcPr>
                  <w:tcW w:w="744" w:type="pct"/>
                  <w:tcBorders>
                    <w:tl2br w:val="nil"/>
                    <w:tr2bl w:val="nil"/>
                  </w:tcBorders>
                  <w:vAlign w:val="center"/>
                </w:tcPr>
                <w:p>
                  <w:pPr>
                    <w:pStyle w:val="77"/>
                    <w:rPr>
                      <w:iCs/>
                    </w:rPr>
                  </w:pPr>
                  <w:r>
                    <w:rPr>
                      <w:iCs/>
                    </w:rPr>
                    <w:t>监测频率</w:t>
                  </w:r>
                </w:p>
              </w:tc>
              <w:tc>
                <w:tcPr>
                  <w:tcW w:w="1668" w:type="pct"/>
                  <w:tcBorders>
                    <w:tl2br w:val="nil"/>
                    <w:tr2bl w:val="nil"/>
                  </w:tcBorders>
                  <w:vAlign w:val="center"/>
                </w:tcPr>
                <w:p>
                  <w:pPr>
                    <w:pStyle w:val="77"/>
                    <w:rPr>
                      <w:iCs/>
                    </w:rPr>
                  </w:pPr>
                  <w:r>
                    <w:rPr>
                      <w:iCs/>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88" w:type="pct"/>
                  <w:tcBorders>
                    <w:tl2br w:val="nil"/>
                    <w:tr2bl w:val="nil"/>
                  </w:tcBorders>
                  <w:vAlign w:val="center"/>
                </w:tcPr>
                <w:p>
                  <w:pPr>
                    <w:pStyle w:val="77"/>
                    <w:rPr>
                      <w:iCs/>
                    </w:rPr>
                  </w:pPr>
                  <w:r>
                    <w:rPr>
                      <w:iCs/>
                    </w:rPr>
                    <w:t>企业废水总排放口</w:t>
                  </w:r>
                </w:p>
              </w:tc>
              <w:tc>
                <w:tcPr>
                  <w:tcW w:w="1698" w:type="pct"/>
                  <w:tcBorders>
                    <w:tl2br w:val="nil"/>
                    <w:tr2bl w:val="nil"/>
                  </w:tcBorders>
                  <w:vAlign w:val="center"/>
                </w:tcPr>
                <w:p>
                  <w:pPr>
                    <w:pStyle w:val="77"/>
                    <w:rPr>
                      <w:iCs/>
                    </w:rPr>
                  </w:pPr>
                  <w:r>
                    <w:rPr>
                      <w:iCs/>
                    </w:rPr>
                    <w:t>pH值、化学需氧量、氨氮、悬浮物、总磷、流量</w:t>
                  </w:r>
                </w:p>
              </w:tc>
              <w:tc>
                <w:tcPr>
                  <w:tcW w:w="744" w:type="pct"/>
                  <w:tcBorders>
                    <w:tl2br w:val="nil"/>
                    <w:tr2bl w:val="nil"/>
                  </w:tcBorders>
                  <w:vAlign w:val="center"/>
                </w:tcPr>
                <w:p>
                  <w:pPr>
                    <w:pStyle w:val="77"/>
                    <w:rPr>
                      <w:iCs/>
                    </w:rPr>
                  </w:pPr>
                  <w:r>
                    <w:rPr>
                      <w:iCs/>
                    </w:rPr>
                    <w:t>每</w:t>
                  </w:r>
                  <w:r>
                    <w:rPr>
                      <w:rFonts w:hint="eastAsia"/>
                      <w:iCs/>
                    </w:rPr>
                    <w:t>年</w:t>
                  </w:r>
                  <w:r>
                    <w:rPr>
                      <w:iCs/>
                    </w:rPr>
                    <w:t>1次</w:t>
                  </w:r>
                </w:p>
              </w:tc>
              <w:tc>
                <w:tcPr>
                  <w:tcW w:w="1668" w:type="pct"/>
                  <w:tcBorders>
                    <w:tl2br w:val="nil"/>
                    <w:tr2bl w:val="nil"/>
                  </w:tcBorders>
                  <w:vAlign w:val="center"/>
                </w:tcPr>
                <w:p>
                  <w:pPr>
                    <w:pStyle w:val="77"/>
                    <w:rPr>
                      <w:iCs/>
                    </w:rPr>
                  </w:pPr>
                  <w:r>
                    <w:rPr>
                      <w:iCs/>
                    </w:rPr>
                    <w:t>委托第三方监测单位监测</w:t>
                  </w:r>
                </w:p>
              </w:tc>
            </w:tr>
          </w:tbl>
          <w:p>
            <w:pPr>
              <w:pStyle w:val="13"/>
              <w:spacing w:before="0" w:after="0" w:line="520" w:lineRule="exact"/>
              <w:ind w:right="0" w:firstLine="482" w:firstLineChars="200"/>
              <w:rPr>
                <w:b/>
                <w:bCs/>
                <w:kern w:val="2"/>
                <w:sz w:val="24"/>
                <w:szCs w:val="24"/>
              </w:rPr>
            </w:pPr>
            <w:r>
              <w:rPr>
                <w:rFonts w:hint="eastAsia"/>
                <w:b/>
                <w:bCs/>
                <w:kern w:val="2"/>
                <w:sz w:val="24"/>
                <w:szCs w:val="24"/>
              </w:rPr>
              <w:t>3、声环境影响分析</w:t>
            </w:r>
          </w:p>
          <w:p>
            <w:pPr>
              <w:adjustRightInd w:val="0"/>
              <w:snapToGrid w:val="0"/>
              <w:spacing w:line="520" w:lineRule="exact"/>
              <w:ind w:firstLine="482" w:firstLineChars="200"/>
              <w:rPr>
                <w:b/>
                <w:bCs/>
                <w:sz w:val="24"/>
              </w:rPr>
            </w:pPr>
            <w:r>
              <w:rPr>
                <w:rFonts w:hint="eastAsia"/>
                <w:b/>
                <w:bCs/>
                <w:sz w:val="24"/>
              </w:rPr>
              <w:t>3</w:t>
            </w:r>
            <w:r>
              <w:rPr>
                <w:b/>
                <w:bCs/>
                <w:sz w:val="24"/>
              </w:rPr>
              <w:t>.1</w:t>
            </w:r>
            <w:r>
              <w:rPr>
                <w:rFonts w:hint="eastAsia"/>
                <w:b/>
                <w:bCs/>
                <w:sz w:val="24"/>
              </w:rPr>
              <w:t>噪声设备及噪声级</w:t>
            </w:r>
          </w:p>
          <w:p>
            <w:pPr>
              <w:adjustRightInd w:val="0"/>
              <w:snapToGrid w:val="0"/>
              <w:spacing w:line="520" w:lineRule="exact"/>
              <w:ind w:firstLine="480" w:firstLineChars="200"/>
              <w:rPr>
                <w:sz w:val="24"/>
              </w:rPr>
            </w:pPr>
            <w:r>
              <w:rPr>
                <w:sz w:val="24"/>
              </w:rPr>
              <w:t>本项目</w:t>
            </w:r>
            <w:r>
              <w:rPr>
                <w:rFonts w:hint="eastAsia"/>
                <w:sz w:val="24"/>
              </w:rPr>
              <w:t>噪声</w:t>
            </w:r>
            <w:r>
              <w:rPr>
                <w:sz w:val="24"/>
              </w:rPr>
              <w:t>主要来源于</w:t>
            </w:r>
            <w:r>
              <w:rPr>
                <w:rFonts w:hint="eastAsia"/>
                <w:sz w:val="24"/>
              </w:rPr>
              <w:t>搅拌机、</w:t>
            </w:r>
            <w:r>
              <w:rPr>
                <w:rFonts w:hint="eastAsia"/>
                <w:sz w:val="24"/>
                <w:lang w:val="en-US" w:eastAsia="zh-CN"/>
              </w:rPr>
              <w:t>切割机</w:t>
            </w:r>
            <w:r>
              <w:rPr>
                <w:sz w:val="24"/>
              </w:rPr>
              <w:t>等产生的噪声，其源强声级为</w:t>
            </w:r>
            <w:r>
              <w:rPr>
                <w:rFonts w:hint="eastAsia"/>
                <w:sz w:val="24"/>
              </w:rPr>
              <w:t>75</w:t>
            </w:r>
            <w:r>
              <w:rPr>
                <w:sz w:val="24"/>
              </w:rPr>
              <w:t>~</w:t>
            </w:r>
            <w:r>
              <w:rPr>
                <w:rFonts w:hint="eastAsia"/>
                <w:sz w:val="24"/>
              </w:rPr>
              <w:t>90</w:t>
            </w:r>
            <w:r>
              <w:rPr>
                <w:sz w:val="24"/>
              </w:rPr>
              <w:t>dB（A）</w:t>
            </w:r>
            <w:r>
              <w:rPr>
                <w:rFonts w:hint="eastAsia"/>
                <w:sz w:val="24"/>
              </w:rPr>
              <w:t>。主要设备噪声源强见表4-</w:t>
            </w:r>
            <w:r>
              <w:rPr>
                <w:rFonts w:hint="eastAsia"/>
                <w:sz w:val="24"/>
                <w:lang w:val="en-US" w:eastAsia="zh-CN"/>
              </w:rPr>
              <w:t>12</w:t>
            </w:r>
            <w:r>
              <w:rPr>
                <w:rFonts w:hint="eastAsia"/>
                <w:sz w:val="24"/>
              </w:rPr>
              <w:t>。</w:t>
            </w:r>
          </w:p>
          <w:p>
            <w:pPr>
              <w:widowControl/>
              <w:ind w:firstLine="480" w:firstLineChars="200"/>
              <w:jc w:val="center"/>
              <w:rPr>
                <w:rFonts w:eastAsia="黑体"/>
                <w:sz w:val="24"/>
              </w:rPr>
            </w:pPr>
            <w:r>
              <w:rPr>
                <w:rFonts w:eastAsia="黑体"/>
                <w:sz w:val="24"/>
              </w:rPr>
              <w:t>表</w:t>
            </w:r>
            <w:r>
              <w:rPr>
                <w:rFonts w:hint="eastAsia" w:eastAsia="黑体"/>
                <w:sz w:val="24"/>
              </w:rPr>
              <w:t>4-</w:t>
            </w:r>
            <w:r>
              <w:rPr>
                <w:rFonts w:hint="eastAsia" w:eastAsia="黑体"/>
                <w:sz w:val="24"/>
                <w:lang w:val="en-US" w:eastAsia="zh-CN"/>
              </w:rPr>
              <w:t>12</w:t>
            </w:r>
            <w:r>
              <w:rPr>
                <w:rFonts w:eastAsia="黑体"/>
                <w:sz w:val="24"/>
              </w:rPr>
              <w:t xml:space="preserve">  </w:t>
            </w:r>
            <w:r>
              <w:rPr>
                <w:rFonts w:hint="eastAsia" w:eastAsia="黑体"/>
                <w:sz w:val="24"/>
              </w:rPr>
              <w:t>主要噪声源一览表</w:t>
            </w:r>
          </w:p>
          <w:tbl>
            <w:tblPr>
              <w:tblStyle w:val="31"/>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13"/>
              <w:gridCol w:w="1828"/>
              <w:gridCol w:w="1828"/>
              <w:gridCol w:w="1775"/>
              <w:gridCol w:w="220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81" w:type="pct"/>
                  <w:tcBorders>
                    <w:tl2br w:val="nil"/>
                    <w:tr2bl w:val="nil"/>
                  </w:tcBorders>
                  <w:vAlign w:val="center"/>
                </w:tcPr>
                <w:p>
                  <w:pPr>
                    <w:snapToGrid w:val="0"/>
                    <w:jc w:val="center"/>
                    <w:rPr>
                      <w:szCs w:val="21"/>
                    </w:rPr>
                  </w:pPr>
                  <w:r>
                    <w:rPr>
                      <w:rFonts w:hAnsi="宋体"/>
                      <w:spacing w:val="-6"/>
                      <w:szCs w:val="21"/>
                    </w:rPr>
                    <w:t>序号</w:t>
                  </w:r>
                </w:p>
              </w:tc>
              <w:tc>
                <w:tcPr>
                  <w:tcW w:w="1010" w:type="pct"/>
                  <w:tcBorders>
                    <w:tl2br w:val="nil"/>
                    <w:tr2bl w:val="nil"/>
                  </w:tcBorders>
                  <w:vAlign w:val="center"/>
                </w:tcPr>
                <w:p>
                  <w:pPr>
                    <w:snapToGrid w:val="0"/>
                    <w:jc w:val="center"/>
                    <w:rPr>
                      <w:szCs w:val="21"/>
                    </w:rPr>
                  </w:pPr>
                  <w:r>
                    <w:rPr>
                      <w:rFonts w:hAnsi="宋体"/>
                      <w:spacing w:val="-6"/>
                      <w:szCs w:val="21"/>
                    </w:rPr>
                    <w:t>噪声源</w:t>
                  </w:r>
                </w:p>
              </w:tc>
              <w:tc>
                <w:tcPr>
                  <w:tcW w:w="1010" w:type="pct"/>
                  <w:tcBorders>
                    <w:tl2br w:val="nil"/>
                    <w:tr2bl w:val="nil"/>
                  </w:tcBorders>
                  <w:vAlign w:val="center"/>
                </w:tcPr>
                <w:p>
                  <w:pPr>
                    <w:snapToGrid w:val="0"/>
                    <w:jc w:val="center"/>
                    <w:rPr>
                      <w:rFonts w:hAnsi="宋体"/>
                      <w:spacing w:val="-6"/>
                      <w:szCs w:val="21"/>
                    </w:rPr>
                  </w:pPr>
                  <w:r>
                    <w:rPr>
                      <w:rFonts w:hint="eastAsia" w:hAnsi="宋体"/>
                      <w:spacing w:val="-6"/>
                      <w:szCs w:val="21"/>
                    </w:rPr>
                    <w:t>数量</w:t>
                  </w:r>
                </w:p>
              </w:tc>
              <w:tc>
                <w:tcPr>
                  <w:tcW w:w="981" w:type="pct"/>
                  <w:tcBorders>
                    <w:tl2br w:val="nil"/>
                    <w:tr2bl w:val="nil"/>
                  </w:tcBorders>
                  <w:vAlign w:val="center"/>
                </w:tcPr>
                <w:p>
                  <w:pPr>
                    <w:snapToGrid w:val="0"/>
                    <w:jc w:val="center"/>
                    <w:rPr>
                      <w:szCs w:val="21"/>
                    </w:rPr>
                  </w:pPr>
                  <w:r>
                    <w:rPr>
                      <w:rFonts w:hAnsi="宋体"/>
                      <w:spacing w:val="-6"/>
                      <w:szCs w:val="21"/>
                    </w:rPr>
                    <w:t>运转方式</w:t>
                  </w:r>
                </w:p>
              </w:tc>
              <w:tc>
                <w:tcPr>
                  <w:tcW w:w="1216" w:type="pct"/>
                  <w:tcBorders>
                    <w:tl2br w:val="nil"/>
                    <w:tr2bl w:val="nil"/>
                  </w:tcBorders>
                  <w:vAlign w:val="center"/>
                </w:tcPr>
                <w:p>
                  <w:pPr>
                    <w:snapToGrid w:val="0"/>
                    <w:jc w:val="center"/>
                  </w:pPr>
                  <w:r>
                    <w:rPr>
                      <w:rFonts w:hAnsi="宋体"/>
                      <w:spacing w:val="-6"/>
                      <w:szCs w:val="21"/>
                    </w:rPr>
                    <w:t>声源强度</w:t>
                  </w:r>
                  <w:r>
                    <w:rPr>
                      <w:spacing w:val="-6"/>
                      <w:szCs w:val="21"/>
                    </w:rPr>
                    <w:t>dB</w:t>
                  </w:r>
                  <w:r>
                    <w:rPr>
                      <w:rFonts w:hAnsi="宋体"/>
                      <w:spacing w:val="-6"/>
                      <w:szCs w:val="21"/>
                    </w:rPr>
                    <w:t>（</w:t>
                  </w:r>
                  <w:r>
                    <w:rPr>
                      <w:spacing w:val="-6"/>
                      <w:szCs w:val="21"/>
                    </w:rPr>
                    <w:t>A</w:t>
                  </w:r>
                  <w:r>
                    <w:rPr>
                      <w:rFonts w:hAnsi="宋体"/>
                      <w:spacing w:val="-6"/>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81" w:type="pct"/>
                  <w:tcBorders>
                    <w:tl2br w:val="nil"/>
                    <w:tr2bl w:val="nil"/>
                  </w:tcBorders>
                  <w:vAlign w:val="center"/>
                </w:tcPr>
                <w:p>
                  <w:pPr>
                    <w:snapToGrid w:val="0"/>
                    <w:jc w:val="center"/>
                  </w:pPr>
                  <w:r>
                    <w:rPr>
                      <w:spacing w:val="-6"/>
                      <w:szCs w:val="21"/>
                    </w:rPr>
                    <w:t>1</w:t>
                  </w:r>
                </w:p>
              </w:tc>
              <w:tc>
                <w:tcPr>
                  <w:tcW w:w="1010" w:type="pct"/>
                  <w:tcBorders>
                    <w:tl2br w:val="nil"/>
                    <w:tr2bl w:val="nil"/>
                  </w:tcBorders>
                  <w:vAlign w:val="center"/>
                </w:tcPr>
                <w:p>
                  <w:pPr>
                    <w:snapToGrid w:val="0"/>
                    <w:jc w:val="center"/>
                  </w:pPr>
                  <w:r>
                    <w:rPr>
                      <w:rFonts w:hint="eastAsia"/>
                    </w:rPr>
                    <w:t>搅拌机</w:t>
                  </w:r>
                </w:p>
              </w:tc>
              <w:tc>
                <w:tcPr>
                  <w:tcW w:w="1010" w:type="pct"/>
                  <w:tcBorders>
                    <w:tl2br w:val="nil"/>
                    <w:tr2bl w:val="nil"/>
                  </w:tcBorders>
                  <w:vAlign w:val="center"/>
                </w:tcPr>
                <w:p>
                  <w:pPr>
                    <w:snapToGrid w:val="0"/>
                    <w:jc w:val="center"/>
                    <w:rPr>
                      <w:rFonts w:hint="eastAsia" w:hAnsi="宋体" w:eastAsia="宋体"/>
                      <w:spacing w:val="-6"/>
                      <w:szCs w:val="21"/>
                      <w:lang w:eastAsia="zh-CN"/>
                    </w:rPr>
                  </w:pPr>
                  <w:r>
                    <w:rPr>
                      <w:rFonts w:hint="eastAsia" w:hAnsi="宋体"/>
                      <w:spacing w:val="-6"/>
                      <w:szCs w:val="21"/>
                      <w:lang w:val="en-US" w:eastAsia="zh-CN"/>
                    </w:rPr>
                    <w:t>6</w:t>
                  </w:r>
                </w:p>
              </w:tc>
              <w:tc>
                <w:tcPr>
                  <w:tcW w:w="981" w:type="pct"/>
                  <w:tcBorders>
                    <w:tl2br w:val="nil"/>
                    <w:tr2bl w:val="nil"/>
                  </w:tcBorders>
                  <w:vAlign w:val="center"/>
                </w:tcPr>
                <w:p>
                  <w:pPr>
                    <w:snapToGrid w:val="0"/>
                    <w:jc w:val="center"/>
                  </w:pPr>
                  <w:r>
                    <w:rPr>
                      <w:rFonts w:hAnsi="宋体"/>
                      <w:spacing w:val="-6"/>
                      <w:szCs w:val="21"/>
                    </w:rPr>
                    <w:t>连续</w:t>
                  </w:r>
                </w:p>
              </w:tc>
              <w:tc>
                <w:tcPr>
                  <w:tcW w:w="1216" w:type="pct"/>
                  <w:tcBorders>
                    <w:tl2br w:val="nil"/>
                    <w:tr2bl w:val="nil"/>
                  </w:tcBorders>
                  <w:vAlign w:val="center"/>
                </w:tcPr>
                <w:p>
                  <w:pPr>
                    <w:snapToGrid w:val="0"/>
                    <w:jc w:val="center"/>
                    <w:rPr>
                      <w:rFonts w:hint="default" w:eastAsia="宋体"/>
                      <w:lang w:val="en-US" w:eastAsia="zh-CN"/>
                    </w:rPr>
                  </w:pPr>
                  <w:r>
                    <w:rPr>
                      <w:rFonts w:hint="eastAsia"/>
                      <w:lang w:val="en-US" w:eastAsia="zh-CN"/>
                    </w:rPr>
                    <w:t>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81" w:type="pct"/>
                  <w:tcBorders>
                    <w:tl2br w:val="nil"/>
                    <w:tr2bl w:val="nil"/>
                  </w:tcBorders>
                  <w:vAlign w:val="center"/>
                </w:tcPr>
                <w:p>
                  <w:pPr>
                    <w:snapToGrid w:val="0"/>
                    <w:jc w:val="center"/>
                  </w:pPr>
                  <w:r>
                    <w:rPr>
                      <w:spacing w:val="-6"/>
                      <w:szCs w:val="21"/>
                    </w:rPr>
                    <w:t>2</w:t>
                  </w:r>
                </w:p>
              </w:tc>
              <w:tc>
                <w:tcPr>
                  <w:tcW w:w="1010" w:type="pct"/>
                  <w:tcBorders>
                    <w:tl2br w:val="nil"/>
                    <w:tr2bl w:val="nil"/>
                  </w:tcBorders>
                  <w:vAlign w:val="center"/>
                </w:tcPr>
                <w:p>
                  <w:pPr>
                    <w:snapToGrid w:val="0"/>
                    <w:jc w:val="center"/>
                    <w:rPr>
                      <w:rFonts w:hint="eastAsia" w:eastAsia="宋体"/>
                      <w:lang w:val="en-US" w:eastAsia="zh-CN"/>
                    </w:rPr>
                  </w:pPr>
                  <w:r>
                    <w:rPr>
                      <w:rFonts w:hint="eastAsia"/>
                      <w:lang w:val="en-US" w:eastAsia="zh-CN"/>
                    </w:rPr>
                    <w:t>切割机</w:t>
                  </w:r>
                </w:p>
              </w:tc>
              <w:tc>
                <w:tcPr>
                  <w:tcW w:w="1010" w:type="pct"/>
                  <w:tcBorders>
                    <w:tl2br w:val="nil"/>
                    <w:tr2bl w:val="nil"/>
                  </w:tcBorders>
                  <w:vAlign w:val="center"/>
                </w:tcPr>
                <w:p>
                  <w:pPr>
                    <w:snapToGrid w:val="0"/>
                    <w:jc w:val="center"/>
                    <w:rPr>
                      <w:rFonts w:hint="eastAsia" w:hAnsi="宋体" w:eastAsia="宋体"/>
                      <w:spacing w:val="-6"/>
                      <w:szCs w:val="21"/>
                      <w:lang w:val="en-US" w:eastAsia="zh-CN"/>
                    </w:rPr>
                  </w:pPr>
                  <w:r>
                    <w:rPr>
                      <w:rFonts w:hint="eastAsia" w:hAnsi="宋体"/>
                      <w:spacing w:val="-6"/>
                      <w:szCs w:val="21"/>
                      <w:lang w:val="en-US" w:eastAsia="zh-CN"/>
                    </w:rPr>
                    <w:t>2</w:t>
                  </w:r>
                </w:p>
              </w:tc>
              <w:tc>
                <w:tcPr>
                  <w:tcW w:w="981" w:type="pct"/>
                  <w:tcBorders>
                    <w:tl2br w:val="nil"/>
                    <w:tr2bl w:val="nil"/>
                  </w:tcBorders>
                  <w:vAlign w:val="center"/>
                </w:tcPr>
                <w:p>
                  <w:pPr>
                    <w:jc w:val="center"/>
                  </w:pPr>
                  <w:r>
                    <w:rPr>
                      <w:rFonts w:hAnsi="宋体"/>
                      <w:szCs w:val="21"/>
                    </w:rPr>
                    <w:t>连续</w:t>
                  </w:r>
                </w:p>
              </w:tc>
              <w:tc>
                <w:tcPr>
                  <w:tcW w:w="1216" w:type="pct"/>
                  <w:tcBorders>
                    <w:tl2br w:val="nil"/>
                    <w:tr2bl w:val="nil"/>
                  </w:tcBorders>
                  <w:vAlign w:val="center"/>
                </w:tcPr>
                <w:p>
                  <w:pPr>
                    <w:snapToGrid w:val="0"/>
                    <w:jc w:val="center"/>
                    <w:rPr>
                      <w:rFonts w:hint="default" w:eastAsia="宋体"/>
                      <w:lang w:val="en-US" w:eastAsia="zh-CN"/>
                    </w:rPr>
                  </w:pPr>
                  <w:r>
                    <w:rPr>
                      <w:rFonts w:hint="eastAsia"/>
                      <w:lang w:val="en-US" w:eastAsia="zh-CN"/>
                    </w:rPr>
                    <w:t>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81" w:type="pct"/>
                  <w:tcBorders>
                    <w:tl2br w:val="nil"/>
                    <w:tr2bl w:val="nil"/>
                  </w:tcBorders>
                  <w:vAlign w:val="center"/>
                </w:tcPr>
                <w:p>
                  <w:pPr>
                    <w:snapToGrid w:val="0"/>
                    <w:jc w:val="center"/>
                  </w:pPr>
                  <w:r>
                    <w:rPr>
                      <w:spacing w:val="-6"/>
                      <w:szCs w:val="21"/>
                    </w:rPr>
                    <w:t>3</w:t>
                  </w:r>
                </w:p>
              </w:tc>
              <w:tc>
                <w:tcPr>
                  <w:tcW w:w="1010" w:type="pct"/>
                  <w:tcBorders>
                    <w:tl2br w:val="nil"/>
                    <w:tr2bl w:val="nil"/>
                  </w:tcBorders>
                  <w:vAlign w:val="center"/>
                </w:tcPr>
                <w:p>
                  <w:pPr>
                    <w:snapToGrid w:val="0"/>
                    <w:jc w:val="center"/>
                    <w:rPr>
                      <w:rFonts w:hint="eastAsia" w:eastAsia="宋体"/>
                      <w:lang w:val="en-US" w:eastAsia="zh-CN"/>
                    </w:rPr>
                  </w:pPr>
                  <w:r>
                    <w:rPr>
                      <w:rFonts w:hint="eastAsia"/>
                      <w:lang w:val="en-US" w:eastAsia="zh-CN"/>
                    </w:rPr>
                    <w:t>提料机</w:t>
                  </w:r>
                </w:p>
              </w:tc>
              <w:tc>
                <w:tcPr>
                  <w:tcW w:w="1010" w:type="pct"/>
                  <w:tcBorders>
                    <w:tl2br w:val="nil"/>
                    <w:tr2bl w:val="nil"/>
                  </w:tcBorders>
                  <w:vAlign w:val="center"/>
                </w:tcPr>
                <w:p>
                  <w:pPr>
                    <w:snapToGrid w:val="0"/>
                    <w:jc w:val="center"/>
                    <w:rPr>
                      <w:rFonts w:hint="eastAsia" w:hAnsi="宋体" w:eastAsia="宋体"/>
                      <w:spacing w:val="-6"/>
                      <w:szCs w:val="21"/>
                      <w:lang w:val="en-US" w:eastAsia="zh-CN"/>
                    </w:rPr>
                  </w:pPr>
                  <w:r>
                    <w:rPr>
                      <w:rFonts w:hint="eastAsia" w:hAnsi="宋体"/>
                      <w:spacing w:val="-6"/>
                      <w:szCs w:val="21"/>
                      <w:lang w:val="en-US" w:eastAsia="zh-CN"/>
                    </w:rPr>
                    <w:t>2</w:t>
                  </w:r>
                </w:p>
              </w:tc>
              <w:tc>
                <w:tcPr>
                  <w:tcW w:w="981" w:type="pct"/>
                  <w:tcBorders>
                    <w:tl2br w:val="nil"/>
                    <w:tr2bl w:val="nil"/>
                  </w:tcBorders>
                  <w:vAlign w:val="center"/>
                </w:tcPr>
                <w:p>
                  <w:pPr>
                    <w:jc w:val="center"/>
                  </w:pPr>
                  <w:r>
                    <w:rPr>
                      <w:rFonts w:hAnsi="宋体"/>
                      <w:szCs w:val="21"/>
                    </w:rPr>
                    <w:t>连续</w:t>
                  </w:r>
                </w:p>
              </w:tc>
              <w:tc>
                <w:tcPr>
                  <w:tcW w:w="1216" w:type="pct"/>
                  <w:tcBorders>
                    <w:tl2br w:val="nil"/>
                    <w:tr2bl w:val="nil"/>
                  </w:tcBorders>
                  <w:vAlign w:val="center"/>
                </w:tcPr>
                <w:p>
                  <w:pPr>
                    <w:snapToGrid w:val="0"/>
                    <w:jc w:val="center"/>
                  </w:pPr>
                  <w:r>
                    <w:rPr>
                      <w:rFonts w:hint="eastAsia"/>
                    </w:rPr>
                    <w:t>75</w:t>
                  </w:r>
                </w:p>
              </w:tc>
            </w:tr>
          </w:tbl>
          <w:p>
            <w:pPr>
              <w:widowControl/>
              <w:spacing w:before="120" w:beforeLines="50" w:line="360" w:lineRule="auto"/>
              <w:ind w:firstLine="480" w:firstLineChars="200"/>
              <w:rPr>
                <w:sz w:val="24"/>
              </w:rPr>
            </w:pPr>
            <w:r>
              <w:rPr>
                <w:sz w:val="24"/>
              </w:rPr>
              <w:t>项目</w:t>
            </w:r>
            <w:r>
              <w:rPr>
                <w:rFonts w:hint="eastAsia"/>
                <w:sz w:val="24"/>
              </w:rPr>
              <w:t>区</w:t>
            </w:r>
            <w:r>
              <w:rPr>
                <w:sz w:val="24"/>
              </w:rPr>
              <w:t>内作业时设备同时运行，多个噪声源叠加的综合噪声计算公式如下：</w:t>
            </w:r>
          </w:p>
          <w:p>
            <w:pPr>
              <w:widowControl/>
              <w:spacing w:line="360" w:lineRule="auto"/>
              <w:ind w:firstLine="480" w:firstLineChars="200"/>
              <w:jc w:val="center"/>
              <w:rPr>
                <w:sz w:val="24"/>
              </w:rPr>
            </w:pPr>
            <w:r>
              <w:rPr>
                <w:sz w:val="24"/>
              </w:rPr>
              <w:object>
                <v:shape id="_x0000_i1028" o:spt="75" type="#_x0000_t75" style="height:36pt;width:104.25pt;" o:ole="t" filled="f" o:preferrelative="t" stroked="f" coordsize="21600,21600">
                  <v:path/>
                  <v:fill on="f" focussize="0,0"/>
                  <v:stroke on="f" joinstyle="miter"/>
                  <v:imagedata r:id="rId26" o:title=""/>
                  <o:lock v:ext="edit" aspectratio="t"/>
                  <w10:wrap type="none"/>
                  <w10:anchorlock/>
                </v:shape>
                <o:OLEObject Type="Embed" ProgID="Equation.3" ShapeID="_x0000_i1028" DrawAspect="Content" ObjectID="_1468075728" r:id="rId25">
                  <o:LockedField>false</o:LockedField>
                </o:OLEObject>
              </w:object>
            </w:r>
          </w:p>
          <w:p>
            <w:pPr>
              <w:widowControl/>
              <w:spacing w:line="520" w:lineRule="exact"/>
              <w:ind w:firstLine="480" w:firstLineChars="200"/>
              <w:rPr>
                <w:sz w:val="24"/>
              </w:rPr>
            </w:pPr>
            <w:r>
              <w:rPr>
                <w:sz w:val="24"/>
              </w:rPr>
              <w:t>式中：</w:t>
            </w:r>
            <w:r>
              <w:rPr>
                <w:sz w:val="24"/>
              </w:rPr>
              <w:object>
                <v:shape id="_x0000_i1029" o:spt="75" type="#_x0000_t75" style="height:17.25pt;width:15.75pt;" o:ole="t" filled="f" o:preferrelative="t" stroked="f" coordsize="21600,21600">
                  <v:path/>
                  <v:fill on="f" focussize="0,0"/>
                  <v:stroke on="f" joinstyle="miter"/>
                  <v:imagedata r:id="rId28" o:title=""/>
                  <o:lock v:ext="edit" aspectratio="t"/>
                  <w10:wrap type="none"/>
                  <w10:anchorlock/>
                </v:shape>
                <o:OLEObject Type="Embed" ProgID="Equation.3" ShapeID="_x0000_i1029" DrawAspect="Content" ObjectID="_1468075729" r:id="rId27">
                  <o:LockedField>false</o:LockedField>
                </o:OLEObject>
              </w:object>
            </w:r>
            <w:r>
              <w:rPr>
                <w:sz w:val="24"/>
              </w:rPr>
              <w:t>—多个噪声源叠加的综合噪声声级，dB（A）；</w:t>
            </w:r>
          </w:p>
          <w:p>
            <w:pPr>
              <w:widowControl/>
              <w:spacing w:line="520" w:lineRule="exact"/>
              <w:ind w:firstLine="1200" w:firstLineChars="500"/>
              <w:rPr>
                <w:sz w:val="24"/>
              </w:rPr>
            </w:pPr>
            <w:r>
              <w:rPr>
                <w:sz w:val="24"/>
              </w:rPr>
              <w:object>
                <v:shape id="_x0000_i1030" o:spt="75" type="#_x0000_t75" style="height:18pt;width:12.75pt;" o:ole="t" filled="f" o:preferrelative="t" stroked="f" coordsize="21600,21600">
                  <v:path/>
                  <v:fill on="f" focussize="0,0"/>
                  <v:stroke on="f" joinstyle="miter"/>
                  <v:imagedata r:id="rId30" o:title=""/>
                  <o:lock v:ext="edit" aspectratio="t"/>
                  <w10:wrap type="none"/>
                  <w10:anchorlock/>
                </v:shape>
                <o:OLEObject Type="Embed" ProgID="Equation.3" ShapeID="_x0000_i1030" DrawAspect="Content" ObjectID="_1468075730" r:id="rId29">
                  <o:LockedField>false</o:LockedField>
                </o:OLEObject>
              </w:object>
            </w:r>
            <w:r>
              <w:rPr>
                <w:sz w:val="24"/>
              </w:rPr>
              <w:t>—第I个噪声源的声级，dB（A）；</w:t>
            </w:r>
          </w:p>
          <w:p>
            <w:pPr>
              <w:widowControl/>
              <w:spacing w:line="520" w:lineRule="exact"/>
              <w:ind w:firstLine="1200" w:firstLineChars="500"/>
              <w:rPr>
                <w:sz w:val="24"/>
              </w:rPr>
            </w:pPr>
            <w:r>
              <w:rPr>
                <w:sz w:val="24"/>
              </w:rPr>
              <w:object>
                <v:shape id="_x0000_i1031" o:spt="75" type="#_x0000_t75" style="height:11.25pt;width:9.75pt;" o:ole="t" filled="f" o:preferrelative="t" stroked="f" coordsize="21600,21600">
                  <v:path/>
                  <v:fill on="f" focussize="0,0"/>
                  <v:stroke on="f" joinstyle="miter"/>
                  <v:imagedata r:id="rId32" o:title=""/>
                  <o:lock v:ext="edit" aspectratio="t"/>
                  <w10:wrap type="none"/>
                  <w10:anchorlock/>
                </v:shape>
                <o:OLEObject Type="Embed" ProgID="Equation.3" ShapeID="_x0000_i1031" DrawAspect="Content" ObjectID="_1468075731" r:id="rId31">
                  <o:LockedField>false</o:LockedField>
                </o:OLEObject>
              </w:object>
            </w:r>
            <w:r>
              <w:rPr>
                <w:sz w:val="24"/>
              </w:rPr>
              <w:t>—噪声源的个数。</w:t>
            </w:r>
          </w:p>
          <w:p>
            <w:pPr>
              <w:widowControl/>
              <w:spacing w:line="520" w:lineRule="exact"/>
              <w:ind w:firstLine="480" w:firstLineChars="200"/>
              <w:rPr>
                <w:sz w:val="24"/>
              </w:rPr>
            </w:pPr>
            <w:r>
              <w:rPr>
                <w:sz w:val="24"/>
              </w:rPr>
              <w:t>本项目依据表</w:t>
            </w:r>
            <w:r>
              <w:rPr>
                <w:rFonts w:hint="eastAsia"/>
                <w:sz w:val="24"/>
              </w:rPr>
              <w:t>4-</w:t>
            </w:r>
            <w:r>
              <w:rPr>
                <w:rFonts w:hint="eastAsia"/>
                <w:sz w:val="24"/>
                <w:lang w:val="en-US" w:eastAsia="zh-CN"/>
              </w:rPr>
              <w:t>12</w:t>
            </w:r>
            <w:r>
              <w:rPr>
                <w:sz w:val="24"/>
              </w:rPr>
              <w:t>中数据计算得综合噪声源强为</w:t>
            </w:r>
            <w:r>
              <w:rPr>
                <w:rFonts w:hint="eastAsia"/>
                <w:sz w:val="24"/>
                <w:lang w:val="en-US" w:eastAsia="zh-CN"/>
              </w:rPr>
              <w:t>96</w:t>
            </w:r>
            <w:r>
              <w:rPr>
                <w:sz w:val="24"/>
              </w:rPr>
              <w:t>dB（A）</w:t>
            </w:r>
            <w:r>
              <w:rPr>
                <w:rFonts w:hint="eastAsia"/>
                <w:sz w:val="24"/>
              </w:rPr>
              <w:t>，生产</w:t>
            </w:r>
            <w:r>
              <w:rPr>
                <w:sz w:val="24"/>
              </w:rPr>
              <w:t>设备加装减震基础，可降噪</w:t>
            </w:r>
            <w:r>
              <w:rPr>
                <w:rFonts w:hint="eastAsia"/>
                <w:sz w:val="24"/>
              </w:rPr>
              <w:t>20</w:t>
            </w:r>
            <w:r>
              <w:rPr>
                <w:sz w:val="24"/>
              </w:rPr>
              <w:t>dB(A)，噪声值室外随着一定距离的</w:t>
            </w:r>
            <w:r>
              <w:rPr>
                <w:rFonts w:hint="eastAsia"/>
                <w:sz w:val="24"/>
              </w:rPr>
              <w:t>进行衰减</w:t>
            </w:r>
            <w:r>
              <w:rPr>
                <w:sz w:val="24"/>
              </w:rPr>
              <w:t>。</w:t>
            </w:r>
          </w:p>
          <w:p>
            <w:pPr>
              <w:widowControl/>
              <w:autoSpaceDE w:val="0"/>
              <w:autoSpaceDN w:val="0"/>
              <w:spacing w:line="520" w:lineRule="exact"/>
              <w:ind w:firstLine="482" w:firstLineChars="200"/>
              <w:rPr>
                <w:b/>
                <w:bCs/>
                <w:sz w:val="24"/>
              </w:rPr>
            </w:pPr>
            <w:r>
              <w:rPr>
                <w:rFonts w:hint="eastAsia"/>
                <w:b/>
                <w:bCs/>
                <w:sz w:val="24"/>
              </w:rPr>
              <w:t>3</w:t>
            </w:r>
            <w:r>
              <w:rPr>
                <w:b/>
                <w:bCs/>
                <w:sz w:val="24"/>
              </w:rPr>
              <w:t>.2预测模式</w:t>
            </w:r>
          </w:p>
          <w:p>
            <w:pPr>
              <w:widowControl/>
              <w:autoSpaceDE w:val="0"/>
              <w:autoSpaceDN w:val="0"/>
              <w:spacing w:line="520" w:lineRule="exact"/>
              <w:ind w:firstLine="480" w:firstLineChars="200"/>
              <w:rPr>
                <w:sz w:val="24"/>
              </w:rPr>
            </w:pPr>
            <w:r>
              <w:rPr>
                <w:sz w:val="24"/>
              </w:rPr>
              <w:t>噪声预测模式采用</w:t>
            </w:r>
            <w:r>
              <w:rPr>
                <w:rFonts w:hint="eastAsia"/>
                <w:sz w:val="24"/>
                <w:lang w:eastAsia="zh-CN"/>
              </w:rPr>
              <w:t>《环境影响评价技术导则</w:t>
            </w:r>
            <w:r>
              <w:rPr>
                <w:rFonts w:hint="eastAsia"/>
                <w:sz w:val="24"/>
                <w:lang w:val="en-US" w:eastAsia="zh-CN"/>
              </w:rPr>
              <w:t xml:space="preserve">  </w:t>
            </w:r>
            <w:r>
              <w:rPr>
                <w:sz w:val="24"/>
              </w:rPr>
              <w:t>声环境》（HJ2.4-2009）附录A中工业噪声预测计算模式进行预测，公式如下：</w:t>
            </w:r>
          </w:p>
          <w:p>
            <w:pPr>
              <w:widowControl/>
              <w:autoSpaceDE w:val="0"/>
              <w:autoSpaceDN w:val="0"/>
              <w:spacing w:line="520" w:lineRule="exact"/>
              <w:ind w:firstLine="480" w:firstLineChars="200"/>
              <w:jc w:val="center"/>
              <w:rPr>
                <w:sz w:val="24"/>
              </w:rPr>
            </w:pPr>
            <w:r>
              <w:rPr>
                <w:sz w:val="24"/>
              </w:rPr>
              <w:t>LA</w:t>
            </w:r>
            <w:r>
              <w:rPr>
                <w:sz w:val="24"/>
                <w:vertAlign w:val="subscript"/>
              </w:rPr>
              <w:t>(r)</w:t>
            </w:r>
            <w:r>
              <w:rPr>
                <w:sz w:val="24"/>
              </w:rPr>
              <w:t>=LA</w:t>
            </w:r>
            <w:r>
              <w:rPr>
                <w:sz w:val="24"/>
                <w:vertAlign w:val="subscript"/>
              </w:rPr>
              <w:t>(r0)</w:t>
            </w:r>
            <w:r>
              <w:rPr>
                <w:sz w:val="24"/>
              </w:rPr>
              <w:t>－20×lg(r/r</w:t>
            </w:r>
            <w:r>
              <w:rPr>
                <w:sz w:val="24"/>
                <w:vertAlign w:val="subscript"/>
              </w:rPr>
              <w:t>0</w:t>
            </w:r>
            <w:r>
              <w:rPr>
                <w:sz w:val="24"/>
              </w:rPr>
              <w:t>)</w:t>
            </w:r>
          </w:p>
          <w:p>
            <w:pPr>
              <w:widowControl/>
              <w:autoSpaceDE w:val="0"/>
              <w:autoSpaceDN w:val="0"/>
              <w:spacing w:line="520" w:lineRule="exact"/>
              <w:ind w:firstLine="480" w:firstLineChars="200"/>
              <w:rPr>
                <w:sz w:val="24"/>
              </w:rPr>
            </w:pPr>
            <w:r>
              <w:rPr>
                <w:sz w:val="24"/>
              </w:rPr>
              <w:t>式中：LA</w:t>
            </w:r>
            <w:r>
              <w:rPr>
                <w:sz w:val="24"/>
                <w:vertAlign w:val="subscript"/>
              </w:rPr>
              <w:t>(r)</w:t>
            </w:r>
            <w:r>
              <w:rPr>
                <w:sz w:val="24"/>
              </w:rPr>
              <w:t>---距离基准声源r米处的A声级，dB(A)；</w:t>
            </w:r>
          </w:p>
          <w:p>
            <w:pPr>
              <w:widowControl/>
              <w:autoSpaceDE w:val="0"/>
              <w:autoSpaceDN w:val="0"/>
              <w:spacing w:line="520" w:lineRule="exact"/>
              <w:ind w:firstLine="1200" w:firstLineChars="500"/>
              <w:rPr>
                <w:sz w:val="24"/>
              </w:rPr>
            </w:pPr>
            <w:r>
              <w:rPr>
                <w:sz w:val="24"/>
              </w:rPr>
              <w:t>LA</w:t>
            </w:r>
            <w:r>
              <w:rPr>
                <w:sz w:val="24"/>
                <w:vertAlign w:val="subscript"/>
              </w:rPr>
              <w:t>(r0)</w:t>
            </w:r>
            <w:r>
              <w:rPr>
                <w:sz w:val="24"/>
              </w:rPr>
              <w:t>---离声源距离为r</w:t>
            </w:r>
            <w:r>
              <w:rPr>
                <w:sz w:val="24"/>
                <w:vertAlign w:val="subscript"/>
              </w:rPr>
              <w:t>0</w:t>
            </w:r>
            <w:r>
              <w:rPr>
                <w:sz w:val="24"/>
              </w:rPr>
              <w:t>米处的A声级，dB</w:t>
            </w:r>
            <w:r>
              <w:rPr>
                <w:rFonts w:hint="eastAsia"/>
                <w:sz w:val="24"/>
                <w:lang w:eastAsia="zh-CN"/>
              </w:rPr>
              <w:t>（</w:t>
            </w:r>
            <w:r>
              <w:rPr>
                <w:rFonts w:hint="eastAsia"/>
                <w:sz w:val="24"/>
                <w:lang w:val="en-US" w:eastAsia="zh-CN"/>
              </w:rPr>
              <w:t>A</w:t>
            </w:r>
            <w:r>
              <w:rPr>
                <w:rFonts w:hint="eastAsia"/>
                <w:sz w:val="24"/>
                <w:lang w:eastAsia="zh-CN"/>
              </w:rPr>
              <w:t>）</w:t>
            </w:r>
            <w:r>
              <w:rPr>
                <w:sz w:val="24"/>
              </w:rPr>
              <w:t>；</w:t>
            </w:r>
          </w:p>
          <w:p>
            <w:pPr>
              <w:widowControl/>
              <w:autoSpaceDE w:val="0"/>
              <w:autoSpaceDN w:val="0"/>
              <w:spacing w:line="520" w:lineRule="exact"/>
              <w:ind w:firstLine="1200" w:firstLineChars="500"/>
              <w:rPr>
                <w:sz w:val="24"/>
              </w:rPr>
            </w:pPr>
            <w:r>
              <w:rPr>
                <w:sz w:val="24"/>
              </w:rPr>
              <w:t>r---预测点距噪声源的中心距离，m；</w:t>
            </w:r>
          </w:p>
          <w:p>
            <w:pPr>
              <w:widowControl/>
              <w:autoSpaceDE w:val="0"/>
              <w:autoSpaceDN w:val="0"/>
              <w:spacing w:line="520" w:lineRule="exact"/>
              <w:ind w:firstLine="1200" w:firstLineChars="500"/>
              <w:rPr>
                <w:sz w:val="24"/>
              </w:rPr>
            </w:pPr>
            <w:r>
              <w:rPr>
                <w:sz w:val="24"/>
              </w:rPr>
              <w:t>r</w:t>
            </w:r>
            <w:r>
              <w:rPr>
                <w:sz w:val="24"/>
                <w:vertAlign w:val="subscript"/>
              </w:rPr>
              <w:t>0</w:t>
            </w:r>
            <w:r>
              <w:rPr>
                <w:sz w:val="24"/>
              </w:rPr>
              <w:t>---基准声源距噪声源的中心距离，m。</w:t>
            </w:r>
          </w:p>
          <w:p>
            <w:pPr>
              <w:widowControl/>
              <w:autoSpaceDE w:val="0"/>
              <w:autoSpaceDN w:val="0"/>
              <w:spacing w:line="520" w:lineRule="exact"/>
              <w:ind w:firstLine="482" w:firstLineChars="200"/>
              <w:rPr>
                <w:b/>
                <w:bCs/>
                <w:sz w:val="24"/>
              </w:rPr>
            </w:pPr>
            <w:r>
              <w:rPr>
                <w:rFonts w:hint="eastAsia"/>
                <w:b/>
                <w:bCs/>
                <w:sz w:val="24"/>
              </w:rPr>
              <w:t>3</w:t>
            </w:r>
            <w:r>
              <w:rPr>
                <w:b/>
                <w:bCs/>
                <w:sz w:val="24"/>
              </w:rPr>
              <w:t>.3预测结果及分析</w:t>
            </w:r>
          </w:p>
          <w:p>
            <w:pPr>
              <w:widowControl/>
              <w:autoSpaceDE w:val="0"/>
              <w:autoSpaceDN w:val="0"/>
              <w:spacing w:line="520" w:lineRule="exact"/>
              <w:ind w:firstLine="480" w:firstLineChars="200"/>
              <w:rPr>
                <w:sz w:val="24"/>
              </w:rPr>
            </w:pPr>
            <w:r>
              <w:rPr>
                <w:sz w:val="24"/>
              </w:rPr>
              <w:t>根据预测模式及噪声源强参数及各产噪设备距四周厂界的距离，预测噪声源对四</w:t>
            </w:r>
            <w:r>
              <w:rPr>
                <w:rFonts w:hint="eastAsia"/>
                <w:sz w:val="24"/>
              </w:rPr>
              <w:t>周</w:t>
            </w:r>
            <w:r>
              <w:rPr>
                <w:sz w:val="24"/>
              </w:rPr>
              <w:t>厂界噪声的贡献值预测结果详见表</w:t>
            </w:r>
            <w:r>
              <w:rPr>
                <w:rFonts w:hint="eastAsia"/>
                <w:sz w:val="24"/>
              </w:rPr>
              <w:t>4-</w:t>
            </w:r>
            <w:r>
              <w:rPr>
                <w:rFonts w:hint="eastAsia"/>
                <w:sz w:val="24"/>
                <w:lang w:val="en-US" w:eastAsia="zh-CN"/>
              </w:rPr>
              <w:t>13</w:t>
            </w:r>
            <w:r>
              <w:rPr>
                <w:sz w:val="24"/>
              </w:rPr>
              <w:t>。</w:t>
            </w:r>
          </w:p>
          <w:p>
            <w:pPr>
              <w:widowControl/>
              <w:spacing w:before="120" w:beforeLines="50"/>
              <w:ind w:firstLine="480" w:firstLineChars="200"/>
              <w:jc w:val="center"/>
              <w:rPr>
                <w:rFonts w:eastAsia="黑体"/>
                <w:sz w:val="24"/>
              </w:rPr>
            </w:pPr>
            <w:r>
              <w:rPr>
                <w:rFonts w:eastAsia="黑体"/>
                <w:sz w:val="24"/>
              </w:rPr>
              <w:t>表</w:t>
            </w:r>
            <w:r>
              <w:rPr>
                <w:rFonts w:hint="eastAsia" w:eastAsia="黑体"/>
                <w:sz w:val="24"/>
              </w:rPr>
              <w:t>4-</w:t>
            </w:r>
            <w:r>
              <w:rPr>
                <w:rFonts w:hint="eastAsia" w:eastAsia="黑体"/>
                <w:sz w:val="24"/>
                <w:lang w:val="en-US" w:eastAsia="zh-CN"/>
              </w:rPr>
              <w:t>13</w:t>
            </w:r>
            <w:r>
              <w:rPr>
                <w:rFonts w:eastAsia="黑体"/>
                <w:sz w:val="24"/>
              </w:rPr>
              <w:t xml:space="preserve">  项目厂界噪声值预测结果一览表</w:t>
            </w:r>
            <w:r>
              <w:rPr>
                <w:rFonts w:hint="eastAsia" w:eastAsia="黑体"/>
                <w:sz w:val="24"/>
              </w:rPr>
              <w:t xml:space="preserve">  单位</w:t>
            </w:r>
            <w:r>
              <w:rPr>
                <w:rFonts w:eastAsia="黑体"/>
                <w:sz w:val="24"/>
              </w:rPr>
              <w:t>：dB（A）</w:t>
            </w:r>
          </w:p>
          <w:tbl>
            <w:tblPr>
              <w:tblStyle w:val="31"/>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1165"/>
              <w:gridCol w:w="2975"/>
              <w:gridCol w:w="1887"/>
              <w:gridCol w:w="1516"/>
              <w:gridCol w:w="1501"/>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76" w:hRule="atLeast"/>
              </w:trPr>
              <w:tc>
                <w:tcPr>
                  <w:tcW w:w="644"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预测点</w:t>
                  </w:r>
                </w:p>
              </w:tc>
              <w:tc>
                <w:tcPr>
                  <w:tcW w:w="1644"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噪声源距厂界距离（m）</w:t>
                  </w:r>
                </w:p>
              </w:tc>
              <w:tc>
                <w:tcPr>
                  <w:tcW w:w="1043"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贡献值</w:t>
                  </w:r>
                </w:p>
              </w:tc>
              <w:tc>
                <w:tcPr>
                  <w:tcW w:w="838"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标准值</w:t>
                  </w:r>
                </w:p>
              </w:tc>
              <w:tc>
                <w:tcPr>
                  <w:tcW w:w="829"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8" w:hRule="atLeast"/>
              </w:trPr>
              <w:tc>
                <w:tcPr>
                  <w:tcW w:w="644"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东厂界</w:t>
                  </w:r>
                </w:p>
              </w:tc>
              <w:tc>
                <w:tcPr>
                  <w:tcW w:w="1644" w:type="pct"/>
                  <w:tcBorders>
                    <w:tl2br w:val="nil"/>
                    <w:tr2bl w:val="nil"/>
                  </w:tcBorders>
                  <w:vAlign w:val="center"/>
                </w:tcPr>
                <w:p>
                  <w:pPr>
                    <w:pStyle w:val="38"/>
                    <w:widowControl/>
                    <w:spacing w:line="240" w:lineRule="auto"/>
                    <w:rPr>
                      <w:rFonts w:hint="default" w:ascii="Times New Roman" w:hAnsi="Times New Roman" w:eastAsia="宋体"/>
                      <w:lang w:val="en-US" w:eastAsia="zh-CN"/>
                    </w:rPr>
                  </w:pPr>
                  <w:r>
                    <w:rPr>
                      <w:rFonts w:hint="eastAsia" w:ascii="Times New Roman" w:hAnsi="Times New Roman"/>
                      <w:lang w:val="en-US" w:eastAsia="zh-CN"/>
                    </w:rPr>
                    <w:t>50</w:t>
                  </w:r>
                </w:p>
              </w:tc>
              <w:tc>
                <w:tcPr>
                  <w:tcW w:w="1043" w:type="pct"/>
                  <w:tcBorders>
                    <w:tl2br w:val="nil"/>
                    <w:tr2bl w:val="nil"/>
                  </w:tcBorders>
                  <w:vAlign w:val="center"/>
                </w:tcPr>
                <w:p>
                  <w:pPr>
                    <w:pStyle w:val="38"/>
                    <w:widowControl/>
                    <w:spacing w:line="240" w:lineRule="auto"/>
                    <w:rPr>
                      <w:rFonts w:hint="default" w:ascii="Times New Roman" w:hAnsi="Times New Roman" w:eastAsia="宋体"/>
                      <w:lang w:val="en-US" w:eastAsia="zh-CN"/>
                    </w:rPr>
                  </w:pPr>
                  <w:r>
                    <w:rPr>
                      <w:rFonts w:hint="eastAsia" w:ascii="Times New Roman" w:hAnsi="Times New Roman"/>
                      <w:lang w:val="en-US" w:eastAsia="zh-CN"/>
                    </w:rPr>
                    <w:t>42</w:t>
                  </w:r>
                </w:p>
              </w:tc>
              <w:tc>
                <w:tcPr>
                  <w:tcW w:w="838" w:type="pct"/>
                  <w:vMerge w:val="restart"/>
                  <w:tcBorders>
                    <w:tl2br w:val="nil"/>
                    <w:tr2bl w:val="nil"/>
                  </w:tcBorders>
                  <w:vAlign w:val="center"/>
                </w:tcPr>
                <w:p>
                  <w:pPr>
                    <w:pStyle w:val="38"/>
                    <w:widowControl/>
                    <w:spacing w:line="240" w:lineRule="auto"/>
                    <w:rPr>
                      <w:rFonts w:ascii="Times New Roman" w:hAnsi="Times New Roman"/>
                    </w:rPr>
                  </w:pPr>
                  <w:r>
                    <w:rPr>
                      <w:rFonts w:hint="eastAsia" w:ascii="Times New Roman" w:hAnsi="Times New Roman"/>
                    </w:rPr>
                    <w:t>昼间：</w:t>
                  </w:r>
                  <w:r>
                    <w:rPr>
                      <w:rFonts w:ascii="Times New Roman" w:hAnsi="Times New Roman"/>
                    </w:rPr>
                    <w:t>6</w:t>
                  </w:r>
                  <w:r>
                    <w:rPr>
                      <w:rFonts w:hint="eastAsia" w:ascii="Times New Roman" w:hAnsi="Times New Roman"/>
                    </w:rPr>
                    <w:t>5</w:t>
                  </w:r>
                </w:p>
                <w:p>
                  <w:pPr>
                    <w:pStyle w:val="38"/>
                    <w:widowControl/>
                    <w:spacing w:line="240" w:lineRule="auto"/>
                    <w:rPr>
                      <w:rFonts w:ascii="Times New Roman" w:hAnsi="Times New Roman"/>
                    </w:rPr>
                  </w:pPr>
                  <w:r>
                    <w:rPr>
                      <w:rFonts w:hint="eastAsia" w:ascii="Times New Roman" w:hAnsi="Times New Roman"/>
                    </w:rPr>
                    <w:t>夜间：55</w:t>
                  </w:r>
                </w:p>
              </w:tc>
              <w:tc>
                <w:tcPr>
                  <w:tcW w:w="829"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67" w:hRule="atLeast"/>
              </w:trPr>
              <w:tc>
                <w:tcPr>
                  <w:tcW w:w="644"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西厂界</w:t>
                  </w:r>
                </w:p>
              </w:tc>
              <w:tc>
                <w:tcPr>
                  <w:tcW w:w="1644" w:type="pct"/>
                  <w:tcBorders>
                    <w:tl2br w:val="nil"/>
                    <w:tr2bl w:val="nil"/>
                  </w:tcBorders>
                  <w:vAlign w:val="center"/>
                </w:tcPr>
                <w:p>
                  <w:pPr>
                    <w:pStyle w:val="38"/>
                    <w:widowControl/>
                    <w:spacing w:line="240" w:lineRule="auto"/>
                    <w:rPr>
                      <w:rFonts w:hint="default" w:ascii="Times New Roman" w:hAnsi="Times New Roman" w:eastAsia="宋体"/>
                      <w:lang w:val="en-US" w:eastAsia="zh-CN"/>
                    </w:rPr>
                  </w:pPr>
                  <w:r>
                    <w:rPr>
                      <w:rFonts w:hint="eastAsia" w:ascii="Times New Roman" w:hAnsi="Times New Roman"/>
                      <w:lang w:val="en-US" w:eastAsia="zh-CN"/>
                    </w:rPr>
                    <w:t>65</w:t>
                  </w:r>
                </w:p>
              </w:tc>
              <w:tc>
                <w:tcPr>
                  <w:tcW w:w="1043" w:type="pct"/>
                  <w:tcBorders>
                    <w:tl2br w:val="nil"/>
                    <w:tr2bl w:val="nil"/>
                  </w:tcBorders>
                  <w:vAlign w:val="center"/>
                </w:tcPr>
                <w:p>
                  <w:pPr>
                    <w:pStyle w:val="38"/>
                    <w:widowControl/>
                    <w:spacing w:line="240" w:lineRule="auto"/>
                    <w:rPr>
                      <w:rFonts w:hint="default" w:ascii="Times New Roman" w:hAnsi="Times New Roman" w:eastAsia="宋体"/>
                      <w:lang w:val="en-US" w:eastAsia="zh-CN"/>
                    </w:rPr>
                  </w:pPr>
                  <w:r>
                    <w:rPr>
                      <w:rFonts w:hint="eastAsia" w:ascii="Times New Roman" w:hAnsi="Times New Roman"/>
                      <w:lang w:val="en-US" w:eastAsia="zh-CN"/>
                    </w:rPr>
                    <w:t>39.7</w:t>
                  </w:r>
                </w:p>
              </w:tc>
              <w:tc>
                <w:tcPr>
                  <w:tcW w:w="838" w:type="pct"/>
                  <w:vMerge w:val="continue"/>
                  <w:tcBorders>
                    <w:tl2br w:val="nil"/>
                    <w:tr2bl w:val="nil"/>
                  </w:tcBorders>
                  <w:vAlign w:val="center"/>
                </w:tcPr>
                <w:p>
                  <w:pPr>
                    <w:widowControl/>
                    <w:jc w:val="center"/>
                    <w:rPr>
                      <w:szCs w:val="21"/>
                    </w:rPr>
                  </w:pPr>
                </w:p>
              </w:tc>
              <w:tc>
                <w:tcPr>
                  <w:tcW w:w="829"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8" w:hRule="atLeast"/>
              </w:trPr>
              <w:tc>
                <w:tcPr>
                  <w:tcW w:w="644"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北厂界</w:t>
                  </w:r>
                </w:p>
              </w:tc>
              <w:tc>
                <w:tcPr>
                  <w:tcW w:w="1644" w:type="pct"/>
                  <w:tcBorders>
                    <w:tl2br w:val="nil"/>
                    <w:tr2bl w:val="nil"/>
                  </w:tcBorders>
                  <w:vAlign w:val="center"/>
                </w:tcPr>
                <w:p>
                  <w:pPr>
                    <w:pStyle w:val="38"/>
                    <w:widowControl/>
                    <w:spacing w:line="240" w:lineRule="auto"/>
                    <w:rPr>
                      <w:rFonts w:hint="default" w:ascii="Times New Roman" w:hAnsi="Times New Roman" w:eastAsia="宋体"/>
                      <w:lang w:val="en-US" w:eastAsia="zh-CN"/>
                    </w:rPr>
                  </w:pPr>
                  <w:r>
                    <w:rPr>
                      <w:rFonts w:hint="eastAsia" w:ascii="Times New Roman" w:hAnsi="Times New Roman"/>
                      <w:lang w:val="en-US" w:eastAsia="zh-CN"/>
                    </w:rPr>
                    <w:t>40</w:t>
                  </w:r>
                </w:p>
              </w:tc>
              <w:tc>
                <w:tcPr>
                  <w:tcW w:w="1043" w:type="pct"/>
                  <w:tcBorders>
                    <w:tl2br w:val="nil"/>
                    <w:tr2bl w:val="nil"/>
                  </w:tcBorders>
                  <w:vAlign w:val="center"/>
                </w:tcPr>
                <w:p>
                  <w:pPr>
                    <w:pStyle w:val="38"/>
                    <w:widowControl/>
                    <w:spacing w:line="240" w:lineRule="auto"/>
                    <w:rPr>
                      <w:rFonts w:hint="default" w:ascii="Times New Roman" w:hAnsi="Times New Roman" w:eastAsia="宋体"/>
                      <w:lang w:val="en-US" w:eastAsia="zh-CN"/>
                    </w:rPr>
                  </w:pPr>
                  <w:r>
                    <w:rPr>
                      <w:rFonts w:hint="eastAsia" w:ascii="Times New Roman" w:hAnsi="Times New Roman"/>
                      <w:lang w:val="en-US" w:eastAsia="zh-CN"/>
                    </w:rPr>
                    <w:t>44</w:t>
                  </w:r>
                </w:p>
              </w:tc>
              <w:tc>
                <w:tcPr>
                  <w:tcW w:w="838" w:type="pct"/>
                  <w:vMerge w:val="continue"/>
                  <w:tcBorders>
                    <w:tl2br w:val="nil"/>
                    <w:tr2bl w:val="nil"/>
                  </w:tcBorders>
                  <w:vAlign w:val="center"/>
                </w:tcPr>
                <w:p>
                  <w:pPr>
                    <w:widowControl/>
                    <w:jc w:val="center"/>
                    <w:rPr>
                      <w:szCs w:val="21"/>
                    </w:rPr>
                  </w:pPr>
                </w:p>
              </w:tc>
              <w:tc>
                <w:tcPr>
                  <w:tcW w:w="829"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8" w:hRule="atLeast"/>
              </w:trPr>
              <w:tc>
                <w:tcPr>
                  <w:tcW w:w="644" w:type="pct"/>
                  <w:tcBorders>
                    <w:tl2br w:val="nil"/>
                    <w:tr2bl w:val="nil"/>
                  </w:tcBorders>
                  <w:vAlign w:val="center"/>
                </w:tcPr>
                <w:p>
                  <w:pPr>
                    <w:pStyle w:val="38"/>
                    <w:widowControl/>
                    <w:spacing w:line="240" w:lineRule="auto"/>
                    <w:rPr>
                      <w:rFonts w:ascii="Times New Roman" w:hAnsi="Times New Roman"/>
                    </w:rPr>
                  </w:pPr>
                  <w:r>
                    <w:rPr>
                      <w:rFonts w:ascii="Times New Roman" w:hAnsi="Times New Roman"/>
                    </w:rPr>
                    <w:t>南厂界</w:t>
                  </w:r>
                </w:p>
              </w:tc>
              <w:tc>
                <w:tcPr>
                  <w:tcW w:w="1644" w:type="pct"/>
                  <w:tcBorders>
                    <w:tl2br w:val="nil"/>
                    <w:tr2bl w:val="nil"/>
                  </w:tcBorders>
                  <w:vAlign w:val="center"/>
                </w:tcPr>
                <w:p>
                  <w:pPr>
                    <w:pStyle w:val="38"/>
                    <w:widowControl/>
                    <w:spacing w:line="240" w:lineRule="auto"/>
                    <w:rPr>
                      <w:rFonts w:hint="default" w:ascii="Times New Roman" w:hAnsi="Times New Roman" w:eastAsia="宋体"/>
                      <w:lang w:val="en-US" w:eastAsia="zh-CN"/>
                    </w:rPr>
                  </w:pPr>
                  <w:r>
                    <w:rPr>
                      <w:rFonts w:hint="eastAsia" w:ascii="Times New Roman" w:hAnsi="Times New Roman"/>
                      <w:lang w:val="en-US" w:eastAsia="zh-CN"/>
                    </w:rPr>
                    <w:t>20</w:t>
                  </w:r>
                </w:p>
              </w:tc>
              <w:tc>
                <w:tcPr>
                  <w:tcW w:w="1043" w:type="pct"/>
                  <w:tcBorders>
                    <w:tl2br w:val="nil"/>
                    <w:tr2bl w:val="nil"/>
                  </w:tcBorders>
                  <w:vAlign w:val="center"/>
                </w:tcPr>
                <w:p>
                  <w:pPr>
                    <w:pStyle w:val="38"/>
                    <w:widowControl/>
                    <w:spacing w:line="240" w:lineRule="auto"/>
                    <w:rPr>
                      <w:rFonts w:hint="default" w:ascii="Times New Roman" w:hAnsi="Times New Roman" w:eastAsia="宋体"/>
                      <w:lang w:val="en-US" w:eastAsia="zh-CN"/>
                    </w:rPr>
                  </w:pPr>
                  <w:r>
                    <w:rPr>
                      <w:rFonts w:hint="eastAsia" w:ascii="Times New Roman" w:hAnsi="Times New Roman"/>
                      <w:lang w:val="en-US" w:eastAsia="zh-CN"/>
                    </w:rPr>
                    <w:t>50</w:t>
                  </w:r>
                </w:p>
              </w:tc>
              <w:tc>
                <w:tcPr>
                  <w:tcW w:w="838" w:type="pct"/>
                  <w:vMerge w:val="continue"/>
                  <w:tcBorders>
                    <w:tl2br w:val="nil"/>
                    <w:tr2bl w:val="nil"/>
                  </w:tcBorders>
                  <w:vAlign w:val="center"/>
                </w:tcPr>
                <w:p>
                  <w:pPr>
                    <w:pStyle w:val="30"/>
                    <w:spacing w:after="0" w:line="240" w:lineRule="auto"/>
                    <w:ind w:left="0" w:leftChars="0" w:firstLine="0" w:firstLineChars="0"/>
                    <w:jc w:val="center"/>
                  </w:pPr>
                </w:p>
              </w:tc>
              <w:tc>
                <w:tcPr>
                  <w:tcW w:w="829" w:type="pct"/>
                  <w:tcBorders>
                    <w:tl2br w:val="nil"/>
                    <w:tr2bl w:val="nil"/>
                  </w:tcBorders>
                  <w:vAlign w:val="center"/>
                </w:tcPr>
                <w:p>
                  <w:pPr>
                    <w:pStyle w:val="38"/>
                    <w:widowControl/>
                    <w:spacing w:line="240" w:lineRule="auto"/>
                    <w:rPr>
                      <w:rFonts w:ascii="Times New Roman" w:hAnsi="Times New Roman"/>
                    </w:rPr>
                  </w:pPr>
                  <w:r>
                    <w:rPr>
                      <w:rFonts w:hint="eastAsia" w:ascii="Times New Roman" w:hAnsi="Times New Roman"/>
                    </w:rPr>
                    <w:t>达标</w:t>
                  </w:r>
                </w:p>
              </w:tc>
            </w:tr>
          </w:tbl>
          <w:p>
            <w:pPr>
              <w:widowControl/>
              <w:autoSpaceDE w:val="0"/>
              <w:autoSpaceDN w:val="0"/>
              <w:spacing w:line="520" w:lineRule="exact"/>
              <w:ind w:firstLine="480" w:firstLineChars="200"/>
              <w:rPr>
                <w:sz w:val="24"/>
              </w:rPr>
            </w:pPr>
            <w:r>
              <w:rPr>
                <w:sz w:val="24"/>
              </w:rPr>
              <w:t>由上表可见，本项目厂界</w:t>
            </w:r>
            <w:r>
              <w:rPr>
                <w:rFonts w:hint="eastAsia"/>
                <w:sz w:val="24"/>
              </w:rPr>
              <w:t>四周</w:t>
            </w:r>
            <w:r>
              <w:rPr>
                <w:sz w:val="24"/>
              </w:rPr>
              <w:t>贡献值满足《工业企业厂界环境噪声排放标准》（GB12348-2008）中</w:t>
            </w:r>
            <w:r>
              <w:rPr>
                <w:rFonts w:hint="eastAsia"/>
                <w:sz w:val="24"/>
              </w:rPr>
              <w:t>3</w:t>
            </w:r>
            <w:r>
              <w:rPr>
                <w:sz w:val="24"/>
              </w:rPr>
              <w:t>类标准要求。</w:t>
            </w:r>
          </w:p>
          <w:p>
            <w:pPr>
              <w:pStyle w:val="13"/>
              <w:spacing w:before="0" w:after="0" w:line="520" w:lineRule="exact"/>
              <w:ind w:right="0" w:firstLine="482" w:firstLineChars="200"/>
              <w:rPr>
                <w:b/>
                <w:bCs/>
                <w:kern w:val="2"/>
                <w:sz w:val="24"/>
                <w:szCs w:val="24"/>
              </w:rPr>
            </w:pPr>
            <w:r>
              <w:rPr>
                <w:rFonts w:hint="eastAsia"/>
                <w:b/>
                <w:bCs/>
                <w:kern w:val="2"/>
                <w:sz w:val="24"/>
                <w:szCs w:val="24"/>
              </w:rPr>
              <w:t>3.</w:t>
            </w:r>
            <w:r>
              <w:rPr>
                <w:b/>
                <w:bCs/>
                <w:kern w:val="2"/>
                <w:sz w:val="24"/>
                <w:szCs w:val="24"/>
              </w:rPr>
              <w:t>4</w:t>
            </w:r>
            <w:r>
              <w:rPr>
                <w:rFonts w:hint="eastAsia"/>
                <w:b/>
                <w:bCs/>
                <w:kern w:val="2"/>
                <w:sz w:val="24"/>
                <w:szCs w:val="24"/>
              </w:rPr>
              <w:t>声环境保护措施</w:t>
            </w:r>
          </w:p>
          <w:p>
            <w:pPr>
              <w:pStyle w:val="65"/>
            </w:pPr>
            <w:r>
              <w:t>为了最大限度减少项目运营期噪声对周边环境的影响，建设单位采取如下防治措施：</w:t>
            </w:r>
          </w:p>
          <w:p>
            <w:pPr>
              <w:pStyle w:val="65"/>
            </w:pPr>
            <w:r>
              <w:rPr>
                <w:rFonts w:hint="eastAsia"/>
              </w:rPr>
              <w:t>（1）车间</w:t>
            </w:r>
            <w:r>
              <w:t>墙体加设吸声、隔声材料，并安装隔声窗。</w:t>
            </w:r>
          </w:p>
          <w:p>
            <w:pPr>
              <w:pStyle w:val="65"/>
            </w:pPr>
            <w:r>
              <w:rPr>
                <w:rFonts w:hint="eastAsia"/>
              </w:rPr>
              <w:t>（2）</w:t>
            </w:r>
            <w:r>
              <w:t>在</w:t>
            </w:r>
            <w:r>
              <w:rPr>
                <w:rFonts w:hint="eastAsia"/>
              </w:rPr>
              <w:t>搅拌机</w:t>
            </w:r>
            <w:r>
              <w:t>机座上加设减震装置，在</w:t>
            </w:r>
            <w:r>
              <w:rPr>
                <w:rFonts w:hint="eastAsia"/>
              </w:rPr>
              <w:t>搅拌机</w:t>
            </w:r>
            <w:r>
              <w:t>运行过程中关闭门窗。</w:t>
            </w:r>
          </w:p>
          <w:p>
            <w:pPr>
              <w:pStyle w:val="65"/>
            </w:pPr>
            <w:r>
              <w:rPr>
                <w:rFonts w:hint="eastAsia"/>
              </w:rPr>
              <w:t>（3）设备</w:t>
            </w:r>
            <w:r>
              <w:t>安装减振动垫等进行减震；设备进出口接口采用软接口、软接管。</w:t>
            </w:r>
          </w:p>
          <w:p>
            <w:pPr>
              <w:pStyle w:val="13"/>
              <w:spacing w:before="0" w:after="0" w:line="520" w:lineRule="exact"/>
              <w:ind w:right="0" w:firstLine="482" w:firstLineChars="200"/>
              <w:rPr>
                <w:b/>
                <w:bCs/>
                <w:kern w:val="2"/>
                <w:sz w:val="24"/>
                <w:szCs w:val="24"/>
              </w:rPr>
            </w:pPr>
            <w:r>
              <w:rPr>
                <w:rFonts w:hint="eastAsia"/>
                <w:b/>
                <w:bCs/>
                <w:kern w:val="2"/>
                <w:sz w:val="24"/>
                <w:szCs w:val="24"/>
              </w:rPr>
              <w:t>3.</w:t>
            </w:r>
            <w:r>
              <w:rPr>
                <w:b/>
                <w:bCs/>
                <w:kern w:val="2"/>
                <w:sz w:val="24"/>
                <w:szCs w:val="24"/>
              </w:rPr>
              <w:t>5</w:t>
            </w:r>
            <w:r>
              <w:rPr>
                <w:rFonts w:hint="eastAsia"/>
                <w:b/>
                <w:bCs/>
                <w:kern w:val="2"/>
                <w:sz w:val="24"/>
                <w:szCs w:val="24"/>
              </w:rPr>
              <w:t>监测计划</w:t>
            </w:r>
          </w:p>
          <w:p>
            <w:pPr>
              <w:pStyle w:val="13"/>
              <w:spacing w:before="0" w:after="0" w:line="520" w:lineRule="exact"/>
              <w:ind w:right="0" w:firstLine="480" w:firstLineChars="200"/>
              <w:rPr>
                <w:kern w:val="2"/>
                <w:sz w:val="24"/>
                <w:szCs w:val="24"/>
              </w:rPr>
            </w:pPr>
            <w:r>
              <w:rPr>
                <w:rFonts w:hint="eastAsia"/>
                <w:sz w:val="24"/>
              </w:rPr>
              <w:t xml:space="preserve">根据《排污单位自行监测技术指南 </w:t>
            </w:r>
            <w:r>
              <w:rPr>
                <w:rFonts w:hint="eastAsia"/>
                <w:sz w:val="24"/>
                <w:lang w:val="en-US" w:eastAsia="zh-CN"/>
              </w:rPr>
              <w:t>水泥工业</w:t>
            </w:r>
            <w:r>
              <w:rPr>
                <w:rFonts w:hint="eastAsia"/>
                <w:sz w:val="24"/>
              </w:rPr>
              <w:t>》（H</w:t>
            </w:r>
            <w:r>
              <w:rPr>
                <w:sz w:val="24"/>
              </w:rPr>
              <w:t>J</w:t>
            </w:r>
            <w:r>
              <w:rPr>
                <w:rFonts w:hint="eastAsia"/>
                <w:sz w:val="24"/>
                <w:lang w:val="en-US" w:eastAsia="zh-CN"/>
              </w:rPr>
              <w:t>848-2017</w:t>
            </w:r>
            <w:r>
              <w:rPr>
                <w:rFonts w:hint="eastAsia"/>
                <w:sz w:val="24"/>
              </w:rPr>
              <w:t>）相关规定，本次评价确定本项目</w:t>
            </w:r>
            <w:r>
              <w:rPr>
                <w:rFonts w:hint="eastAsia"/>
                <w:kern w:val="2"/>
                <w:sz w:val="24"/>
                <w:szCs w:val="24"/>
              </w:rPr>
              <w:t>声环境监测计划见表4-</w:t>
            </w:r>
            <w:r>
              <w:rPr>
                <w:rFonts w:hint="eastAsia"/>
                <w:kern w:val="2"/>
                <w:sz w:val="24"/>
                <w:szCs w:val="24"/>
                <w:lang w:val="en-US" w:eastAsia="zh-CN"/>
              </w:rPr>
              <w:t>14</w:t>
            </w:r>
            <w:r>
              <w:rPr>
                <w:rFonts w:hint="eastAsia"/>
                <w:kern w:val="2"/>
                <w:sz w:val="24"/>
                <w:szCs w:val="24"/>
              </w:rPr>
              <w:t>。</w:t>
            </w:r>
          </w:p>
          <w:p>
            <w:pPr>
              <w:widowControl/>
              <w:ind w:firstLine="480" w:firstLineChars="200"/>
              <w:jc w:val="center"/>
              <w:rPr>
                <w:rFonts w:eastAsia="黑体"/>
                <w:sz w:val="24"/>
              </w:rPr>
            </w:pPr>
            <w:r>
              <w:rPr>
                <w:rFonts w:hint="eastAsia" w:eastAsia="黑体"/>
                <w:sz w:val="24"/>
              </w:rPr>
              <w:t>表4-</w:t>
            </w:r>
            <w:r>
              <w:rPr>
                <w:rFonts w:hint="eastAsia" w:eastAsia="黑体"/>
                <w:sz w:val="24"/>
                <w:lang w:val="en-US" w:eastAsia="zh-CN"/>
              </w:rPr>
              <w:t>14</w:t>
            </w:r>
            <w:r>
              <w:rPr>
                <w:rFonts w:hint="eastAsia" w:eastAsia="黑体"/>
                <w:sz w:val="24"/>
              </w:rPr>
              <w:t xml:space="preserve">  声环境监测计划</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9"/>
              <w:gridCol w:w="1674"/>
              <w:gridCol w:w="1332"/>
              <w:gridCol w:w="1385"/>
              <w:gridCol w:w="31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pct"/>
                </w:tcPr>
                <w:p>
                  <w:pPr>
                    <w:pStyle w:val="13"/>
                    <w:spacing w:before="0" w:after="0" w:line="240" w:lineRule="auto"/>
                    <w:ind w:right="0"/>
                    <w:jc w:val="center"/>
                    <w:rPr>
                      <w:kern w:val="2"/>
                      <w:sz w:val="21"/>
                      <w:szCs w:val="21"/>
                    </w:rPr>
                  </w:pPr>
                  <w:r>
                    <w:rPr>
                      <w:kern w:val="2"/>
                      <w:sz w:val="21"/>
                      <w:szCs w:val="21"/>
                    </w:rPr>
                    <w:t>类别</w:t>
                  </w:r>
                </w:p>
              </w:tc>
              <w:tc>
                <w:tcPr>
                  <w:tcW w:w="925" w:type="pct"/>
                </w:tcPr>
                <w:p>
                  <w:pPr>
                    <w:pStyle w:val="13"/>
                    <w:spacing w:before="0" w:after="0" w:line="240" w:lineRule="auto"/>
                    <w:ind w:right="0"/>
                    <w:jc w:val="center"/>
                    <w:rPr>
                      <w:kern w:val="2"/>
                      <w:sz w:val="21"/>
                      <w:szCs w:val="21"/>
                    </w:rPr>
                  </w:pPr>
                  <w:r>
                    <w:rPr>
                      <w:kern w:val="2"/>
                      <w:sz w:val="21"/>
                      <w:szCs w:val="21"/>
                    </w:rPr>
                    <w:t>监测位置</w:t>
                  </w:r>
                </w:p>
              </w:tc>
              <w:tc>
                <w:tcPr>
                  <w:tcW w:w="736" w:type="pct"/>
                </w:tcPr>
                <w:p>
                  <w:pPr>
                    <w:pStyle w:val="13"/>
                    <w:spacing w:before="0" w:after="0" w:line="240" w:lineRule="auto"/>
                    <w:ind w:right="0"/>
                    <w:jc w:val="center"/>
                    <w:rPr>
                      <w:kern w:val="2"/>
                      <w:sz w:val="21"/>
                      <w:szCs w:val="21"/>
                    </w:rPr>
                  </w:pPr>
                  <w:r>
                    <w:rPr>
                      <w:kern w:val="2"/>
                      <w:sz w:val="21"/>
                      <w:szCs w:val="21"/>
                    </w:rPr>
                    <w:t>监测项目</w:t>
                  </w:r>
                </w:p>
              </w:tc>
              <w:tc>
                <w:tcPr>
                  <w:tcW w:w="765" w:type="pct"/>
                </w:tcPr>
                <w:p>
                  <w:pPr>
                    <w:pStyle w:val="13"/>
                    <w:spacing w:before="0" w:after="0" w:line="240" w:lineRule="auto"/>
                    <w:ind w:right="0"/>
                    <w:jc w:val="center"/>
                    <w:rPr>
                      <w:kern w:val="2"/>
                      <w:sz w:val="21"/>
                      <w:szCs w:val="21"/>
                    </w:rPr>
                  </w:pPr>
                  <w:r>
                    <w:rPr>
                      <w:kern w:val="2"/>
                      <w:sz w:val="21"/>
                      <w:szCs w:val="21"/>
                    </w:rPr>
                    <w:t>监测频率</w:t>
                  </w:r>
                </w:p>
              </w:tc>
              <w:tc>
                <w:tcPr>
                  <w:tcW w:w="1732" w:type="pct"/>
                </w:tcPr>
                <w:p>
                  <w:pPr>
                    <w:pStyle w:val="13"/>
                    <w:spacing w:before="0" w:after="0" w:line="240" w:lineRule="auto"/>
                    <w:ind w:right="0"/>
                    <w:jc w:val="center"/>
                    <w:rPr>
                      <w:kern w:val="2"/>
                      <w:sz w:val="21"/>
                      <w:szCs w:val="21"/>
                    </w:rPr>
                  </w:pPr>
                  <w:r>
                    <w:rPr>
                      <w:kern w:val="2"/>
                      <w:sz w:val="21"/>
                      <w:szCs w:val="21"/>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pct"/>
                </w:tcPr>
                <w:p>
                  <w:pPr>
                    <w:pStyle w:val="13"/>
                    <w:spacing w:before="0" w:after="0" w:line="240" w:lineRule="auto"/>
                    <w:ind w:right="0"/>
                    <w:jc w:val="center"/>
                    <w:rPr>
                      <w:kern w:val="2"/>
                      <w:sz w:val="21"/>
                      <w:szCs w:val="21"/>
                    </w:rPr>
                  </w:pPr>
                  <w:r>
                    <w:rPr>
                      <w:rFonts w:hint="eastAsia"/>
                      <w:kern w:val="2"/>
                      <w:sz w:val="21"/>
                      <w:szCs w:val="21"/>
                    </w:rPr>
                    <w:t>污染源监测</w:t>
                  </w:r>
                </w:p>
              </w:tc>
              <w:tc>
                <w:tcPr>
                  <w:tcW w:w="925" w:type="pct"/>
                </w:tcPr>
                <w:p>
                  <w:pPr>
                    <w:pStyle w:val="13"/>
                    <w:spacing w:before="0" w:after="0" w:line="240" w:lineRule="auto"/>
                    <w:ind w:right="0"/>
                    <w:jc w:val="center"/>
                    <w:rPr>
                      <w:kern w:val="2"/>
                      <w:sz w:val="21"/>
                      <w:szCs w:val="21"/>
                    </w:rPr>
                  </w:pPr>
                  <w:r>
                    <w:rPr>
                      <w:rFonts w:hint="eastAsia"/>
                      <w:kern w:val="2"/>
                      <w:sz w:val="21"/>
                      <w:szCs w:val="21"/>
                    </w:rPr>
                    <w:t>厂界四周</w:t>
                  </w:r>
                </w:p>
              </w:tc>
              <w:tc>
                <w:tcPr>
                  <w:tcW w:w="736" w:type="pct"/>
                </w:tcPr>
                <w:p>
                  <w:pPr>
                    <w:pStyle w:val="13"/>
                    <w:spacing w:before="0" w:after="0" w:line="240" w:lineRule="auto"/>
                    <w:ind w:right="0"/>
                    <w:jc w:val="center"/>
                    <w:rPr>
                      <w:kern w:val="2"/>
                      <w:sz w:val="21"/>
                      <w:szCs w:val="21"/>
                    </w:rPr>
                  </w:pPr>
                  <w:r>
                    <w:rPr>
                      <w:rFonts w:hint="eastAsia"/>
                      <w:kern w:val="2"/>
                      <w:sz w:val="21"/>
                      <w:szCs w:val="21"/>
                    </w:rPr>
                    <w:t>Leq(A)</w:t>
                  </w:r>
                </w:p>
              </w:tc>
              <w:tc>
                <w:tcPr>
                  <w:tcW w:w="765" w:type="pct"/>
                </w:tcPr>
                <w:p>
                  <w:pPr>
                    <w:pStyle w:val="13"/>
                    <w:spacing w:before="0" w:after="0" w:line="240" w:lineRule="auto"/>
                    <w:ind w:right="0"/>
                    <w:jc w:val="center"/>
                    <w:rPr>
                      <w:kern w:val="2"/>
                      <w:sz w:val="21"/>
                      <w:szCs w:val="21"/>
                    </w:rPr>
                  </w:pPr>
                  <w:r>
                    <w:rPr>
                      <w:rFonts w:hint="eastAsia"/>
                      <w:kern w:val="2"/>
                      <w:sz w:val="21"/>
                      <w:szCs w:val="21"/>
                    </w:rPr>
                    <w:t>1次/季度</w:t>
                  </w:r>
                </w:p>
              </w:tc>
              <w:tc>
                <w:tcPr>
                  <w:tcW w:w="1732" w:type="pct"/>
                </w:tcPr>
                <w:p>
                  <w:pPr>
                    <w:pStyle w:val="13"/>
                    <w:spacing w:before="0" w:after="0" w:line="240" w:lineRule="auto"/>
                    <w:ind w:right="0"/>
                    <w:jc w:val="center"/>
                    <w:rPr>
                      <w:kern w:val="2"/>
                      <w:sz w:val="21"/>
                      <w:szCs w:val="21"/>
                    </w:rPr>
                  </w:pPr>
                  <w:r>
                    <w:rPr>
                      <w:rFonts w:hint="eastAsia"/>
                      <w:kern w:val="2"/>
                      <w:sz w:val="21"/>
                      <w:szCs w:val="21"/>
                    </w:rPr>
                    <w:t>委托第三方监测单位监测</w:t>
                  </w:r>
                </w:p>
              </w:tc>
            </w:tr>
          </w:tbl>
          <w:p>
            <w:pPr>
              <w:adjustRightInd w:val="0"/>
              <w:snapToGrid w:val="0"/>
              <w:spacing w:line="520" w:lineRule="exact"/>
              <w:ind w:firstLine="482" w:firstLineChars="200"/>
              <w:rPr>
                <w:rFonts w:hint="eastAsia" w:eastAsia="宋体"/>
                <w:b/>
                <w:bCs/>
                <w:sz w:val="24"/>
                <w:lang w:val="en-US" w:eastAsia="zh-CN"/>
              </w:rPr>
            </w:pPr>
            <w:r>
              <w:rPr>
                <w:rFonts w:hint="eastAsia"/>
                <w:b/>
                <w:bCs/>
                <w:sz w:val="24"/>
              </w:rPr>
              <w:t>4、固</w:t>
            </w:r>
            <w:r>
              <w:rPr>
                <w:rFonts w:hint="eastAsia"/>
                <w:b/>
                <w:bCs/>
                <w:sz w:val="24"/>
                <w:lang w:val="en-US" w:eastAsia="zh-CN"/>
              </w:rPr>
              <w:t>体</w:t>
            </w:r>
            <w:r>
              <w:rPr>
                <w:rFonts w:hint="eastAsia"/>
                <w:b/>
                <w:bCs/>
                <w:sz w:val="24"/>
              </w:rPr>
              <w:t>废</w:t>
            </w:r>
            <w:r>
              <w:rPr>
                <w:rFonts w:hint="eastAsia"/>
                <w:b/>
                <w:bCs/>
                <w:sz w:val="24"/>
                <w:lang w:val="en-US" w:eastAsia="zh-CN"/>
              </w:rPr>
              <w:t>物</w:t>
            </w:r>
          </w:p>
          <w:p>
            <w:pPr>
              <w:pStyle w:val="65"/>
              <w:ind w:firstLine="482"/>
              <w:rPr>
                <w:b/>
                <w:bCs/>
              </w:rPr>
            </w:pPr>
            <w:r>
              <w:rPr>
                <w:rFonts w:hint="eastAsia"/>
                <w:b/>
                <w:bCs/>
              </w:rPr>
              <w:t>4</w:t>
            </w:r>
            <w:r>
              <w:rPr>
                <w:b/>
                <w:bCs/>
              </w:rPr>
              <w:t>.1生活垃圾</w:t>
            </w:r>
          </w:p>
          <w:p>
            <w:pPr>
              <w:pStyle w:val="65"/>
              <w:rPr>
                <w:kern w:val="0"/>
              </w:rPr>
            </w:pPr>
            <w:r>
              <w:t>本项目产生的固体废物主要为生活垃圾</w:t>
            </w:r>
            <w:r>
              <w:rPr>
                <w:rFonts w:hint="eastAsia"/>
                <w:lang w:val="en-US" w:eastAsia="zh-CN"/>
              </w:rPr>
              <w:t>和餐厨废油</w:t>
            </w:r>
            <w:r>
              <w:t>，本项目有职工</w:t>
            </w:r>
            <w:r>
              <w:rPr>
                <w:rFonts w:hint="eastAsia"/>
                <w:lang w:val="en-US" w:eastAsia="zh-CN"/>
              </w:rPr>
              <w:t>7</w:t>
            </w:r>
            <w:r>
              <w:t>人，按每人每日0.5kg计，年产生活垃圾</w:t>
            </w:r>
            <w:r>
              <w:rPr>
                <w:rFonts w:hint="eastAsia"/>
                <w:lang w:val="en-US" w:eastAsia="zh-CN"/>
              </w:rPr>
              <w:t>0.84</w:t>
            </w:r>
            <w:r>
              <w:t>t/a，统一收集后交由环卫部门统一清运处理。生活垃圾有机物成分较高，含水率大，极易腐烂，影响环境卫生，可导致病原微生物的传播，同时还向大气释放出大量的氨、硫化物等污染物，据资料介绍，生活垃圾堆放时，仅有机挥发性气体就多达100多种，其中含有许多致癌、致畸物。生活垃圾应</w:t>
            </w:r>
            <w:r>
              <w:rPr>
                <w:lang w:val="en-GB"/>
              </w:rPr>
              <w:t>及时清理，交</w:t>
            </w:r>
            <w:r>
              <w:rPr>
                <w:kern w:val="0"/>
              </w:rPr>
              <w:t>由</w:t>
            </w:r>
            <w:r>
              <w:t>环卫部门统一清运至当地生活垃圾</w:t>
            </w:r>
            <w:r>
              <w:rPr>
                <w:lang w:val="en-GB"/>
              </w:rPr>
              <w:t>填埋场进行卫生填埋处置，</w:t>
            </w:r>
            <w:r>
              <w:rPr>
                <w:kern w:val="0"/>
              </w:rPr>
              <w:t>以最大限度的减少生活垃圾对环境的影响。</w:t>
            </w:r>
          </w:p>
          <w:p>
            <w:pPr>
              <w:pStyle w:val="65"/>
              <w:ind w:firstLine="482"/>
              <w:rPr>
                <w:rFonts w:hint="default"/>
                <w:b w:val="0"/>
                <w:bCs w:val="0"/>
                <w:lang w:val="en-US" w:eastAsia="zh-CN"/>
              </w:rPr>
            </w:pPr>
            <w:r>
              <w:rPr>
                <w:rFonts w:hint="eastAsia"/>
                <w:b w:val="0"/>
                <w:bCs w:val="0"/>
                <w:lang w:val="en-US" w:eastAsia="zh-CN"/>
              </w:rPr>
              <w:t>餐饮废水经油水分离器处理后产生的餐厨废油委托当地餐厨垃圾处理单位定期清运处置。</w:t>
            </w:r>
          </w:p>
          <w:p>
            <w:pPr>
              <w:pStyle w:val="65"/>
              <w:ind w:firstLine="482"/>
              <w:rPr>
                <w:rFonts w:hint="default" w:eastAsia="宋体"/>
                <w:b/>
                <w:bCs/>
                <w:lang w:val="en-US" w:eastAsia="zh-CN"/>
              </w:rPr>
            </w:pPr>
            <w:r>
              <w:rPr>
                <w:rFonts w:hint="eastAsia"/>
                <w:b/>
                <w:bCs/>
                <w:lang w:val="en-US" w:eastAsia="zh-CN"/>
              </w:rPr>
              <w:t>4.2一般工业固体废物</w:t>
            </w:r>
          </w:p>
          <w:p>
            <w:pPr>
              <w:pStyle w:val="65"/>
              <w:ind w:firstLine="482"/>
              <w:rPr>
                <w:rFonts w:hint="eastAsia" w:eastAsia="宋体"/>
                <w:b w:val="0"/>
                <w:bCs w:val="0"/>
                <w:lang w:eastAsia="zh-CN"/>
              </w:rPr>
            </w:pPr>
            <w:r>
              <w:rPr>
                <w:rFonts w:hint="eastAsia"/>
                <w:b w:val="0"/>
                <w:bCs w:val="0"/>
              </w:rPr>
              <w:t>4</w:t>
            </w:r>
            <w:r>
              <w:rPr>
                <w:rFonts w:hint="eastAsia"/>
                <w:b w:val="0"/>
                <w:bCs w:val="0"/>
                <w:lang w:val="en-US" w:eastAsia="zh-CN"/>
              </w:rPr>
              <w:t>.2.1边角料</w:t>
            </w:r>
          </w:p>
          <w:p>
            <w:pPr>
              <w:pStyle w:val="65"/>
            </w:pPr>
            <w:r>
              <w:rPr>
                <w:rFonts w:hint="eastAsia"/>
              </w:rPr>
              <w:t>根据业主提供资料，</w:t>
            </w:r>
            <w:r>
              <w:rPr>
                <w:rFonts w:hint="eastAsia"/>
                <w:lang w:val="en-US" w:eastAsia="zh-CN"/>
              </w:rPr>
              <w:t>切割环节产生的边角料的</w:t>
            </w:r>
            <w:r>
              <w:rPr>
                <w:rFonts w:hint="eastAsia"/>
              </w:rPr>
              <w:t>量为</w:t>
            </w:r>
            <w:r>
              <w:rPr>
                <w:rFonts w:hint="eastAsia"/>
                <w:lang w:val="en-US" w:eastAsia="zh-CN"/>
              </w:rPr>
              <w:t>6</w:t>
            </w:r>
            <w:r>
              <w:rPr>
                <w:rFonts w:hint="eastAsia"/>
              </w:rPr>
              <w:t>t/a，</w:t>
            </w:r>
            <w:r>
              <w:rPr>
                <w:rFonts w:hint="eastAsia"/>
                <w:lang w:val="en-US" w:eastAsia="zh-CN"/>
              </w:rPr>
              <w:t>边角料收集后委托环卫部门定期清运至一般固废填埋场进行填埋处置</w:t>
            </w:r>
            <w:r>
              <w:rPr>
                <w:rFonts w:hint="eastAsia"/>
              </w:rPr>
              <w:t>。</w:t>
            </w:r>
          </w:p>
          <w:p>
            <w:pPr>
              <w:pStyle w:val="65"/>
              <w:ind w:firstLine="482"/>
              <w:rPr>
                <w:b w:val="0"/>
                <w:bCs w:val="0"/>
              </w:rPr>
            </w:pPr>
            <w:r>
              <w:rPr>
                <w:rFonts w:hint="eastAsia"/>
                <w:b w:val="0"/>
                <w:bCs w:val="0"/>
              </w:rPr>
              <w:t>4.</w:t>
            </w:r>
            <w:r>
              <w:rPr>
                <w:rFonts w:hint="eastAsia"/>
                <w:b w:val="0"/>
                <w:bCs w:val="0"/>
                <w:lang w:val="en-US" w:eastAsia="zh-CN"/>
              </w:rPr>
              <w:t>2.2</w:t>
            </w:r>
            <w:r>
              <w:rPr>
                <w:rFonts w:hint="eastAsia"/>
                <w:b w:val="0"/>
                <w:bCs w:val="0"/>
              </w:rPr>
              <w:t>布袋除尘收集的粉尘</w:t>
            </w:r>
          </w:p>
          <w:p>
            <w:pPr>
              <w:pStyle w:val="65"/>
            </w:pPr>
            <w:r>
              <w:rPr>
                <w:rFonts w:hint="eastAsia"/>
                <w:lang w:val="en-US" w:eastAsia="zh-CN"/>
              </w:rPr>
              <w:t>搅拌机、筒仓</w:t>
            </w:r>
            <w:r>
              <w:rPr>
                <w:rFonts w:hint="eastAsia"/>
              </w:rPr>
              <w:t>布袋除尘收集的粉尘量为</w:t>
            </w:r>
            <w:r>
              <w:rPr>
                <w:rFonts w:hint="eastAsia"/>
                <w:lang w:val="en-US" w:eastAsia="zh-CN"/>
              </w:rPr>
              <w:t>12.996</w:t>
            </w:r>
            <w:r>
              <w:rPr>
                <w:rFonts w:hint="eastAsia"/>
              </w:rPr>
              <w:t>t/a，统一收集后</w:t>
            </w:r>
            <w:r>
              <w:rPr>
                <w:rFonts w:hint="eastAsia"/>
                <w:lang w:val="en-US" w:eastAsia="zh-CN"/>
              </w:rPr>
              <w:t>作为原料回</w:t>
            </w:r>
            <w:r>
              <w:rPr>
                <w:rFonts w:hint="eastAsia"/>
              </w:rPr>
              <w:t>用于生产。</w:t>
            </w:r>
          </w:p>
          <w:p>
            <w:pPr>
              <w:pStyle w:val="65"/>
              <w:ind w:firstLine="482"/>
              <w:rPr>
                <w:b/>
                <w:bCs/>
              </w:rPr>
            </w:pPr>
            <w:r>
              <w:rPr>
                <w:rFonts w:hint="eastAsia"/>
                <w:b/>
                <w:bCs/>
              </w:rPr>
              <w:t>4.</w:t>
            </w:r>
            <w:r>
              <w:rPr>
                <w:rFonts w:hint="eastAsia"/>
                <w:b/>
                <w:bCs/>
                <w:lang w:val="en-US" w:eastAsia="zh-CN"/>
              </w:rPr>
              <w:t>3</w:t>
            </w:r>
            <w:r>
              <w:rPr>
                <w:rFonts w:hint="eastAsia"/>
                <w:b/>
                <w:bCs/>
              </w:rPr>
              <w:t>危险废物</w:t>
            </w:r>
          </w:p>
          <w:p>
            <w:pPr>
              <w:widowControl/>
              <w:spacing w:line="520" w:lineRule="exact"/>
              <w:ind w:firstLine="480" w:firstLineChars="200"/>
              <w:rPr>
                <w:sz w:val="24"/>
              </w:rPr>
            </w:pPr>
            <w:r>
              <w:rPr>
                <w:rFonts w:hint="eastAsia"/>
                <w:sz w:val="24"/>
              </w:rPr>
              <w:t>项目营运期由于机械维修等会产生少量废机油</w:t>
            </w:r>
            <w:r>
              <w:rPr>
                <w:rFonts w:hint="eastAsia"/>
                <w:sz w:val="24"/>
                <w:lang w:val="en-US" w:eastAsia="zh-CN"/>
              </w:rPr>
              <w:t>和废油桶</w:t>
            </w:r>
            <w:r>
              <w:rPr>
                <w:rFonts w:hint="eastAsia"/>
                <w:sz w:val="24"/>
              </w:rPr>
              <w:t>，类比同类型项目，</w:t>
            </w:r>
            <w:r>
              <w:rPr>
                <w:rFonts w:hint="eastAsia"/>
                <w:sz w:val="24"/>
                <w:lang w:val="en-US" w:eastAsia="zh-CN"/>
              </w:rPr>
              <w:t>废机油</w:t>
            </w:r>
            <w:r>
              <w:rPr>
                <w:rFonts w:hint="eastAsia"/>
                <w:sz w:val="24"/>
              </w:rPr>
              <w:t>产生0.</w:t>
            </w:r>
            <w:r>
              <w:rPr>
                <w:rFonts w:hint="eastAsia"/>
                <w:sz w:val="24"/>
                <w:lang w:val="en-US" w:eastAsia="zh-CN"/>
              </w:rPr>
              <w:t>1</w:t>
            </w:r>
            <w:r>
              <w:rPr>
                <w:rFonts w:hint="eastAsia"/>
                <w:sz w:val="24"/>
              </w:rPr>
              <w:t>t/a，</w:t>
            </w:r>
            <w:r>
              <w:rPr>
                <w:rFonts w:hint="eastAsia"/>
                <w:sz w:val="24"/>
                <w:lang w:val="en-US" w:eastAsia="zh-CN"/>
              </w:rPr>
              <w:t>废油桶产生量为0.05t/a。</w:t>
            </w:r>
            <w:r>
              <w:rPr>
                <w:rFonts w:hint="eastAsia"/>
                <w:sz w:val="24"/>
              </w:rPr>
              <w:t>依据《国家危险废物名录</w:t>
            </w:r>
            <w:r>
              <w:rPr>
                <w:rFonts w:hint="eastAsia"/>
                <w:sz w:val="24"/>
                <w:lang w:eastAsia="zh-CN"/>
              </w:rPr>
              <w:t>（</w:t>
            </w:r>
            <w:r>
              <w:rPr>
                <w:rFonts w:hint="eastAsia"/>
                <w:sz w:val="24"/>
                <w:lang w:val="en-US" w:eastAsia="zh-CN"/>
              </w:rPr>
              <w:t>2021版</w:t>
            </w:r>
            <w:r>
              <w:rPr>
                <w:rFonts w:hint="eastAsia"/>
                <w:sz w:val="24"/>
                <w:lang w:eastAsia="zh-CN"/>
              </w:rPr>
              <w:t>）</w:t>
            </w:r>
            <w:r>
              <w:rPr>
                <w:rFonts w:hint="eastAsia"/>
                <w:sz w:val="24"/>
              </w:rPr>
              <w:t>》，废机油属于危险废物，危险废物代码为HW08</w:t>
            </w:r>
            <w:r>
              <w:rPr>
                <w:rFonts w:hint="eastAsia"/>
                <w:sz w:val="24"/>
                <w:lang w:eastAsia="zh-CN"/>
              </w:rPr>
              <w:t>（</w:t>
            </w:r>
            <w:r>
              <w:rPr>
                <w:rFonts w:hint="eastAsia"/>
                <w:sz w:val="24"/>
              </w:rPr>
              <w:t>900-214-08</w:t>
            </w:r>
            <w:r>
              <w:rPr>
                <w:rFonts w:hint="eastAsia"/>
                <w:sz w:val="24"/>
                <w:lang w:eastAsia="zh-CN"/>
              </w:rPr>
              <w:t>），</w:t>
            </w:r>
            <w:r>
              <w:rPr>
                <w:rFonts w:hint="eastAsia"/>
                <w:sz w:val="24"/>
                <w:lang w:val="en-US" w:eastAsia="zh-CN"/>
              </w:rPr>
              <w:t>废油桶危险废物代码为HW08（900-249-08）</w:t>
            </w:r>
            <w:r>
              <w:rPr>
                <w:rFonts w:hint="eastAsia"/>
                <w:sz w:val="24"/>
                <w:lang w:eastAsia="zh-CN"/>
              </w:rPr>
              <w:t>。</w:t>
            </w:r>
            <w:r>
              <w:rPr>
                <w:rFonts w:hint="eastAsia"/>
                <w:sz w:val="24"/>
              </w:rPr>
              <w:t>环评要求在</w:t>
            </w:r>
            <w:r>
              <w:rPr>
                <w:rFonts w:hint="eastAsia"/>
                <w:sz w:val="24"/>
                <w:lang w:val="en-US" w:eastAsia="zh-CN"/>
              </w:rPr>
              <w:t>车间外南侧</w:t>
            </w:r>
            <w:r>
              <w:rPr>
                <w:rFonts w:hint="eastAsia"/>
                <w:sz w:val="24"/>
              </w:rPr>
              <w:t>设置一间</w:t>
            </w:r>
            <w:r>
              <w:rPr>
                <w:rFonts w:hint="eastAsia"/>
                <w:sz w:val="24"/>
                <w:lang w:val="en-US" w:eastAsia="zh-CN"/>
              </w:rPr>
              <w:t>5m</w:t>
            </w:r>
            <w:r>
              <w:rPr>
                <w:rFonts w:hint="eastAsia"/>
                <w:sz w:val="24"/>
                <w:vertAlign w:val="superscript"/>
                <w:lang w:val="en-US" w:eastAsia="zh-CN"/>
              </w:rPr>
              <w:t>2</w:t>
            </w:r>
            <w:r>
              <w:rPr>
                <w:rFonts w:hint="eastAsia"/>
                <w:sz w:val="24"/>
              </w:rPr>
              <w:t>危废暂存间用于临时贮存废机油</w:t>
            </w:r>
            <w:r>
              <w:rPr>
                <w:rFonts w:hint="eastAsia"/>
                <w:sz w:val="24"/>
                <w:lang w:val="en-US" w:eastAsia="zh-CN"/>
              </w:rPr>
              <w:t>和废油桶</w:t>
            </w:r>
            <w:r>
              <w:rPr>
                <w:rFonts w:hint="eastAsia"/>
                <w:sz w:val="24"/>
              </w:rPr>
              <w:t>，用专用容器密封存放在危废暂存间，定期交由有资质单位进行处置。暂存间需满足《危险废物贮存污染控制标准》（GB18597-2001）及其修改单要求。</w:t>
            </w:r>
            <w:r>
              <w:rPr>
                <w:sz w:val="24"/>
              </w:rPr>
              <w:t>根据《危险废物储存污染控制标准》（GB18597-2001），本项目临时储存严格按照危险废物管理和处置要求进行，具体要求如下：</w:t>
            </w:r>
          </w:p>
          <w:p>
            <w:pPr>
              <w:widowControl/>
              <w:spacing w:line="520" w:lineRule="exact"/>
              <w:ind w:firstLine="480" w:firstLineChars="200"/>
              <w:rPr>
                <w:sz w:val="24"/>
              </w:rPr>
            </w:pPr>
            <w:r>
              <w:rPr>
                <w:rFonts w:hint="eastAsia"/>
                <w:sz w:val="24"/>
                <w:lang w:eastAsia="zh-CN"/>
              </w:rPr>
              <w:t>（</w:t>
            </w:r>
            <w:r>
              <w:rPr>
                <w:rFonts w:hint="eastAsia"/>
                <w:sz w:val="24"/>
                <w:lang w:val="en-US" w:eastAsia="zh-CN"/>
              </w:rPr>
              <w:t>1</w:t>
            </w:r>
            <w:r>
              <w:rPr>
                <w:rFonts w:hint="eastAsia"/>
                <w:sz w:val="24"/>
                <w:lang w:eastAsia="zh-CN"/>
              </w:rPr>
              <w:t>）</w:t>
            </w:r>
            <w:r>
              <w:rPr>
                <w:sz w:val="24"/>
              </w:rPr>
              <w:t>危险废物按照类别分置于防渗漏、防腐蚀的符合国家标准的专用包装物或者密闭的容器内，远离火种、热源，有明显的警示标识和警示说明，加强防渗漏安全措施；</w:t>
            </w:r>
          </w:p>
          <w:p>
            <w:pPr>
              <w:widowControl/>
              <w:spacing w:line="520" w:lineRule="exact"/>
              <w:ind w:firstLine="480" w:firstLineChars="200"/>
              <w:rPr>
                <w:sz w:val="24"/>
              </w:rPr>
            </w:pPr>
            <w:r>
              <w:rPr>
                <w:rFonts w:hint="eastAsia"/>
                <w:sz w:val="24"/>
                <w:lang w:eastAsia="zh-CN"/>
              </w:rPr>
              <w:t>（</w:t>
            </w:r>
            <w:r>
              <w:rPr>
                <w:rFonts w:hint="eastAsia"/>
                <w:sz w:val="24"/>
                <w:lang w:val="en-US" w:eastAsia="zh-CN"/>
              </w:rPr>
              <w:t>2</w:t>
            </w:r>
            <w:r>
              <w:rPr>
                <w:rFonts w:hint="eastAsia"/>
                <w:sz w:val="24"/>
                <w:lang w:eastAsia="zh-CN"/>
              </w:rPr>
              <w:t>）</w:t>
            </w:r>
            <w:r>
              <w:rPr>
                <w:sz w:val="24"/>
              </w:rPr>
              <w:t>危险废物暂存间应设有专门人员看管，管理人员在工作中应佩戴防护用具，并配备医疗急救用品；</w:t>
            </w:r>
          </w:p>
          <w:p>
            <w:pPr>
              <w:widowControl/>
              <w:spacing w:line="520" w:lineRule="exact"/>
              <w:ind w:firstLine="480" w:firstLineChars="200"/>
              <w:rPr>
                <w:sz w:val="24"/>
              </w:rPr>
            </w:pPr>
            <w:r>
              <w:rPr>
                <w:rFonts w:hint="eastAsia"/>
                <w:sz w:val="24"/>
                <w:lang w:eastAsia="zh-CN"/>
              </w:rPr>
              <w:t>（</w:t>
            </w:r>
            <w:r>
              <w:rPr>
                <w:rFonts w:hint="eastAsia"/>
                <w:sz w:val="24"/>
                <w:lang w:val="en-US" w:eastAsia="zh-CN"/>
              </w:rPr>
              <w:t>3</w:t>
            </w:r>
            <w:r>
              <w:rPr>
                <w:rFonts w:hint="eastAsia"/>
                <w:sz w:val="24"/>
                <w:lang w:eastAsia="zh-CN"/>
              </w:rPr>
              <w:t>）</w:t>
            </w:r>
            <w:r>
              <w:rPr>
                <w:sz w:val="24"/>
              </w:rPr>
              <w:t>建立档案制度，在危险废物的收集、贮存、转运及处理过程中，实行“转移联单制度”，对暂存的废物种类、数量、特性、包装容器类别、存放库位、存入日期、运出日期等详细记录在案并长期保存。建立定期巡查、维护制度；</w:t>
            </w:r>
          </w:p>
          <w:p>
            <w:pPr>
              <w:widowControl/>
              <w:spacing w:line="520" w:lineRule="exact"/>
              <w:ind w:firstLine="480" w:firstLineChars="200"/>
              <w:rPr>
                <w:sz w:val="24"/>
              </w:rPr>
            </w:pPr>
            <w:r>
              <w:rPr>
                <w:rFonts w:hint="eastAsia"/>
                <w:sz w:val="24"/>
                <w:lang w:eastAsia="zh-CN"/>
              </w:rPr>
              <w:t>（</w:t>
            </w:r>
            <w:r>
              <w:rPr>
                <w:rFonts w:hint="eastAsia"/>
                <w:sz w:val="24"/>
                <w:lang w:val="en-US" w:eastAsia="zh-CN"/>
              </w:rPr>
              <w:t>4</w:t>
            </w:r>
            <w:r>
              <w:rPr>
                <w:rFonts w:hint="eastAsia"/>
                <w:sz w:val="24"/>
                <w:lang w:eastAsia="zh-CN"/>
              </w:rPr>
              <w:t>）</w:t>
            </w:r>
            <w:r>
              <w:rPr>
                <w:sz w:val="24"/>
              </w:rPr>
              <w:t>危废暂存间地面及裙角按规定采取防腐、防渗措施，并做到定期维护暂时贮存设施、设备；</w:t>
            </w:r>
          </w:p>
          <w:p>
            <w:pPr>
              <w:widowControl/>
              <w:spacing w:line="520" w:lineRule="exact"/>
              <w:ind w:firstLine="480" w:firstLineChars="200"/>
            </w:pPr>
            <w:r>
              <w:rPr>
                <w:rFonts w:hint="eastAsia"/>
                <w:sz w:val="24"/>
                <w:lang w:eastAsia="zh-CN"/>
              </w:rPr>
              <w:t>（</w:t>
            </w:r>
            <w:r>
              <w:rPr>
                <w:rFonts w:hint="eastAsia"/>
                <w:sz w:val="24"/>
                <w:lang w:val="en-US" w:eastAsia="zh-CN"/>
              </w:rPr>
              <w:t>5</w:t>
            </w:r>
            <w:r>
              <w:rPr>
                <w:rFonts w:hint="eastAsia"/>
                <w:sz w:val="24"/>
                <w:lang w:eastAsia="zh-CN"/>
              </w:rPr>
              <w:t>）</w:t>
            </w:r>
            <w:r>
              <w:rPr>
                <w:sz w:val="24"/>
              </w:rPr>
              <w:t>危险废物暂存场所地面一旦出现盛装液态固体废物的容器发生破裂或渗漏情况，马上修复或更换破损容器，地面残留液体用布擦拭干净。出现泄漏事故及时向有关部门通报。</w:t>
            </w:r>
          </w:p>
          <w:p>
            <w:pPr>
              <w:pStyle w:val="65"/>
              <w:rPr>
                <w:rFonts w:hint="default" w:eastAsia="宋体"/>
                <w:lang w:val="en-US" w:eastAsia="zh-CN"/>
              </w:rPr>
            </w:pPr>
            <w:r>
              <w:rPr>
                <w:rFonts w:hint="eastAsia"/>
                <w:lang w:val="en-US" w:eastAsia="zh-CN"/>
              </w:rPr>
              <w:t>根据</w:t>
            </w:r>
            <w:r>
              <w:rPr>
                <w:rFonts w:hint="eastAsia" w:ascii="Times New Roman" w:hAnsiTheme="minorEastAsia"/>
                <w:sz w:val="24"/>
              </w:rPr>
              <w:t>《危险废物转移管理办法》（生态环境部公安部交通运输部部令第23号）</w:t>
            </w:r>
            <w:r>
              <w:rPr>
                <w:rFonts w:hint="eastAsia" w:ascii="Times New Roman" w:hAnsiTheme="minorEastAsia"/>
                <w:sz w:val="24"/>
                <w:lang w:eastAsia="zh-CN"/>
              </w:rPr>
              <w:t>，</w:t>
            </w:r>
            <w:r>
              <w:rPr>
                <w:rFonts w:hint="eastAsia" w:ascii="Times New Roman" w:hAnsiTheme="minorEastAsia"/>
                <w:sz w:val="24"/>
                <w:lang w:val="en-US" w:eastAsia="zh-CN"/>
              </w:rPr>
              <w:t>本项目危险废物转移时应当遵循以下要求：</w:t>
            </w:r>
          </w:p>
          <w:p>
            <w:pPr>
              <w:pStyle w:val="65"/>
              <w:rPr>
                <w:rFonts w:hint="eastAsia" w:eastAsia="宋体"/>
                <w:lang w:eastAsia="zh-CN"/>
              </w:rPr>
            </w:pPr>
            <w:r>
              <w:rPr>
                <w:rFonts w:hint="eastAsia"/>
                <w:lang w:eastAsia="zh-CN"/>
              </w:rPr>
              <w:t>（</w:t>
            </w:r>
            <w:r>
              <w:rPr>
                <w:rFonts w:hint="eastAsia"/>
                <w:lang w:val="en-US" w:eastAsia="zh-CN"/>
              </w:rPr>
              <w:t>1</w:t>
            </w:r>
            <w:r>
              <w:rPr>
                <w:rFonts w:hint="eastAsia"/>
                <w:lang w:eastAsia="zh-CN"/>
              </w:rPr>
              <w:t>）危险废物转移应当遵循就近原则。</w:t>
            </w:r>
          </w:p>
          <w:p>
            <w:pPr>
              <w:pStyle w:val="65"/>
              <w:rPr>
                <w:rFonts w:hint="eastAsia" w:eastAsia="宋体"/>
                <w:lang w:eastAsia="zh-CN"/>
              </w:rPr>
            </w:pPr>
            <w:r>
              <w:rPr>
                <w:rFonts w:hint="eastAsia"/>
                <w:lang w:eastAsia="zh-CN"/>
              </w:rPr>
              <w:t>（</w:t>
            </w:r>
            <w:r>
              <w:rPr>
                <w:rFonts w:hint="eastAsia"/>
                <w:lang w:val="en-US" w:eastAsia="zh-CN"/>
              </w:rPr>
              <w:t>2</w:t>
            </w:r>
            <w:r>
              <w:rPr>
                <w:rFonts w:hint="eastAsia"/>
                <w:lang w:eastAsia="zh-CN"/>
              </w:rPr>
              <w:t>）转移危险废物的，应当执行危险废物转移联单制度，法律法规另有规定的除外。</w:t>
            </w:r>
          </w:p>
          <w:p>
            <w:pPr>
              <w:pStyle w:val="65"/>
              <w:rPr>
                <w:rFonts w:hint="default" w:eastAsia="宋体"/>
                <w:lang w:val="en-US" w:eastAsia="zh-CN"/>
              </w:rPr>
            </w:pPr>
            <w:r>
              <w:rPr>
                <w:rFonts w:hint="eastAsia"/>
                <w:lang w:val="en-US" w:eastAsia="zh-CN"/>
              </w:rPr>
              <w:t>（3）转移危险废物的，应当通过国家危险废物信息管理系统（以下简称信息系统）填写、运行危险废物电子转移联单，并依照国家有关规定公开危险废物转移相关污染环境防治信息。</w:t>
            </w:r>
          </w:p>
          <w:p>
            <w:pPr>
              <w:pStyle w:val="65"/>
              <w:rPr>
                <w:rFonts w:hint="eastAsia" w:eastAsia="宋体"/>
                <w:lang w:eastAsia="zh-CN"/>
              </w:rPr>
            </w:pPr>
            <w:r>
              <w:rPr>
                <w:rFonts w:hint="eastAsia"/>
                <w:lang w:eastAsia="zh-CN"/>
              </w:rPr>
              <w:t>（</w:t>
            </w:r>
            <w:r>
              <w:rPr>
                <w:rFonts w:hint="eastAsia"/>
                <w:lang w:val="en-US" w:eastAsia="zh-CN"/>
              </w:rPr>
              <w:t>4</w:t>
            </w:r>
            <w:r>
              <w:rPr>
                <w:rFonts w:hint="eastAsia"/>
                <w:lang w:eastAsia="zh-CN"/>
              </w:rPr>
              <w:t>）运输危险废物的，应当遵守国家有关危险货物运输管理的规定。未经公安机关批准，危险废物运输车辆不得进入危险货物运输车辆限制通行的区域。</w:t>
            </w:r>
          </w:p>
          <w:p>
            <w:pPr>
              <w:pStyle w:val="65"/>
              <w:rPr>
                <w:rFonts w:hint="eastAsia" w:eastAsia="宋体"/>
                <w:lang w:eastAsia="zh-CN"/>
              </w:rPr>
            </w:pPr>
            <w:r>
              <w:rPr>
                <w:rFonts w:hint="eastAsia"/>
                <w:lang w:eastAsia="zh-CN"/>
              </w:rPr>
              <w:t>（</w:t>
            </w:r>
            <w:r>
              <w:rPr>
                <w:rFonts w:hint="eastAsia"/>
                <w:lang w:val="en-US" w:eastAsia="zh-CN"/>
              </w:rPr>
              <w:t>5</w:t>
            </w:r>
            <w:r>
              <w:rPr>
                <w:rFonts w:hint="eastAsia"/>
                <w:lang w:eastAsia="zh-CN"/>
              </w:rPr>
              <w:t>）在危险废物转移过程中应当采取防扬散、防流失、防渗漏或者其他防止污染环境的措施，不得擅自倾倒、堆放、丢弃、遗撒危险废物，并对所造成的环境污染及生态破坏依法承担责任。</w:t>
            </w:r>
          </w:p>
          <w:p>
            <w:pPr>
              <w:pStyle w:val="65"/>
              <w:rPr>
                <w:rFonts w:hint="eastAsia" w:eastAsia="宋体"/>
                <w:lang w:eastAsia="zh-CN"/>
              </w:rPr>
            </w:pPr>
            <w:r>
              <w:rPr>
                <w:rFonts w:hint="eastAsia"/>
                <w:lang w:eastAsia="zh-CN"/>
              </w:rPr>
              <w:t>（</w:t>
            </w:r>
            <w:r>
              <w:rPr>
                <w:rFonts w:hint="eastAsia"/>
                <w:lang w:val="en-US" w:eastAsia="zh-CN"/>
              </w:rPr>
              <w:t>6</w:t>
            </w:r>
            <w:r>
              <w:rPr>
                <w:rFonts w:hint="eastAsia"/>
                <w:lang w:eastAsia="zh-CN"/>
              </w:rPr>
              <w:t>）应当依法制定突发环境事件的防范措施和应急预案，并报有关部门备案；发生危险废物突发环境事件时，应当立即采取有效措施消除或者减轻对环境的污染危害，并按相关规定向事故发生地有关部门报告，接受调查处理。</w:t>
            </w:r>
          </w:p>
          <w:p>
            <w:pPr>
              <w:pStyle w:val="65"/>
              <w:rPr>
                <w:rFonts w:hint="eastAsia" w:eastAsia="宋体"/>
                <w:lang w:eastAsia="zh-CN"/>
              </w:rPr>
            </w:pPr>
            <w:r>
              <w:rPr>
                <w:rFonts w:hint="eastAsia"/>
                <w:lang w:eastAsia="zh-CN"/>
              </w:rPr>
              <w:t>（</w:t>
            </w:r>
            <w:r>
              <w:rPr>
                <w:rFonts w:hint="eastAsia"/>
                <w:lang w:val="en-US" w:eastAsia="zh-CN"/>
              </w:rPr>
              <w:t>7</w:t>
            </w:r>
            <w:r>
              <w:rPr>
                <w:rFonts w:hint="eastAsia"/>
                <w:lang w:eastAsia="zh-CN"/>
              </w:rPr>
              <w:t>）制定危险废物管理计划，明确拟转移危险废物的种类、重量（数量）和流向等信息。</w:t>
            </w:r>
          </w:p>
          <w:p>
            <w:pPr>
              <w:pStyle w:val="65"/>
            </w:pPr>
            <w:r>
              <w:rPr>
                <w:rFonts w:hint="eastAsia"/>
                <w:lang w:eastAsia="zh-CN"/>
              </w:rPr>
              <w:t>（</w:t>
            </w:r>
            <w:r>
              <w:rPr>
                <w:rFonts w:hint="eastAsia"/>
                <w:lang w:val="en-US" w:eastAsia="zh-CN"/>
              </w:rPr>
              <w:t>8</w:t>
            </w:r>
            <w:r>
              <w:rPr>
                <w:rFonts w:hint="eastAsia"/>
                <w:lang w:eastAsia="zh-CN"/>
              </w:rPr>
              <w:t>）建立危险废物管理台账，对转移的危险废物进行计量称重，如实记录、妥善保管转移危险废物的种类、重量（数量）和接受人等相关信息。</w:t>
            </w:r>
          </w:p>
          <w:p>
            <w:pPr>
              <w:pStyle w:val="65"/>
            </w:pPr>
            <w:r>
              <w:t>根据工程分析，本项目固体废物主要为工作人员生活垃圾</w:t>
            </w:r>
            <w:r>
              <w:rPr>
                <w:rFonts w:hint="eastAsia"/>
              </w:rPr>
              <w:t>、一般工业固废和危险废物</w:t>
            </w:r>
            <w:r>
              <w:t>，其中各固体废物的产生源、排放量和处置方式见表4-</w:t>
            </w:r>
            <w:r>
              <w:rPr>
                <w:rFonts w:hint="eastAsia"/>
                <w:lang w:val="en-US" w:eastAsia="zh-CN"/>
              </w:rPr>
              <w:t>15</w:t>
            </w:r>
            <w:r>
              <w:t>。</w:t>
            </w:r>
          </w:p>
          <w:p>
            <w:pPr>
              <w:pStyle w:val="81"/>
            </w:pPr>
            <w:r>
              <w:t>表</w:t>
            </w:r>
            <w:r>
              <w:rPr>
                <w:rFonts w:hint="eastAsia"/>
              </w:rPr>
              <w:t>4</w:t>
            </w:r>
            <w:r>
              <w:t>-</w:t>
            </w:r>
            <w:r>
              <w:rPr>
                <w:rFonts w:hint="eastAsia"/>
                <w:lang w:val="en-US" w:eastAsia="zh-CN"/>
              </w:rPr>
              <w:t>15</w:t>
            </w:r>
            <w:r>
              <w:t xml:space="preserve">  固体废物排放量及处置设施</w:t>
            </w:r>
          </w:p>
          <w:tbl>
            <w:tblPr>
              <w:tblStyle w:val="3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7"/>
              <w:gridCol w:w="1373"/>
              <w:gridCol w:w="1757"/>
              <w:gridCol w:w="1094"/>
              <w:gridCol w:w="2175"/>
              <w:gridCol w:w="12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Align w:val="center"/>
                </w:tcPr>
                <w:p>
                  <w:pPr>
                    <w:jc w:val="center"/>
                    <w:rPr>
                      <w:szCs w:val="21"/>
                    </w:rPr>
                  </w:pPr>
                  <w:r>
                    <w:rPr>
                      <w:szCs w:val="21"/>
                    </w:rPr>
                    <w:t>类型</w:t>
                  </w:r>
                </w:p>
              </w:tc>
              <w:tc>
                <w:tcPr>
                  <w:tcW w:w="758" w:type="pct"/>
                  <w:vAlign w:val="center"/>
                </w:tcPr>
                <w:p>
                  <w:pPr>
                    <w:jc w:val="center"/>
                    <w:rPr>
                      <w:szCs w:val="21"/>
                    </w:rPr>
                  </w:pPr>
                  <w:r>
                    <w:rPr>
                      <w:szCs w:val="21"/>
                    </w:rPr>
                    <w:t>产生源</w:t>
                  </w:r>
                </w:p>
              </w:tc>
              <w:tc>
                <w:tcPr>
                  <w:tcW w:w="970" w:type="pct"/>
                  <w:vAlign w:val="center"/>
                </w:tcPr>
                <w:p>
                  <w:pPr>
                    <w:jc w:val="center"/>
                    <w:rPr>
                      <w:szCs w:val="21"/>
                    </w:rPr>
                  </w:pPr>
                  <w:r>
                    <w:rPr>
                      <w:szCs w:val="21"/>
                    </w:rPr>
                    <w:t>名称</w:t>
                  </w:r>
                </w:p>
              </w:tc>
              <w:tc>
                <w:tcPr>
                  <w:tcW w:w="604" w:type="pct"/>
                  <w:vAlign w:val="center"/>
                </w:tcPr>
                <w:p>
                  <w:pPr>
                    <w:jc w:val="center"/>
                    <w:rPr>
                      <w:szCs w:val="21"/>
                    </w:rPr>
                  </w:pPr>
                  <w:r>
                    <w:rPr>
                      <w:szCs w:val="21"/>
                    </w:rPr>
                    <w:t>排放量</w:t>
                  </w:r>
                </w:p>
              </w:tc>
              <w:tc>
                <w:tcPr>
                  <w:tcW w:w="1201" w:type="pct"/>
                  <w:vAlign w:val="center"/>
                </w:tcPr>
                <w:p>
                  <w:pPr>
                    <w:jc w:val="center"/>
                    <w:rPr>
                      <w:szCs w:val="21"/>
                    </w:rPr>
                  </w:pPr>
                  <w:r>
                    <w:rPr>
                      <w:szCs w:val="21"/>
                    </w:rPr>
                    <w:t>处置办法</w:t>
                  </w:r>
                </w:p>
              </w:tc>
              <w:tc>
                <w:tcPr>
                  <w:tcW w:w="708" w:type="pct"/>
                  <w:vAlign w:val="center"/>
                </w:tcPr>
                <w:p>
                  <w:pPr>
                    <w:jc w:val="center"/>
                    <w:rPr>
                      <w:szCs w:val="21"/>
                    </w:rPr>
                  </w:pPr>
                  <w:r>
                    <w:rPr>
                      <w:szCs w:val="21"/>
                    </w:rPr>
                    <w:t>处置率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Merge w:val="restart"/>
                  <w:vAlign w:val="center"/>
                </w:tcPr>
                <w:p>
                  <w:pPr>
                    <w:jc w:val="center"/>
                    <w:rPr>
                      <w:szCs w:val="21"/>
                    </w:rPr>
                  </w:pPr>
                  <w:r>
                    <w:rPr>
                      <w:rFonts w:hint="eastAsia"/>
                      <w:szCs w:val="21"/>
                    </w:rPr>
                    <w:t>生活垃圾</w:t>
                  </w:r>
                </w:p>
              </w:tc>
              <w:tc>
                <w:tcPr>
                  <w:tcW w:w="758" w:type="pct"/>
                  <w:vAlign w:val="center"/>
                </w:tcPr>
                <w:p>
                  <w:pPr>
                    <w:jc w:val="center"/>
                    <w:rPr>
                      <w:szCs w:val="21"/>
                    </w:rPr>
                  </w:pPr>
                  <w:r>
                    <w:rPr>
                      <w:rFonts w:hint="eastAsia"/>
                      <w:szCs w:val="21"/>
                    </w:rPr>
                    <w:t>员工</w:t>
                  </w:r>
                  <w:r>
                    <w:rPr>
                      <w:szCs w:val="21"/>
                    </w:rPr>
                    <w:t>生活</w:t>
                  </w:r>
                </w:p>
              </w:tc>
              <w:tc>
                <w:tcPr>
                  <w:tcW w:w="970" w:type="pct"/>
                  <w:vAlign w:val="center"/>
                </w:tcPr>
                <w:p>
                  <w:pPr>
                    <w:jc w:val="center"/>
                    <w:rPr>
                      <w:szCs w:val="21"/>
                    </w:rPr>
                  </w:pPr>
                  <w:r>
                    <w:rPr>
                      <w:szCs w:val="21"/>
                    </w:rPr>
                    <w:t>生活垃圾</w:t>
                  </w:r>
                </w:p>
              </w:tc>
              <w:tc>
                <w:tcPr>
                  <w:tcW w:w="604" w:type="pct"/>
                  <w:vAlign w:val="center"/>
                </w:tcPr>
                <w:p>
                  <w:pPr>
                    <w:jc w:val="center"/>
                    <w:rPr>
                      <w:szCs w:val="21"/>
                    </w:rPr>
                  </w:pPr>
                  <w:r>
                    <w:rPr>
                      <w:rFonts w:hint="eastAsia"/>
                      <w:szCs w:val="21"/>
                      <w:lang w:val="en-US" w:eastAsia="zh-CN"/>
                    </w:rPr>
                    <w:t>0.84</w:t>
                  </w:r>
                  <w:r>
                    <w:rPr>
                      <w:szCs w:val="21"/>
                    </w:rPr>
                    <w:t>t/a</w:t>
                  </w:r>
                </w:p>
              </w:tc>
              <w:tc>
                <w:tcPr>
                  <w:tcW w:w="1201" w:type="pct"/>
                  <w:vAlign w:val="center"/>
                </w:tcPr>
                <w:p>
                  <w:pPr>
                    <w:jc w:val="center"/>
                    <w:rPr>
                      <w:szCs w:val="21"/>
                    </w:rPr>
                  </w:pPr>
                  <w:r>
                    <w:rPr>
                      <w:szCs w:val="21"/>
                    </w:rPr>
                    <w:t>收集后交由环卫部门统一清理</w:t>
                  </w:r>
                </w:p>
              </w:tc>
              <w:tc>
                <w:tcPr>
                  <w:tcW w:w="708" w:type="pct"/>
                  <w:vMerge w:val="restart"/>
                  <w:vAlign w:val="center"/>
                </w:tcPr>
                <w:p>
                  <w:pPr>
                    <w:jc w:val="center"/>
                    <w:rPr>
                      <w:szCs w:val="21"/>
                    </w:rPr>
                  </w:pPr>
                  <w:r>
                    <w:rPr>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55" w:type="pct"/>
                  <w:vMerge w:val="continue"/>
                  <w:vAlign w:val="center"/>
                </w:tcPr>
                <w:p>
                  <w:pPr>
                    <w:jc w:val="center"/>
                    <w:rPr>
                      <w:rFonts w:hint="eastAsia"/>
                      <w:szCs w:val="21"/>
                    </w:rPr>
                  </w:pPr>
                </w:p>
              </w:tc>
              <w:tc>
                <w:tcPr>
                  <w:tcW w:w="758" w:type="pct"/>
                  <w:vAlign w:val="center"/>
                </w:tcPr>
                <w:p>
                  <w:pPr>
                    <w:jc w:val="center"/>
                    <w:rPr>
                      <w:rFonts w:hint="default" w:eastAsia="宋体"/>
                      <w:szCs w:val="21"/>
                      <w:lang w:val="en-US" w:eastAsia="zh-CN"/>
                    </w:rPr>
                  </w:pPr>
                  <w:r>
                    <w:rPr>
                      <w:rFonts w:hint="eastAsia"/>
                      <w:szCs w:val="21"/>
                      <w:lang w:val="en-US" w:eastAsia="zh-CN"/>
                    </w:rPr>
                    <w:t>油水分离器</w:t>
                  </w:r>
                </w:p>
              </w:tc>
              <w:tc>
                <w:tcPr>
                  <w:tcW w:w="970" w:type="pct"/>
                  <w:vAlign w:val="center"/>
                </w:tcPr>
                <w:p>
                  <w:pPr>
                    <w:jc w:val="center"/>
                    <w:rPr>
                      <w:rFonts w:hint="eastAsia" w:eastAsia="宋体"/>
                      <w:szCs w:val="21"/>
                      <w:lang w:val="en-US" w:eastAsia="zh-CN"/>
                    </w:rPr>
                  </w:pPr>
                  <w:r>
                    <w:rPr>
                      <w:rFonts w:hint="eastAsia"/>
                      <w:szCs w:val="21"/>
                      <w:lang w:val="en-US" w:eastAsia="zh-CN"/>
                    </w:rPr>
                    <w:t>餐除废油</w:t>
                  </w:r>
                </w:p>
              </w:tc>
              <w:tc>
                <w:tcPr>
                  <w:tcW w:w="604" w:type="pct"/>
                  <w:vAlign w:val="center"/>
                </w:tcPr>
                <w:p>
                  <w:pPr>
                    <w:jc w:val="center"/>
                    <w:rPr>
                      <w:rFonts w:hint="default"/>
                      <w:szCs w:val="21"/>
                      <w:lang w:val="en-US" w:eastAsia="zh-CN"/>
                    </w:rPr>
                  </w:pPr>
                  <w:r>
                    <w:rPr>
                      <w:rFonts w:hint="eastAsia"/>
                      <w:szCs w:val="21"/>
                      <w:lang w:val="en-US" w:eastAsia="zh-CN"/>
                    </w:rPr>
                    <w:t>0.1t/a</w:t>
                  </w:r>
                </w:p>
              </w:tc>
              <w:tc>
                <w:tcPr>
                  <w:tcW w:w="1201" w:type="pct"/>
                  <w:vAlign w:val="center"/>
                </w:tcPr>
                <w:p>
                  <w:pPr>
                    <w:jc w:val="center"/>
                    <w:rPr>
                      <w:szCs w:val="21"/>
                    </w:rPr>
                  </w:pPr>
                  <w:r>
                    <w:rPr>
                      <w:rFonts w:hint="eastAsia"/>
                      <w:szCs w:val="21"/>
                    </w:rPr>
                    <w:t>委托餐厨垃圾处理单位定期清运处置</w:t>
                  </w:r>
                </w:p>
              </w:tc>
              <w:tc>
                <w:tcPr>
                  <w:tcW w:w="708" w:type="pct"/>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Merge w:val="restart"/>
                  <w:vAlign w:val="center"/>
                </w:tcPr>
                <w:p>
                  <w:pPr>
                    <w:jc w:val="center"/>
                    <w:rPr>
                      <w:szCs w:val="21"/>
                    </w:rPr>
                  </w:pPr>
                  <w:r>
                    <w:rPr>
                      <w:rFonts w:hint="eastAsia"/>
                      <w:szCs w:val="21"/>
                    </w:rPr>
                    <w:t>一般工业固废</w:t>
                  </w:r>
                </w:p>
              </w:tc>
              <w:tc>
                <w:tcPr>
                  <w:tcW w:w="758" w:type="pct"/>
                  <w:vAlign w:val="center"/>
                </w:tcPr>
                <w:p>
                  <w:pPr>
                    <w:jc w:val="center"/>
                    <w:rPr>
                      <w:rFonts w:hint="default" w:eastAsia="宋体"/>
                      <w:szCs w:val="21"/>
                      <w:lang w:val="en-US" w:eastAsia="zh-CN"/>
                    </w:rPr>
                  </w:pPr>
                  <w:r>
                    <w:rPr>
                      <w:rFonts w:hint="eastAsia"/>
                      <w:szCs w:val="21"/>
                      <w:lang w:val="en-US" w:eastAsia="zh-CN"/>
                    </w:rPr>
                    <w:t>切割</w:t>
                  </w:r>
                </w:p>
              </w:tc>
              <w:tc>
                <w:tcPr>
                  <w:tcW w:w="970" w:type="pct"/>
                  <w:vAlign w:val="center"/>
                </w:tcPr>
                <w:p>
                  <w:pPr>
                    <w:jc w:val="center"/>
                    <w:rPr>
                      <w:szCs w:val="21"/>
                    </w:rPr>
                  </w:pPr>
                  <w:r>
                    <w:rPr>
                      <w:rFonts w:hint="eastAsia"/>
                      <w:szCs w:val="21"/>
                      <w:lang w:val="en-US" w:eastAsia="zh-CN"/>
                    </w:rPr>
                    <w:t>边角料</w:t>
                  </w:r>
                  <w:r>
                    <w:rPr>
                      <w:rFonts w:hint="eastAsia"/>
                      <w:szCs w:val="21"/>
                    </w:rPr>
                    <w:t>（30</w:t>
                  </w:r>
                  <w:r>
                    <w:rPr>
                      <w:rFonts w:hint="eastAsia"/>
                      <w:szCs w:val="21"/>
                      <w:lang w:val="en-US" w:eastAsia="zh-CN"/>
                    </w:rPr>
                    <w:t>2</w:t>
                  </w:r>
                  <w:r>
                    <w:rPr>
                      <w:rFonts w:hint="eastAsia"/>
                      <w:szCs w:val="21"/>
                    </w:rPr>
                    <w:t>-00</w:t>
                  </w:r>
                  <w:r>
                    <w:rPr>
                      <w:rFonts w:hint="eastAsia"/>
                      <w:szCs w:val="21"/>
                      <w:lang w:val="en-US" w:eastAsia="zh-CN"/>
                    </w:rPr>
                    <w:t>4</w:t>
                  </w:r>
                  <w:r>
                    <w:rPr>
                      <w:rFonts w:hint="eastAsia"/>
                      <w:szCs w:val="21"/>
                    </w:rPr>
                    <w:t>-99）</w:t>
                  </w:r>
                </w:p>
              </w:tc>
              <w:tc>
                <w:tcPr>
                  <w:tcW w:w="604" w:type="pct"/>
                  <w:vAlign w:val="center"/>
                </w:tcPr>
                <w:p>
                  <w:pPr>
                    <w:jc w:val="center"/>
                    <w:rPr>
                      <w:szCs w:val="21"/>
                    </w:rPr>
                  </w:pPr>
                  <w:r>
                    <w:rPr>
                      <w:rFonts w:hint="eastAsia"/>
                      <w:szCs w:val="21"/>
                      <w:lang w:val="en-US" w:eastAsia="zh-CN"/>
                    </w:rPr>
                    <w:t>6</w:t>
                  </w:r>
                  <w:r>
                    <w:rPr>
                      <w:rFonts w:hint="eastAsia"/>
                      <w:szCs w:val="21"/>
                    </w:rPr>
                    <w:t>t/a</w:t>
                  </w:r>
                </w:p>
              </w:tc>
              <w:tc>
                <w:tcPr>
                  <w:tcW w:w="1201" w:type="pct"/>
                  <w:vAlign w:val="center"/>
                </w:tcPr>
                <w:p>
                  <w:pPr>
                    <w:jc w:val="center"/>
                    <w:rPr>
                      <w:rFonts w:hint="default" w:eastAsia="宋体"/>
                      <w:szCs w:val="21"/>
                      <w:lang w:val="en-US" w:eastAsia="zh-CN"/>
                    </w:rPr>
                  </w:pPr>
                  <w:r>
                    <w:rPr>
                      <w:rFonts w:hint="eastAsia"/>
                      <w:szCs w:val="21"/>
                      <w:lang w:val="en-US" w:eastAsia="zh-CN"/>
                    </w:rPr>
                    <w:t>委托环卫部门清运至一般固废填埋场处理</w:t>
                  </w:r>
                </w:p>
              </w:tc>
              <w:tc>
                <w:tcPr>
                  <w:tcW w:w="708" w:type="pct"/>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55" w:type="pct"/>
                  <w:vMerge w:val="continue"/>
                  <w:vAlign w:val="center"/>
                </w:tcPr>
                <w:p>
                  <w:pPr>
                    <w:jc w:val="center"/>
                    <w:rPr>
                      <w:szCs w:val="21"/>
                    </w:rPr>
                  </w:pPr>
                </w:p>
              </w:tc>
              <w:tc>
                <w:tcPr>
                  <w:tcW w:w="758" w:type="pct"/>
                  <w:vAlign w:val="center"/>
                </w:tcPr>
                <w:p>
                  <w:pPr>
                    <w:jc w:val="center"/>
                    <w:rPr>
                      <w:rFonts w:hint="default" w:eastAsia="宋体"/>
                      <w:szCs w:val="21"/>
                      <w:lang w:val="en-US" w:eastAsia="zh-CN"/>
                    </w:rPr>
                  </w:pPr>
                  <w:r>
                    <w:rPr>
                      <w:rFonts w:hint="eastAsia"/>
                      <w:szCs w:val="21"/>
                    </w:rPr>
                    <w:t>除尘</w:t>
                  </w:r>
                  <w:r>
                    <w:rPr>
                      <w:rFonts w:hint="eastAsia"/>
                      <w:szCs w:val="21"/>
                      <w:lang w:val="en-US" w:eastAsia="zh-CN"/>
                    </w:rPr>
                    <w:t>收集的粉尘</w:t>
                  </w:r>
                </w:p>
              </w:tc>
              <w:tc>
                <w:tcPr>
                  <w:tcW w:w="970" w:type="pct"/>
                  <w:vAlign w:val="center"/>
                </w:tcPr>
                <w:p>
                  <w:pPr>
                    <w:jc w:val="center"/>
                    <w:rPr>
                      <w:szCs w:val="21"/>
                    </w:rPr>
                  </w:pPr>
                  <w:r>
                    <w:rPr>
                      <w:rFonts w:hint="eastAsia"/>
                      <w:szCs w:val="21"/>
                    </w:rPr>
                    <w:t>布袋除尘收集的粉尘（30</w:t>
                  </w:r>
                  <w:r>
                    <w:rPr>
                      <w:rFonts w:hint="eastAsia"/>
                      <w:szCs w:val="21"/>
                      <w:lang w:val="en-US" w:eastAsia="zh-CN"/>
                    </w:rPr>
                    <w:t>2</w:t>
                  </w:r>
                  <w:r>
                    <w:rPr>
                      <w:rFonts w:hint="eastAsia"/>
                      <w:szCs w:val="21"/>
                    </w:rPr>
                    <w:t>-001-66）</w:t>
                  </w:r>
                </w:p>
              </w:tc>
              <w:tc>
                <w:tcPr>
                  <w:tcW w:w="604" w:type="pct"/>
                  <w:vAlign w:val="center"/>
                </w:tcPr>
                <w:p>
                  <w:pPr>
                    <w:jc w:val="center"/>
                    <w:rPr>
                      <w:szCs w:val="21"/>
                    </w:rPr>
                  </w:pPr>
                  <w:r>
                    <w:rPr>
                      <w:rFonts w:hint="eastAsia"/>
                      <w:szCs w:val="21"/>
                      <w:lang w:val="en-US" w:eastAsia="zh-CN"/>
                    </w:rPr>
                    <w:t>12.996</w:t>
                  </w:r>
                  <w:r>
                    <w:rPr>
                      <w:rFonts w:hint="eastAsia"/>
                      <w:szCs w:val="21"/>
                    </w:rPr>
                    <w:t>t/a</w:t>
                  </w:r>
                </w:p>
              </w:tc>
              <w:tc>
                <w:tcPr>
                  <w:tcW w:w="1201" w:type="pct"/>
                  <w:vAlign w:val="center"/>
                </w:tcPr>
                <w:p>
                  <w:pPr>
                    <w:jc w:val="center"/>
                    <w:rPr>
                      <w:szCs w:val="21"/>
                    </w:rPr>
                  </w:pPr>
                  <w:r>
                    <w:rPr>
                      <w:rFonts w:hint="eastAsia"/>
                      <w:szCs w:val="21"/>
                    </w:rPr>
                    <w:t>集中收集后回用于生产</w:t>
                  </w:r>
                </w:p>
              </w:tc>
              <w:tc>
                <w:tcPr>
                  <w:tcW w:w="708" w:type="pct"/>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Merge w:val="restart"/>
                  <w:vAlign w:val="center"/>
                </w:tcPr>
                <w:p>
                  <w:pPr>
                    <w:jc w:val="center"/>
                    <w:rPr>
                      <w:szCs w:val="21"/>
                    </w:rPr>
                  </w:pPr>
                  <w:r>
                    <w:rPr>
                      <w:rFonts w:hint="eastAsia"/>
                      <w:szCs w:val="21"/>
                    </w:rPr>
                    <w:t>危险废物</w:t>
                  </w:r>
                </w:p>
              </w:tc>
              <w:tc>
                <w:tcPr>
                  <w:tcW w:w="758" w:type="pct"/>
                  <w:vAlign w:val="center"/>
                </w:tcPr>
                <w:p>
                  <w:pPr>
                    <w:jc w:val="center"/>
                    <w:rPr>
                      <w:szCs w:val="21"/>
                    </w:rPr>
                  </w:pPr>
                  <w:r>
                    <w:rPr>
                      <w:rFonts w:hint="eastAsia"/>
                      <w:szCs w:val="21"/>
                    </w:rPr>
                    <w:t>设备维护</w:t>
                  </w:r>
                </w:p>
              </w:tc>
              <w:tc>
                <w:tcPr>
                  <w:tcW w:w="970" w:type="pct"/>
                  <w:vAlign w:val="center"/>
                </w:tcPr>
                <w:p>
                  <w:pPr>
                    <w:jc w:val="center"/>
                    <w:rPr>
                      <w:szCs w:val="21"/>
                    </w:rPr>
                  </w:pPr>
                  <w:r>
                    <w:rPr>
                      <w:rFonts w:hint="eastAsia"/>
                      <w:szCs w:val="21"/>
                    </w:rPr>
                    <w:t>废机油</w:t>
                  </w:r>
                </w:p>
                <w:p>
                  <w:pPr>
                    <w:jc w:val="center"/>
                    <w:rPr>
                      <w:szCs w:val="21"/>
                    </w:rPr>
                  </w:pPr>
                  <w:r>
                    <w:rPr>
                      <w:rFonts w:hint="eastAsia"/>
                      <w:szCs w:val="21"/>
                    </w:rPr>
                    <w:t>HW08</w:t>
                  </w:r>
                  <w:r>
                    <w:rPr>
                      <w:rFonts w:hint="eastAsia"/>
                      <w:szCs w:val="21"/>
                      <w:lang w:eastAsia="zh-CN"/>
                    </w:rPr>
                    <w:t>（</w:t>
                  </w:r>
                  <w:r>
                    <w:rPr>
                      <w:rFonts w:hint="eastAsia"/>
                      <w:szCs w:val="21"/>
                    </w:rPr>
                    <w:t>900-214-08</w:t>
                  </w:r>
                  <w:r>
                    <w:rPr>
                      <w:rFonts w:hint="eastAsia"/>
                      <w:szCs w:val="21"/>
                      <w:lang w:eastAsia="zh-CN"/>
                    </w:rPr>
                    <w:t>）</w:t>
                  </w:r>
                </w:p>
              </w:tc>
              <w:tc>
                <w:tcPr>
                  <w:tcW w:w="604" w:type="pct"/>
                  <w:vAlign w:val="center"/>
                </w:tcPr>
                <w:p>
                  <w:pPr>
                    <w:jc w:val="center"/>
                    <w:rPr>
                      <w:szCs w:val="21"/>
                    </w:rPr>
                  </w:pPr>
                  <w:r>
                    <w:rPr>
                      <w:rFonts w:hint="eastAsia"/>
                      <w:szCs w:val="21"/>
                      <w:lang w:val="en-US" w:eastAsia="zh-CN"/>
                    </w:rPr>
                    <w:t>0.1</w:t>
                  </w:r>
                  <w:r>
                    <w:rPr>
                      <w:rFonts w:hint="eastAsia"/>
                      <w:szCs w:val="21"/>
                    </w:rPr>
                    <w:t>t/a</w:t>
                  </w:r>
                </w:p>
              </w:tc>
              <w:tc>
                <w:tcPr>
                  <w:tcW w:w="1201" w:type="pct"/>
                  <w:vMerge w:val="restart"/>
                  <w:vAlign w:val="center"/>
                </w:tcPr>
                <w:p>
                  <w:pPr>
                    <w:jc w:val="center"/>
                    <w:rPr>
                      <w:szCs w:val="21"/>
                    </w:rPr>
                  </w:pPr>
                  <w:r>
                    <w:rPr>
                      <w:rFonts w:hint="eastAsia"/>
                      <w:szCs w:val="21"/>
                    </w:rPr>
                    <w:t>危废暂存间暂存，委托具有处理资质的单位处理</w:t>
                  </w:r>
                </w:p>
              </w:tc>
              <w:tc>
                <w:tcPr>
                  <w:tcW w:w="708" w:type="pct"/>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Merge w:val="continue"/>
                  <w:vAlign w:val="center"/>
                </w:tcPr>
                <w:p>
                  <w:pPr>
                    <w:jc w:val="center"/>
                    <w:rPr>
                      <w:rFonts w:hint="eastAsia"/>
                      <w:szCs w:val="21"/>
                    </w:rPr>
                  </w:pPr>
                </w:p>
              </w:tc>
              <w:tc>
                <w:tcPr>
                  <w:tcW w:w="758" w:type="pct"/>
                  <w:vAlign w:val="center"/>
                </w:tcPr>
                <w:p>
                  <w:pPr>
                    <w:jc w:val="center"/>
                    <w:rPr>
                      <w:rFonts w:hint="eastAsia"/>
                      <w:szCs w:val="21"/>
                    </w:rPr>
                  </w:pPr>
                  <w:r>
                    <w:rPr>
                      <w:rFonts w:hint="eastAsia"/>
                      <w:szCs w:val="21"/>
                    </w:rPr>
                    <w:t>设备维护</w:t>
                  </w:r>
                </w:p>
              </w:tc>
              <w:tc>
                <w:tcPr>
                  <w:tcW w:w="970" w:type="pct"/>
                  <w:vAlign w:val="center"/>
                </w:tcPr>
                <w:p>
                  <w:pPr>
                    <w:jc w:val="center"/>
                    <w:rPr>
                      <w:rFonts w:hint="eastAsia"/>
                      <w:szCs w:val="21"/>
                      <w:lang w:val="en-US" w:eastAsia="zh-CN"/>
                    </w:rPr>
                  </w:pPr>
                  <w:r>
                    <w:rPr>
                      <w:rFonts w:hint="eastAsia"/>
                      <w:szCs w:val="21"/>
                      <w:lang w:val="en-US" w:eastAsia="zh-CN"/>
                    </w:rPr>
                    <w:t>废油桶</w:t>
                  </w:r>
                </w:p>
                <w:p>
                  <w:pPr>
                    <w:jc w:val="center"/>
                    <w:rPr>
                      <w:rFonts w:hint="eastAsia" w:eastAsia="宋体"/>
                      <w:szCs w:val="21"/>
                      <w:lang w:val="en-US" w:eastAsia="zh-CN"/>
                    </w:rPr>
                  </w:pPr>
                  <w:r>
                    <w:rPr>
                      <w:rFonts w:hint="eastAsia"/>
                      <w:szCs w:val="21"/>
                    </w:rPr>
                    <w:t>HW08</w:t>
                  </w:r>
                  <w:r>
                    <w:rPr>
                      <w:rFonts w:hint="eastAsia"/>
                      <w:szCs w:val="21"/>
                      <w:lang w:eastAsia="zh-CN"/>
                    </w:rPr>
                    <w:t>（</w:t>
                  </w:r>
                  <w:r>
                    <w:rPr>
                      <w:rFonts w:hint="eastAsia"/>
                      <w:szCs w:val="21"/>
                    </w:rPr>
                    <w:t>900-</w:t>
                  </w:r>
                  <w:r>
                    <w:rPr>
                      <w:rFonts w:hint="eastAsia"/>
                      <w:szCs w:val="21"/>
                      <w:lang w:val="en-US" w:eastAsia="zh-CN"/>
                    </w:rPr>
                    <w:t>249-08</w:t>
                  </w:r>
                  <w:r>
                    <w:rPr>
                      <w:rFonts w:hint="eastAsia"/>
                      <w:szCs w:val="21"/>
                      <w:lang w:eastAsia="zh-CN"/>
                    </w:rPr>
                    <w:t>）</w:t>
                  </w:r>
                </w:p>
              </w:tc>
              <w:tc>
                <w:tcPr>
                  <w:tcW w:w="604" w:type="pct"/>
                  <w:vAlign w:val="center"/>
                </w:tcPr>
                <w:p>
                  <w:pPr>
                    <w:jc w:val="center"/>
                    <w:rPr>
                      <w:rFonts w:hint="default"/>
                      <w:szCs w:val="21"/>
                      <w:lang w:val="en-US" w:eastAsia="zh-CN"/>
                    </w:rPr>
                  </w:pPr>
                  <w:r>
                    <w:rPr>
                      <w:rFonts w:hint="eastAsia"/>
                      <w:szCs w:val="21"/>
                      <w:lang w:val="en-US" w:eastAsia="zh-CN"/>
                    </w:rPr>
                    <w:t>0.05t/a</w:t>
                  </w:r>
                </w:p>
              </w:tc>
              <w:tc>
                <w:tcPr>
                  <w:tcW w:w="1201" w:type="pct"/>
                  <w:vMerge w:val="continue"/>
                  <w:vAlign w:val="center"/>
                </w:tcPr>
                <w:p>
                  <w:pPr>
                    <w:jc w:val="center"/>
                    <w:rPr>
                      <w:rFonts w:hint="eastAsia"/>
                      <w:szCs w:val="21"/>
                    </w:rPr>
                  </w:pPr>
                </w:p>
              </w:tc>
              <w:tc>
                <w:tcPr>
                  <w:tcW w:w="708" w:type="pct"/>
                  <w:vMerge w:val="continue"/>
                  <w:vAlign w:val="center"/>
                </w:tcPr>
                <w:p>
                  <w:pPr>
                    <w:jc w:val="center"/>
                    <w:rPr>
                      <w:szCs w:val="21"/>
                    </w:rPr>
                  </w:pPr>
                </w:p>
              </w:tc>
            </w:tr>
          </w:tbl>
          <w:p>
            <w:pPr>
              <w:pStyle w:val="65"/>
            </w:pPr>
            <w:r>
              <w:t>由上表可以得出该项目所产生的各种固体废物均具有良好的处置方法，处置率100%，符合固体废物减量化、资源化、无害化要求，防治措施可行，不会对周围环境产生影响。</w:t>
            </w:r>
          </w:p>
          <w:p>
            <w:pPr>
              <w:adjustRightInd w:val="0"/>
              <w:snapToGrid w:val="0"/>
              <w:spacing w:line="480" w:lineRule="exact"/>
              <w:ind w:firstLine="482" w:firstLineChars="200"/>
              <w:rPr>
                <w:b/>
                <w:bCs/>
                <w:sz w:val="24"/>
              </w:rPr>
            </w:pPr>
            <w:r>
              <w:rPr>
                <w:rFonts w:hint="eastAsia"/>
                <w:b/>
                <w:bCs/>
                <w:sz w:val="24"/>
              </w:rPr>
              <w:t>5、地下水、土壤</w:t>
            </w:r>
          </w:p>
          <w:p>
            <w:pPr>
              <w:adjustRightInd w:val="0"/>
              <w:snapToGrid w:val="0"/>
              <w:spacing w:line="480" w:lineRule="exact"/>
              <w:ind w:firstLine="482" w:firstLineChars="200"/>
              <w:rPr>
                <w:b/>
                <w:bCs/>
                <w:sz w:val="24"/>
              </w:rPr>
            </w:pPr>
            <w:r>
              <w:rPr>
                <w:rFonts w:hint="eastAsia"/>
                <w:b/>
                <w:bCs/>
                <w:sz w:val="24"/>
              </w:rPr>
              <w:t>5.1污染源分析</w:t>
            </w:r>
          </w:p>
          <w:p>
            <w:pPr>
              <w:adjustRightInd w:val="0"/>
              <w:snapToGrid w:val="0"/>
              <w:spacing w:line="520" w:lineRule="exact"/>
              <w:ind w:firstLine="480" w:firstLineChars="200"/>
            </w:pPr>
            <w:r>
              <w:rPr>
                <w:rFonts w:hint="eastAsia"/>
                <w:sz w:val="24"/>
              </w:rPr>
              <w:t>本项目地下水、土壤污染源主要为生活污水、</w:t>
            </w:r>
            <w:r>
              <w:rPr>
                <w:rFonts w:hint="eastAsia"/>
                <w:sz w:val="24"/>
                <w:lang w:val="en-US" w:eastAsia="zh-CN"/>
              </w:rPr>
              <w:t>废机油</w:t>
            </w:r>
            <w:r>
              <w:rPr>
                <w:rFonts w:hint="eastAsia"/>
                <w:sz w:val="24"/>
              </w:rPr>
              <w:t>。污染物</w:t>
            </w:r>
            <w:r>
              <w:rPr>
                <w:rFonts w:hint="eastAsia"/>
                <w:sz w:val="24"/>
                <w:lang w:val="en-US" w:eastAsia="zh-CN"/>
              </w:rPr>
              <w:t>主要为</w:t>
            </w:r>
            <w:r>
              <w:rPr>
                <w:rFonts w:hint="eastAsia"/>
                <w:sz w:val="24"/>
              </w:rPr>
              <w:t>COD</w:t>
            </w:r>
            <w:r>
              <w:rPr>
                <w:rFonts w:hint="eastAsia"/>
                <w:sz w:val="24"/>
                <w:vertAlign w:val="subscript"/>
              </w:rPr>
              <w:t>Cr</w:t>
            </w:r>
            <w:r>
              <w:rPr>
                <w:rFonts w:hint="eastAsia"/>
                <w:sz w:val="24"/>
              </w:rPr>
              <w:t>、BOD</w:t>
            </w:r>
            <w:r>
              <w:rPr>
                <w:rFonts w:hint="eastAsia"/>
                <w:sz w:val="24"/>
                <w:vertAlign w:val="subscript"/>
              </w:rPr>
              <w:t>5</w:t>
            </w:r>
            <w:r>
              <w:rPr>
                <w:rFonts w:hint="eastAsia"/>
                <w:sz w:val="24"/>
              </w:rPr>
              <w:t>、SS、氨氮、废矿物油等。</w:t>
            </w:r>
          </w:p>
          <w:p>
            <w:pPr>
              <w:adjustRightInd w:val="0"/>
              <w:snapToGrid w:val="0"/>
              <w:spacing w:line="480" w:lineRule="exact"/>
              <w:ind w:firstLine="482" w:firstLineChars="200"/>
              <w:rPr>
                <w:b/>
                <w:bCs/>
                <w:sz w:val="24"/>
              </w:rPr>
            </w:pPr>
            <w:r>
              <w:rPr>
                <w:rFonts w:hint="eastAsia"/>
                <w:b/>
                <w:bCs/>
                <w:sz w:val="24"/>
              </w:rPr>
              <w:t>5.2污染防控措施</w:t>
            </w:r>
          </w:p>
          <w:p>
            <w:pPr>
              <w:adjustRightInd w:val="0"/>
              <w:snapToGrid w:val="0"/>
              <w:spacing w:line="520" w:lineRule="exact"/>
              <w:ind w:firstLine="480" w:firstLineChars="200"/>
              <w:rPr>
                <w:sz w:val="24"/>
              </w:rPr>
            </w:pPr>
            <w:r>
              <w:rPr>
                <w:rFonts w:hint="eastAsia"/>
                <w:sz w:val="24"/>
              </w:rPr>
              <w:t>本项目生活污水排入</w:t>
            </w:r>
            <w:r>
              <w:rPr>
                <w:rFonts w:hint="eastAsia"/>
                <w:sz w:val="24"/>
                <w:lang w:val="en-US" w:eastAsia="zh-CN"/>
              </w:rPr>
              <w:t>园区</w:t>
            </w:r>
            <w:r>
              <w:rPr>
                <w:rFonts w:hint="eastAsia"/>
                <w:sz w:val="24"/>
              </w:rPr>
              <w:t>管网。危废暂存间实行重点防渗措施。</w:t>
            </w:r>
          </w:p>
          <w:p>
            <w:pPr>
              <w:adjustRightInd w:val="0"/>
              <w:snapToGrid w:val="0"/>
              <w:spacing w:line="480" w:lineRule="exact"/>
              <w:ind w:firstLine="482" w:firstLineChars="200"/>
              <w:rPr>
                <w:b/>
                <w:bCs/>
                <w:sz w:val="24"/>
              </w:rPr>
            </w:pPr>
            <w:r>
              <w:rPr>
                <w:rFonts w:hint="eastAsia"/>
                <w:b/>
                <w:bCs/>
                <w:sz w:val="24"/>
              </w:rPr>
              <w:t>5.3分区防渗要求</w:t>
            </w:r>
          </w:p>
          <w:p>
            <w:pPr>
              <w:adjustRightInd w:val="0"/>
              <w:snapToGrid w:val="0"/>
              <w:spacing w:line="520" w:lineRule="exact"/>
              <w:ind w:firstLine="480" w:firstLineChars="200"/>
              <w:rPr>
                <w:sz w:val="24"/>
              </w:rPr>
            </w:pPr>
            <w:r>
              <w:rPr>
                <w:rFonts w:hint="eastAsia"/>
                <w:sz w:val="24"/>
              </w:rPr>
              <w:t>根据可能泄漏至地面的污染物的性质和生产单元的构建方式，结合项目总平面布置情况和《环境影响评价技术导则  地下水环境》（HJ610-2016）中地下水污染防渗分区要求，本项目危废暂存间按照重点防渗要求防护，生产车间按照</w:t>
            </w:r>
            <w:r>
              <w:rPr>
                <w:rFonts w:hint="eastAsia"/>
                <w:sz w:val="24"/>
                <w:lang w:val="en-US" w:eastAsia="zh-CN"/>
              </w:rPr>
              <w:t>简单</w:t>
            </w:r>
            <w:r>
              <w:rPr>
                <w:rFonts w:hint="eastAsia"/>
                <w:sz w:val="24"/>
              </w:rPr>
              <w:t>防渗区要求防护。对厂区可能泄漏污染物的地面进行防渗处理，可有效防治污染物渗入地下，并及时地将泄漏/渗漏的污染物收集并进行集中处理。</w:t>
            </w:r>
          </w:p>
          <w:p>
            <w:pPr>
              <w:adjustRightInd w:val="0"/>
              <w:snapToGrid w:val="0"/>
              <w:spacing w:line="520" w:lineRule="exact"/>
              <w:ind w:firstLine="480" w:firstLineChars="200"/>
              <w:rPr>
                <w:sz w:val="24"/>
              </w:rPr>
            </w:pPr>
            <w:r>
              <w:rPr>
                <w:rFonts w:hint="eastAsia"/>
                <w:sz w:val="24"/>
              </w:rPr>
              <w:t>本环评要求企业采取以下环保措施避免对地下水造成污染：</w:t>
            </w:r>
          </w:p>
          <w:p>
            <w:pPr>
              <w:adjustRightInd w:val="0"/>
              <w:snapToGrid w:val="0"/>
              <w:spacing w:line="520" w:lineRule="exact"/>
              <w:ind w:firstLine="480" w:firstLineChars="200"/>
              <w:rPr>
                <w:sz w:val="24"/>
              </w:rPr>
            </w:pPr>
            <w:r>
              <w:rPr>
                <w:rFonts w:hint="eastAsia"/>
                <w:sz w:val="24"/>
              </w:rPr>
              <w:t>（1）危废暂存间内地面全部硬化，并做好相应的防渗措施；</w:t>
            </w:r>
          </w:p>
          <w:p>
            <w:pPr>
              <w:adjustRightInd w:val="0"/>
              <w:snapToGrid w:val="0"/>
              <w:spacing w:line="520" w:lineRule="exact"/>
              <w:ind w:firstLine="480" w:firstLineChars="200"/>
              <w:rPr>
                <w:sz w:val="24"/>
              </w:rPr>
            </w:pPr>
            <w:r>
              <w:rPr>
                <w:rFonts w:hint="eastAsia"/>
                <w:sz w:val="24"/>
              </w:rPr>
              <w:t>（2）做好地面防渗，以及装置、管道的密封防漏工作，定期检查、维修和及时更新。</w:t>
            </w:r>
          </w:p>
          <w:p>
            <w:pPr>
              <w:adjustRightInd w:val="0"/>
              <w:snapToGrid w:val="0"/>
              <w:spacing w:line="520" w:lineRule="exact"/>
              <w:ind w:firstLine="480" w:firstLineChars="200"/>
              <w:rPr>
                <w:sz w:val="24"/>
              </w:rPr>
            </w:pPr>
            <w:r>
              <w:rPr>
                <w:rFonts w:hint="eastAsia"/>
                <w:sz w:val="24"/>
              </w:rPr>
              <w:t>重点防渗区内至少1m厚黏土层（渗透系数≤10</w:t>
            </w:r>
            <w:r>
              <w:rPr>
                <w:rFonts w:hint="eastAsia"/>
                <w:sz w:val="24"/>
                <w:vertAlign w:val="superscript"/>
              </w:rPr>
              <w:t>-7</w:t>
            </w:r>
            <w:r>
              <w:rPr>
                <w:rFonts w:hint="eastAsia"/>
                <w:sz w:val="24"/>
              </w:rPr>
              <w:t>cm/s）或2mm厚高密度聚乙烯，至少2mm厚的其他人工材料，渗透系数≤10</w:t>
            </w:r>
            <w:r>
              <w:rPr>
                <w:rFonts w:hint="eastAsia"/>
                <w:sz w:val="24"/>
                <w:vertAlign w:val="superscript"/>
              </w:rPr>
              <w:t>-10</w:t>
            </w:r>
            <w:r>
              <w:rPr>
                <w:rFonts w:hint="eastAsia"/>
                <w:sz w:val="24"/>
              </w:rPr>
              <w:t>cm/s。</w:t>
            </w:r>
          </w:p>
          <w:p>
            <w:pPr>
              <w:adjustRightInd w:val="0"/>
              <w:snapToGrid w:val="0"/>
              <w:spacing w:line="520" w:lineRule="exact"/>
              <w:ind w:firstLine="480" w:firstLineChars="200"/>
              <w:rPr>
                <w:sz w:val="24"/>
              </w:rPr>
            </w:pPr>
            <w:r>
              <w:rPr>
                <w:rFonts w:hint="eastAsia"/>
                <w:sz w:val="24"/>
              </w:rPr>
              <w:t>简单防渗区地面硬化。</w:t>
            </w:r>
          </w:p>
          <w:p>
            <w:pPr>
              <w:adjustRightInd w:val="0"/>
              <w:snapToGrid w:val="0"/>
              <w:spacing w:line="520" w:lineRule="exact"/>
              <w:ind w:firstLine="480" w:firstLineChars="200"/>
              <w:rPr>
                <w:sz w:val="24"/>
              </w:rPr>
            </w:pPr>
            <w:r>
              <w:rPr>
                <w:rFonts w:hint="eastAsia"/>
                <w:sz w:val="24"/>
              </w:rPr>
              <w:t>本项目全厂污染防治分区情况详见表4-</w:t>
            </w:r>
            <w:r>
              <w:rPr>
                <w:rFonts w:hint="eastAsia"/>
                <w:sz w:val="24"/>
                <w:lang w:val="en-US" w:eastAsia="zh-CN"/>
              </w:rPr>
              <w:t>16</w:t>
            </w:r>
            <w:r>
              <w:rPr>
                <w:rFonts w:hint="eastAsia"/>
                <w:sz w:val="24"/>
              </w:rPr>
              <w:t>。</w:t>
            </w:r>
          </w:p>
          <w:p>
            <w:pPr>
              <w:ind w:firstLine="480" w:firstLineChars="200"/>
              <w:jc w:val="center"/>
              <w:rPr>
                <w:rFonts w:eastAsia="黑体"/>
                <w:sz w:val="24"/>
              </w:rPr>
            </w:pPr>
            <w:r>
              <w:rPr>
                <w:rFonts w:hint="eastAsia" w:eastAsia="黑体"/>
                <w:sz w:val="24"/>
              </w:rPr>
              <w:t>表4-</w:t>
            </w:r>
            <w:r>
              <w:rPr>
                <w:rFonts w:hint="eastAsia" w:eastAsia="黑体"/>
                <w:sz w:val="24"/>
                <w:lang w:val="en-US" w:eastAsia="zh-CN"/>
              </w:rPr>
              <w:t>16</w:t>
            </w:r>
            <w:r>
              <w:rPr>
                <w:rFonts w:hint="eastAsia" w:eastAsia="黑体"/>
                <w:sz w:val="24"/>
              </w:rPr>
              <w:t xml:space="preserve">  本项目地下水污染防治分区情况表</w:t>
            </w:r>
          </w:p>
          <w:tbl>
            <w:tblPr>
              <w:tblStyle w:val="3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2"/>
              <w:gridCol w:w="67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45" w:type="pct"/>
                  <w:tcBorders>
                    <w:tl2br w:val="nil"/>
                    <w:tr2bl w:val="nil"/>
                  </w:tcBorders>
                </w:tcPr>
                <w:p>
                  <w:pPr>
                    <w:pStyle w:val="20"/>
                    <w:jc w:val="center"/>
                  </w:pPr>
                  <w:r>
                    <w:rPr>
                      <w:rFonts w:hint="eastAsia"/>
                    </w:rPr>
                    <w:t>名称</w:t>
                  </w:r>
                </w:p>
              </w:tc>
              <w:tc>
                <w:tcPr>
                  <w:tcW w:w="3754" w:type="pct"/>
                  <w:tcBorders>
                    <w:tl2br w:val="nil"/>
                    <w:tr2bl w:val="nil"/>
                  </w:tcBorders>
                </w:tcPr>
                <w:p>
                  <w:pPr>
                    <w:pStyle w:val="20"/>
                    <w:jc w:val="center"/>
                  </w:pPr>
                  <w:r>
                    <w:rPr>
                      <w:rFonts w:hint="eastAsia"/>
                    </w:rPr>
                    <w:t>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20"/>
                    <w:jc w:val="center"/>
                  </w:pPr>
                  <w:r>
                    <w:rPr>
                      <w:rFonts w:hint="eastAsia"/>
                    </w:rPr>
                    <w:t>重点防渗区</w:t>
                  </w:r>
                </w:p>
              </w:tc>
              <w:tc>
                <w:tcPr>
                  <w:tcW w:w="3754" w:type="pct"/>
                  <w:tcBorders>
                    <w:tl2br w:val="nil"/>
                    <w:tr2bl w:val="nil"/>
                  </w:tcBorders>
                </w:tcPr>
                <w:p>
                  <w:pPr>
                    <w:pStyle w:val="20"/>
                    <w:jc w:val="center"/>
                  </w:pPr>
                  <w:r>
                    <w:rPr>
                      <w:rFonts w:hint="eastAsia"/>
                    </w:rPr>
                    <w:t>危废暂存间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20"/>
                    <w:jc w:val="center"/>
                  </w:pPr>
                  <w:r>
                    <w:rPr>
                      <w:rFonts w:hint="eastAsia"/>
                    </w:rPr>
                    <w:t>简单防渗区</w:t>
                  </w:r>
                </w:p>
              </w:tc>
              <w:tc>
                <w:tcPr>
                  <w:tcW w:w="3754" w:type="pct"/>
                  <w:tcBorders>
                    <w:tl2br w:val="nil"/>
                    <w:tr2bl w:val="nil"/>
                  </w:tcBorders>
                </w:tcPr>
                <w:p>
                  <w:pPr>
                    <w:pStyle w:val="20"/>
                    <w:jc w:val="center"/>
                  </w:pPr>
                  <w:r>
                    <w:rPr>
                      <w:rFonts w:hint="eastAsia"/>
                    </w:rPr>
                    <w:t>其他区域</w:t>
                  </w:r>
                </w:p>
              </w:tc>
            </w:tr>
          </w:tbl>
          <w:p>
            <w:pPr>
              <w:adjustRightInd w:val="0"/>
              <w:snapToGrid w:val="0"/>
              <w:spacing w:line="520" w:lineRule="exact"/>
              <w:ind w:firstLine="480" w:firstLineChars="200"/>
              <w:rPr>
                <w:rFonts w:hint="eastAsia"/>
                <w:sz w:val="24"/>
              </w:rPr>
            </w:pPr>
            <w:r>
              <w:rPr>
                <w:sz w:val="24"/>
              </w:rPr>
              <w:t>项目</w:t>
            </w:r>
            <w:r>
              <w:rPr>
                <w:rFonts w:hint="eastAsia"/>
                <w:sz w:val="24"/>
                <w:lang w:val="en-US" w:eastAsia="zh-CN"/>
              </w:rPr>
              <w:t>分区防渗</w:t>
            </w:r>
            <w:r>
              <w:rPr>
                <w:sz w:val="24"/>
              </w:rPr>
              <w:t>见</w:t>
            </w:r>
            <w:r>
              <w:rPr>
                <w:rFonts w:hint="eastAsia"/>
                <w:sz w:val="24"/>
              </w:rPr>
              <w:t>下图。</w:t>
            </w:r>
          </w:p>
          <w:p>
            <w:pPr>
              <w:pStyle w:val="41"/>
              <w:ind w:left="0" w:leftChars="0" w:right="0" w:rightChars="0" w:firstLine="0" w:firstLineChars="0"/>
              <w:jc w:val="center"/>
            </w:pPr>
            <w:r>
              <w:drawing>
                <wp:anchor distT="0" distB="0" distL="114300" distR="114300" simplePos="0" relativeHeight="251720704" behindDoc="0" locked="0" layoutInCell="1" allowOverlap="1">
                  <wp:simplePos x="0" y="0"/>
                  <wp:positionH relativeFrom="column">
                    <wp:posOffset>4681855</wp:posOffset>
                  </wp:positionH>
                  <wp:positionV relativeFrom="paragraph">
                    <wp:posOffset>104140</wp:posOffset>
                  </wp:positionV>
                  <wp:extent cx="586740" cy="591820"/>
                  <wp:effectExtent l="0" t="0" r="3810" b="17780"/>
                  <wp:wrapNone/>
                  <wp:docPr id="2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8"/>
                          <pic:cNvPicPr>
                            <a:picLocks noChangeAspect="1"/>
                          </pic:cNvPicPr>
                        </pic:nvPicPr>
                        <pic:blipFill>
                          <a:blip r:embed="rId17"/>
                          <a:stretch>
                            <a:fillRect/>
                          </a:stretch>
                        </pic:blipFill>
                        <pic:spPr>
                          <a:xfrm>
                            <a:off x="0" y="0"/>
                            <a:ext cx="586740" cy="591820"/>
                          </a:xfrm>
                          <a:prstGeom prst="rect">
                            <a:avLst/>
                          </a:prstGeom>
                          <a:noFill/>
                          <a:ln>
                            <a:noFill/>
                          </a:ln>
                        </pic:spPr>
                      </pic:pic>
                    </a:graphicData>
                  </a:graphic>
                </wp:anchor>
              </w:drawing>
            </w:r>
            <w:r>
              <w:rPr>
                <w:rStyle w:val="37"/>
                <w:szCs w:val="20"/>
              </w:rPr>
              <w:object>
                <v:shape id="_x0000_i1032" o:spt="75" type="#_x0000_t75" style="height:272.6pt;width:419.95pt;" o:ole="t" filled="f" o:preferrelative="t" stroked="t" coordsize="21600,21600">
                  <v:path/>
                  <v:fill on="f" focussize="0,0"/>
                  <v:stroke weight="1.5pt" color="#000000" joinstyle="miter"/>
                  <v:imagedata r:id="rId34" o:title=""/>
                  <o:lock v:ext="edit" aspectratio="f"/>
                  <w10:wrap type="none"/>
                  <w10:anchorlock/>
                </v:shape>
                <o:OLEObject Type="Embed" ProgID="Visio.Drawing.11" ShapeID="_x0000_i1032" DrawAspect="Content" ObjectID="_1468075732" r:id="rId33">
                  <o:LockedField>false</o:LockedField>
                </o:OLEObject>
              </w:object>
            </w:r>
            <w:r>
              <w:drawing>
                <wp:anchor distT="0" distB="0" distL="114300" distR="114300" simplePos="0" relativeHeight="251719680" behindDoc="0" locked="0" layoutInCell="1" allowOverlap="1">
                  <wp:simplePos x="0" y="0"/>
                  <wp:positionH relativeFrom="column">
                    <wp:posOffset>11824335</wp:posOffset>
                  </wp:positionH>
                  <wp:positionV relativeFrom="paragraph">
                    <wp:posOffset>451485</wp:posOffset>
                  </wp:positionV>
                  <wp:extent cx="895985" cy="914400"/>
                  <wp:effectExtent l="9525" t="9525" r="27940" b="9525"/>
                  <wp:wrapNone/>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20"/>
                          <a:stretch>
                            <a:fillRect/>
                          </a:stretch>
                        </pic:blipFill>
                        <pic:spPr>
                          <a:xfrm>
                            <a:off x="0" y="0"/>
                            <a:ext cx="895985" cy="914400"/>
                          </a:xfrm>
                          <a:prstGeom prst="rect">
                            <a:avLst/>
                          </a:prstGeom>
                          <a:noFill/>
                          <a:ln w="3175" cap="flat" cmpd="sng">
                            <a:solidFill>
                              <a:srgbClr val="000000"/>
                            </a:solidFill>
                            <a:prstDash val="solid"/>
                            <a:miter/>
                            <a:headEnd type="none" w="med" len="med"/>
                            <a:tailEnd type="none" w="med" len="med"/>
                          </a:ln>
                        </pic:spPr>
                      </pic:pic>
                    </a:graphicData>
                  </a:graphic>
                </wp:anchor>
              </w:drawing>
            </w:r>
          </w:p>
          <w:p>
            <w:pPr>
              <w:adjustRightInd w:val="0"/>
              <w:snapToGrid w:val="0"/>
              <w:spacing w:line="480" w:lineRule="exact"/>
              <w:ind w:left="0" w:leftChars="0" w:right="0" w:rightChars="0" w:firstLine="0" w:firstLineChars="0"/>
              <w:jc w:val="center"/>
              <w:rPr>
                <w:rFonts w:hint="eastAsia" w:eastAsia="黑体"/>
                <w:b/>
                <w:bCs/>
                <w:sz w:val="24"/>
                <w:lang w:val="en-US" w:eastAsia="zh-CN"/>
              </w:rPr>
            </w:pPr>
            <w:r>
              <w:rPr>
                <w:rFonts w:eastAsia="黑体"/>
                <w:sz w:val="24"/>
                <w:szCs w:val="32"/>
              </w:rPr>
              <w:t>图</w:t>
            </w:r>
            <w:r>
              <w:rPr>
                <w:rFonts w:hint="eastAsia" w:eastAsia="黑体"/>
                <w:sz w:val="24"/>
                <w:szCs w:val="32"/>
                <w:lang w:val="en-US" w:eastAsia="zh-CN"/>
              </w:rPr>
              <w:t>5-1</w:t>
            </w:r>
            <w:r>
              <w:rPr>
                <w:rFonts w:eastAsia="黑体"/>
                <w:sz w:val="24"/>
                <w:szCs w:val="32"/>
              </w:rPr>
              <w:t xml:space="preserve"> </w:t>
            </w:r>
            <w:r>
              <w:rPr>
                <w:rFonts w:hint="eastAsia" w:eastAsia="黑体"/>
                <w:sz w:val="24"/>
                <w:szCs w:val="32"/>
              </w:rPr>
              <w:t xml:space="preserve"> </w:t>
            </w:r>
            <w:r>
              <w:rPr>
                <w:rFonts w:hint="eastAsia" w:eastAsia="黑体"/>
                <w:sz w:val="24"/>
                <w:szCs w:val="32"/>
                <w:lang w:val="en-US" w:eastAsia="zh-CN"/>
              </w:rPr>
              <w:t>分区防渗图</w:t>
            </w:r>
          </w:p>
          <w:p>
            <w:pPr>
              <w:adjustRightInd w:val="0"/>
              <w:snapToGrid w:val="0"/>
              <w:spacing w:line="480" w:lineRule="exact"/>
              <w:ind w:firstLine="482" w:firstLineChars="200"/>
              <w:rPr>
                <w:b/>
                <w:bCs/>
                <w:sz w:val="24"/>
              </w:rPr>
            </w:pPr>
            <w:r>
              <w:rPr>
                <w:rFonts w:hint="eastAsia"/>
                <w:b/>
                <w:bCs/>
                <w:sz w:val="24"/>
                <w:lang w:val="en-US" w:eastAsia="zh-CN"/>
              </w:rPr>
              <w:t>6</w:t>
            </w:r>
            <w:r>
              <w:rPr>
                <w:rFonts w:hint="eastAsia"/>
                <w:b/>
                <w:bCs/>
                <w:sz w:val="24"/>
              </w:rPr>
              <w:t>、环境风险</w:t>
            </w:r>
          </w:p>
          <w:p>
            <w:pPr>
              <w:pStyle w:val="65"/>
              <w:ind w:firstLine="482"/>
              <w:rPr>
                <w:b/>
                <w:bCs/>
              </w:rPr>
            </w:pPr>
            <w:r>
              <w:rPr>
                <w:rFonts w:hint="eastAsia"/>
                <w:b/>
                <w:bCs/>
                <w:lang w:val="en-US" w:eastAsia="zh-CN"/>
              </w:rPr>
              <w:t>6</w:t>
            </w:r>
            <w:r>
              <w:rPr>
                <w:b/>
                <w:bCs/>
              </w:rPr>
              <w:t>.1</w:t>
            </w:r>
            <w:r>
              <w:rPr>
                <w:rFonts w:hint="eastAsia"/>
                <w:b/>
                <w:bCs/>
              </w:rPr>
              <w:t>评价依据</w:t>
            </w:r>
          </w:p>
          <w:p>
            <w:pPr>
              <w:pStyle w:val="65"/>
              <w:rPr>
                <w:kern w:val="0"/>
              </w:rPr>
            </w:pPr>
            <w:r>
              <w:rPr>
                <w:rFonts w:hint="eastAsia"/>
              </w:rPr>
              <w:t>本</w:t>
            </w:r>
            <w:r>
              <w:rPr>
                <w:kern w:val="0"/>
              </w:rPr>
              <w:t>环境风险评价的目的是分析和预测建设项目存在的潜在危险、有害因素、建设项目建设和生产运行期间可能发生的突发性事件或事故（一般不包括人为破坏及自然灾害）引起易燃易爆等物质燃烧爆炸，所造成的人身安全与环境影响和损害程度，提出合理可行的防范、应急与减缓措施，以使建设项目事故率、损失和环境影响达到可接受水平。</w:t>
            </w:r>
          </w:p>
          <w:p>
            <w:pPr>
              <w:adjustRightInd w:val="0"/>
              <w:snapToGrid w:val="0"/>
              <w:spacing w:line="520" w:lineRule="exact"/>
              <w:ind w:firstLine="480" w:firstLineChars="200"/>
              <w:rPr>
                <w:bCs/>
                <w:sz w:val="24"/>
                <w:szCs w:val="32"/>
              </w:rPr>
            </w:pPr>
            <w:r>
              <w:rPr>
                <w:bCs/>
                <w:sz w:val="24"/>
                <w:szCs w:val="32"/>
              </w:rPr>
              <w:t>（1）风险调查</w:t>
            </w:r>
          </w:p>
          <w:p>
            <w:pPr>
              <w:adjustRightInd w:val="0"/>
              <w:snapToGrid w:val="0"/>
              <w:spacing w:line="520" w:lineRule="exact"/>
              <w:ind w:firstLine="480" w:firstLineChars="200"/>
              <w:rPr>
                <w:bCs/>
                <w:sz w:val="24"/>
                <w:szCs w:val="32"/>
              </w:rPr>
            </w:pPr>
            <w:r>
              <w:rPr>
                <w:bCs/>
                <w:sz w:val="24"/>
                <w:szCs w:val="32"/>
              </w:rPr>
              <w:t>建设项目风险源调查</w:t>
            </w:r>
          </w:p>
          <w:p>
            <w:pPr>
              <w:adjustRightInd w:val="0"/>
              <w:snapToGrid w:val="0"/>
              <w:spacing w:line="520" w:lineRule="exact"/>
              <w:ind w:firstLine="480" w:firstLineChars="200"/>
              <w:rPr>
                <w:bCs/>
                <w:sz w:val="24"/>
                <w:szCs w:val="32"/>
              </w:rPr>
            </w:pPr>
            <w:r>
              <w:rPr>
                <w:bCs/>
                <w:sz w:val="24"/>
                <w:szCs w:val="32"/>
              </w:rPr>
              <w:t>本项目为</w:t>
            </w:r>
            <w:r>
              <w:rPr>
                <w:rFonts w:hint="eastAsia"/>
                <w:sz w:val="24"/>
                <w:szCs w:val="32"/>
                <w:lang w:val="en-US" w:eastAsia="zh-CN"/>
              </w:rPr>
              <w:t>保温模板</w:t>
            </w:r>
            <w:r>
              <w:rPr>
                <w:bCs/>
                <w:sz w:val="24"/>
                <w:szCs w:val="32"/>
              </w:rPr>
              <w:t>生产项目，生产过程中涉及的主要原料为</w:t>
            </w:r>
            <w:r>
              <w:rPr>
                <w:rFonts w:hint="eastAsia"/>
                <w:bCs/>
                <w:sz w:val="24"/>
                <w:szCs w:val="32"/>
                <w:lang w:val="en-US" w:eastAsia="zh-CN"/>
              </w:rPr>
              <w:t>水泥、砂石料、界面剂等</w:t>
            </w:r>
            <w:r>
              <w:rPr>
                <w:bCs/>
                <w:sz w:val="24"/>
                <w:szCs w:val="32"/>
              </w:rPr>
              <w:t>，项目所用原料不具有危险性，项目不存在风险源。</w:t>
            </w:r>
          </w:p>
          <w:p>
            <w:pPr>
              <w:adjustRightInd w:val="0"/>
              <w:snapToGrid w:val="0"/>
              <w:spacing w:line="520" w:lineRule="exact"/>
              <w:ind w:firstLine="480" w:firstLineChars="200"/>
              <w:rPr>
                <w:bCs/>
                <w:sz w:val="24"/>
                <w:szCs w:val="32"/>
              </w:rPr>
            </w:pPr>
            <w:r>
              <w:rPr>
                <w:bCs/>
                <w:sz w:val="24"/>
                <w:szCs w:val="32"/>
              </w:rPr>
              <w:t>环境风险潜势初判及评价等级</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kern w:val="0"/>
                <w:sz w:val="24"/>
                <w:lang w:bidi="ar"/>
              </w:rPr>
            </w:pPr>
            <w:r>
              <w:rPr>
                <w:rFonts w:hint="eastAsia"/>
                <w:kern w:val="0"/>
                <w:sz w:val="24"/>
                <w:lang w:bidi="ar"/>
              </w:rPr>
              <w:t>《建设项目环境风险评价技术导则》（HJ169-2018）中规定，根据建设项目涉及的物质及工艺系统危险性和所在地的环境敏感性确定环境风险潜势</w:t>
            </w:r>
            <w:r>
              <w:rPr>
                <w:rFonts w:hint="eastAsia"/>
                <w:kern w:val="0"/>
                <w:sz w:val="24"/>
                <w:lang w:eastAsia="zh-CN" w:bidi="ar"/>
              </w:rPr>
              <w:t>。</w:t>
            </w:r>
            <w:r>
              <w:rPr>
                <w:rFonts w:hint="eastAsia"/>
                <w:kern w:val="0"/>
                <w:sz w:val="24"/>
                <w:lang w:bidi="ar"/>
              </w:rPr>
              <w:t>风险潜势为Ⅳ及以上，进行一级评价；风险潜势为Ⅲ，进行二级评价；风险潜势为Ⅱ，进行三级评价；风险潜势为Ⅰ，可开展简单分析。因此本次评价按照导则附录A的内容进行风险分析。</w:t>
            </w:r>
          </w:p>
          <w:p>
            <w:pPr>
              <w:widowControl/>
              <w:jc w:val="center"/>
              <w:rPr>
                <w:rFonts w:eastAsia="黑体"/>
                <w:sz w:val="24"/>
              </w:rPr>
            </w:pPr>
            <w:r>
              <w:rPr>
                <w:rFonts w:eastAsia="黑体"/>
                <w:sz w:val="24"/>
              </w:rPr>
              <w:t>表4-</w:t>
            </w:r>
            <w:r>
              <w:rPr>
                <w:rFonts w:hint="eastAsia" w:eastAsia="黑体"/>
                <w:sz w:val="24"/>
                <w:lang w:val="en-US" w:eastAsia="zh-CN"/>
              </w:rPr>
              <w:t>17</w:t>
            </w:r>
            <w:r>
              <w:rPr>
                <w:rFonts w:eastAsia="黑体"/>
                <w:sz w:val="24"/>
              </w:rPr>
              <w:t xml:space="preserve">  评价工作等级划分</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61"/>
              <w:gridCol w:w="1840"/>
              <w:gridCol w:w="1869"/>
              <w:gridCol w:w="1536"/>
              <w:gridCol w:w="15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1250" w:type="pct"/>
                  <w:vAlign w:val="center"/>
                </w:tcPr>
                <w:p>
                  <w:pPr>
                    <w:jc w:val="center"/>
                    <w:rPr>
                      <w:szCs w:val="21"/>
                    </w:rPr>
                  </w:pPr>
                  <w:r>
                    <w:rPr>
                      <w:szCs w:val="21"/>
                    </w:rPr>
                    <w:t xml:space="preserve">环境风险潜势 </w:t>
                  </w:r>
                </w:p>
              </w:tc>
              <w:tc>
                <w:tcPr>
                  <w:tcW w:w="1017" w:type="pct"/>
                  <w:vAlign w:val="center"/>
                </w:tcPr>
                <w:p>
                  <w:pPr>
                    <w:jc w:val="center"/>
                    <w:rPr>
                      <w:szCs w:val="21"/>
                    </w:rPr>
                  </w:pPr>
                  <w:r>
                    <w:rPr>
                      <w:szCs w:val="21"/>
                    </w:rPr>
                    <w:t>Ⅳ、Ⅳ+</w:t>
                  </w:r>
                </w:p>
              </w:tc>
              <w:tc>
                <w:tcPr>
                  <w:tcW w:w="1033" w:type="pct"/>
                  <w:vAlign w:val="center"/>
                </w:tcPr>
                <w:p>
                  <w:pPr>
                    <w:jc w:val="center"/>
                    <w:rPr>
                      <w:szCs w:val="21"/>
                    </w:rPr>
                  </w:pPr>
                  <w:r>
                    <w:rPr>
                      <w:szCs w:val="21"/>
                    </w:rPr>
                    <w:t>Ⅲ</w:t>
                  </w:r>
                </w:p>
              </w:tc>
              <w:tc>
                <w:tcPr>
                  <w:tcW w:w="849" w:type="pct"/>
                  <w:vAlign w:val="center"/>
                </w:tcPr>
                <w:p>
                  <w:pPr>
                    <w:jc w:val="center"/>
                    <w:rPr>
                      <w:szCs w:val="21"/>
                    </w:rPr>
                  </w:pPr>
                  <w:r>
                    <w:rPr>
                      <w:szCs w:val="21"/>
                    </w:rPr>
                    <w:t>Ⅱ</w:t>
                  </w:r>
                </w:p>
              </w:tc>
              <w:tc>
                <w:tcPr>
                  <w:tcW w:w="849" w:type="pct"/>
                  <w:vAlign w:val="center"/>
                </w:tcPr>
                <w:p>
                  <w:pPr>
                    <w:jc w:val="center"/>
                    <w:rPr>
                      <w:szCs w:val="21"/>
                    </w:rPr>
                  </w:pPr>
                  <w:r>
                    <w:rPr>
                      <w:szCs w:val="21"/>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1250" w:type="pct"/>
                  <w:vAlign w:val="center"/>
                </w:tcPr>
                <w:p>
                  <w:pPr>
                    <w:jc w:val="center"/>
                    <w:rPr>
                      <w:szCs w:val="21"/>
                    </w:rPr>
                  </w:pPr>
                  <w:r>
                    <w:rPr>
                      <w:szCs w:val="21"/>
                    </w:rPr>
                    <w:t xml:space="preserve">评价工作等级 </w:t>
                  </w:r>
                </w:p>
              </w:tc>
              <w:tc>
                <w:tcPr>
                  <w:tcW w:w="1017" w:type="pct"/>
                  <w:vAlign w:val="center"/>
                </w:tcPr>
                <w:p>
                  <w:pPr>
                    <w:jc w:val="center"/>
                    <w:rPr>
                      <w:szCs w:val="21"/>
                    </w:rPr>
                  </w:pPr>
                  <w:r>
                    <w:rPr>
                      <w:szCs w:val="21"/>
                    </w:rPr>
                    <w:t>一</w:t>
                  </w:r>
                </w:p>
              </w:tc>
              <w:tc>
                <w:tcPr>
                  <w:tcW w:w="1033" w:type="pct"/>
                  <w:vAlign w:val="center"/>
                </w:tcPr>
                <w:p>
                  <w:pPr>
                    <w:jc w:val="center"/>
                    <w:rPr>
                      <w:szCs w:val="21"/>
                    </w:rPr>
                  </w:pPr>
                  <w:r>
                    <w:rPr>
                      <w:szCs w:val="21"/>
                    </w:rPr>
                    <w:t>二</w:t>
                  </w:r>
                </w:p>
              </w:tc>
              <w:tc>
                <w:tcPr>
                  <w:tcW w:w="849" w:type="pct"/>
                  <w:vAlign w:val="center"/>
                </w:tcPr>
                <w:p>
                  <w:pPr>
                    <w:jc w:val="center"/>
                    <w:rPr>
                      <w:szCs w:val="21"/>
                    </w:rPr>
                  </w:pPr>
                  <w:r>
                    <w:rPr>
                      <w:szCs w:val="21"/>
                    </w:rPr>
                    <w:t>三</w:t>
                  </w:r>
                </w:p>
              </w:tc>
              <w:tc>
                <w:tcPr>
                  <w:tcW w:w="849" w:type="pct"/>
                  <w:vAlign w:val="center"/>
                </w:tcPr>
                <w:p>
                  <w:pPr>
                    <w:jc w:val="center"/>
                    <w:rPr>
                      <w:szCs w:val="21"/>
                    </w:rPr>
                  </w:pPr>
                  <w:r>
                    <w:rPr>
                      <w:szCs w:val="21"/>
                    </w:rPr>
                    <w:t>简单分析</w:t>
                  </w:r>
                  <w:r>
                    <w:rPr>
                      <w:szCs w:val="21"/>
                      <w:vertAlign w:val="superscript"/>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5000" w:type="pct"/>
                  <w:gridSpan w:val="5"/>
                  <w:vAlign w:val="center"/>
                </w:tcPr>
                <w:p>
                  <w:pPr>
                    <w:widowControl/>
                    <w:jc w:val="left"/>
                    <w:rPr>
                      <w:szCs w:val="21"/>
                    </w:rPr>
                  </w:pPr>
                  <w:r>
                    <w:rPr>
                      <w:szCs w:val="21"/>
                    </w:rPr>
                    <w:t>a 是相对于详细评价工作内容而言，在描述危险物质、环境影响途径、环境危害后果、风险防范措施等方面给出定性的说明。</w:t>
                  </w:r>
                </w:p>
              </w:tc>
            </w:tr>
          </w:tbl>
          <w:p>
            <w:pPr>
              <w:widowControl/>
              <w:jc w:val="center"/>
              <w:rPr>
                <w:rFonts w:eastAsia="黑体"/>
                <w:sz w:val="24"/>
              </w:rPr>
            </w:pPr>
            <w:r>
              <w:rPr>
                <w:rFonts w:eastAsia="黑体"/>
                <w:sz w:val="24"/>
              </w:rPr>
              <w:t>表4-</w:t>
            </w:r>
            <w:r>
              <w:rPr>
                <w:rFonts w:hint="eastAsia" w:eastAsia="黑体"/>
                <w:sz w:val="24"/>
                <w:lang w:val="en-US" w:eastAsia="zh-CN"/>
              </w:rPr>
              <w:t>17</w:t>
            </w:r>
            <w:r>
              <w:rPr>
                <w:rFonts w:eastAsia="黑体"/>
                <w:sz w:val="24"/>
              </w:rPr>
              <w:t xml:space="preserve">  建设项目环境风险潜势划分</w:t>
            </w:r>
          </w:p>
          <w:tbl>
            <w:tblPr>
              <w:tblStyle w:val="31"/>
              <w:tblW w:w="4999"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3150"/>
              <w:gridCol w:w="1615"/>
              <w:gridCol w:w="1452"/>
              <w:gridCol w:w="1452"/>
              <w:gridCol w:w="1292"/>
              <w:gridCol w:w="7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0" w:hRule="atLeast"/>
              </w:trPr>
              <w:tc>
                <w:tcPr>
                  <w:tcW w:w="1744" w:type="pct"/>
                  <w:vMerge w:val="restart"/>
                  <w:tcBorders>
                    <w:top w:val="single" w:color="auto" w:sz="12" w:space="0"/>
                    <w:left w:val="nil"/>
                    <w:right w:val="single" w:color="auto" w:sz="4" w:space="0"/>
                  </w:tcBorders>
                  <w:vAlign w:val="center"/>
                </w:tcPr>
                <w:p>
                  <w:pPr>
                    <w:widowControl/>
                    <w:jc w:val="center"/>
                    <w:rPr>
                      <w:szCs w:val="21"/>
                    </w:rPr>
                  </w:pPr>
                  <w:r>
                    <w:rPr>
                      <w:szCs w:val="21"/>
                    </w:rPr>
                    <w:t>环境敏感程度（E）</w:t>
                  </w:r>
                </w:p>
              </w:tc>
              <w:tc>
                <w:tcPr>
                  <w:tcW w:w="3255" w:type="pct"/>
                  <w:gridSpan w:val="5"/>
                  <w:tcBorders>
                    <w:top w:val="single" w:color="auto" w:sz="12" w:space="0"/>
                    <w:left w:val="single" w:color="auto" w:sz="4" w:space="0"/>
                    <w:bottom w:val="single" w:color="auto" w:sz="4" w:space="0"/>
                    <w:right w:val="nil"/>
                  </w:tcBorders>
                  <w:vAlign w:val="center"/>
                </w:tcPr>
                <w:p>
                  <w:pPr>
                    <w:widowControl/>
                    <w:jc w:val="center"/>
                    <w:rPr>
                      <w:rFonts w:ascii="宋体" w:hAnsi="宋体" w:cs="宋体"/>
                      <w:color w:val="000000"/>
                      <w:kern w:val="0"/>
                      <w:sz w:val="22"/>
                      <w:szCs w:val="22"/>
                    </w:rPr>
                  </w:pPr>
                  <w:r>
                    <w:rPr>
                      <w:szCs w:val="21"/>
                    </w:rPr>
                    <w:t>危险物质及工艺系统危险性（P）</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8" w:type="pct"/>
                <w:trHeight w:val="478" w:hRule="atLeast"/>
              </w:trPr>
              <w:tc>
                <w:tcPr>
                  <w:tcW w:w="1744" w:type="pct"/>
                  <w:vMerge w:val="continue"/>
                  <w:tcBorders>
                    <w:left w:val="nil"/>
                    <w:bottom w:val="single" w:color="auto" w:sz="4" w:space="0"/>
                    <w:right w:val="single" w:color="auto" w:sz="4" w:space="0"/>
                  </w:tcBorders>
                  <w:vAlign w:val="center"/>
                </w:tcPr>
                <w:p>
                  <w:pPr>
                    <w:widowControl/>
                    <w:jc w:val="center"/>
                    <w:rPr>
                      <w:szCs w:val="21"/>
                    </w:rPr>
                  </w:pPr>
                </w:p>
              </w:tc>
              <w:tc>
                <w:tcPr>
                  <w:tcW w:w="894" w:type="pct"/>
                  <w:tcBorders>
                    <w:top w:val="single" w:color="auto" w:sz="4" w:space="0"/>
                    <w:left w:val="single" w:color="auto" w:sz="4" w:space="0"/>
                    <w:bottom w:val="single" w:color="auto" w:sz="4" w:space="0"/>
                    <w:right w:val="single" w:color="auto" w:sz="4" w:space="0"/>
                  </w:tcBorders>
                  <w:vAlign w:val="center"/>
                </w:tcPr>
                <w:p>
                  <w:pPr>
                    <w:widowControl/>
                    <w:ind w:left="-105" w:leftChars="-50" w:right="-105" w:rightChars="-50"/>
                    <w:jc w:val="center"/>
                    <w:rPr>
                      <w:szCs w:val="21"/>
                    </w:rPr>
                  </w:pPr>
                  <w:r>
                    <w:rPr>
                      <w:szCs w:val="21"/>
                    </w:rPr>
                    <w:t>极高危害（P1）</w:t>
                  </w:r>
                </w:p>
              </w:tc>
              <w:tc>
                <w:tcPr>
                  <w:tcW w:w="804" w:type="pct"/>
                  <w:tcBorders>
                    <w:top w:val="single" w:color="auto" w:sz="4" w:space="0"/>
                    <w:left w:val="single" w:color="auto" w:sz="4" w:space="0"/>
                    <w:bottom w:val="single" w:color="auto" w:sz="4" w:space="0"/>
                    <w:right w:val="single" w:color="auto" w:sz="4" w:space="0"/>
                  </w:tcBorders>
                  <w:vAlign w:val="center"/>
                </w:tcPr>
                <w:p>
                  <w:pPr>
                    <w:widowControl/>
                    <w:ind w:left="-105" w:leftChars="-50" w:right="-105" w:rightChars="-50"/>
                    <w:jc w:val="center"/>
                    <w:rPr>
                      <w:rFonts w:ascii="宋体" w:hAnsi="宋体" w:cs="宋体"/>
                      <w:color w:val="000000"/>
                      <w:kern w:val="0"/>
                      <w:sz w:val="22"/>
                      <w:szCs w:val="22"/>
                    </w:rPr>
                  </w:pPr>
                  <w:r>
                    <w:rPr>
                      <w:szCs w:val="21"/>
                    </w:rPr>
                    <w:t>高度危害（P2）</w:t>
                  </w:r>
                </w:p>
              </w:tc>
              <w:tc>
                <w:tcPr>
                  <w:tcW w:w="804" w:type="pct"/>
                  <w:tcBorders>
                    <w:top w:val="single" w:color="auto" w:sz="4" w:space="0"/>
                    <w:left w:val="single" w:color="auto" w:sz="4" w:space="0"/>
                    <w:bottom w:val="single" w:color="auto" w:sz="4" w:space="0"/>
                    <w:right w:val="single" w:color="auto" w:sz="4" w:space="0"/>
                  </w:tcBorders>
                  <w:vAlign w:val="center"/>
                </w:tcPr>
                <w:p>
                  <w:pPr>
                    <w:widowControl/>
                    <w:ind w:left="-105" w:leftChars="-50" w:right="-105" w:rightChars="-50"/>
                    <w:jc w:val="center"/>
                    <w:rPr>
                      <w:rFonts w:ascii="宋体" w:hAnsi="宋体" w:cs="宋体"/>
                      <w:color w:val="000000"/>
                      <w:kern w:val="0"/>
                      <w:sz w:val="22"/>
                      <w:szCs w:val="22"/>
                    </w:rPr>
                  </w:pPr>
                  <w:r>
                    <w:rPr>
                      <w:rFonts w:ascii="宋体" w:hAnsi="宋体" w:cs="宋体"/>
                      <w:color w:val="000000"/>
                      <w:kern w:val="0"/>
                      <w:sz w:val="22"/>
                      <w:szCs w:val="22"/>
                    </w:rPr>
                    <w:t>中度危害（</w:t>
                  </w:r>
                  <w:r>
                    <w:rPr>
                      <w:rFonts w:ascii="TimesNewRomanPSMT" w:hAnsi="TimesNewRomanPSMT" w:cs="宋体"/>
                      <w:color w:val="000000"/>
                      <w:kern w:val="0"/>
                      <w:sz w:val="22"/>
                      <w:szCs w:val="22"/>
                    </w:rPr>
                    <w:t>P3</w:t>
                  </w:r>
                  <w:r>
                    <w:rPr>
                      <w:rFonts w:ascii="宋体" w:hAnsi="宋体" w:cs="宋体"/>
                      <w:color w:val="000000"/>
                      <w:kern w:val="0"/>
                      <w:sz w:val="22"/>
                      <w:szCs w:val="22"/>
                    </w:rPr>
                    <w:t>）</w:t>
                  </w:r>
                </w:p>
              </w:tc>
              <w:tc>
                <w:tcPr>
                  <w:tcW w:w="715" w:type="pct"/>
                  <w:tcBorders>
                    <w:top w:val="single" w:color="auto" w:sz="4" w:space="0"/>
                    <w:left w:val="single" w:color="auto" w:sz="4" w:space="0"/>
                    <w:bottom w:val="single" w:color="auto" w:sz="4" w:space="0"/>
                    <w:right w:val="nil"/>
                  </w:tcBorders>
                  <w:vAlign w:val="center"/>
                </w:tcPr>
                <w:p>
                  <w:pPr>
                    <w:widowControl/>
                    <w:ind w:left="-105" w:leftChars="-50" w:right="-105" w:rightChars="-50"/>
                    <w:jc w:val="center"/>
                    <w:rPr>
                      <w:rFonts w:ascii="宋体" w:hAnsi="宋体" w:cs="宋体"/>
                      <w:color w:val="000000"/>
                      <w:kern w:val="0"/>
                      <w:sz w:val="22"/>
                      <w:szCs w:val="22"/>
                    </w:rPr>
                  </w:pPr>
                  <w:r>
                    <w:rPr>
                      <w:rFonts w:ascii="宋体" w:hAnsi="宋体" w:cs="宋体"/>
                      <w:color w:val="000000"/>
                      <w:kern w:val="0"/>
                      <w:sz w:val="22"/>
                      <w:szCs w:val="22"/>
                    </w:rPr>
                    <w:t>轻度危害（</w:t>
                  </w:r>
                  <w:r>
                    <w:rPr>
                      <w:rFonts w:ascii="TimesNewRomanPSMT" w:hAnsi="TimesNewRomanPSMT" w:cs="宋体"/>
                      <w:color w:val="000000"/>
                      <w:kern w:val="0"/>
                      <w:sz w:val="22"/>
                      <w:szCs w:val="22"/>
                    </w:rPr>
                    <w:t>P4</w:t>
                  </w:r>
                  <w:r>
                    <w:rPr>
                      <w:rFonts w:ascii="宋体" w:hAnsi="宋体" w:cs="宋体"/>
                      <w:color w:val="000000"/>
                      <w:kern w:val="0"/>
                      <w:sz w:val="22"/>
                      <w:szCs w:val="22"/>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8" w:type="pct"/>
                <w:trHeight w:val="232" w:hRule="atLeast"/>
              </w:trPr>
              <w:tc>
                <w:tcPr>
                  <w:tcW w:w="1744" w:type="pct"/>
                  <w:tcBorders>
                    <w:top w:val="single" w:color="auto" w:sz="4" w:space="0"/>
                    <w:left w:val="nil"/>
                    <w:bottom w:val="single" w:color="auto" w:sz="4" w:space="0"/>
                    <w:right w:val="single" w:color="auto" w:sz="4" w:space="0"/>
                  </w:tcBorders>
                  <w:vAlign w:val="center"/>
                </w:tcPr>
                <w:p>
                  <w:pPr>
                    <w:widowControl/>
                    <w:jc w:val="center"/>
                    <w:rPr>
                      <w:szCs w:val="21"/>
                    </w:rPr>
                  </w:pPr>
                  <w:r>
                    <w:rPr>
                      <w:szCs w:val="21"/>
                    </w:rPr>
                    <w:t>环境高度敏感区（E1）</w:t>
                  </w:r>
                </w:p>
              </w:tc>
              <w:tc>
                <w:tcPr>
                  <w:tcW w:w="894" w:type="pct"/>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szCs w:val="21"/>
                    </w:rPr>
                    <w:t>Ⅳ</w:t>
                  </w:r>
                  <w:r>
                    <w:rPr>
                      <w:szCs w:val="21"/>
                      <w:vertAlign w:val="superscript"/>
                    </w:rPr>
                    <w:t>+</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r>
                    <w:rPr>
                      <w:rFonts w:ascii="宋体" w:hAnsi="宋体" w:cs="宋体"/>
                      <w:color w:val="000000"/>
                      <w:kern w:val="0"/>
                      <w:sz w:val="22"/>
                      <w:szCs w:val="22"/>
                    </w:rPr>
                    <w:t>Ⅳ</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r>
                    <w:rPr>
                      <w:rFonts w:ascii="宋体" w:hAnsi="宋体" w:cs="宋体"/>
                      <w:color w:val="000000"/>
                      <w:kern w:val="0"/>
                      <w:sz w:val="22"/>
                      <w:szCs w:val="22"/>
                    </w:rPr>
                    <w:t>Ⅲ</w:t>
                  </w:r>
                </w:p>
              </w:tc>
              <w:tc>
                <w:tcPr>
                  <w:tcW w:w="715" w:type="pct"/>
                  <w:tcBorders>
                    <w:top w:val="single" w:color="auto" w:sz="4" w:space="0"/>
                    <w:left w:val="single" w:color="auto" w:sz="4" w:space="0"/>
                    <w:bottom w:val="single" w:color="auto" w:sz="4" w:space="0"/>
                    <w:right w:val="nil"/>
                  </w:tcBorders>
                  <w:vAlign w:val="center"/>
                </w:tcPr>
                <w:p>
                  <w:pPr>
                    <w:widowControl/>
                    <w:jc w:val="center"/>
                    <w:rPr>
                      <w:rFonts w:ascii="宋体" w:hAnsi="宋体" w:cs="宋体"/>
                      <w:color w:val="000000"/>
                      <w:kern w:val="0"/>
                      <w:sz w:val="22"/>
                      <w:szCs w:val="22"/>
                    </w:rPr>
                  </w:pPr>
                  <w:r>
                    <w:rPr>
                      <w:rFonts w:ascii="宋体" w:hAnsi="宋体" w:cs="宋体"/>
                      <w:color w:val="000000"/>
                      <w:kern w:val="0"/>
                      <w:sz w:val="22"/>
                      <w:szCs w:val="22"/>
                    </w:rPr>
                    <w:t>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8" w:type="pct"/>
                <w:trHeight w:val="232" w:hRule="atLeast"/>
              </w:trPr>
              <w:tc>
                <w:tcPr>
                  <w:tcW w:w="1744" w:type="pct"/>
                  <w:tcBorders>
                    <w:top w:val="single" w:color="auto" w:sz="4" w:space="0"/>
                    <w:left w:val="nil"/>
                    <w:bottom w:val="single" w:color="auto" w:sz="4" w:space="0"/>
                    <w:right w:val="single" w:color="auto" w:sz="4" w:space="0"/>
                  </w:tcBorders>
                  <w:vAlign w:val="center"/>
                </w:tcPr>
                <w:p>
                  <w:pPr>
                    <w:widowControl/>
                    <w:jc w:val="center"/>
                    <w:rPr>
                      <w:szCs w:val="21"/>
                    </w:rPr>
                  </w:pPr>
                  <w:r>
                    <w:rPr>
                      <w:szCs w:val="21"/>
                    </w:rPr>
                    <w:t>环境中度敏感区（E2）</w:t>
                  </w:r>
                </w:p>
              </w:tc>
              <w:tc>
                <w:tcPr>
                  <w:tcW w:w="894" w:type="pct"/>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szCs w:val="21"/>
                    </w:rPr>
                    <w:t>Ⅳ</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r>
                    <w:rPr>
                      <w:rFonts w:ascii="宋体" w:hAnsi="宋体" w:cs="宋体"/>
                      <w:color w:val="000000"/>
                      <w:kern w:val="0"/>
                      <w:sz w:val="22"/>
                      <w:szCs w:val="22"/>
                    </w:rPr>
                    <w:t>Ⅲ</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r>
                    <w:rPr>
                      <w:rFonts w:ascii="宋体" w:hAnsi="宋体" w:cs="宋体"/>
                      <w:color w:val="000000"/>
                      <w:kern w:val="0"/>
                      <w:sz w:val="22"/>
                      <w:szCs w:val="22"/>
                    </w:rPr>
                    <w:t>Ⅲ</w:t>
                  </w:r>
                </w:p>
              </w:tc>
              <w:tc>
                <w:tcPr>
                  <w:tcW w:w="715" w:type="pct"/>
                  <w:tcBorders>
                    <w:top w:val="single" w:color="auto" w:sz="4" w:space="0"/>
                    <w:left w:val="single" w:color="auto" w:sz="4" w:space="0"/>
                    <w:bottom w:val="single" w:color="auto" w:sz="4" w:space="0"/>
                    <w:right w:val="nil"/>
                  </w:tcBorders>
                  <w:vAlign w:val="center"/>
                </w:tcPr>
                <w:p>
                  <w:pPr>
                    <w:widowControl/>
                    <w:jc w:val="center"/>
                    <w:rPr>
                      <w:rFonts w:ascii="宋体" w:hAnsi="宋体" w:cs="宋体"/>
                      <w:kern w:val="0"/>
                      <w:sz w:val="24"/>
                    </w:rPr>
                  </w:pPr>
                  <w:r>
                    <w:rPr>
                      <w:rFonts w:ascii="宋体" w:hAnsi="宋体" w:cs="宋体"/>
                      <w:color w:val="000000"/>
                      <w:kern w:val="0"/>
                      <w:sz w:val="22"/>
                      <w:szCs w:val="22"/>
                    </w:rPr>
                    <w:t>Ⅱ</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8" w:type="pct"/>
                <w:trHeight w:val="220" w:hRule="atLeast"/>
              </w:trPr>
              <w:tc>
                <w:tcPr>
                  <w:tcW w:w="1744" w:type="pct"/>
                  <w:tcBorders>
                    <w:top w:val="single" w:color="auto" w:sz="4" w:space="0"/>
                    <w:left w:val="nil"/>
                    <w:bottom w:val="single" w:color="auto" w:sz="4" w:space="0"/>
                    <w:right w:val="single" w:color="auto" w:sz="4" w:space="0"/>
                  </w:tcBorders>
                  <w:vAlign w:val="center"/>
                </w:tcPr>
                <w:p>
                  <w:pPr>
                    <w:widowControl/>
                    <w:jc w:val="center"/>
                    <w:rPr>
                      <w:szCs w:val="21"/>
                    </w:rPr>
                  </w:pPr>
                  <w:r>
                    <w:rPr>
                      <w:szCs w:val="21"/>
                    </w:rPr>
                    <w:t>环境低度敏感区（E3）</w:t>
                  </w:r>
                </w:p>
              </w:tc>
              <w:tc>
                <w:tcPr>
                  <w:tcW w:w="894" w:type="pct"/>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szCs w:val="21"/>
                    </w:rPr>
                    <w:t>Ⅲ</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r>
                    <w:rPr>
                      <w:rFonts w:ascii="宋体" w:hAnsi="宋体" w:cs="宋体"/>
                      <w:color w:val="000000"/>
                      <w:kern w:val="0"/>
                      <w:sz w:val="22"/>
                      <w:szCs w:val="22"/>
                    </w:rPr>
                    <w:t>Ⅲ</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r>
                    <w:rPr>
                      <w:rFonts w:ascii="宋体" w:hAnsi="宋体" w:cs="宋体"/>
                      <w:color w:val="000000"/>
                      <w:kern w:val="0"/>
                      <w:sz w:val="22"/>
                      <w:szCs w:val="22"/>
                    </w:rPr>
                    <w:t>Ⅱ</w:t>
                  </w:r>
                </w:p>
              </w:tc>
              <w:tc>
                <w:tcPr>
                  <w:tcW w:w="715" w:type="pct"/>
                  <w:tcBorders>
                    <w:top w:val="single" w:color="auto" w:sz="4" w:space="0"/>
                    <w:left w:val="single" w:color="auto" w:sz="4" w:space="0"/>
                    <w:bottom w:val="single" w:color="auto" w:sz="4" w:space="0"/>
                    <w:right w:val="nil"/>
                  </w:tcBorders>
                  <w:vAlign w:val="center"/>
                </w:tcPr>
                <w:p>
                  <w:pPr>
                    <w:widowControl/>
                    <w:jc w:val="center"/>
                    <w:rPr>
                      <w:rFonts w:ascii="宋体" w:hAnsi="宋体" w:cs="宋体"/>
                      <w:kern w:val="0"/>
                      <w:sz w:val="24"/>
                    </w:rPr>
                  </w:pPr>
                  <w:r>
                    <w:rPr>
                      <w:rFonts w:ascii="宋体" w:hAnsi="宋体" w:cs="宋体"/>
                      <w:color w:val="000000"/>
                      <w:kern w:val="0"/>
                      <w:sz w:val="22"/>
                      <w:szCs w:val="22"/>
                    </w:rPr>
                    <w:t>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2" w:hRule="atLeast"/>
              </w:trPr>
              <w:tc>
                <w:tcPr>
                  <w:tcW w:w="5000" w:type="pct"/>
                  <w:gridSpan w:val="6"/>
                  <w:tcBorders>
                    <w:top w:val="single" w:color="auto" w:sz="4" w:space="0"/>
                    <w:left w:val="nil"/>
                    <w:bottom w:val="single" w:color="auto" w:sz="12" w:space="0"/>
                    <w:right w:val="nil"/>
                  </w:tcBorders>
                  <w:vAlign w:val="center"/>
                </w:tcPr>
                <w:p>
                  <w:pPr>
                    <w:widowControl/>
                    <w:jc w:val="left"/>
                    <w:rPr>
                      <w:rFonts w:ascii="宋体" w:hAnsi="宋体" w:cs="宋体"/>
                      <w:color w:val="000000"/>
                      <w:kern w:val="0"/>
                      <w:sz w:val="22"/>
                      <w:szCs w:val="22"/>
                    </w:rPr>
                  </w:pPr>
                  <w:r>
                    <w:rPr>
                      <w:rFonts w:ascii="宋体" w:hAnsi="宋体"/>
                      <w:color w:val="000000"/>
                      <w:kern w:val="0"/>
                      <w:sz w:val="22"/>
                      <w:szCs w:val="22"/>
                    </w:rPr>
                    <w:t>注：Ⅳ</w:t>
                  </w:r>
                  <w:r>
                    <w:rPr>
                      <w:rFonts w:ascii="宋体" w:hAnsi="宋体"/>
                      <w:color w:val="000000"/>
                      <w:kern w:val="0"/>
                      <w:sz w:val="12"/>
                      <w:szCs w:val="12"/>
                    </w:rPr>
                    <w:t>+</w:t>
                  </w:r>
                  <w:r>
                    <w:rPr>
                      <w:rFonts w:ascii="宋体" w:hAnsi="宋体"/>
                      <w:color w:val="000000"/>
                      <w:kern w:val="0"/>
                      <w:sz w:val="22"/>
                      <w:szCs w:val="22"/>
                    </w:rPr>
                    <w:t>为极高环境风险。</w:t>
                  </w:r>
                </w:p>
              </w:tc>
            </w:tr>
          </w:tbl>
          <w:p>
            <w:pPr>
              <w:adjustRightInd w:val="0"/>
              <w:snapToGrid w:val="0"/>
              <w:spacing w:line="520" w:lineRule="exact"/>
              <w:ind w:firstLine="480" w:firstLineChars="200"/>
              <w:rPr>
                <w:bCs/>
                <w:sz w:val="24"/>
                <w:szCs w:val="32"/>
              </w:rPr>
            </w:pPr>
            <w:r>
              <w:rPr>
                <w:rFonts w:hint="eastAsia"/>
                <w:kern w:val="0"/>
                <w:sz w:val="24"/>
                <w:lang w:bidi="ar"/>
              </w:rPr>
              <w:t>本项目</w:t>
            </w:r>
            <w:r>
              <w:rPr>
                <w:rFonts w:hint="eastAsia"/>
                <w:kern w:val="0"/>
                <w:sz w:val="24"/>
                <w:lang w:val="en-US" w:eastAsia="zh-CN" w:bidi="ar"/>
              </w:rPr>
              <w:t>原辅材料</w:t>
            </w:r>
            <w:r>
              <w:rPr>
                <w:rFonts w:hint="eastAsia"/>
                <w:kern w:val="0"/>
                <w:sz w:val="24"/>
                <w:lang w:bidi="ar"/>
              </w:rPr>
              <w:t>主要为</w:t>
            </w:r>
            <w:r>
              <w:rPr>
                <w:rFonts w:hint="eastAsia"/>
                <w:kern w:val="0"/>
                <w:sz w:val="24"/>
                <w:lang w:val="en-US" w:eastAsia="zh-CN" w:bidi="ar"/>
              </w:rPr>
              <w:t>水泥、砂石料、界面剂等</w:t>
            </w:r>
            <w:r>
              <w:rPr>
                <w:rFonts w:hint="eastAsia"/>
                <w:kern w:val="0"/>
                <w:sz w:val="24"/>
                <w:lang w:bidi="ar"/>
              </w:rPr>
              <w:t>，经查，</w:t>
            </w:r>
            <w:r>
              <w:rPr>
                <w:rFonts w:hint="eastAsia"/>
                <w:kern w:val="0"/>
                <w:sz w:val="24"/>
                <w:lang w:val="en-US" w:eastAsia="zh-CN" w:bidi="ar"/>
              </w:rPr>
              <w:t>水泥、砂石料、界面剂等</w:t>
            </w:r>
            <w:r>
              <w:rPr>
                <w:rFonts w:hint="eastAsia"/>
                <w:kern w:val="0"/>
                <w:sz w:val="24"/>
                <w:lang w:bidi="ar"/>
              </w:rPr>
              <w:t>未被列入《危险化学品重大危险源辨识》（GB18218-201</w:t>
            </w:r>
            <w:r>
              <w:rPr>
                <w:rFonts w:hint="eastAsia"/>
                <w:kern w:val="0"/>
                <w:sz w:val="24"/>
                <w:lang w:val="en-US" w:eastAsia="zh-CN" w:bidi="ar"/>
              </w:rPr>
              <w:t>8</w:t>
            </w:r>
            <w:r>
              <w:rPr>
                <w:rFonts w:hint="eastAsia"/>
                <w:kern w:val="0"/>
                <w:sz w:val="24"/>
                <w:lang w:bidi="ar"/>
              </w:rPr>
              <w:t>）监控目录，也未被列入《建设项目环境风险评价技术导则》（HJ169-2018）附录B规定的重点关注的危险物质。本项目生产过程中并未使用有毒物质，属非重大危险源。本项目位于</w:t>
            </w:r>
            <w:r>
              <w:rPr>
                <w:sz w:val="24"/>
              </w:rPr>
              <w:t>新疆昌吉</w:t>
            </w:r>
            <w:r>
              <w:rPr>
                <w:rFonts w:hint="eastAsia"/>
                <w:sz w:val="24"/>
              </w:rPr>
              <w:t>回族自治</w:t>
            </w:r>
            <w:r>
              <w:rPr>
                <w:sz w:val="24"/>
              </w:rPr>
              <w:t>州</w:t>
            </w:r>
            <w:r>
              <w:rPr>
                <w:rFonts w:hint="eastAsia"/>
                <w:sz w:val="24"/>
              </w:rPr>
              <w:t>甘泉堡工业园区（阜康阜西产业园区）</w:t>
            </w:r>
            <w:r>
              <w:rPr>
                <w:rFonts w:hint="eastAsia" w:ascii="Times New Roman" w:hAnsi="Times New Roman" w:cs="Times New Roman"/>
                <w:sz w:val="24"/>
                <w:szCs w:val="24"/>
              </w:rPr>
              <w:t>小微企业创新区</w:t>
            </w:r>
            <w:r>
              <w:rPr>
                <w:rFonts w:hint="eastAsia"/>
                <w:kern w:val="0"/>
                <w:sz w:val="24"/>
                <w:lang w:bidi="ar"/>
              </w:rPr>
              <w:t>，不属于《建设项目环境影响评价分类管理名录》中列出的环境敏感区。由此判定环境风险潜势为Ⅰ类。根据评价导则要求，本次评价参照标准进行风险识别和对事故风险进行简单分析，定性分析危险物质、环境影响途径、环境危害后果、风险防范措施等。</w:t>
            </w:r>
          </w:p>
          <w:p>
            <w:pPr>
              <w:adjustRightInd w:val="0"/>
              <w:snapToGrid w:val="0"/>
              <w:spacing w:line="520" w:lineRule="exact"/>
              <w:ind w:firstLine="482" w:firstLineChars="200"/>
              <w:rPr>
                <w:b/>
                <w:sz w:val="24"/>
                <w:szCs w:val="32"/>
              </w:rPr>
            </w:pPr>
            <w:r>
              <w:rPr>
                <w:rFonts w:hint="eastAsia"/>
                <w:b/>
                <w:sz w:val="24"/>
                <w:szCs w:val="32"/>
              </w:rPr>
              <w:t>5.2</w:t>
            </w:r>
            <w:r>
              <w:rPr>
                <w:b/>
                <w:sz w:val="24"/>
                <w:szCs w:val="32"/>
              </w:rPr>
              <w:t>环境敏感目标调查</w:t>
            </w:r>
          </w:p>
          <w:p>
            <w:pPr>
              <w:adjustRightInd w:val="0"/>
              <w:snapToGrid w:val="0"/>
              <w:spacing w:line="520" w:lineRule="exact"/>
              <w:ind w:firstLine="480" w:firstLineChars="200"/>
              <w:rPr>
                <w:bCs/>
                <w:sz w:val="24"/>
                <w:szCs w:val="32"/>
              </w:rPr>
            </w:pPr>
            <w:r>
              <w:rPr>
                <w:bCs/>
                <w:sz w:val="24"/>
                <w:szCs w:val="32"/>
              </w:rPr>
              <w:t>根据危险物质可能的影响途径，确定项目环境敏感目标主要为评价范围内的居住区、医疗卫生、文化教育、科研、行政办公等人口集中区，</w:t>
            </w:r>
            <w:r>
              <w:rPr>
                <w:rFonts w:hint="eastAsia"/>
                <w:bCs/>
                <w:sz w:val="24"/>
                <w:szCs w:val="32"/>
              </w:rPr>
              <w:t>本项目周围没有环境敏感目标。</w:t>
            </w:r>
            <w:r>
              <w:rPr>
                <w:bCs/>
                <w:sz w:val="24"/>
                <w:szCs w:val="32"/>
              </w:rPr>
              <w:t>项目事故情况下可能影响的地表水体、地下水及土壤。</w:t>
            </w:r>
          </w:p>
          <w:p>
            <w:pPr>
              <w:adjustRightInd w:val="0"/>
              <w:snapToGrid w:val="0"/>
              <w:spacing w:line="520" w:lineRule="exact"/>
              <w:ind w:firstLine="482" w:firstLineChars="200"/>
              <w:rPr>
                <w:b/>
                <w:sz w:val="24"/>
                <w:szCs w:val="32"/>
              </w:rPr>
            </w:pPr>
            <w:r>
              <w:rPr>
                <w:rFonts w:hint="eastAsia"/>
                <w:b/>
                <w:sz w:val="24"/>
                <w:szCs w:val="32"/>
              </w:rPr>
              <w:t>5.3</w:t>
            </w:r>
            <w:r>
              <w:rPr>
                <w:b/>
                <w:sz w:val="24"/>
                <w:szCs w:val="32"/>
              </w:rPr>
              <w:t>风险识别</w:t>
            </w:r>
          </w:p>
          <w:p>
            <w:pPr>
              <w:adjustRightInd w:val="0"/>
              <w:snapToGrid w:val="0"/>
              <w:spacing w:line="520" w:lineRule="exact"/>
              <w:ind w:firstLine="480" w:firstLineChars="200"/>
              <w:rPr>
                <w:bCs/>
                <w:sz w:val="24"/>
                <w:szCs w:val="32"/>
              </w:rPr>
            </w:pPr>
            <w:r>
              <w:rPr>
                <w:rFonts w:hint="eastAsia"/>
                <w:bCs/>
                <w:sz w:val="24"/>
                <w:szCs w:val="32"/>
                <w:lang w:eastAsia="zh-CN"/>
              </w:rPr>
              <w:t>（</w:t>
            </w:r>
            <w:r>
              <w:rPr>
                <w:rFonts w:hint="eastAsia"/>
                <w:bCs/>
                <w:sz w:val="24"/>
                <w:szCs w:val="32"/>
                <w:lang w:val="en-US" w:eastAsia="zh-CN"/>
              </w:rPr>
              <w:t>1</w:t>
            </w:r>
            <w:r>
              <w:rPr>
                <w:rFonts w:hint="eastAsia"/>
                <w:bCs/>
                <w:sz w:val="24"/>
                <w:szCs w:val="32"/>
                <w:lang w:eastAsia="zh-CN"/>
              </w:rPr>
              <w:t>）</w:t>
            </w:r>
            <w:r>
              <w:rPr>
                <w:bCs/>
                <w:sz w:val="24"/>
                <w:szCs w:val="32"/>
              </w:rPr>
              <w:t>风险物质识别</w:t>
            </w:r>
          </w:p>
          <w:p>
            <w:pPr>
              <w:adjustRightInd w:val="0"/>
              <w:snapToGrid w:val="0"/>
              <w:spacing w:line="520" w:lineRule="exact"/>
              <w:ind w:firstLine="480" w:firstLineChars="200"/>
              <w:rPr>
                <w:bCs/>
                <w:sz w:val="24"/>
                <w:szCs w:val="32"/>
              </w:rPr>
            </w:pPr>
            <w:r>
              <w:rPr>
                <w:bCs/>
                <w:sz w:val="24"/>
                <w:szCs w:val="32"/>
              </w:rPr>
              <w:t>项目使用的原辅材料主要为</w:t>
            </w:r>
            <w:r>
              <w:rPr>
                <w:rFonts w:hint="eastAsia"/>
                <w:kern w:val="0"/>
                <w:sz w:val="24"/>
                <w:lang w:val="en-US" w:eastAsia="zh-CN" w:bidi="ar"/>
              </w:rPr>
              <w:t>水泥、砂石料、界面剂</w:t>
            </w:r>
            <w:r>
              <w:rPr>
                <w:bCs/>
                <w:sz w:val="24"/>
                <w:szCs w:val="32"/>
              </w:rPr>
              <w:t>等，不涉及《建设项目环境风险评价技术导则》（HJ169-2018）规定的危险物质的生产、使用、贮运等。</w:t>
            </w:r>
          </w:p>
          <w:p>
            <w:pPr>
              <w:adjustRightInd w:val="0"/>
              <w:snapToGrid w:val="0"/>
              <w:spacing w:line="520" w:lineRule="exact"/>
              <w:ind w:firstLine="480" w:firstLineChars="200"/>
              <w:rPr>
                <w:bCs/>
                <w:sz w:val="24"/>
                <w:szCs w:val="32"/>
              </w:rPr>
            </w:pPr>
            <w:r>
              <w:rPr>
                <w:rFonts w:hint="eastAsia"/>
                <w:bCs/>
                <w:sz w:val="24"/>
                <w:szCs w:val="32"/>
                <w:lang w:eastAsia="zh-CN"/>
              </w:rPr>
              <w:t>（</w:t>
            </w:r>
            <w:r>
              <w:rPr>
                <w:rFonts w:hint="eastAsia"/>
                <w:bCs/>
                <w:sz w:val="24"/>
                <w:szCs w:val="32"/>
                <w:lang w:val="en-US" w:eastAsia="zh-CN"/>
              </w:rPr>
              <w:t>2</w:t>
            </w:r>
            <w:r>
              <w:rPr>
                <w:rFonts w:hint="eastAsia"/>
                <w:bCs/>
                <w:sz w:val="24"/>
                <w:szCs w:val="32"/>
                <w:lang w:eastAsia="zh-CN"/>
              </w:rPr>
              <w:t>）</w:t>
            </w:r>
            <w:r>
              <w:rPr>
                <w:bCs/>
                <w:sz w:val="24"/>
                <w:szCs w:val="32"/>
              </w:rPr>
              <w:t>生产设施风险识别</w:t>
            </w:r>
          </w:p>
          <w:p>
            <w:pPr>
              <w:adjustRightInd w:val="0"/>
              <w:snapToGrid w:val="0"/>
              <w:spacing w:line="520" w:lineRule="exact"/>
              <w:ind w:firstLine="480" w:firstLineChars="200"/>
              <w:rPr>
                <w:bCs/>
                <w:sz w:val="24"/>
                <w:szCs w:val="32"/>
              </w:rPr>
            </w:pPr>
            <w:r>
              <w:rPr>
                <w:bCs/>
                <w:sz w:val="24"/>
                <w:szCs w:val="32"/>
              </w:rPr>
              <w:t>本项目生产设施可能发生的风险事故有：</w:t>
            </w:r>
          </w:p>
          <w:p>
            <w:pPr>
              <w:adjustRightInd w:val="0"/>
              <w:snapToGrid w:val="0"/>
              <w:spacing w:line="520" w:lineRule="exact"/>
              <w:ind w:firstLine="480" w:firstLineChars="200"/>
              <w:rPr>
                <w:bCs/>
                <w:sz w:val="24"/>
                <w:szCs w:val="32"/>
              </w:rPr>
            </w:pPr>
            <w:r>
              <w:rPr>
                <w:bCs/>
                <w:sz w:val="24"/>
                <w:szCs w:val="32"/>
              </w:rPr>
              <w:t>A生产、贮存设备可能因控制系统出现故障或操作与判断失误，导致物料外泄；</w:t>
            </w:r>
          </w:p>
          <w:p>
            <w:pPr>
              <w:adjustRightInd w:val="0"/>
              <w:snapToGrid w:val="0"/>
              <w:spacing w:line="520" w:lineRule="exact"/>
              <w:ind w:firstLine="480" w:firstLineChars="200"/>
              <w:rPr>
                <w:bCs/>
                <w:sz w:val="24"/>
                <w:szCs w:val="32"/>
              </w:rPr>
            </w:pPr>
            <w:r>
              <w:rPr>
                <w:bCs/>
                <w:sz w:val="24"/>
                <w:szCs w:val="32"/>
              </w:rPr>
              <w:t>B废气处理设施（如袋式除尘器）故障导致废气不经处理直接排放，污染物排放出现超标现象；</w:t>
            </w:r>
          </w:p>
          <w:p>
            <w:pPr>
              <w:adjustRightInd w:val="0"/>
              <w:snapToGrid w:val="0"/>
              <w:spacing w:line="520" w:lineRule="exact"/>
              <w:ind w:firstLine="480" w:firstLineChars="200"/>
              <w:rPr>
                <w:bCs/>
                <w:sz w:val="24"/>
                <w:szCs w:val="32"/>
              </w:rPr>
            </w:pPr>
            <w:r>
              <w:rPr>
                <w:bCs/>
                <w:sz w:val="24"/>
                <w:szCs w:val="32"/>
              </w:rPr>
              <w:t>C散装水泥卸料时压力过大导致罐体爆炸。</w:t>
            </w:r>
          </w:p>
          <w:p>
            <w:pPr>
              <w:adjustRightInd w:val="0"/>
              <w:snapToGrid w:val="0"/>
              <w:spacing w:line="520" w:lineRule="exact"/>
              <w:ind w:firstLine="482" w:firstLineChars="200"/>
              <w:rPr>
                <w:b/>
                <w:sz w:val="24"/>
                <w:szCs w:val="32"/>
              </w:rPr>
            </w:pPr>
            <w:r>
              <w:rPr>
                <w:rFonts w:hint="eastAsia"/>
                <w:b/>
                <w:sz w:val="24"/>
                <w:szCs w:val="32"/>
              </w:rPr>
              <w:t>5.4</w:t>
            </w:r>
            <w:r>
              <w:rPr>
                <w:b/>
                <w:sz w:val="24"/>
                <w:szCs w:val="32"/>
              </w:rPr>
              <w:t>环境风险分析</w:t>
            </w:r>
          </w:p>
          <w:p>
            <w:pPr>
              <w:adjustRightInd w:val="0"/>
              <w:snapToGrid w:val="0"/>
              <w:spacing w:line="520" w:lineRule="exact"/>
              <w:ind w:firstLine="480" w:firstLineChars="200"/>
              <w:rPr>
                <w:bCs/>
                <w:sz w:val="24"/>
                <w:szCs w:val="32"/>
              </w:rPr>
            </w:pPr>
            <w:r>
              <w:rPr>
                <w:rFonts w:hint="eastAsia"/>
                <w:bCs/>
                <w:sz w:val="24"/>
                <w:szCs w:val="32"/>
                <w:lang w:eastAsia="zh-CN"/>
              </w:rPr>
              <w:t>（</w:t>
            </w:r>
            <w:r>
              <w:rPr>
                <w:rFonts w:hint="eastAsia"/>
                <w:bCs/>
                <w:sz w:val="24"/>
                <w:szCs w:val="32"/>
                <w:lang w:val="en-US" w:eastAsia="zh-CN"/>
              </w:rPr>
              <w:t>1</w:t>
            </w:r>
            <w:r>
              <w:rPr>
                <w:rFonts w:hint="eastAsia"/>
                <w:bCs/>
                <w:sz w:val="24"/>
                <w:szCs w:val="32"/>
                <w:lang w:eastAsia="zh-CN"/>
              </w:rPr>
              <w:t>）</w:t>
            </w:r>
            <w:r>
              <w:rPr>
                <w:bCs/>
                <w:sz w:val="24"/>
                <w:szCs w:val="32"/>
              </w:rPr>
              <w:t>物料外泄会导致附近</w:t>
            </w:r>
            <w:r>
              <w:rPr>
                <w:rFonts w:hint="eastAsia"/>
                <w:bCs/>
                <w:sz w:val="24"/>
                <w:szCs w:val="32"/>
              </w:rPr>
              <w:t>土壤</w:t>
            </w:r>
            <w:r>
              <w:rPr>
                <w:bCs/>
                <w:sz w:val="24"/>
                <w:szCs w:val="32"/>
              </w:rPr>
              <w:t>和地下水污染；</w:t>
            </w:r>
          </w:p>
          <w:p>
            <w:pPr>
              <w:adjustRightInd w:val="0"/>
              <w:snapToGrid w:val="0"/>
              <w:spacing w:line="520" w:lineRule="exact"/>
              <w:ind w:firstLine="480" w:firstLineChars="200"/>
              <w:rPr>
                <w:bCs/>
                <w:sz w:val="24"/>
                <w:szCs w:val="32"/>
              </w:rPr>
            </w:pPr>
            <w:r>
              <w:rPr>
                <w:rFonts w:hint="eastAsia"/>
                <w:bCs/>
                <w:sz w:val="24"/>
                <w:szCs w:val="32"/>
                <w:lang w:eastAsia="zh-CN"/>
              </w:rPr>
              <w:t>（</w:t>
            </w:r>
            <w:r>
              <w:rPr>
                <w:rFonts w:hint="eastAsia"/>
                <w:bCs/>
                <w:sz w:val="24"/>
                <w:szCs w:val="32"/>
                <w:lang w:val="en-US" w:eastAsia="zh-CN"/>
              </w:rPr>
              <w:t>2</w:t>
            </w:r>
            <w:r>
              <w:rPr>
                <w:rFonts w:hint="eastAsia"/>
                <w:bCs/>
                <w:sz w:val="24"/>
                <w:szCs w:val="32"/>
                <w:lang w:eastAsia="zh-CN"/>
              </w:rPr>
              <w:t>）</w:t>
            </w:r>
            <w:r>
              <w:rPr>
                <w:bCs/>
                <w:sz w:val="24"/>
                <w:szCs w:val="32"/>
              </w:rPr>
              <w:t>废气处理设施故障会导致粉尘超标排放，对项目周围及环境敏感目标处的大气环境造成不良影响，周围群众吸入过量粉尘会对身体健康造成不良影响；</w:t>
            </w:r>
          </w:p>
          <w:p>
            <w:pPr>
              <w:adjustRightInd w:val="0"/>
              <w:snapToGrid w:val="0"/>
              <w:spacing w:line="520" w:lineRule="exact"/>
              <w:ind w:firstLine="480" w:firstLineChars="200"/>
              <w:rPr>
                <w:bCs/>
                <w:sz w:val="24"/>
                <w:szCs w:val="32"/>
              </w:rPr>
            </w:pPr>
            <w:r>
              <w:rPr>
                <w:rFonts w:hint="eastAsia"/>
                <w:bCs/>
                <w:sz w:val="24"/>
                <w:szCs w:val="32"/>
                <w:lang w:eastAsia="zh-CN"/>
              </w:rPr>
              <w:t>（</w:t>
            </w:r>
            <w:r>
              <w:rPr>
                <w:rFonts w:hint="eastAsia"/>
                <w:bCs/>
                <w:sz w:val="24"/>
                <w:szCs w:val="32"/>
                <w:lang w:val="en-US" w:eastAsia="zh-CN"/>
              </w:rPr>
              <w:t>3</w:t>
            </w:r>
            <w:r>
              <w:rPr>
                <w:rFonts w:hint="eastAsia"/>
                <w:bCs/>
                <w:sz w:val="24"/>
                <w:szCs w:val="32"/>
                <w:lang w:eastAsia="zh-CN"/>
              </w:rPr>
              <w:t>）</w:t>
            </w:r>
            <w:r>
              <w:rPr>
                <w:bCs/>
                <w:sz w:val="24"/>
                <w:szCs w:val="32"/>
              </w:rPr>
              <w:t>水泥罐爆炸会公共安全和生命财产造成巨大损失，也会对周围大气环境造成巨大不良影响。</w:t>
            </w:r>
          </w:p>
          <w:p>
            <w:pPr>
              <w:adjustRightInd w:val="0"/>
              <w:snapToGrid w:val="0"/>
              <w:spacing w:line="520" w:lineRule="exact"/>
              <w:ind w:firstLine="482" w:firstLineChars="200"/>
              <w:rPr>
                <w:b/>
                <w:sz w:val="24"/>
                <w:szCs w:val="32"/>
              </w:rPr>
            </w:pPr>
            <w:r>
              <w:rPr>
                <w:rFonts w:hint="eastAsia"/>
                <w:b/>
                <w:sz w:val="24"/>
                <w:szCs w:val="32"/>
              </w:rPr>
              <w:t>5.5</w:t>
            </w:r>
            <w:r>
              <w:rPr>
                <w:b/>
                <w:sz w:val="24"/>
                <w:szCs w:val="32"/>
              </w:rPr>
              <w:t>风险防范措施</w:t>
            </w:r>
            <w:r>
              <w:rPr>
                <w:rFonts w:hint="eastAsia"/>
                <w:b/>
                <w:sz w:val="24"/>
                <w:szCs w:val="32"/>
              </w:rPr>
              <w:t>及应急要求</w:t>
            </w:r>
          </w:p>
          <w:p>
            <w:pPr>
              <w:adjustRightInd w:val="0"/>
              <w:snapToGrid w:val="0"/>
              <w:spacing w:line="520" w:lineRule="exact"/>
              <w:ind w:firstLine="480" w:firstLineChars="200"/>
              <w:rPr>
                <w:bCs/>
                <w:sz w:val="24"/>
                <w:szCs w:val="32"/>
              </w:rPr>
            </w:pPr>
            <w:r>
              <w:rPr>
                <w:bCs/>
                <w:sz w:val="24"/>
                <w:szCs w:val="32"/>
              </w:rPr>
              <w:t>根据有毒有害物料的理化性质、毒理学特征，环境风险因素分析，以及该项目产品的运输、储存方式，充分考虑工程所处的地理位置、区域自然环境和社会概况，对环境风险采取以下防范对策与措施：</w:t>
            </w:r>
          </w:p>
          <w:p>
            <w:pPr>
              <w:adjustRightInd w:val="0"/>
              <w:snapToGrid w:val="0"/>
              <w:spacing w:line="520" w:lineRule="exact"/>
              <w:ind w:firstLine="480" w:firstLineChars="200"/>
              <w:rPr>
                <w:bCs/>
                <w:sz w:val="24"/>
                <w:szCs w:val="32"/>
              </w:rPr>
            </w:pPr>
            <w:r>
              <w:rPr>
                <w:rFonts w:hint="eastAsia"/>
                <w:bCs/>
                <w:sz w:val="24"/>
                <w:szCs w:val="32"/>
                <w:lang w:eastAsia="zh-CN"/>
              </w:rPr>
              <w:t>（</w:t>
            </w:r>
            <w:r>
              <w:rPr>
                <w:rFonts w:hint="eastAsia"/>
                <w:bCs/>
                <w:sz w:val="24"/>
                <w:szCs w:val="32"/>
                <w:lang w:val="en-US" w:eastAsia="zh-CN"/>
              </w:rPr>
              <w:t>1</w:t>
            </w:r>
            <w:r>
              <w:rPr>
                <w:rFonts w:hint="eastAsia"/>
                <w:bCs/>
                <w:sz w:val="24"/>
                <w:szCs w:val="32"/>
                <w:lang w:eastAsia="zh-CN"/>
              </w:rPr>
              <w:t>）</w:t>
            </w:r>
            <w:r>
              <w:rPr>
                <w:bCs/>
                <w:sz w:val="24"/>
                <w:szCs w:val="32"/>
              </w:rPr>
              <w:t>操作人员定期培训，严格按照工作流程进行操作。检修人员定期检修生产设备和贮存设备，防微杜渐。</w:t>
            </w:r>
          </w:p>
          <w:p>
            <w:pPr>
              <w:adjustRightInd w:val="0"/>
              <w:snapToGrid w:val="0"/>
              <w:spacing w:line="520" w:lineRule="exact"/>
              <w:ind w:firstLine="480" w:firstLineChars="200"/>
              <w:rPr>
                <w:bCs/>
                <w:sz w:val="24"/>
                <w:szCs w:val="32"/>
              </w:rPr>
            </w:pPr>
            <w:r>
              <w:rPr>
                <w:rFonts w:hint="eastAsia"/>
                <w:bCs/>
                <w:sz w:val="24"/>
                <w:szCs w:val="32"/>
                <w:lang w:eastAsia="zh-CN"/>
              </w:rPr>
              <w:t>（</w:t>
            </w:r>
            <w:r>
              <w:rPr>
                <w:rFonts w:hint="eastAsia"/>
                <w:bCs/>
                <w:sz w:val="24"/>
                <w:szCs w:val="32"/>
                <w:lang w:val="en-US" w:eastAsia="zh-CN"/>
              </w:rPr>
              <w:t>2</w:t>
            </w:r>
            <w:r>
              <w:rPr>
                <w:rFonts w:hint="eastAsia"/>
                <w:bCs/>
                <w:sz w:val="24"/>
                <w:szCs w:val="32"/>
                <w:lang w:eastAsia="zh-CN"/>
              </w:rPr>
              <w:t>）</w:t>
            </w:r>
            <w:r>
              <w:rPr>
                <w:bCs/>
                <w:sz w:val="24"/>
                <w:szCs w:val="32"/>
              </w:rPr>
              <w:t>废气处理设施定期检修和维护，如发生故障，立即停止生产，维修好后方可生产，保证产生的粉尘都能经过处理。</w:t>
            </w:r>
          </w:p>
          <w:p>
            <w:pPr>
              <w:adjustRightInd w:val="0"/>
              <w:snapToGrid w:val="0"/>
              <w:spacing w:line="520" w:lineRule="exact"/>
              <w:ind w:firstLine="480" w:firstLineChars="200"/>
              <w:rPr>
                <w:bCs/>
                <w:sz w:val="24"/>
                <w:szCs w:val="32"/>
              </w:rPr>
            </w:pPr>
            <w:r>
              <w:rPr>
                <w:rFonts w:hint="eastAsia"/>
                <w:bCs/>
                <w:sz w:val="24"/>
                <w:szCs w:val="32"/>
                <w:lang w:eastAsia="zh-CN"/>
              </w:rPr>
              <w:t>（</w:t>
            </w:r>
            <w:r>
              <w:rPr>
                <w:rFonts w:hint="eastAsia"/>
                <w:bCs/>
                <w:sz w:val="24"/>
                <w:szCs w:val="32"/>
                <w:lang w:val="en-US" w:eastAsia="zh-CN"/>
              </w:rPr>
              <w:t>3</w:t>
            </w:r>
            <w:r>
              <w:rPr>
                <w:rFonts w:hint="eastAsia"/>
                <w:bCs/>
                <w:sz w:val="24"/>
                <w:szCs w:val="32"/>
                <w:lang w:eastAsia="zh-CN"/>
              </w:rPr>
              <w:t>）</w:t>
            </w:r>
            <w:r>
              <w:rPr>
                <w:bCs/>
                <w:sz w:val="24"/>
                <w:szCs w:val="32"/>
              </w:rPr>
              <w:t>水泥罐进料时将罐内压力控制在合理范围内，防止压力过大造成爆炸；罐体压力表、安全阀、放气阀等按时检查，发现损坏及时更换；罐体定期检查，发现损伤立即保修或更换。</w:t>
            </w:r>
          </w:p>
          <w:p>
            <w:pPr>
              <w:adjustRightInd w:val="0"/>
              <w:snapToGrid w:val="0"/>
              <w:spacing w:line="520" w:lineRule="exact"/>
              <w:ind w:firstLine="480" w:firstLineChars="200"/>
              <w:rPr>
                <w:bCs/>
                <w:sz w:val="24"/>
                <w:szCs w:val="32"/>
              </w:rPr>
            </w:pPr>
            <w:r>
              <w:rPr>
                <w:bCs/>
                <w:sz w:val="24"/>
                <w:szCs w:val="32"/>
              </w:rPr>
              <w:t>风险应急</w:t>
            </w:r>
            <w:r>
              <w:rPr>
                <w:rFonts w:hint="eastAsia"/>
                <w:bCs/>
                <w:sz w:val="24"/>
                <w:szCs w:val="32"/>
              </w:rPr>
              <w:t>：</w:t>
            </w:r>
          </w:p>
          <w:p>
            <w:pPr>
              <w:adjustRightInd w:val="0"/>
              <w:snapToGrid w:val="0"/>
              <w:spacing w:line="520" w:lineRule="exact"/>
              <w:ind w:firstLine="480" w:firstLineChars="200"/>
              <w:rPr>
                <w:bCs/>
                <w:sz w:val="24"/>
                <w:szCs w:val="32"/>
              </w:rPr>
            </w:pPr>
            <w:r>
              <w:rPr>
                <w:rFonts w:hint="eastAsia"/>
                <w:bCs/>
                <w:sz w:val="24"/>
                <w:szCs w:val="32"/>
                <w:lang w:eastAsia="zh-CN"/>
              </w:rPr>
              <w:t>（</w:t>
            </w:r>
            <w:r>
              <w:rPr>
                <w:rFonts w:hint="eastAsia"/>
                <w:bCs/>
                <w:sz w:val="24"/>
                <w:szCs w:val="32"/>
                <w:lang w:val="en-US" w:eastAsia="zh-CN"/>
              </w:rPr>
              <w:t>1</w:t>
            </w:r>
            <w:r>
              <w:rPr>
                <w:rFonts w:hint="eastAsia"/>
                <w:bCs/>
                <w:sz w:val="24"/>
                <w:szCs w:val="32"/>
                <w:lang w:eastAsia="zh-CN"/>
              </w:rPr>
              <w:t>）</w:t>
            </w:r>
            <w:r>
              <w:rPr>
                <w:bCs/>
                <w:sz w:val="24"/>
                <w:szCs w:val="32"/>
              </w:rPr>
              <w:t>废气处理设施发生故障时，立即停产检修，保证生产设施和环保设施同时运行，废气得到有效处理。</w:t>
            </w:r>
          </w:p>
          <w:p>
            <w:pPr>
              <w:adjustRightInd w:val="0"/>
              <w:snapToGrid w:val="0"/>
              <w:spacing w:line="520" w:lineRule="exact"/>
              <w:ind w:firstLine="480" w:firstLineChars="200"/>
              <w:rPr>
                <w:b/>
                <w:bCs/>
                <w:sz w:val="24"/>
              </w:rPr>
            </w:pPr>
            <w:r>
              <w:rPr>
                <w:rFonts w:hint="eastAsia"/>
                <w:bCs/>
                <w:sz w:val="24"/>
                <w:szCs w:val="32"/>
                <w:lang w:eastAsia="zh-CN"/>
              </w:rPr>
              <w:t>（</w:t>
            </w:r>
            <w:r>
              <w:rPr>
                <w:rFonts w:hint="eastAsia"/>
                <w:bCs/>
                <w:sz w:val="24"/>
                <w:szCs w:val="32"/>
                <w:lang w:val="en-US" w:eastAsia="zh-CN"/>
              </w:rPr>
              <w:t>2</w:t>
            </w:r>
            <w:r>
              <w:rPr>
                <w:rFonts w:hint="eastAsia"/>
                <w:bCs/>
                <w:sz w:val="24"/>
                <w:szCs w:val="32"/>
                <w:lang w:eastAsia="zh-CN"/>
              </w:rPr>
              <w:t>）</w:t>
            </w:r>
            <w:r>
              <w:rPr>
                <w:bCs/>
                <w:sz w:val="24"/>
                <w:szCs w:val="32"/>
              </w:rPr>
              <w:t>水泥罐发生爆炸时，立即疏散周围人员，启动风险应急预案。</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b/>
                <w:bCs/>
                <w:kern w:val="0"/>
                <w:sz w:val="24"/>
                <w:lang w:bidi="ar"/>
              </w:rPr>
            </w:pPr>
            <w:r>
              <w:rPr>
                <w:rFonts w:hint="eastAsia"/>
                <w:b/>
                <w:bCs/>
                <w:kern w:val="0"/>
                <w:sz w:val="24"/>
                <w:lang w:val="en-US" w:eastAsia="zh-CN" w:bidi="ar"/>
              </w:rPr>
              <w:t>5.6</w:t>
            </w:r>
            <w:r>
              <w:rPr>
                <w:rFonts w:hint="eastAsia"/>
                <w:b/>
                <w:bCs/>
                <w:kern w:val="0"/>
                <w:sz w:val="24"/>
                <w:lang w:bidi="ar"/>
              </w:rPr>
              <w:t>环境风险分析结论</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kern w:val="0"/>
                <w:sz w:val="24"/>
                <w:lang w:bidi="ar"/>
              </w:rPr>
            </w:pPr>
            <w:r>
              <w:rPr>
                <w:rFonts w:hint="eastAsia"/>
                <w:kern w:val="0"/>
                <w:sz w:val="24"/>
                <w:lang w:bidi="ar"/>
              </w:rPr>
              <w:t>根据分析结果，本项目运营过程中主要的环境风险为火灾，但不存在重大危险源。建设单位在建设过程中应落实本项目提出的风险防范措施，并根据今后实际生产情况结合本报告中提出的事故应急预案，制定更详实的应急预案，确保防范措施的运行。在落实风险防范措施、做好应急预案的前提下，本项目的风险处于可接受水平。</w:t>
            </w:r>
          </w:p>
          <w:p>
            <w:pPr>
              <w:widowControl/>
              <w:autoSpaceDE w:val="0"/>
              <w:autoSpaceDN w:val="0"/>
              <w:adjustRightInd w:val="0"/>
              <w:snapToGrid w:val="0"/>
              <w:jc w:val="center"/>
              <w:rPr>
                <w:rFonts w:eastAsia="黑体"/>
                <w:sz w:val="24"/>
              </w:rPr>
            </w:pPr>
            <w:r>
              <w:rPr>
                <w:rFonts w:eastAsia="黑体"/>
                <w:sz w:val="24"/>
              </w:rPr>
              <w:t>表</w:t>
            </w:r>
            <w:r>
              <w:rPr>
                <w:rFonts w:hint="eastAsia" w:eastAsia="黑体"/>
                <w:sz w:val="24"/>
              </w:rPr>
              <w:t>4-</w:t>
            </w:r>
            <w:r>
              <w:rPr>
                <w:rFonts w:hint="eastAsia" w:eastAsia="黑体"/>
                <w:sz w:val="24"/>
                <w:lang w:val="en-US" w:eastAsia="zh-CN"/>
              </w:rPr>
              <w:t>18</w:t>
            </w:r>
            <w:r>
              <w:rPr>
                <w:rFonts w:hint="eastAsia" w:eastAsia="黑体"/>
                <w:sz w:val="24"/>
              </w:rPr>
              <w:t xml:space="preserve"> </w:t>
            </w:r>
            <w:r>
              <w:rPr>
                <w:rFonts w:eastAsia="黑体"/>
                <w:sz w:val="24"/>
              </w:rPr>
              <w:t xml:space="preserve"> 建设项目环境风险简单分析内容表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21"/>
              <w:gridCol w:w="72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建设项目名称</w:t>
                  </w:r>
                </w:p>
              </w:tc>
              <w:tc>
                <w:tcPr>
                  <w:tcW w:w="3993"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新疆墙冠建材有限公司年加工复合模板60万平米建设项目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建设地点</w:t>
                  </w:r>
                </w:p>
              </w:tc>
              <w:tc>
                <w:tcPr>
                  <w:tcW w:w="3993"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新疆昌吉回族自治州甘泉堡工业园区（阜康阜西产业园区）小微企业创新区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地理坐标</w:t>
                  </w:r>
                </w:p>
              </w:tc>
              <w:tc>
                <w:tcPr>
                  <w:tcW w:w="3993"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东经</w:t>
                  </w:r>
                  <w:r>
                    <w:rPr>
                      <w:rFonts w:hint="default" w:ascii="Times New Roman" w:hAnsi="Times New Roman" w:eastAsia="宋体" w:cs="Times New Roman"/>
                      <w:sz w:val="21"/>
                      <w:szCs w:val="21"/>
                      <w:lang w:val="en-US" w:eastAsia="zh-CN"/>
                    </w:rPr>
                    <w:t>87°49′13.403″</w:t>
                  </w:r>
                  <w:r>
                    <w:rPr>
                      <w:rFonts w:hint="default" w:ascii="Times New Roman" w:hAnsi="Times New Roman" w:eastAsia="宋体" w:cs="Times New Roman"/>
                      <w:sz w:val="21"/>
                      <w:szCs w:val="21"/>
                    </w:rPr>
                    <w:t>，北纬</w:t>
                  </w:r>
                  <w:r>
                    <w:rPr>
                      <w:rFonts w:hint="default" w:ascii="Times New Roman" w:hAnsi="Times New Roman" w:eastAsia="宋体" w:cs="Times New Roman"/>
                      <w:sz w:val="21"/>
                      <w:szCs w:val="21"/>
                      <w:lang w:val="en-US" w:eastAsia="zh-CN"/>
                    </w:rPr>
                    <w:t>44°9′36.088″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主要危险物质及布</w:t>
                  </w:r>
                </w:p>
              </w:tc>
              <w:tc>
                <w:tcPr>
                  <w:tcW w:w="3993"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主要危险物质</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环境影响途径及</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危害后果</w:t>
                  </w:r>
                </w:p>
              </w:tc>
              <w:tc>
                <w:tcPr>
                  <w:tcW w:w="3993" w:type="pct"/>
                  <w:vAlign w:val="center"/>
                </w:tcPr>
                <w:p>
                  <w:pPr>
                    <w:pStyle w:val="100"/>
                    <w:keepNext w:val="0"/>
                    <w:keepLines w:val="0"/>
                    <w:pageBreakBefore w:val="0"/>
                    <w:widowControl w:val="0"/>
                    <w:kinsoku/>
                    <w:wordWrap/>
                    <w:overflowPunct/>
                    <w:topLinePunct w:val="0"/>
                    <w:autoSpaceDE/>
                    <w:autoSpaceDN/>
                    <w:bidi w:val="0"/>
                    <w:adjustRightInd/>
                    <w:snapToGrid/>
                    <w:spacing w:before="0" w:line="240" w:lineRule="auto"/>
                    <w:ind w:left="0" w:leftChars="0" w:firstLine="420" w:firstLineChars="200"/>
                    <w:textAlignment w:val="auto"/>
                    <w:rPr>
                      <w:rFonts w:hint="default" w:ascii="Times New Roman" w:hAnsi="Times New Roman" w:eastAsia="宋体" w:cs="Times New Roman"/>
                      <w:bCs w:val="0"/>
                      <w:sz w:val="21"/>
                      <w:szCs w:val="21"/>
                    </w:rPr>
                  </w:pPr>
                  <w:r>
                    <w:rPr>
                      <w:rFonts w:hint="default" w:ascii="Times New Roman" w:hAnsi="Times New Roman" w:eastAsia="宋体" w:cs="Times New Roman"/>
                      <w:bCs w:val="0"/>
                      <w:sz w:val="21"/>
                      <w:szCs w:val="21"/>
                    </w:rPr>
                    <w:t>生产、贮存设备可能因控制系统出现故障或操作与判断失误，导致物料外泄</w:t>
                  </w:r>
                  <w:r>
                    <w:rPr>
                      <w:rFonts w:hint="default" w:ascii="Times New Roman" w:hAnsi="Times New Roman" w:eastAsia="宋体" w:cs="Times New Roman"/>
                      <w:bCs w:val="0"/>
                      <w:sz w:val="21"/>
                      <w:szCs w:val="21"/>
                      <w:lang w:eastAsia="zh-CN"/>
                    </w:rPr>
                    <w:t>，</w:t>
                  </w:r>
                  <w:r>
                    <w:rPr>
                      <w:rFonts w:hint="default" w:ascii="Times New Roman" w:hAnsi="Times New Roman" w:eastAsia="宋体" w:cs="Times New Roman"/>
                      <w:bCs w:val="0"/>
                      <w:sz w:val="21"/>
                      <w:szCs w:val="21"/>
                    </w:rPr>
                    <w:t>物料外泄会导致附近土壤和地下水污染；</w:t>
                  </w:r>
                </w:p>
                <w:p>
                  <w:pPr>
                    <w:pStyle w:val="100"/>
                    <w:keepNext w:val="0"/>
                    <w:keepLines w:val="0"/>
                    <w:pageBreakBefore w:val="0"/>
                    <w:widowControl w:val="0"/>
                    <w:kinsoku/>
                    <w:wordWrap/>
                    <w:overflowPunct/>
                    <w:topLinePunct w:val="0"/>
                    <w:autoSpaceDE/>
                    <w:autoSpaceDN/>
                    <w:bidi w:val="0"/>
                    <w:adjustRightInd/>
                    <w:snapToGrid/>
                    <w:spacing w:before="0" w:line="240" w:lineRule="auto"/>
                    <w:ind w:left="0" w:leftChars="0" w:firstLine="420" w:firstLineChars="200"/>
                    <w:textAlignment w:val="auto"/>
                    <w:rPr>
                      <w:rFonts w:hint="default" w:ascii="Times New Roman" w:hAnsi="Times New Roman" w:eastAsia="宋体" w:cs="Times New Roman"/>
                      <w:bCs w:val="0"/>
                      <w:sz w:val="21"/>
                      <w:szCs w:val="21"/>
                    </w:rPr>
                  </w:pPr>
                  <w:r>
                    <w:rPr>
                      <w:rFonts w:hint="default" w:ascii="Times New Roman" w:hAnsi="Times New Roman" w:eastAsia="宋体" w:cs="Times New Roman"/>
                      <w:bCs w:val="0"/>
                      <w:sz w:val="21"/>
                      <w:szCs w:val="21"/>
                    </w:rPr>
                    <w:t>废气处理设施（如袋式除尘器）故障导致废气不经处理直接排放，污染物排放出现超标现象</w:t>
                  </w:r>
                  <w:r>
                    <w:rPr>
                      <w:rFonts w:hint="default" w:ascii="Times New Roman" w:hAnsi="Times New Roman" w:eastAsia="宋体" w:cs="Times New Roman"/>
                      <w:bCs w:val="0"/>
                      <w:sz w:val="21"/>
                      <w:szCs w:val="21"/>
                      <w:lang w:eastAsia="zh-CN"/>
                    </w:rPr>
                    <w:t>，</w:t>
                  </w:r>
                  <w:r>
                    <w:rPr>
                      <w:rFonts w:hint="default" w:ascii="Times New Roman" w:hAnsi="Times New Roman" w:eastAsia="宋体" w:cs="Times New Roman"/>
                      <w:bCs w:val="0"/>
                      <w:sz w:val="21"/>
                      <w:szCs w:val="21"/>
                    </w:rPr>
                    <w:t>废气处理设施故障会导致粉尘超标排放，对项目周围及环境敏感目标处的大气环境造成不良影响，周围群众吸入过量粉尘会对身体健康造成不良影响；</w:t>
                  </w:r>
                </w:p>
                <w:p>
                  <w:pPr>
                    <w:pStyle w:val="100"/>
                    <w:keepNext w:val="0"/>
                    <w:keepLines w:val="0"/>
                    <w:pageBreakBefore w:val="0"/>
                    <w:widowControl w:val="0"/>
                    <w:kinsoku/>
                    <w:wordWrap/>
                    <w:overflowPunct/>
                    <w:topLinePunct w:val="0"/>
                    <w:autoSpaceDE/>
                    <w:autoSpaceDN/>
                    <w:bidi w:val="0"/>
                    <w:adjustRightInd/>
                    <w:snapToGrid/>
                    <w:spacing w:before="0" w:line="240" w:lineRule="auto"/>
                    <w:ind w:left="0" w:leftChars="0" w:firstLine="420" w:firstLineChars="200"/>
                    <w:textAlignment w:val="auto"/>
                    <w:rPr>
                      <w:rFonts w:hint="default" w:ascii="Times New Roman" w:hAnsi="Times New Roman" w:eastAsia="宋体" w:cs="Times New Roman"/>
                      <w:bCs w:val="0"/>
                      <w:sz w:val="21"/>
                      <w:szCs w:val="21"/>
                    </w:rPr>
                  </w:pPr>
                  <w:r>
                    <w:rPr>
                      <w:rFonts w:hint="default" w:ascii="Times New Roman" w:hAnsi="Times New Roman" w:eastAsia="宋体" w:cs="Times New Roman"/>
                      <w:bCs w:val="0"/>
                      <w:sz w:val="21"/>
                      <w:szCs w:val="21"/>
                    </w:rPr>
                    <w:t>散装水泥卸料时压力过大导致罐体爆炸</w:t>
                  </w:r>
                  <w:r>
                    <w:rPr>
                      <w:rFonts w:hint="default" w:ascii="Times New Roman" w:hAnsi="Times New Roman" w:eastAsia="宋体" w:cs="Times New Roman"/>
                      <w:bCs w:val="0"/>
                      <w:sz w:val="21"/>
                      <w:szCs w:val="21"/>
                      <w:lang w:eastAsia="zh-CN"/>
                    </w:rPr>
                    <w:t>，</w:t>
                  </w:r>
                  <w:r>
                    <w:rPr>
                      <w:rFonts w:hint="default" w:ascii="Times New Roman" w:hAnsi="Times New Roman" w:eastAsia="宋体" w:cs="Times New Roman"/>
                      <w:bCs w:val="0"/>
                      <w:sz w:val="21"/>
                      <w:szCs w:val="21"/>
                    </w:rPr>
                    <w:t>水泥罐爆炸会公共安全和生命财产造成巨大损失，也会对周围大气环境造成巨大不良影响。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风险防范措施要求</w:t>
                  </w:r>
                </w:p>
              </w:tc>
              <w:tc>
                <w:tcPr>
                  <w:tcW w:w="3993" w:type="pct"/>
                  <w:vAlign w:val="center"/>
                </w:tcPr>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根据有毒有害物料的理化性质、毒理学特征，环境风险因素分析，以及该项目产品的运输、储存方式，充分考虑工程所处的地理位置、区域自然环境和社会概况，对环境风险采取以下防范对策与措施：</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（1）操作人员定期培训，严格按照工作流程进行操作。检修人员定期检修生产设备和贮存设备，防微杜渐。</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（2）废气处理设施定期检修和维护，如发生故障，立即停止生产，维修好后方可生产，保证产生的粉尘都能经过处理。</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（3）水泥罐进料时将罐内压力控制在合理范围内，防止压力过大造成爆炸；罐体压力表、安全阀、放气阀等按时检查，发现损坏及时更换；罐体定期检查，发现损伤立即保修或更换。</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风险应急：</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（1）废气处理设施发生故障时，立即停产检修，保证生产设施和环保设施同时运行，废气得到有效处理。</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（2）水泥罐发生爆炸时，立即疏散周围人员，启动风险应急预案。</w:t>
                  </w:r>
                </w:p>
              </w:tc>
            </w:tr>
          </w:tbl>
          <w:p>
            <w:pPr>
              <w:adjustRightInd w:val="0"/>
              <w:snapToGrid w:val="0"/>
              <w:spacing w:line="480" w:lineRule="exact"/>
              <w:ind w:firstLine="482" w:firstLineChars="200"/>
              <w:rPr>
                <w:b/>
                <w:bCs/>
                <w:sz w:val="24"/>
              </w:rPr>
            </w:pPr>
            <w:r>
              <w:rPr>
                <w:rFonts w:hint="eastAsia"/>
                <w:b/>
                <w:bCs/>
                <w:sz w:val="24"/>
              </w:rPr>
              <w:t>6、环保投资</w:t>
            </w:r>
          </w:p>
          <w:p>
            <w:pPr>
              <w:widowControl/>
              <w:autoSpaceDE w:val="0"/>
              <w:autoSpaceDN w:val="0"/>
              <w:spacing w:line="520" w:lineRule="exact"/>
              <w:ind w:firstLine="480" w:firstLineChars="200"/>
              <w:rPr>
                <w:snapToGrid w:val="0"/>
                <w:sz w:val="24"/>
              </w:rPr>
            </w:pPr>
            <w:r>
              <w:rPr>
                <w:sz w:val="24"/>
              </w:rPr>
              <w:t>本</w:t>
            </w:r>
            <w:r>
              <w:rPr>
                <w:snapToGrid w:val="0"/>
                <w:sz w:val="24"/>
              </w:rPr>
              <w:t>项目环保投资合计为</w:t>
            </w:r>
            <w:r>
              <w:rPr>
                <w:rFonts w:hint="eastAsia"/>
                <w:snapToGrid w:val="0"/>
                <w:sz w:val="24"/>
                <w:lang w:val="en-US" w:eastAsia="zh-CN"/>
              </w:rPr>
              <w:t>47</w:t>
            </w:r>
            <w:r>
              <w:rPr>
                <w:snapToGrid w:val="0"/>
                <w:sz w:val="24"/>
              </w:rPr>
              <w:t>万元，占项目总投资的</w:t>
            </w:r>
            <w:r>
              <w:rPr>
                <w:rFonts w:hint="eastAsia"/>
                <w:snapToGrid w:val="0"/>
                <w:sz w:val="24"/>
                <w:lang w:val="en-US" w:eastAsia="zh-CN"/>
              </w:rPr>
              <w:t>4.7</w:t>
            </w:r>
            <w:r>
              <w:rPr>
                <w:snapToGrid w:val="0"/>
                <w:sz w:val="24"/>
              </w:rPr>
              <w:t>%。本项目环保投资分析估算见表</w:t>
            </w:r>
            <w:r>
              <w:rPr>
                <w:rFonts w:hint="eastAsia" w:eastAsia="黑体"/>
                <w:sz w:val="24"/>
              </w:rPr>
              <w:t>4-1</w:t>
            </w:r>
            <w:r>
              <w:rPr>
                <w:rFonts w:hint="eastAsia" w:eastAsia="黑体"/>
                <w:sz w:val="24"/>
                <w:lang w:val="en-US" w:eastAsia="zh-CN"/>
              </w:rPr>
              <w:t>9</w:t>
            </w:r>
            <w:r>
              <w:rPr>
                <w:snapToGrid w:val="0"/>
                <w:sz w:val="24"/>
              </w:rPr>
              <w:t>。</w:t>
            </w:r>
          </w:p>
          <w:p>
            <w:pPr>
              <w:widowControl/>
              <w:ind w:firstLine="480" w:firstLineChars="200"/>
              <w:jc w:val="center"/>
              <w:rPr>
                <w:rFonts w:eastAsia="黑体"/>
                <w:sz w:val="24"/>
                <w:highlight w:val="yellow"/>
              </w:rPr>
            </w:pPr>
            <w:r>
              <w:rPr>
                <w:rFonts w:eastAsia="黑体"/>
                <w:sz w:val="24"/>
              </w:rPr>
              <w:t>表</w:t>
            </w:r>
            <w:r>
              <w:rPr>
                <w:rFonts w:hint="eastAsia" w:eastAsia="黑体"/>
                <w:sz w:val="24"/>
              </w:rPr>
              <w:t>4-1</w:t>
            </w:r>
            <w:r>
              <w:rPr>
                <w:rFonts w:hint="eastAsia" w:eastAsia="黑体"/>
                <w:sz w:val="24"/>
                <w:lang w:val="en-US" w:eastAsia="zh-CN"/>
              </w:rPr>
              <w:t>9</w:t>
            </w:r>
            <w:r>
              <w:rPr>
                <w:rFonts w:eastAsia="黑体"/>
                <w:sz w:val="24"/>
              </w:rPr>
              <w:t xml:space="preserve">  环保投资估算</w:t>
            </w:r>
          </w:p>
          <w:tbl>
            <w:tblPr>
              <w:tblStyle w:val="31"/>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96"/>
              <w:gridCol w:w="1236"/>
              <w:gridCol w:w="4512"/>
              <w:gridCol w:w="18"/>
              <w:gridCol w:w="20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61"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时段</w:t>
                  </w:r>
                </w:p>
              </w:tc>
              <w:tc>
                <w:tcPr>
                  <w:tcW w:w="683"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Style w:val="37"/>
                      <w:rFonts w:hint="default" w:ascii="Times New Roman" w:hAnsi="Times New Roman" w:eastAsia="宋体" w:cs="Times New Roman"/>
                      <w:sz w:val="21"/>
                      <w:szCs w:val="21"/>
                    </w:rPr>
                    <w:t>类别</w:t>
                  </w:r>
                </w:p>
              </w:tc>
              <w:tc>
                <w:tcPr>
                  <w:tcW w:w="2494"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环保措施</w:t>
                  </w:r>
                </w:p>
              </w:tc>
              <w:tc>
                <w:tcPr>
                  <w:tcW w:w="1160"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投资（万元）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61" w:type="pct"/>
                  <w:vMerge w:val="restar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施工期</w:t>
                  </w:r>
                </w:p>
              </w:tc>
              <w:tc>
                <w:tcPr>
                  <w:tcW w:w="683"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Style w:val="37"/>
                      <w:rFonts w:hint="default" w:ascii="Times New Roman" w:hAnsi="Times New Roman" w:eastAsia="宋体" w:cs="Times New Roman"/>
                      <w:sz w:val="21"/>
                      <w:szCs w:val="21"/>
                    </w:rPr>
                    <w:t>废气</w:t>
                  </w:r>
                </w:p>
              </w:tc>
              <w:tc>
                <w:tcPr>
                  <w:tcW w:w="2494"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洒水抑尘，苫盖遮挡</w:t>
                  </w:r>
                </w:p>
              </w:tc>
              <w:tc>
                <w:tcPr>
                  <w:tcW w:w="1160"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683"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Style w:val="37"/>
                      <w:rFonts w:hint="default" w:ascii="Times New Roman" w:hAnsi="Times New Roman" w:eastAsia="宋体" w:cs="Times New Roman"/>
                      <w:sz w:val="21"/>
                      <w:szCs w:val="21"/>
                    </w:rPr>
                    <w:t>废水</w:t>
                  </w:r>
                </w:p>
              </w:tc>
              <w:tc>
                <w:tcPr>
                  <w:tcW w:w="2494"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委托吸污车清运</w:t>
                  </w:r>
                </w:p>
              </w:tc>
              <w:tc>
                <w:tcPr>
                  <w:tcW w:w="1160"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683" w:type="pct"/>
                  <w:vAlign w:val="center"/>
                </w:tcPr>
                <w:p>
                  <w:pPr>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2494" w:type="pct"/>
                  <w:vAlign w:val="center"/>
                </w:tcPr>
                <w:p>
                  <w:pPr>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基底减震、合理安排</w:t>
                  </w:r>
                </w:p>
              </w:tc>
              <w:tc>
                <w:tcPr>
                  <w:tcW w:w="1160" w:type="pct"/>
                  <w:gridSpan w:val="2"/>
                  <w:vAlign w:val="center"/>
                </w:tcPr>
                <w:p>
                  <w:pPr>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683" w:type="pct"/>
                  <w:vAlign w:val="center"/>
                </w:tcPr>
                <w:p>
                  <w:pPr>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固废</w:t>
                  </w:r>
                </w:p>
              </w:tc>
              <w:tc>
                <w:tcPr>
                  <w:tcW w:w="2494" w:type="pct"/>
                  <w:vAlign w:val="center"/>
                </w:tcPr>
                <w:p>
                  <w:pPr>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分类收集、及时清运</w:t>
                  </w:r>
                </w:p>
              </w:tc>
              <w:tc>
                <w:tcPr>
                  <w:tcW w:w="1160" w:type="pct"/>
                  <w:gridSpan w:val="2"/>
                  <w:vAlign w:val="center"/>
                </w:tcPr>
                <w:p>
                  <w:pPr>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61" w:type="pct"/>
                  <w:vMerge w:val="restar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运营期</w:t>
                  </w:r>
                </w:p>
              </w:tc>
              <w:tc>
                <w:tcPr>
                  <w:tcW w:w="683" w:type="pct"/>
                  <w:vMerge w:val="restar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c>
                <w:tcPr>
                  <w:tcW w:w="2494"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两个筒仓</w:t>
                  </w:r>
                  <w:r>
                    <w:rPr>
                      <w:rFonts w:hint="default" w:ascii="Times New Roman" w:hAnsi="Times New Roman" w:eastAsia="宋体" w:cs="Times New Roman"/>
                      <w:sz w:val="21"/>
                      <w:szCs w:val="21"/>
                      <w:lang w:val="en-US" w:eastAsia="zh-CN"/>
                    </w:rPr>
                    <w:t>自带布袋除尘装置</w:t>
                  </w:r>
                  <w:r>
                    <w:rPr>
                      <w:rFonts w:hint="eastAsia" w:cs="Times New Roman"/>
                      <w:sz w:val="21"/>
                      <w:szCs w:val="21"/>
                      <w:lang w:val="en-US" w:eastAsia="zh-CN"/>
                    </w:rPr>
                    <w:t>2</w:t>
                  </w:r>
                  <w:r>
                    <w:rPr>
                      <w:rFonts w:hint="default" w:ascii="Times New Roman" w:hAnsi="Times New Roman" w:eastAsia="宋体" w:cs="Times New Roman"/>
                      <w:sz w:val="21"/>
                      <w:szCs w:val="21"/>
                      <w:lang w:val="en-US" w:eastAsia="zh-CN"/>
                    </w:rPr>
                    <w:t>台（除尘效率99.7%）</w:t>
                  </w:r>
                </w:p>
              </w:tc>
              <w:tc>
                <w:tcPr>
                  <w:tcW w:w="1160"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0" w:hRule="atLeast"/>
                <w:jc w:val="center"/>
              </w:trPr>
              <w:tc>
                <w:tcPr>
                  <w:tcW w:w="661"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683"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2494"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搅拌机自带布袋除尘装置1台</w:t>
                  </w:r>
                  <w:r>
                    <w:rPr>
                      <w:rFonts w:hint="default" w:ascii="Times New Roman" w:hAnsi="Times New Roman" w:eastAsia="宋体" w:cs="Times New Roman"/>
                      <w:sz w:val="21"/>
                      <w:szCs w:val="21"/>
                      <w:lang w:val="en-US" w:eastAsia="zh-CN"/>
                    </w:rPr>
                    <w:t>（除尘效率99.7%）</w:t>
                  </w:r>
                  <w:r>
                    <w:rPr>
                      <w:rFonts w:hint="eastAsia" w:cs="Times New Roman"/>
                      <w:sz w:val="21"/>
                      <w:szCs w:val="21"/>
                      <w:lang w:val="en-US" w:eastAsia="zh-CN"/>
                    </w:rPr>
                    <w:t>+15m排气筒</w:t>
                  </w:r>
                </w:p>
              </w:tc>
              <w:tc>
                <w:tcPr>
                  <w:tcW w:w="1160"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2" w:hRule="atLeast"/>
                <w:jc w:val="center"/>
              </w:trPr>
              <w:tc>
                <w:tcPr>
                  <w:tcW w:w="661"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683"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2494"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橡胶减震接头、减震垫、消声、隔声门窗、选用低噪声设备</w:t>
                  </w:r>
                </w:p>
              </w:tc>
              <w:tc>
                <w:tcPr>
                  <w:tcW w:w="1160"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683" w:type="pct"/>
                  <w:vMerge w:val="restar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固废</w:t>
                  </w:r>
                </w:p>
              </w:tc>
              <w:tc>
                <w:tcPr>
                  <w:tcW w:w="2494"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生活垃圾箱</w:t>
                  </w:r>
                  <w:r>
                    <w:rPr>
                      <w:rFonts w:hint="eastAsia" w:cs="Times New Roman"/>
                      <w:sz w:val="21"/>
                      <w:szCs w:val="21"/>
                      <w:lang w:eastAsia="zh-CN"/>
                    </w:rPr>
                    <w:t>、</w:t>
                  </w:r>
                  <w:r>
                    <w:rPr>
                      <w:rFonts w:hint="eastAsia" w:cs="Times New Roman"/>
                      <w:sz w:val="21"/>
                      <w:szCs w:val="21"/>
                      <w:lang w:val="en-US" w:eastAsia="zh-CN"/>
                    </w:rPr>
                    <w:t>委托餐厨垃圾处理单位定期清运处置餐除废油</w:t>
                  </w:r>
                </w:p>
              </w:tc>
              <w:tc>
                <w:tcPr>
                  <w:tcW w:w="1160"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683"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2494"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边角料委托清理</w:t>
                  </w:r>
                </w:p>
              </w:tc>
              <w:tc>
                <w:tcPr>
                  <w:tcW w:w="1160"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683"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w:t>
                  </w:r>
                </w:p>
              </w:tc>
              <w:tc>
                <w:tcPr>
                  <w:tcW w:w="2494"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设立</w:t>
                  </w:r>
                  <w:r>
                    <w:rPr>
                      <w:rFonts w:hint="eastAsia" w:cs="Times New Roman"/>
                      <w:sz w:val="21"/>
                      <w:szCs w:val="21"/>
                      <w:lang w:val="en-US" w:eastAsia="zh-CN"/>
                    </w:rPr>
                    <w:t>5m</w:t>
                  </w:r>
                  <w:r>
                    <w:rPr>
                      <w:rFonts w:hint="eastAsia" w:cs="Times New Roman"/>
                      <w:sz w:val="21"/>
                      <w:szCs w:val="21"/>
                      <w:vertAlign w:val="superscript"/>
                      <w:lang w:val="en-US" w:eastAsia="zh-CN"/>
                    </w:rPr>
                    <w:t>2</w:t>
                  </w:r>
                  <w:r>
                    <w:rPr>
                      <w:rFonts w:hint="default" w:ascii="Times New Roman" w:hAnsi="Times New Roman" w:eastAsia="宋体" w:cs="Times New Roman"/>
                      <w:sz w:val="21"/>
                      <w:szCs w:val="21"/>
                    </w:rPr>
                    <w:t>危废暂存间，并委托具有处理资质的单位处置</w:t>
                  </w:r>
                </w:p>
              </w:tc>
              <w:tc>
                <w:tcPr>
                  <w:tcW w:w="1160"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344"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  计</w:t>
                  </w:r>
                </w:p>
              </w:tc>
              <w:tc>
                <w:tcPr>
                  <w:tcW w:w="2504" w:type="pct"/>
                  <w:gridSpan w:val="2"/>
                  <w:vAlign w:val="center"/>
                </w:tcPr>
                <w:p>
                  <w:pPr>
                    <w:snapToGrid w:val="0"/>
                    <w:ind w:left="0" w:leftChars="0" w:right="0" w:rightChars="0" w:firstLine="0" w:firstLineChars="0"/>
                    <w:jc w:val="center"/>
                    <w:rPr>
                      <w:rFonts w:hint="default" w:ascii="Times New Roman" w:hAnsi="Times New Roman" w:eastAsia="宋体" w:cs="Times New Roman"/>
                      <w:sz w:val="21"/>
                      <w:szCs w:val="21"/>
                    </w:rPr>
                  </w:pPr>
                </w:p>
              </w:tc>
              <w:tc>
                <w:tcPr>
                  <w:tcW w:w="1151" w:type="pct"/>
                  <w:vAlign w:val="center"/>
                </w:tcPr>
                <w:p>
                  <w:pPr>
                    <w:snapToGrid w:val="0"/>
                    <w:ind w:left="0" w:leftChars="0" w:right="0" w:rightChars="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w:t>
                  </w:r>
                  <w:r>
                    <w:rPr>
                      <w:rFonts w:hint="default" w:ascii="Times New Roman" w:hAnsi="Times New Roman" w:eastAsia="宋体" w:cs="Times New Roman"/>
                      <w:sz w:val="21"/>
                      <w:szCs w:val="21"/>
                      <w:lang w:val="en-US" w:eastAsia="zh-CN"/>
                    </w:rPr>
                    <w:t>7</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sz w:val="24"/>
                <w:szCs w:val="32"/>
              </w:rPr>
            </w:pPr>
          </w:p>
        </w:tc>
      </w:tr>
    </w:tbl>
    <w:p>
      <w:pPr>
        <w:adjustRightInd w:val="0"/>
        <w:snapToGrid w:val="0"/>
        <w:spacing w:line="360" w:lineRule="auto"/>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6"/>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2" w:name="_Hlk54167917"/>
      <w:r>
        <w:rPr>
          <w:rFonts w:hint="eastAsia" w:ascii="黑体" w:hAnsi="黑体" w:eastAsia="黑体"/>
          <w:snapToGrid w:val="0"/>
          <w:sz w:val="30"/>
          <w:szCs w:val="30"/>
        </w:rPr>
        <w:t>环境保护措施监督检查清单</w:t>
      </w:r>
      <w:bookmarkEnd w:id="2"/>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077"/>
        <w:gridCol w:w="1189"/>
        <w:gridCol w:w="1935"/>
        <w:gridCol w:w="2898"/>
        <w:gridCol w:w="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tcBorders>
              <w:tl2br w:val="single" w:color="auto" w:sz="4" w:space="0"/>
            </w:tcBorders>
          </w:tcPr>
          <w:p>
            <w:pPr>
              <w:adjustRightInd w:val="0"/>
              <w:snapToGrid w:val="0"/>
              <w:ind w:firstLine="840"/>
              <w:rPr>
                <w:szCs w:val="21"/>
              </w:rPr>
            </w:pPr>
            <w:r>
              <w:rPr>
                <w:szCs w:val="21"/>
              </w:rPr>
              <w:t>内容</w:t>
            </w:r>
          </w:p>
          <w:p>
            <w:pPr>
              <w:adjustRightInd w:val="0"/>
              <w:snapToGrid w:val="0"/>
              <w:rPr>
                <w:szCs w:val="21"/>
              </w:rPr>
            </w:pPr>
            <w:r>
              <w:rPr>
                <w:szCs w:val="21"/>
              </w:rPr>
              <w:t>要素</w:t>
            </w:r>
          </w:p>
        </w:tc>
        <w:tc>
          <w:tcPr>
            <w:tcW w:w="1077" w:type="dxa"/>
            <w:vAlign w:val="center"/>
          </w:tcPr>
          <w:p>
            <w:pPr>
              <w:adjustRightInd w:val="0"/>
              <w:snapToGrid w:val="0"/>
              <w:jc w:val="center"/>
              <w:rPr>
                <w:szCs w:val="21"/>
              </w:rPr>
            </w:pPr>
            <w:r>
              <w:rPr>
                <w:szCs w:val="21"/>
              </w:rPr>
              <w:t>排放口(编号、</w:t>
            </w:r>
          </w:p>
          <w:p>
            <w:pPr>
              <w:adjustRightInd w:val="0"/>
              <w:snapToGrid w:val="0"/>
              <w:jc w:val="center"/>
              <w:rPr>
                <w:szCs w:val="21"/>
              </w:rPr>
            </w:pPr>
            <w:r>
              <w:rPr>
                <w:szCs w:val="21"/>
              </w:rPr>
              <w:t>名称)/污染源</w:t>
            </w:r>
          </w:p>
        </w:tc>
        <w:tc>
          <w:tcPr>
            <w:tcW w:w="1189" w:type="dxa"/>
            <w:vAlign w:val="center"/>
          </w:tcPr>
          <w:p>
            <w:pPr>
              <w:adjustRightInd w:val="0"/>
              <w:snapToGrid w:val="0"/>
              <w:jc w:val="center"/>
              <w:rPr>
                <w:szCs w:val="21"/>
              </w:rPr>
            </w:pPr>
            <w:r>
              <w:rPr>
                <w:szCs w:val="21"/>
              </w:rPr>
              <w:t>污染物项目</w:t>
            </w:r>
          </w:p>
        </w:tc>
        <w:tc>
          <w:tcPr>
            <w:tcW w:w="1935" w:type="dxa"/>
            <w:vAlign w:val="center"/>
          </w:tcPr>
          <w:p>
            <w:pPr>
              <w:adjustRightInd w:val="0"/>
              <w:snapToGrid w:val="0"/>
              <w:jc w:val="center"/>
              <w:rPr>
                <w:szCs w:val="21"/>
              </w:rPr>
            </w:pPr>
            <w:r>
              <w:rPr>
                <w:szCs w:val="21"/>
              </w:rPr>
              <w:t>环境保护措施</w:t>
            </w:r>
          </w:p>
        </w:tc>
        <w:tc>
          <w:tcPr>
            <w:tcW w:w="2898" w:type="dxa"/>
            <w:vAlign w:val="center"/>
          </w:tcPr>
          <w:p>
            <w:pPr>
              <w:adjustRightInd w:val="0"/>
              <w:snapToGrid w:val="0"/>
              <w:jc w:val="center"/>
              <w:rPr>
                <w:szCs w:val="21"/>
              </w:rPr>
            </w:pPr>
            <w:r>
              <w:rPr>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restart"/>
            <w:vAlign w:val="center"/>
          </w:tcPr>
          <w:p>
            <w:pPr>
              <w:adjustRightInd w:val="0"/>
              <w:snapToGrid w:val="0"/>
              <w:jc w:val="center"/>
              <w:rPr>
                <w:szCs w:val="21"/>
              </w:rPr>
            </w:pPr>
            <w:r>
              <w:rPr>
                <w:szCs w:val="21"/>
              </w:rPr>
              <w:t>大气环境</w:t>
            </w:r>
          </w:p>
        </w:tc>
        <w:tc>
          <w:tcPr>
            <w:tcW w:w="1077" w:type="dxa"/>
            <w:vAlign w:val="center"/>
          </w:tcPr>
          <w:p>
            <w:pPr>
              <w:adjustRightInd w:val="0"/>
              <w:snapToGrid w:val="0"/>
              <w:jc w:val="center"/>
              <w:rPr>
                <w:rFonts w:hint="eastAsia" w:eastAsia="宋体"/>
                <w:szCs w:val="21"/>
                <w:lang w:val="en-US" w:eastAsia="zh-CN"/>
              </w:rPr>
            </w:pPr>
            <w:r>
              <w:rPr>
                <w:rFonts w:hint="eastAsia"/>
                <w:szCs w:val="21"/>
                <w:lang w:val="en-US" w:eastAsia="zh-CN"/>
              </w:rPr>
              <w:t>DA001（搅拌机自带布袋除尘排口）</w:t>
            </w:r>
          </w:p>
        </w:tc>
        <w:tc>
          <w:tcPr>
            <w:tcW w:w="1189" w:type="dxa"/>
            <w:vAlign w:val="center"/>
          </w:tcPr>
          <w:p>
            <w:pPr>
              <w:adjustRightInd w:val="0"/>
              <w:snapToGrid w:val="0"/>
              <w:jc w:val="center"/>
              <w:rPr>
                <w:szCs w:val="21"/>
              </w:rPr>
            </w:pPr>
            <w:r>
              <w:rPr>
                <w:rFonts w:hint="eastAsia"/>
                <w:szCs w:val="21"/>
              </w:rPr>
              <w:t>颗粒物</w:t>
            </w:r>
          </w:p>
        </w:tc>
        <w:tc>
          <w:tcPr>
            <w:tcW w:w="1935" w:type="dxa"/>
            <w:vAlign w:val="center"/>
          </w:tcPr>
          <w:p>
            <w:pPr>
              <w:adjustRightInd w:val="0"/>
              <w:snapToGrid w:val="0"/>
              <w:jc w:val="center"/>
              <w:rPr>
                <w:szCs w:val="21"/>
              </w:rPr>
            </w:pPr>
            <w:r>
              <w:rPr>
                <w:rFonts w:hint="eastAsia"/>
                <w:szCs w:val="21"/>
              </w:rPr>
              <w:t>布袋除尘（除尘效率99</w:t>
            </w:r>
            <w:r>
              <w:rPr>
                <w:rFonts w:hint="eastAsia"/>
                <w:szCs w:val="21"/>
                <w:lang w:val="en-US" w:eastAsia="zh-CN"/>
              </w:rPr>
              <w:t>.7</w:t>
            </w:r>
            <w:r>
              <w:rPr>
                <w:rFonts w:hint="eastAsia"/>
                <w:szCs w:val="21"/>
              </w:rPr>
              <w:t>%）+15m排气筒</w:t>
            </w:r>
          </w:p>
        </w:tc>
        <w:tc>
          <w:tcPr>
            <w:tcW w:w="2898" w:type="dxa"/>
            <w:vAlign w:val="center"/>
          </w:tcPr>
          <w:p>
            <w:pPr>
              <w:adjustRightInd w:val="0"/>
              <w:snapToGrid w:val="0"/>
              <w:jc w:val="center"/>
              <w:rPr>
                <w:rFonts w:hAnsi="宋体"/>
                <w:szCs w:val="21"/>
              </w:rPr>
            </w:pPr>
            <w:r>
              <w:rPr>
                <w:rFonts w:hint="eastAsia"/>
                <w:spacing w:val="6"/>
                <w:szCs w:val="21"/>
              </w:rPr>
              <w:t>《水泥工业大气污染物排放标准》（GB4915-20</w:t>
            </w:r>
            <w:r>
              <w:rPr>
                <w:rFonts w:hint="eastAsia"/>
                <w:spacing w:val="6"/>
                <w:szCs w:val="21"/>
                <w:lang w:val="en-US" w:eastAsia="zh-CN"/>
              </w:rPr>
              <w:t>13</w:t>
            </w:r>
            <w:r>
              <w:rPr>
                <w:rFonts w:hint="eastAsia"/>
                <w:spacing w:val="6"/>
                <w:szCs w:val="21"/>
              </w:rPr>
              <w:t>）表2的大气污染物</w:t>
            </w:r>
            <w:r>
              <w:rPr>
                <w:rFonts w:hint="eastAsia"/>
                <w:spacing w:val="6"/>
                <w:szCs w:val="21"/>
                <w:lang w:val="en-US" w:eastAsia="zh-CN"/>
              </w:rPr>
              <w:t>特别排放限值</w:t>
            </w:r>
            <w:r>
              <w:rPr>
                <w:rFonts w:hint="eastAsia"/>
                <w:spacing w:val="6"/>
                <w:szCs w:val="21"/>
              </w:rPr>
              <w:t>（</w:t>
            </w:r>
            <w:r>
              <w:rPr>
                <w:rFonts w:hint="eastAsia"/>
                <w:spacing w:val="6"/>
                <w:szCs w:val="21"/>
                <w:lang w:val="en-US" w:eastAsia="zh-CN"/>
              </w:rPr>
              <w:t>1</w:t>
            </w:r>
            <w:r>
              <w:rPr>
                <w:rFonts w:hint="eastAsia"/>
                <w:spacing w:val="6"/>
                <w:szCs w:val="21"/>
              </w:rPr>
              <w:t>0mg/m</w:t>
            </w:r>
            <w:r>
              <w:rPr>
                <w:rFonts w:hint="eastAsia"/>
                <w:spacing w:val="6"/>
                <w:szCs w:val="21"/>
                <w:vertAlign w:val="superscript"/>
              </w:rPr>
              <w:t>3</w:t>
            </w:r>
            <w:r>
              <w:rPr>
                <w:rFonts w:hint="eastAsia"/>
                <w:spacing w:val="6"/>
                <w:szCs w:val="21"/>
              </w:rPr>
              <w:t>）</w:t>
            </w:r>
            <w:r>
              <w:rPr>
                <w:rFonts w:hint="eastAsia" w:hAnsi="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Align w:val="center"/>
          </w:tcPr>
          <w:p>
            <w:pPr>
              <w:adjustRightInd w:val="0"/>
              <w:snapToGrid w:val="0"/>
              <w:jc w:val="center"/>
              <w:rPr>
                <w:rFonts w:hint="default" w:eastAsia="宋体"/>
                <w:snapToGrid w:val="0"/>
                <w:kern w:val="0"/>
                <w:szCs w:val="21"/>
                <w:lang w:val="en-US" w:eastAsia="zh-CN"/>
              </w:rPr>
            </w:pPr>
            <w:r>
              <w:rPr>
                <w:rFonts w:hint="eastAsia"/>
                <w:snapToGrid w:val="0"/>
                <w:kern w:val="0"/>
                <w:szCs w:val="21"/>
                <w:lang w:val="en-US" w:eastAsia="zh-CN"/>
              </w:rPr>
              <w:t>储存、输送扬尘</w:t>
            </w:r>
          </w:p>
        </w:tc>
        <w:tc>
          <w:tcPr>
            <w:tcW w:w="1189" w:type="dxa"/>
            <w:vAlign w:val="center"/>
          </w:tcPr>
          <w:p>
            <w:pPr>
              <w:adjustRightInd w:val="0"/>
              <w:snapToGrid w:val="0"/>
              <w:jc w:val="center"/>
              <w:rPr>
                <w:szCs w:val="21"/>
              </w:rPr>
            </w:pPr>
            <w:r>
              <w:rPr>
                <w:rFonts w:hint="eastAsia"/>
                <w:szCs w:val="21"/>
              </w:rPr>
              <w:t>颗粒物</w:t>
            </w:r>
          </w:p>
        </w:tc>
        <w:tc>
          <w:tcPr>
            <w:tcW w:w="1935" w:type="dxa"/>
            <w:vAlign w:val="center"/>
          </w:tcPr>
          <w:p>
            <w:pPr>
              <w:adjustRightInd w:val="0"/>
              <w:snapToGrid w:val="0"/>
              <w:jc w:val="center"/>
              <w:rPr>
                <w:rFonts w:hint="default" w:hAnsi="宋体" w:eastAsia="宋体"/>
                <w:szCs w:val="21"/>
                <w:lang w:val="en-US" w:eastAsia="zh-CN"/>
              </w:rPr>
            </w:pPr>
            <w:r>
              <w:rPr>
                <w:rFonts w:hint="eastAsia" w:hAnsi="宋体"/>
                <w:szCs w:val="21"/>
                <w:lang w:val="en-US" w:eastAsia="zh-CN"/>
              </w:rPr>
              <w:t>筒仓储存，自带布袋除尘（除尘效率99.7%）</w:t>
            </w:r>
          </w:p>
        </w:tc>
        <w:tc>
          <w:tcPr>
            <w:tcW w:w="2898" w:type="dxa"/>
            <w:vMerge w:val="restart"/>
            <w:vAlign w:val="center"/>
          </w:tcPr>
          <w:p>
            <w:pPr>
              <w:adjustRightInd w:val="0"/>
              <w:snapToGrid w:val="0"/>
              <w:jc w:val="center"/>
              <w:rPr>
                <w:rFonts w:hAnsi="宋体"/>
                <w:szCs w:val="21"/>
              </w:rPr>
            </w:pPr>
            <w:r>
              <w:rPr>
                <w:rFonts w:hint="eastAsia"/>
                <w:spacing w:val="6"/>
                <w:szCs w:val="21"/>
              </w:rPr>
              <w:t>颗粒物无组织排放浓度</w:t>
            </w:r>
            <w:r>
              <w:rPr>
                <w:rFonts w:hint="eastAsia" w:hAnsi="宋体"/>
                <w:szCs w:val="21"/>
              </w:rPr>
              <w:t>满足</w:t>
            </w:r>
            <w:r>
              <w:rPr>
                <w:rFonts w:hint="eastAsia"/>
                <w:spacing w:val="6"/>
                <w:szCs w:val="21"/>
              </w:rPr>
              <w:t>《水泥工业大气污染物排放标准》（GB4915-20</w:t>
            </w:r>
            <w:r>
              <w:rPr>
                <w:rFonts w:hint="eastAsia"/>
                <w:spacing w:val="6"/>
                <w:szCs w:val="21"/>
                <w:lang w:val="en-US" w:eastAsia="zh-CN"/>
              </w:rPr>
              <w:t>13</w:t>
            </w:r>
            <w:r>
              <w:rPr>
                <w:rFonts w:hint="eastAsia"/>
                <w:spacing w:val="6"/>
                <w:szCs w:val="21"/>
              </w:rPr>
              <w:t>）</w:t>
            </w:r>
            <w:r>
              <w:rPr>
                <w:rFonts w:hAnsi="宋体"/>
                <w:szCs w:val="21"/>
              </w:rPr>
              <w:t>中</w:t>
            </w:r>
            <w:r>
              <w:rPr>
                <w:rFonts w:hint="eastAsia" w:hAnsi="宋体"/>
                <w:szCs w:val="21"/>
              </w:rPr>
              <w:t>无组织排放</w:t>
            </w:r>
            <w:r>
              <w:rPr>
                <w:rFonts w:hAnsi="宋体"/>
                <w:szCs w:val="21"/>
              </w:rPr>
              <w:t>标准</w:t>
            </w:r>
            <w:r>
              <w:rPr>
                <w:rFonts w:hint="eastAsia" w:hAnsi="宋体"/>
                <w:szCs w:val="21"/>
              </w:rPr>
              <w:t>（</w:t>
            </w:r>
            <w:r>
              <w:rPr>
                <w:rFonts w:hint="eastAsia"/>
                <w:spacing w:val="6"/>
                <w:szCs w:val="21"/>
              </w:rPr>
              <w:t>颗粒物：</w:t>
            </w:r>
            <w:r>
              <w:rPr>
                <w:rFonts w:hint="eastAsia"/>
                <w:spacing w:val="6"/>
                <w:szCs w:val="21"/>
                <w:lang w:val="en-US" w:eastAsia="zh-CN"/>
              </w:rPr>
              <w:t>0.5</w:t>
            </w:r>
            <w:r>
              <w:rPr>
                <w:rFonts w:hint="eastAsia" w:hAnsi="宋体"/>
                <w:szCs w:val="21"/>
              </w:rPr>
              <w:t>mg/m</w:t>
            </w:r>
            <w:r>
              <w:rPr>
                <w:rFonts w:hint="eastAsia" w:hAnsi="宋体"/>
                <w:szCs w:val="21"/>
                <w:vertAlign w:val="superscript"/>
              </w:rPr>
              <w:t>3</w:t>
            </w:r>
            <w:r>
              <w:rPr>
                <w:rFonts w:hint="eastAsia" w:hAnsi="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Align w:val="center"/>
          </w:tcPr>
          <w:p>
            <w:pPr>
              <w:adjustRightInd w:val="0"/>
              <w:snapToGrid w:val="0"/>
              <w:jc w:val="center"/>
              <w:rPr>
                <w:rFonts w:hint="default"/>
                <w:snapToGrid w:val="0"/>
                <w:kern w:val="0"/>
                <w:szCs w:val="21"/>
                <w:lang w:val="en-US" w:eastAsia="zh-CN"/>
              </w:rPr>
            </w:pPr>
            <w:r>
              <w:rPr>
                <w:rFonts w:hint="eastAsia"/>
                <w:snapToGrid w:val="0"/>
                <w:kern w:val="0"/>
                <w:szCs w:val="21"/>
                <w:lang w:val="en-US" w:eastAsia="zh-CN"/>
              </w:rPr>
              <w:t>运输扬尘</w:t>
            </w:r>
          </w:p>
        </w:tc>
        <w:tc>
          <w:tcPr>
            <w:tcW w:w="1189" w:type="dxa"/>
            <w:vAlign w:val="center"/>
          </w:tcPr>
          <w:p>
            <w:pPr>
              <w:adjustRightInd w:val="0"/>
              <w:snapToGrid w:val="0"/>
              <w:jc w:val="center"/>
              <w:rPr>
                <w:rFonts w:hint="eastAsia" w:eastAsia="宋体"/>
                <w:szCs w:val="21"/>
                <w:lang w:val="en-US" w:eastAsia="zh-CN"/>
              </w:rPr>
            </w:pPr>
            <w:r>
              <w:rPr>
                <w:rFonts w:hint="eastAsia"/>
                <w:szCs w:val="21"/>
                <w:lang w:val="en-US" w:eastAsia="zh-CN"/>
              </w:rPr>
              <w:t>颗粒物</w:t>
            </w:r>
          </w:p>
        </w:tc>
        <w:tc>
          <w:tcPr>
            <w:tcW w:w="1935" w:type="dxa"/>
            <w:vAlign w:val="center"/>
          </w:tcPr>
          <w:p>
            <w:pPr>
              <w:adjustRightInd w:val="0"/>
              <w:snapToGrid w:val="0"/>
              <w:jc w:val="center"/>
              <w:rPr>
                <w:rFonts w:hint="default" w:hAnsi="宋体"/>
                <w:szCs w:val="21"/>
                <w:lang w:val="en-US" w:eastAsia="zh-CN"/>
              </w:rPr>
            </w:pPr>
            <w:r>
              <w:rPr>
                <w:rFonts w:hint="eastAsia" w:hAnsi="宋体"/>
                <w:szCs w:val="21"/>
                <w:lang w:val="en-US" w:eastAsia="zh-CN"/>
              </w:rPr>
              <w:t>洒水抑尘（抑尘效率80%）</w:t>
            </w:r>
          </w:p>
        </w:tc>
        <w:tc>
          <w:tcPr>
            <w:tcW w:w="2898" w:type="dxa"/>
            <w:vMerge w:val="continue"/>
            <w:vAlign w:val="center"/>
          </w:tcPr>
          <w:p>
            <w:pPr>
              <w:adjustRightInd w:val="0"/>
              <w:snapToGrid w:val="0"/>
              <w:jc w:val="center"/>
              <w:rPr>
                <w:rFonts w:hint="eastAsia"/>
                <w:spacing w:val="6"/>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176" w:hRule="atLeast"/>
          <w:jc w:val="center"/>
        </w:trPr>
        <w:tc>
          <w:tcPr>
            <w:tcW w:w="1778" w:type="dxa"/>
            <w:vMerge w:val="restart"/>
            <w:vAlign w:val="center"/>
          </w:tcPr>
          <w:p>
            <w:pPr>
              <w:adjustRightInd w:val="0"/>
              <w:snapToGrid w:val="0"/>
              <w:jc w:val="center"/>
              <w:rPr>
                <w:szCs w:val="21"/>
              </w:rPr>
            </w:pPr>
            <w:r>
              <w:rPr>
                <w:szCs w:val="21"/>
              </w:rPr>
              <w:t>地表水环境</w:t>
            </w:r>
          </w:p>
        </w:tc>
        <w:tc>
          <w:tcPr>
            <w:tcW w:w="1077" w:type="dxa"/>
            <w:vMerge w:val="restart"/>
            <w:vAlign w:val="center"/>
          </w:tcPr>
          <w:p>
            <w:pPr>
              <w:adjustRightInd w:val="0"/>
              <w:snapToGrid w:val="0"/>
              <w:jc w:val="center"/>
              <w:rPr>
                <w:rFonts w:hint="default" w:eastAsia="宋体"/>
                <w:szCs w:val="21"/>
                <w:lang w:val="en-US" w:eastAsia="zh-CN"/>
              </w:rPr>
            </w:pPr>
            <w:r>
              <w:rPr>
                <w:szCs w:val="21"/>
              </w:rPr>
              <w:t>生活</w:t>
            </w:r>
            <w:r>
              <w:rPr>
                <w:rFonts w:hint="eastAsia"/>
                <w:szCs w:val="21"/>
              </w:rPr>
              <w:t>污水</w:t>
            </w:r>
            <w:r>
              <w:rPr>
                <w:rFonts w:hint="eastAsia"/>
                <w:szCs w:val="21"/>
                <w:lang w:eastAsia="zh-CN"/>
              </w:rPr>
              <w:t>、</w:t>
            </w:r>
            <w:r>
              <w:rPr>
                <w:rFonts w:hint="eastAsia"/>
                <w:szCs w:val="21"/>
                <w:lang w:val="en-US" w:eastAsia="zh-CN"/>
              </w:rPr>
              <w:t>餐饮废水</w:t>
            </w:r>
          </w:p>
        </w:tc>
        <w:tc>
          <w:tcPr>
            <w:tcW w:w="1189" w:type="dxa"/>
            <w:vAlign w:val="center"/>
          </w:tcPr>
          <w:p>
            <w:pPr>
              <w:adjustRightInd w:val="0"/>
              <w:snapToGrid w:val="0"/>
              <w:jc w:val="center"/>
              <w:rPr>
                <w:rFonts w:hint="eastAsia" w:eastAsia="宋体"/>
                <w:szCs w:val="21"/>
                <w:vertAlign w:val="subscript"/>
                <w:lang w:val="en-US" w:eastAsia="zh-CN"/>
              </w:rPr>
            </w:pPr>
            <w:r>
              <w:rPr>
                <w:szCs w:val="21"/>
              </w:rPr>
              <w:t>COD</w:t>
            </w:r>
            <w:r>
              <w:rPr>
                <w:rFonts w:hint="eastAsia"/>
                <w:szCs w:val="21"/>
                <w:vertAlign w:val="subscript"/>
                <w:lang w:val="en-US" w:eastAsia="zh-CN"/>
              </w:rPr>
              <w:t>Cr</w:t>
            </w:r>
          </w:p>
        </w:tc>
        <w:tc>
          <w:tcPr>
            <w:tcW w:w="1935" w:type="dxa"/>
            <w:vMerge w:val="restart"/>
            <w:vAlign w:val="center"/>
          </w:tcPr>
          <w:p>
            <w:pPr>
              <w:adjustRightInd w:val="0"/>
              <w:snapToGrid w:val="0"/>
              <w:jc w:val="center"/>
              <w:rPr>
                <w:szCs w:val="21"/>
              </w:rPr>
            </w:pPr>
            <w:r>
              <w:rPr>
                <w:rFonts w:hint="eastAsia" w:hAnsi="宋体"/>
                <w:snapToGrid w:val="0"/>
                <w:kern w:val="0"/>
                <w:szCs w:val="21"/>
                <w:lang w:val="en-US" w:eastAsia="zh-CN"/>
              </w:rPr>
              <w:t>餐饮废水经油水分离器处理后同</w:t>
            </w:r>
            <w:r>
              <w:rPr>
                <w:rFonts w:hint="eastAsia" w:hAnsi="宋体"/>
                <w:snapToGrid w:val="0"/>
                <w:kern w:val="0"/>
                <w:szCs w:val="21"/>
              </w:rPr>
              <w:t>生活污水排入园区管网，最终进入阜康市西部城区污水处理厂</w:t>
            </w:r>
          </w:p>
        </w:tc>
        <w:tc>
          <w:tcPr>
            <w:tcW w:w="2898" w:type="dxa"/>
            <w:vMerge w:val="restart"/>
            <w:vAlign w:val="center"/>
          </w:tcPr>
          <w:p>
            <w:pPr>
              <w:adjustRightInd w:val="0"/>
              <w:snapToGrid w:val="0"/>
              <w:jc w:val="center"/>
              <w:rPr>
                <w:szCs w:val="21"/>
              </w:rPr>
            </w:pPr>
            <w:r>
              <w:rPr>
                <w:kern w:val="0"/>
                <w:szCs w:val="21"/>
              </w:rPr>
              <w:t>《污水综合排放标准》（GB8978-1996）三级</w:t>
            </w:r>
            <w:r>
              <w:rPr>
                <w:rFonts w:hint="eastAsia"/>
                <w:kern w:val="0"/>
                <w:szCs w:val="21"/>
              </w:rPr>
              <w:t>排放</w:t>
            </w:r>
            <w:r>
              <w:rPr>
                <w:kern w:val="0"/>
                <w:szCs w:val="21"/>
              </w:rPr>
              <w:t>标准</w:t>
            </w:r>
            <w:r>
              <w:rPr>
                <w:rFonts w:hint="eastAsia"/>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66"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BOD</w:t>
            </w:r>
            <w:r>
              <w:rPr>
                <w:szCs w:val="21"/>
                <w:vertAlign w:val="subscript"/>
              </w:rPr>
              <w:t>5</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491"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NH</w:t>
            </w:r>
            <w:r>
              <w:rPr>
                <w:szCs w:val="21"/>
                <w:vertAlign w:val="subscript"/>
              </w:rPr>
              <w:t>3</w:t>
            </w:r>
            <w:r>
              <w:rPr>
                <w:szCs w:val="21"/>
              </w:rPr>
              <w:t>-N</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SS</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rFonts w:hint="eastAsia" w:eastAsia="宋体"/>
                <w:szCs w:val="21"/>
                <w:lang w:val="en-US" w:eastAsia="zh-CN"/>
              </w:rPr>
            </w:pPr>
            <w:r>
              <w:rPr>
                <w:rFonts w:hint="eastAsia"/>
                <w:szCs w:val="21"/>
                <w:lang w:val="en-US" w:eastAsia="zh-CN"/>
              </w:rPr>
              <w:t>动植物油</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67" w:hRule="atLeast"/>
          <w:jc w:val="center"/>
        </w:trPr>
        <w:tc>
          <w:tcPr>
            <w:tcW w:w="1778" w:type="dxa"/>
            <w:vMerge w:val="restart"/>
            <w:vAlign w:val="center"/>
          </w:tcPr>
          <w:p>
            <w:pPr>
              <w:adjustRightInd w:val="0"/>
              <w:snapToGrid w:val="0"/>
              <w:jc w:val="center"/>
              <w:rPr>
                <w:szCs w:val="21"/>
              </w:rPr>
            </w:pPr>
            <w:r>
              <w:rPr>
                <w:szCs w:val="21"/>
              </w:rPr>
              <w:t>声环境</w:t>
            </w:r>
          </w:p>
        </w:tc>
        <w:tc>
          <w:tcPr>
            <w:tcW w:w="1077" w:type="dxa"/>
            <w:vAlign w:val="center"/>
          </w:tcPr>
          <w:p>
            <w:pPr>
              <w:adjustRightInd w:val="0"/>
              <w:snapToGrid w:val="0"/>
              <w:jc w:val="center"/>
              <w:rPr>
                <w:rFonts w:hint="eastAsia" w:eastAsia="宋体"/>
                <w:szCs w:val="21"/>
                <w:lang w:val="en-US" w:eastAsia="zh-CN"/>
              </w:rPr>
            </w:pPr>
            <w:r>
              <w:rPr>
                <w:rFonts w:hint="eastAsia"/>
                <w:szCs w:val="21"/>
                <w:lang w:val="en-US" w:eastAsia="zh-CN"/>
              </w:rPr>
              <w:t>提升机</w:t>
            </w:r>
          </w:p>
        </w:tc>
        <w:tc>
          <w:tcPr>
            <w:tcW w:w="1189" w:type="dxa"/>
            <w:vMerge w:val="restart"/>
            <w:vAlign w:val="center"/>
          </w:tcPr>
          <w:p>
            <w:pPr>
              <w:adjustRightInd w:val="0"/>
              <w:snapToGrid w:val="0"/>
              <w:jc w:val="center"/>
              <w:rPr>
                <w:szCs w:val="21"/>
              </w:rPr>
            </w:pPr>
            <w:r>
              <w:rPr>
                <w:rFonts w:hint="eastAsia"/>
                <w:szCs w:val="21"/>
              </w:rPr>
              <w:t>噪声</w:t>
            </w:r>
          </w:p>
        </w:tc>
        <w:tc>
          <w:tcPr>
            <w:tcW w:w="1935" w:type="dxa"/>
            <w:vMerge w:val="restart"/>
            <w:vAlign w:val="center"/>
          </w:tcPr>
          <w:p>
            <w:pPr>
              <w:adjustRightInd w:val="0"/>
              <w:snapToGrid w:val="0"/>
              <w:jc w:val="center"/>
              <w:rPr>
                <w:szCs w:val="21"/>
              </w:rPr>
            </w:pPr>
            <w:r>
              <w:rPr>
                <w:szCs w:val="21"/>
              </w:rPr>
              <w:t>橡胶减震接头、减震垫、消声、隔声门窗、选用低噪声</w:t>
            </w:r>
            <w:r>
              <w:rPr>
                <w:rFonts w:hint="eastAsia"/>
                <w:szCs w:val="21"/>
              </w:rPr>
              <w:t>设备</w:t>
            </w:r>
          </w:p>
        </w:tc>
        <w:tc>
          <w:tcPr>
            <w:tcW w:w="2898" w:type="dxa"/>
            <w:vMerge w:val="restart"/>
            <w:vAlign w:val="center"/>
          </w:tcPr>
          <w:p>
            <w:pPr>
              <w:adjustRightInd w:val="0"/>
              <w:snapToGrid w:val="0"/>
              <w:jc w:val="center"/>
              <w:rPr>
                <w:szCs w:val="21"/>
              </w:rPr>
            </w:pPr>
            <w:r>
              <w:rPr>
                <w:rFonts w:hAnsi="宋体"/>
                <w:szCs w:val="21"/>
              </w:rPr>
              <w:t>达到《工业企业厂界环境噪声排放标准（</w:t>
            </w:r>
            <w:r>
              <w:rPr>
                <w:szCs w:val="21"/>
              </w:rPr>
              <w:t>GB12348-2008</w:t>
            </w:r>
            <w:r>
              <w:rPr>
                <w:rFonts w:hAnsi="宋体"/>
                <w:szCs w:val="21"/>
              </w:rPr>
              <w:t>）》中</w:t>
            </w:r>
            <w:r>
              <w:rPr>
                <w:rFonts w:hint="eastAsia" w:hAnsi="宋体"/>
                <w:szCs w:val="21"/>
              </w:rPr>
              <w:t>3</w:t>
            </w:r>
            <w:r>
              <w:rPr>
                <w:rFonts w:hAnsi="宋体"/>
                <w:szCs w:val="21"/>
              </w:rPr>
              <w:t>类标准限值中昼间</w:t>
            </w:r>
            <w:r>
              <w:rPr>
                <w:szCs w:val="21"/>
              </w:rPr>
              <w:t>≤6</w:t>
            </w:r>
            <w:r>
              <w:rPr>
                <w:rFonts w:hint="eastAsia"/>
                <w:szCs w:val="21"/>
              </w:rPr>
              <w:t>5</w:t>
            </w:r>
            <w:r>
              <w:rPr>
                <w:szCs w:val="21"/>
              </w:rPr>
              <w:t>dB(A)</w:t>
            </w:r>
            <w:r>
              <w:rPr>
                <w:rFonts w:hAnsi="宋体"/>
                <w:szCs w:val="21"/>
              </w:rPr>
              <w:t>，夜间</w:t>
            </w:r>
            <w:r>
              <w:rPr>
                <w:szCs w:val="21"/>
              </w:rPr>
              <w:t>≤5</w:t>
            </w:r>
            <w:r>
              <w:rPr>
                <w:rFonts w:hint="eastAsia"/>
                <w:szCs w:val="21"/>
              </w:rPr>
              <w:t>5</w:t>
            </w:r>
            <w:r>
              <w:rPr>
                <w:szCs w:val="21"/>
              </w:rPr>
              <w:t>dB(A)</w:t>
            </w: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22" w:hRule="atLeast"/>
          <w:jc w:val="center"/>
        </w:trPr>
        <w:tc>
          <w:tcPr>
            <w:tcW w:w="1778" w:type="dxa"/>
            <w:vMerge w:val="continue"/>
            <w:vAlign w:val="center"/>
          </w:tcPr>
          <w:p>
            <w:pPr>
              <w:adjustRightInd w:val="0"/>
              <w:snapToGrid w:val="0"/>
              <w:jc w:val="center"/>
            </w:pPr>
          </w:p>
        </w:tc>
        <w:tc>
          <w:tcPr>
            <w:tcW w:w="1077" w:type="dxa"/>
            <w:vAlign w:val="center"/>
          </w:tcPr>
          <w:p>
            <w:pPr>
              <w:adjustRightInd w:val="0"/>
              <w:snapToGrid w:val="0"/>
              <w:jc w:val="center"/>
              <w:rPr>
                <w:rFonts w:hint="eastAsia" w:eastAsia="宋体"/>
                <w:szCs w:val="21"/>
                <w:lang w:val="en-US" w:eastAsia="zh-CN"/>
              </w:rPr>
            </w:pPr>
            <w:r>
              <w:rPr>
                <w:rFonts w:hint="eastAsia"/>
                <w:szCs w:val="21"/>
                <w:lang w:val="en-US" w:eastAsia="zh-CN"/>
              </w:rPr>
              <w:t>搅拌机</w:t>
            </w:r>
          </w:p>
        </w:tc>
        <w:tc>
          <w:tcPr>
            <w:tcW w:w="1189" w:type="dxa"/>
            <w:vMerge w:val="continue"/>
            <w:vAlign w:val="center"/>
          </w:tcPr>
          <w:p>
            <w:pPr>
              <w:adjustRightInd w:val="0"/>
              <w:snapToGrid w:val="0"/>
              <w:jc w:val="center"/>
              <w:rPr>
                <w:szCs w:val="21"/>
              </w:rPr>
            </w:pP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Align w:val="center"/>
          </w:tcPr>
          <w:p>
            <w:pPr>
              <w:adjustRightInd w:val="0"/>
              <w:snapToGrid w:val="0"/>
              <w:jc w:val="center"/>
              <w:rPr>
                <w:rFonts w:hint="eastAsia" w:eastAsia="宋体"/>
                <w:szCs w:val="21"/>
                <w:lang w:val="en-US" w:eastAsia="zh-CN"/>
              </w:rPr>
            </w:pPr>
            <w:r>
              <w:rPr>
                <w:rFonts w:hint="eastAsia"/>
                <w:szCs w:val="21"/>
                <w:lang w:val="en-US" w:eastAsia="zh-CN"/>
              </w:rPr>
              <w:t>切割机</w:t>
            </w:r>
          </w:p>
        </w:tc>
        <w:tc>
          <w:tcPr>
            <w:tcW w:w="1189" w:type="dxa"/>
            <w:vMerge w:val="continue"/>
            <w:vAlign w:val="center"/>
          </w:tcPr>
          <w:p>
            <w:pPr>
              <w:adjustRightInd w:val="0"/>
              <w:snapToGrid w:val="0"/>
              <w:jc w:val="center"/>
              <w:rPr>
                <w:szCs w:val="21"/>
              </w:rPr>
            </w:pP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zCs w:val="21"/>
              </w:rPr>
            </w:pPr>
            <w:r>
              <w:rPr>
                <w:szCs w:val="21"/>
              </w:rPr>
              <w:t>电磁辐射</w:t>
            </w:r>
          </w:p>
        </w:tc>
        <w:tc>
          <w:tcPr>
            <w:tcW w:w="7120" w:type="dxa"/>
            <w:gridSpan w:val="5"/>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restart"/>
            <w:vAlign w:val="center"/>
          </w:tcPr>
          <w:p>
            <w:pPr>
              <w:adjustRightInd w:val="0"/>
              <w:snapToGrid w:val="0"/>
              <w:jc w:val="center"/>
              <w:rPr>
                <w:szCs w:val="21"/>
              </w:rPr>
            </w:pPr>
            <w:r>
              <w:rPr>
                <w:szCs w:val="21"/>
              </w:rPr>
              <w:t>固体废物</w:t>
            </w:r>
          </w:p>
        </w:tc>
        <w:tc>
          <w:tcPr>
            <w:tcW w:w="1077" w:type="dxa"/>
            <w:vMerge w:val="restart"/>
            <w:vAlign w:val="center"/>
          </w:tcPr>
          <w:p>
            <w:pPr>
              <w:adjustRightInd w:val="0"/>
              <w:snapToGrid w:val="0"/>
              <w:jc w:val="center"/>
              <w:rPr>
                <w:rFonts w:hint="eastAsia" w:eastAsia="宋体"/>
                <w:szCs w:val="21"/>
                <w:lang w:eastAsia="zh-CN"/>
              </w:rPr>
            </w:pPr>
            <w:r>
              <w:rPr>
                <w:rFonts w:hint="eastAsia"/>
                <w:szCs w:val="21"/>
                <w:lang w:val="en-US" w:eastAsia="zh-CN"/>
              </w:rPr>
              <w:t>一般固体废物</w:t>
            </w:r>
          </w:p>
        </w:tc>
        <w:tc>
          <w:tcPr>
            <w:tcW w:w="1189" w:type="dxa"/>
            <w:vAlign w:val="center"/>
          </w:tcPr>
          <w:p>
            <w:pPr>
              <w:adjustRightInd w:val="0"/>
              <w:snapToGrid w:val="0"/>
              <w:jc w:val="center"/>
              <w:rPr>
                <w:rFonts w:hint="eastAsia" w:eastAsia="宋体"/>
                <w:szCs w:val="21"/>
                <w:lang w:eastAsia="zh-CN"/>
              </w:rPr>
            </w:pPr>
            <w:r>
              <w:rPr>
                <w:rFonts w:hint="eastAsia"/>
                <w:szCs w:val="21"/>
                <w:lang w:val="en-US" w:eastAsia="zh-CN"/>
              </w:rPr>
              <w:t>边角料</w:t>
            </w:r>
          </w:p>
        </w:tc>
        <w:tc>
          <w:tcPr>
            <w:tcW w:w="1935" w:type="dxa"/>
            <w:vAlign w:val="center"/>
          </w:tcPr>
          <w:p>
            <w:pPr>
              <w:adjustRightInd w:val="0"/>
              <w:snapToGrid w:val="0"/>
              <w:jc w:val="center"/>
              <w:rPr>
                <w:rFonts w:hint="default" w:eastAsia="宋体"/>
                <w:szCs w:val="21"/>
                <w:lang w:val="en-US" w:eastAsia="zh-CN"/>
              </w:rPr>
            </w:pPr>
            <w:r>
              <w:rPr>
                <w:rFonts w:hint="eastAsia"/>
                <w:szCs w:val="21"/>
                <w:lang w:val="en-US" w:eastAsia="zh-CN"/>
              </w:rPr>
              <w:t>委托环卫部门拉运至一般固废填埋场填埋处置</w:t>
            </w:r>
          </w:p>
        </w:tc>
        <w:tc>
          <w:tcPr>
            <w:tcW w:w="2898" w:type="dxa"/>
            <w:vMerge w:val="restart"/>
            <w:vAlign w:val="center"/>
          </w:tcPr>
          <w:p>
            <w:pPr>
              <w:adjustRightInd w:val="0"/>
              <w:snapToGrid w:val="0"/>
              <w:jc w:val="center"/>
              <w:rPr>
                <w:szCs w:val="21"/>
              </w:rPr>
            </w:pPr>
            <w:r>
              <w:rPr>
                <w:rFonts w:hint="eastAsia"/>
                <w:szCs w:val="21"/>
              </w:rPr>
              <w:t>《一般工业固体废物贮存和填埋污染控制标准》（GB18599-2020）；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rFonts w:hint="eastAsia"/>
                <w:szCs w:val="21"/>
              </w:rPr>
            </w:pPr>
          </w:p>
        </w:tc>
        <w:tc>
          <w:tcPr>
            <w:tcW w:w="1189" w:type="dxa"/>
            <w:vAlign w:val="center"/>
          </w:tcPr>
          <w:p>
            <w:pPr>
              <w:adjustRightInd w:val="0"/>
              <w:snapToGrid w:val="0"/>
              <w:jc w:val="center"/>
              <w:rPr>
                <w:rFonts w:hint="default"/>
                <w:szCs w:val="21"/>
                <w:lang w:val="en-US" w:eastAsia="zh-CN"/>
              </w:rPr>
            </w:pPr>
            <w:r>
              <w:rPr>
                <w:rFonts w:hint="eastAsia"/>
                <w:szCs w:val="21"/>
                <w:lang w:val="en-US" w:eastAsia="zh-CN"/>
              </w:rPr>
              <w:t>布袋除尘收集的粉尘</w:t>
            </w:r>
          </w:p>
        </w:tc>
        <w:tc>
          <w:tcPr>
            <w:tcW w:w="1935" w:type="dxa"/>
            <w:vAlign w:val="center"/>
          </w:tcPr>
          <w:p>
            <w:pPr>
              <w:adjustRightInd w:val="0"/>
              <w:snapToGrid w:val="0"/>
              <w:jc w:val="center"/>
              <w:rPr>
                <w:rFonts w:hint="default"/>
                <w:szCs w:val="21"/>
                <w:lang w:val="en-US" w:eastAsia="zh-CN"/>
              </w:rPr>
            </w:pPr>
            <w:r>
              <w:rPr>
                <w:rFonts w:hint="eastAsia"/>
                <w:szCs w:val="21"/>
                <w:lang w:val="en-US" w:eastAsia="zh-CN"/>
              </w:rPr>
              <w:t>收集回用</w:t>
            </w:r>
          </w:p>
        </w:tc>
        <w:tc>
          <w:tcPr>
            <w:tcW w:w="2898" w:type="dxa"/>
            <w:vMerge w:val="continue"/>
            <w:vAlign w:val="center"/>
          </w:tcPr>
          <w:p>
            <w:pPr>
              <w:adjustRightInd w:val="0"/>
              <w:snapToGrid w:val="0"/>
              <w:jc w:val="center"/>
              <w:rPr>
                <w:rFonts w:hint="eastAsia"/>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Merge w:val="restart"/>
            <w:vAlign w:val="center"/>
          </w:tcPr>
          <w:p>
            <w:pPr>
              <w:adjustRightInd w:val="0"/>
              <w:snapToGrid w:val="0"/>
              <w:jc w:val="center"/>
              <w:rPr>
                <w:rFonts w:hint="eastAsia" w:eastAsia="宋体"/>
                <w:szCs w:val="21"/>
                <w:lang w:val="en-US" w:eastAsia="zh-CN"/>
              </w:rPr>
            </w:pPr>
            <w:r>
              <w:rPr>
                <w:rFonts w:hint="eastAsia"/>
                <w:szCs w:val="21"/>
              </w:rPr>
              <w:t>生活</w:t>
            </w:r>
            <w:r>
              <w:rPr>
                <w:rFonts w:hint="eastAsia"/>
                <w:szCs w:val="21"/>
                <w:lang w:val="en-US" w:eastAsia="zh-CN"/>
              </w:rPr>
              <w:t>垃圾</w:t>
            </w:r>
          </w:p>
        </w:tc>
        <w:tc>
          <w:tcPr>
            <w:tcW w:w="1189" w:type="dxa"/>
            <w:vAlign w:val="center"/>
          </w:tcPr>
          <w:p>
            <w:pPr>
              <w:adjustRightInd w:val="0"/>
              <w:snapToGrid w:val="0"/>
              <w:jc w:val="center"/>
              <w:rPr>
                <w:szCs w:val="21"/>
              </w:rPr>
            </w:pPr>
            <w:r>
              <w:rPr>
                <w:rFonts w:hint="eastAsia"/>
                <w:szCs w:val="21"/>
              </w:rPr>
              <w:t>生活垃圾</w:t>
            </w:r>
          </w:p>
        </w:tc>
        <w:tc>
          <w:tcPr>
            <w:tcW w:w="1935" w:type="dxa"/>
            <w:vAlign w:val="center"/>
          </w:tcPr>
          <w:p>
            <w:pPr>
              <w:adjustRightInd w:val="0"/>
              <w:snapToGrid w:val="0"/>
              <w:jc w:val="center"/>
              <w:rPr>
                <w:szCs w:val="21"/>
              </w:rPr>
            </w:pPr>
            <w:r>
              <w:rPr>
                <w:rFonts w:hint="eastAsia"/>
                <w:szCs w:val="21"/>
              </w:rPr>
              <w:t>集中收集后交由环卫部门统一处置</w:t>
            </w:r>
          </w:p>
        </w:tc>
        <w:tc>
          <w:tcPr>
            <w:tcW w:w="2898" w:type="dxa"/>
            <w:vMerge w:val="restart"/>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rFonts w:hint="eastAsia"/>
                <w:szCs w:val="21"/>
              </w:rPr>
            </w:pPr>
          </w:p>
        </w:tc>
        <w:tc>
          <w:tcPr>
            <w:tcW w:w="1189" w:type="dxa"/>
            <w:vAlign w:val="center"/>
          </w:tcPr>
          <w:p>
            <w:pPr>
              <w:adjustRightInd w:val="0"/>
              <w:snapToGrid w:val="0"/>
              <w:jc w:val="center"/>
              <w:rPr>
                <w:rFonts w:hint="default" w:eastAsia="宋体"/>
                <w:szCs w:val="21"/>
                <w:lang w:val="en-US" w:eastAsia="zh-CN"/>
              </w:rPr>
            </w:pPr>
            <w:r>
              <w:rPr>
                <w:rFonts w:hint="eastAsia"/>
                <w:szCs w:val="21"/>
                <w:lang w:val="en-US" w:eastAsia="zh-CN"/>
              </w:rPr>
              <w:t>餐除废油</w:t>
            </w:r>
          </w:p>
        </w:tc>
        <w:tc>
          <w:tcPr>
            <w:tcW w:w="1935" w:type="dxa"/>
            <w:vAlign w:val="center"/>
          </w:tcPr>
          <w:p>
            <w:pPr>
              <w:adjustRightInd w:val="0"/>
              <w:snapToGrid w:val="0"/>
              <w:jc w:val="center"/>
              <w:rPr>
                <w:rFonts w:hint="eastAsia"/>
                <w:szCs w:val="21"/>
              </w:rPr>
            </w:pPr>
            <w:r>
              <w:rPr>
                <w:rFonts w:hint="eastAsia"/>
                <w:szCs w:val="21"/>
              </w:rPr>
              <w:t>委托餐厨垃圾处理单位定期清运处置</w:t>
            </w:r>
          </w:p>
        </w:tc>
        <w:tc>
          <w:tcPr>
            <w:tcW w:w="2898" w:type="dxa"/>
            <w:vMerge w:val="continue"/>
            <w:vAlign w:val="center"/>
          </w:tcPr>
          <w:p>
            <w:pPr>
              <w:adjustRightInd w:val="0"/>
              <w:snapToGrid w:val="0"/>
              <w:jc w:val="center"/>
              <w:rPr>
                <w:rFonts w:hint="eastAsia"/>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Merge w:val="restart"/>
            <w:vAlign w:val="center"/>
          </w:tcPr>
          <w:p>
            <w:pPr>
              <w:adjustRightInd w:val="0"/>
              <w:snapToGrid w:val="0"/>
              <w:jc w:val="center"/>
              <w:rPr>
                <w:szCs w:val="21"/>
              </w:rPr>
            </w:pPr>
            <w:r>
              <w:rPr>
                <w:rFonts w:hint="eastAsia"/>
                <w:szCs w:val="21"/>
              </w:rPr>
              <w:t>危险废物</w:t>
            </w:r>
          </w:p>
        </w:tc>
        <w:tc>
          <w:tcPr>
            <w:tcW w:w="1189" w:type="dxa"/>
            <w:vAlign w:val="center"/>
          </w:tcPr>
          <w:p>
            <w:pPr>
              <w:adjustRightInd w:val="0"/>
              <w:snapToGrid w:val="0"/>
              <w:jc w:val="center"/>
              <w:rPr>
                <w:szCs w:val="21"/>
              </w:rPr>
            </w:pPr>
            <w:r>
              <w:rPr>
                <w:rFonts w:hint="eastAsia"/>
                <w:szCs w:val="21"/>
              </w:rPr>
              <w:t>废机油</w:t>
            </w:r>
          </w:p>
        </w:tc>
        <w:tc>
          <w:tcPr>
            <w:tcW w:w="1935" w:type="dxa"/>
            <w:vMerge w:val="restart"/>
            <w:vAlign w:val="center"/>
          </w:tcPr>
          <w:p>
            <w:pPr>
              <w:adjustRightInd w:val="0"/>
              <w:snapToGrid w:val="0"/>
              <w:jc w:val="center"/>
              <w:rPr>
                <w:szCs w:val="21"/>
              </w:rPr>
            </w:pPr>
            <w:r>
              <w:rPr>
                <w:rFonts w:hint="eastAsia"/>
                <w:szCs w:val="21"/>
              </w:rPr>
              <w:t>暂存危废暂存间，委托具有处理资质的单位处理</w:t>
            </w:r>
          </w:p>
        </w:tc>
        <w:tc>
          <w:tcPr>
            <w:tcW w:w="2898" w:type="dxa"/>
            <w:vMerge w:val="restart"/>
            <w:vAlign w:val="center"/>
          </w:tcPr>
          <w:p>
            <w:pPr>
              <w:adjustRightInd w:val="0"/>
              <w:snapToGrid w:val="0"/>
              <w:jc w:val="center"/>
              <w:rPr>
                <w:rFonts w:hint="eastAsia" w:eastAsia="宋体"/>
                <w:szCs w:val="21"/>
                <w:lang w:eastAsia="zh-CN"/>
              </w:rPr>
            </w:pPr>
            <w:r>
              <w:rPr>
                <w:szCs w:val="21"/>
              </w:rPr>
              <w:t>《危险废物贮存污染控制标准》（GB18597-2001）及其</w:t>
            </w:r>
            <w:r>
              <w:rPr>
                <w:rFonts w:hint="eastAsia"/>
                <w:szCs w:val="21"/>
              </w:rPr>
              <w:t>2</w:t>
            </w:r>
            <w:r>
              <w:rPr>
                <w:szCs w:val="21"/>
              </w:rPr>
              <w:t>013</w:t>
            </w:r>
            <w:r>
              <w:rPr>
                <w:rFonts w:hint="eastAsia"/>
                <w:szCs w:val="21"/>
              </w:rPr>
              <w:t>年</w:t>
            </w:r>
            <w:r>
              <w:rPr>
                <w:szCs w:val="21"/>
              </w:rPr>
              <w:t>修改单</w:t>
            </w:r>
            <w:r>
              <w:rPr>
                <w:rFonts w:hint="eastAsia"/>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rFonts w:hint="eastAsia"/>
                <w:szCs w:val="21"/>
              </w:rPr>
            </w:pPr>
          </w:p>
        </w:tc>
        <w:tc>
          <w:tcPr>
            <w:tcW w:w="1189" w:type="dxa"/>
            <w:vAlign w:val="center"/>
          </w:tcPr>
          <w:p>
            <w:pPr>
              <w:adjustRightInd w:val="0"/>
              <w:snapToGrid w:val="0"/>
              <w:jc w:val="center"/>
              <w:rPr>
                <w:rFonts w:hint="eastAsia" w:eastAsia="宋体"/>
                <w:szCs w:val="21"/>
                <w:lang w:val="en-US" w:eastAsia="zh-CN"/>
              </w:rPr>
            </w:pPr>
            <w:r>
              <w:rPr>
                <w:rFonts w:hint="eastAsia"/>
                <w:szCs w:val="21"/>
                <w:lang w:val="en-US" w:eastAsia="zh-CN"/>
              </w:rPr>
              <w:t>废油桶</w:t>
            </w:r>
          </w:p>
        </w:tc>
        <w:tc>
          <w:tcPr>
            <w:tcW w:w="1935" w:type="dxa"/>
            <w:vMerge w:val="continue"/>
            <w:vAlign w:val="center"/>
          </w:tcPr>
          <w:p>
            <w:pPr>
              <w:adjustRightInd w:val="0"/>
              <w:snapToGrid w:val="0"/>
              <w:jc w:val="center"/>
              <w:rPr>
                <w:rFonts w:hint="eastAsia"/>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zCs w:val="21"/>
              </w:rPr>
            </w:pPr>
            <w:r>
              <w:rPr>
                <w:szCs w:val="21"/>
              </w:rPr>
              <w:t>土壤及地下水</w:t>
            </w:r>
          </w:p>
          <w:p>
            <w:pPr>
              <w:adjustRightInd w:val="0"/>
              <w:snapToGrid w:val="0"/>
              <w:jc w:val="center"/>
              <w:rPr>
                <w:szCs w:val="21"/>
              </w:rPr>
            </w:pPr>
            <w:r>
              <w:rPr>
                <w:szCs w:val="21"/>
              </w:rPr>
              <w:t>污染防治措施</w:t>
            </w:r>
          </w:p>
        </w:tc>
        <w:tc>
          <w:tcPr>
            <w:tcW w:w="7120" w:type="dxa"/>
            <w:gridSpan w:val="5"/>
            <w:vAlign w:val="center"/>
          </w:tcPr>
          <w:p>
            <w:pPr>
              <w:adjustRightInd w:val="0"/>
              <w:snapToGrid w:val="0"/>
              <w:jc w:val="center"/>
              <w:rPr>
                <w:rFonts w:hint="default" w:eastAsia="宋体"/>
                <w:szCs w:val="21"/>
                <w:lang w:val="en-US" w:eastAsia="zh-CN"/>
              </w:rPr>
            </w:pPr>
            <w:r>
              <w:rPr>
                <w:rFonts w:hint="eastAsia"/>
                <w:szCs w:val="21"/>
                <w:lang w:val="en-US" w:eastAsia="zh-CN"/>
              </w:rPr>
              <w:t>危废暂存间按重点防渗区处理，车间内按照简单防渗区处理；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zCs w:val="21"/>
              </w:rPr>
            </w:pPr>
            <w:r>
              <w:rPr>
                <w:szCs w:val="21"/>
              </w:rPr>
              <w:t>生态保护措施</w:t>
            </w:r>
          </w:p>
        </w:tc>
        <w:tc>
          <w:tcPr>
            <w:tcW w:w="7120" w:type="dxa"/>
            <w:gridSpan w:val="5"/>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pacing w:val="-8"/>
                <w:szCs w:val="21"/>
              </w:rPr>
            </w:pPr>
            <w:r>
              <w:rPr>
                <w:spacing w:val="-8"/>
                <w:szCs w:val="21"/>
              </w:rPr>
              <w:t>环境风险</w:t>
            </w:r>
          </w:p>
          <w:p>
            <w:pPr>
              <w:adjustRightInd w:val="0"/>
              <w:snapToGrid w:val="0"/>
              <w:jc w:val="center"/>
              <w:rPr>
                <w:spacing w:val="-8"/>
                <w:szCs w:val="21"/>
              </w:rPr>
            </w:pPr>
            <w:r>
              <w:rPr>
                <w:spacing w:val="-8"/>
                <w:szCs w:val="21"/>
              </w:rPr>
              <w:t>防范措施</w:t>
            </w:r>
          </w:p>
        </w:tc>
        <w:tc>
          <w:tcPr>
            <w:tcW w:w="7120" w:type="dxa"/>
            <w:gridSpan w:val="5"/>
            <w:vAlign w:val="center"/>
          </w:tcPr>
          <w:p>
            <w:pPr>
              <w:adjustRightInd w:val="0"/>
              <w:snapToGrid w:val="0"/>
              <w:jc w:val="center"/>
              <w:rPr>
                <w:rFonts w:hint="eastAsia" w:eastAsia="宋体"/>
                <w:szCs w:val="21"/>
                <w:lang w:eastAsia="zh-CN"/>
              </w:rPr>
            </w:pPr>
            <w:r>
              <w:rPr>
                <w:rFonts w:hint="eastAsia"/>
                <w:szCs w:val="21"/>
                <w:lang w:eastAsia="zh-CN"/>
              </w:rPr>
              <w:t>严格执行排污许可制度等环境管理要求。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pacing w:val="-8"/>
                <w:szCs w:val="21"/>
              </w:rPr>
            </w:pPr>
            <w:r>
              <w:rPr>
                <w:spacing w:val="-8"/>
                <w:szCs w:val="21"/>
              </w:rPr>
              <w:t>其他环境</w:t>
            </w:r>
          </w:p>
          <w:p>
            <w:pPr>
              <w:adjustRightInd w:val="0"/>
              <w:snapToGrid w:val="0"/>
              <w:jc w:val="center"/>
              <w:rPr>
                <w:spacing w:val="-8"/>
                <w:szCs w:val="21"/>
              </w:rPr>
            </w:pPr>
            <w:r>
              <w:rPr>
                <w:spacing w:val="-8"/>
                <w:szCs w:val="21"/>
              </w:rPr>
              <w:t>管理要求</w:t>
            </w:r>
          </w:p>
        </w:tc>
        <w:tc>
          <w:tcPr>
            <w:tcW w:w="7120" w:type="dxa"/>
            <w:gridSpan w:val="5"/>
            <w:vAlign w:val="center"/>
          </w:tcPr>
          <w:p>
            <w:pPr>
              <w:adjustRightInd w:val="0"/>
              <w:snapToGrid w:val="0"/>
              <w:jc w:val="center"/>
              <w:rPr>
                <w:szCs w:val="21"/>
              </w:rPr>
            </w:pPr>
            <w:r>
              <w:rPr>
                <w:rFonts w:hint="eastAsia"/>
                <w:szCs w:val="21"/>
              </w:rPr>
              <w:t>/</w:t>
            </w:r>
          </w:p>
        </w:tc>
      </w:tr>
    </w:tbl>
    <w:p>
      <w:pPr>
        <w:pStyle w:val="26"/>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spacing w:line="520" w:lineRule="exact"/>
              <w:ind w:firstLine="480" w:firstLineChars="200"/>
              <w:rPr>
                <w:sz w:val="24"/>
              </w:rPr>
            </w:pPr>
            <w:r>
              <w:rPr>
                <w:sz w:val="24"/>
              </w:rPr>
              <w:t>本次评价对建项目及其周围区域环境现状进行了调查、监测和评价分析，通过对营运期污染物排放的环境影响分析和对环境风险的分析，提出了项目污染防治措施以及要求和建议，污染物的排放均能够严于相关标准，符合国家环境保护的要求。</w:t>
            </w:r>
          </w:p>
          <w:p>
            <w:pPr>
              <w:spacing w:line="520" w:lineRule="exact"/>
              <w:rPr>
                <w:sz w:val="24"/>
              </w:rPr>
            </w:pPr>
            <w:r>
              <w:rPr>
                <w:sz w:val="24"/>
              </w:rPr>
              <w:t>本项目运行期间产生一定量的废水、废气、噪声和固体废物，通过采取有效的污染防治措施，可将项目对周围环境造成的影响降到最低。同时，项目运营过程中，依据本次评价所提出的有关污染防治措施，全面落实“三同时”制度，加强运营期环境管理，定期监测，确保污染防治设施稳定达标运行，则项目建设对周围环境质量不会产生明显的影响，从环境保护角度出发，本项目建设是可行的。</w:t>
            </w:r>
          </w:p>
          <w:p>
            <w:pPr>
              <w:pStyle w:val="13"/>
              <w:rPr>
                <w:sz w:val="24"/>
              </w:rPr>
            </w:pPr>
          </w:p>
          <w:p>
            <w:pPr>
              <w:pStyle w:val="13"/>
              <w:rPr>
                <w:sz w:val="24"/>
              </w:rPr>
            </w:pPr>
          </w:p>
          <w:p>
            <w:pPr>
              <w:pStyle w:val="13"/>
              <w:rPr>
                <w:sz w:val="24"/>
              </w:rPr>
            </w:pPr>
          </w:p>
          <w:p>
            <w:pPr>
              <w:pStyle w:val="13"/>
              <w:rPr>
                <w:sz w:val="24"/>
              </w:rPr>
            </w:pPr>
          </w:p>
          <w:p>
            <w:pPr>
              <w:pStyle w:val="13"/>
              <w:rPr>
                <w:sz w:val="24"/>
              </w:rPr>
            </w:pPr>
          </w:p>
          <w:p>
            <w:pPr>
              <w:pStyle w:val="13"/>
              <w:rPr>
                <w:sz w:val="24"/>
              </w:rPr>
            </w:pP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6"/>
        <w:adjustRightInd w:val="0"/>
        <w:snapToGrid w:val="0"/>
        <w:spacing w:before="0" w:beforeAutospacing="0" w:after="0" w:afterAutospacing="0"/>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26"/>
        <w:adjustRightInd w:val="0"/>
        <w:snapToGrid w:val="0"/>
        <w:spacing w:before="0" w:beforeAutospacing="0" w:after="0" w:afterAutospacing="0"/>
        <w:jc w:val="center"/>
        <w:outlineLvl w:val="0"/>
        <w:rPr>
          <w:rFonts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31"/>
        <w:tblW w:w="1386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1495"/>
        <w:gridCol w:w="1701"/>
        <w:gridCol w:w="1276"/>
        <w:gridCol w:w="1701"/>
        <w:gridCol w:w="1559"/>
        <w:gridCol w:w="1761"/>
        <w:gridCol w:w="1641"/>
        <w:gridCol w:w="13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794" w:hRule="atLeast"/>
        </w:trPr>
        <w:tc>
          <w:tcPr>
            <w:tcW w:w="1368" w:type="dxa"/>
            <w:tcBorders>
              <w:tl2br w:val="single" w:color="auto" w:sz="4" w:space="0"/>
            </w:tcBorders>
            <w:tcMar>
              <w:left w:w="28" w:type="dxa"/>
              <w:right w:w="28" w:type="dxa"/>
            </w:tcMar>
            <w:vAlign w:val="center"/>
          </w:tcPr>
          <w:p>
            <w:pPr>
              <w:pStyle w:val="55"/>
              <w:spacing w:beforeLines="0" w:afterLines="0" w:line="240" w:lineRule="auto"/>
              <w:jc w:val="right"/>
              <w:rPr>
                <w:rFonts w:ascii="Times New Roman"/>
                <w:snapToGrid w:val="0"/>
                <w:spacing w:val="-6"/>
                <w:kern w:val="21"/>
                <w:szCs w:val="21"/>
              </w:rPr>
            </w:pPr>
            <w:r>
              <w:rPr>
                <w:rFonts w:ascii="Times New Roman"/>
                <w:snapToGrid w:val="0"/>
                <w:spacing w:val="-6"/>
                <w:kern w:val="21"/>
                <w:szCs w:val="21"/>
              </w:rPr>
              <w:t>项目</w:t>
            </w:r>
          </w:p>
          <w:p>
            <w:pPr>
              <w:pStyle w:val="55"/>
              <w:spacing w:beforeLines="0" w:afterLines="0" w:line="240" w:lineRule="auto"/>
              <w:jc w:val="left"/>
              <w:rPr>
                <w:rFonts w:ascii="Times New Roman"/>
                <w:snapToGrid w:val="0"/>
                <w:spacing w:val="-6"/>
                <w:kern w:val="21"/>
                <w:szCs w:val="21"/>
              </w:rPr>
            </w:pPr>
            <w:r>
              <w:rPr>
                <w:rFonts w:ascii="Times New Roman"/>
                <w:snapToGrid w:val="0"/>
                <w:spacing w:val="-6"/>
                <w:kern w:val="21"/>
                <w:szCs w:val="21"/>
              </w:rPr>
              <w:t>分类</w:t>
            </w:r>
          </w:p>
        </w:tc>
        <w:tc>
          <w:tcPr>
            <w:tcW w:w="1495" w:type="dxa"/>
            <w:tcMar>
              <w:left w:w="28" w:type="dxa"/>
              <w:right w:w="28" w:type="dxa"/>
            </w:tcMar>
            <w:vAlign w:val="center"/>
          </w:tcPr>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污染物名称</w:t>
            </w:r>
          </w:p>
        </w:tc>
        <w:tc>
          <w:tcPr>
            <w:tcW w:w="1701" w:type="dxa"/>
            <w:tcMar>
              <w:left w:w="28" w:type="dxa"/>
              <w:right w:w="28" w:type="dxa"/>
            </w:tcMar>
            <w:vAlign w:val="center"/>
          </w:tcPr>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kern w:val="2"/>
                <w:szCs w:val="21"/>
              </w:rPr>
              <w:t>①</w:t>
            </w:r>
            <w:r>
              <w:rPr>
                <w:rFonts w:ascii="Times New Roman"/>
                <w:snapToGrid w:val="0"/>
                <w:spacing w:val="-6"/>
                <w:kern w:val="21"/>
                <w:szCs w:val="21"/>
              </w:rPr>
              <w:fldChar w:fldCharType="end"/>
            </w:r>
          </w:p>
        </w:tc>
        <w:tc>
          <w:tcPr>
            <w:tcW w:w="1276" w:type="dxa"/>
            <w:tcMar>
              <w:left w:w="28" w:type="dxa"/>
              <w:right w:w="28" w:type="dxa"/>
            </w:tcMar>
            <w:vAlign w:val="center"/>
          </w:tcPr>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许可排放量</w:t>
            </w:r>
          </w:p>
          <w:p>
            <w:pPr>
              <w:pStyle w:val="55"/>
              <w:spacing w:beforeLines="0" w:afterLines="0"/>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2 \* GB3 \* MERGEFORMAT </w:instrText>
            </w:r>
            <w:r>
              <w:rPr>
                <w:rFonts w:ascii="Times New Roman"/>
                <w:snapToGrid w:val="0"/>
                <w:spacing w:val="-6"/>
                <w:kern w:val="21"/>
                <w:szCs w:val="21"/>
              </w:rPr>
              <w:fldChar w:fldCharType="separate"/>
            </w:r>
            <w:r>
              <w:rPr>
                <w:rFonts w:ascii="Times New Roman"/>
                <w:snapToGrid w:val="0"/>
                <w:spacing w:val="-6"/>
                <w:kern w:val="21"/>
                <w:szCs w:val="21"/>
              </w:rPr>
              <w:t>②</w:t>
            </w:r>
            <w:r>
              <w:rPr>
                <w:rFonts w:ascii="Times New Roman"/>
                <w:snapToGrid w:val="0"/>
                <w:spacing w:val="-6"/>
                <w:kern w:val="21"/>
                <w:szCs w:val="21"/>
              </w:rPr>
              <w:fldChar w:fldCharType="end"/>
            </w:r>
          </w:p>
        </w:tc>
        <w:tc>
          <w:tcPr>
            <w:tcW w:w="1701" w:type="dxa"/>
            <w:tcMar>
              <w:left w:w="28" w:type="dxa"/>
              <w:right w:w="28" w:type="dxa"/>
            </w:tcMar>
            <w:vAlign w:val="center"/>
          </w:tcPr>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在建工程</w:t>
            </w:r>
          </w:p>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kern w:val="2"/>
                <w:szCs w:val="21"/>
              </w:rPr>
              <w:t>③</w:t>
            </w:r>
            <w:r>
              <w:rPr>
                <w:rFonts w:ascii="Times New Roman"/>
                <w:snapToGrid w:val="0"/>
                <w:spacing w:val="-6"/>
                <w:kern w:val="21"/>
                <w:szCs w:val="21"/>
              </w:rPr>
              <w:fldChar w:fldCharType="end"/>
            </w:r>
          </w:p>
        </w:tc>
        <w:tc>
          <w:tcPr>
            <w:tcW w:w="1559" w:type="dxa"/>
            <w:tcMar>
              <w:left w:w="28" w:type="dxa"/>
              <w:right w:w="28" w:type="dxa"/>
            </w:tcMar>
            <w:vAlign w:val="center"/>
          </w:tcPr>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本项目</w:t>
            </w:r>
          </w:p>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kern w:val="2"/>
                <w:szCs w:val="21"/>
              </w:rPr>
              <w:t>④</w:t>
            </w:r>
            <w:r>
              <w:rPr>
                <w:rFonts w:ascii="Times New Roman"/>
                <w:snapToGrid w:val="0"/>
                <w:spacing w:val="-6"/>
                <w:kern w:val="21"/>
                <w:szCs w:val="21"/>
              </w:rPr>
              <w:fldChar w:fldCharType="end"/>
            </w:r>
          </w:p>
        </w:tc>
        <w:tc>
          <w:tcPr>
            <w:tcW w:w="1761" w:type="dxa"/>
            <w:tcMar>
              <w:left w:w="28" w:type="dxa"/>
              <w:right w:w="28" w:type="dxa"/>
            </w:tcMar>
            <w:vAlign w:val="center"/>
          </w:tcPr>
          <w:p>
            <w:pPr>
              <w:pStyle w:val="55"/>
              <w:spacing w:beforeLines="0" w:afterLines="0" w:line="240" w:lineRule="auto"/>
              <w:rPr>
                <w:rFonts w:ascii="Times New Roman"/>
                <w:snapToGrid w:val="0"/>
                <w:spacing w:val="-16"/>
                <w:kern w:val="21"/>
                <w:szCs w:val="21"/>
              </w:rPr>
            </w:pPr>
            <w:r>
              <w:rPr>
                <w:rFonts w:ascii="Times New Roman"/>
                <w:snapToGrid w:val="0"/>
                <w:spacing w:val="-16"/>
                <w:kern w:val="21"/>
                <w:szCs w:val="21"/>
              </w:rPr>
              <w:t>以新带老削减量</w:t>
            </w:r>
          </w:p>
          <w:p>
            <w:pPr>
              <w:pStyle w:val="55"/>
              <w:spacing w:beforeLines="0" w:afterLines="0" w:line="240" w:lineRule="auto"/>
              <w:rPr>
                <w:rFonts w:ascii="Times New Roman"/>
                <w:snapToGrid w:val="0"/>
                <w:spacing w:val="-16"/>
                <w:kern w:val="21"/>
                <w:szCs w:val="21"/>
              </w:rPr>
            </w:pPr>
            <w:r>
              <w:rPr>
                <w:rFonts w:ascii="Times New Roman"/>
                <w:snapToGrid w:val="0"/>
                <w:spacing w:val="-16"/>
                <w:kern w:val="21"/>
                <w:szCs w:val="21"/>
              </w:rPr>
              <w:t>（新建项目不填）</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kern w:val="2"/>
                <w:szCs w:val="21"/>
              </w:rPr>
              <w:t>⑤</w:t>
            </w:r>
            <w:r>
              <w:rPr>
                <w:rFonts w:ascii="Times New Roman"/>
                <w:snapToGrid w:val="0"/>
                <w:spacing w:val="-16"/>
                <w:kern w:val="21"/>
                <w:szCs w:val="21"/>
              </w:rPr>
              <w:fldChar w:fldCharType="end"/>
            </w:r>
          </w:p>
        </w:tc>
        <w:tc>
          <w:tcPr>
            <w:tcW w:w="1641" w:type="dxa"/>
            <w:tcMar>
              <w:left w:w="28" w:type="dxa"/>
              <w:right w:w="28" w:type="dxa"/>
            </w:tcMar>
            <w:vAlign w:val="center"/>
          </w:tcPr>
          <w:p>
            <w:pPr>
              <w:pStyle w:val="55"/>
              <w:spacing w:beforeLines="0" w:afterLines="0" w:line="240" w:lineRule="auto"/>
              <w:rPr>
                <w:rFonts w:ascii="Times New Roman"/>
                <w:snapToGrid w:val="0"/>
                <w:spacing w:val="-16"/>
                <w:kern w:val="21"/>
                <w:szCs w:val="21"/>
              </w:rPr>
            </w:pPr>
            <w:r>
              <w:rPr>
                <w:rFonts w:ascii="Times New Roman"/>
                <w:snapToGrid w:val="0"/>
                <w:spacing w:val="-16"/>
                <w:kern w:val="21"/>
                <w:szCs w:val="21"/>
              </w:rPr>
              <w:t>本项目建成后</w:t>
            </w:r>
          </w:p>
          <w:p>
            <w:pPr>
              <w:pStyle w:val="55"/>
              <w:spacing w:beforeLines="0" w:afterLines="0" w:line="240" w:lineRule="auto"/>
              <w:rPr>
                <w:rFonts w:ascii="Times New Roman"/>
                <w:snapToGrid w:val="0"/>
                <w:spacing w:val="-16"/>
                <w:kern w:val="21"/>
                <w:szCs w:val="21"/>
              </w:rPr>
            </w:pPr>
            <w:r>
              <w:rPr>
                <w:rFonts w:ascii="Times New Roman"/>
                <w:snapToGrid w:val="0"/>
                <w:spacing w:val="-16"/>
                <w:kern w:val="21"/>
                <w:szCs w:val="21"/>
              </w:rPr>
              <w:t>全厂排放量（固体废物产生量）</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kern w:val="2"/>
                <w:szCs w:val="21"/>
              </w:rPr>
              <w:t>⑥</w:t>
            </w:r>
            <w:r>
              <w:rPr>
                <w:rFonts w:ascii="Times New Roman"/>
                <w:snapToGrid w:val="0"/>
                <w:spacing w:val="-16"/>
                <w:kern w:val="21"/>
                <w:szCs w:val="21"/>
              </w:rPr>
              <w:fldChar w:fldCharType="end"/>
            </w:r>
          </w:p>
        </w:tc>
        <w:tc>
          <w:tcPr>
            <w:tcW w:w="1358" w:type="dxa"/>
            <w:tcMar>
              <w:left w:w="28" w:type="dxa"/>
              <w:right w:w="28" w:type="dxa"/>
            </w:tcMar>
            <w:vAlign w:val="center"/>
          </w:tcPr>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t>变化量</w:t>
            </w:r>
          </w:p>
          <w:p>
            <w:pPr>
              <w:pStyle w:val="55"/>
              <w:spacing w:beforeLines="0" w:afterLines="0" w:line="240" w:lineRule="auto"/>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kern w:val="2"/>
                <w:szCs w:val="21"/>
              </w:rPr>
              <w:t>⑦</w:t>
            </w:r>
            <w:r>
              <w:rPr>
                <w:rFonts w:ascii="Times New Roman"/>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restart"/>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废气</w:t>
            </w:r>
          </w:p>
        </w:tc>
        <w:tc>
          <w:tcPr>
            <w:tcW w:w="1495" w:type="dxa"/>
            <w:vAlign w:val="center"/>
          </w:tcPr>
          <w:p>
            <w:pPr>
              <w:pStyle w:val="55"/>
              <w:spacing w:beforeLines="0" w:afterLines="0" w:line="240" w:lineRule="auto"/>
              <w:rPr>
                <w:rFonts w:ascii="Times New Roman"/>
                <w:snapToGrid w:val="0"/>
                <w:kern w:val="21"/>
                <w:szCs w:val="21"/>
              </w:rPr>
            </w:pPr>
            <w:r>
              <w:rPr>
                <w:rFonts w:ascii="Times New Roman"/>
                <w:szCs w:val="21"/>
              </w:rPr>
              <w:t>颗粒物</w:t>
            </w:r>
          </w:p>
        </w:tc>
        <w:tc>
          <w:tcPr>
            <w:tcW w:w="170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5"/>
              <w:spacing w:beforeLines="0" w:afterLines="0" w:line="240" w:lineRule="auto"/>
              <w:rPr>
                <w:rFonts w:ascii="Times New Roman"/>
                <w:snapToGrid w:val="0"/>
                <w:kern w:val="21"/>
                <w:szCs w:val="21"/>
              </w:rPr>
            </w:pPr>
            <w:r>
              <w:rPr>
                <w:rFonts w:hint="eastAsia" w:ascii="Times New Roman"/>
                <w:szCs w:val="21"/>
                <w:lang w:val="en-US" w:eastAsia="zh-CN"/>
              </w:rPr>
              <w:t>0.033</w:t>
            </w:r>
            <w:r>
              <w:rPr>
                <w:rFonts w:hint="eastAsia" w:ascii="Times New Roman"/>
                <w:szCs w:val="21"/>
              </w:rPr>
              <w:t>t/a</w:t>
            </w:r>
          </w:p>
        </w:tc>
        <w:tc>
          <w:tcPr>
            <w:tcW w:w="176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5"/>
              <w:spacing w:beforeLines="0" w:afterLines="0" w:line="240" w:lineRule="auto"/>
              <w:rPr>
                <w:rFonts w:ascii="Times New Roman"/>
                <w:snapToGrid w:val="0"/>
                <w:kern w:val="21"/>
                <w:szCs w:val="21"/>
              </w:rPr>
            </w:pPr>
            <w:r>
              <w:rPr>
                <w:rFonts w:hint="eastAsia" w:ascii="Times New Roman"/>
                <w:szCs w:val="21"/>
                <w:lang w:val="en-US" w:eastAsia="zh-CN"/>
              </w:rPr>
              <w:t>0.033</w:t>
            </w:r>
            <w:r>
              <w:rPr>
                <w:rFonts w:hint="eastAsia" w:ascii="Times New Roman"/>
                <w:szCs w:val="21"/>
              </w:rPr>
              <w:t>t/a</w:t>
            </w:r>
          </w:p>
        </w:tc>
        <w:tc>
          <w:tcPr>
            <w:tcW w:w="1358" w:type="dxa"/>
            <w:vAlign w:val="center"/>
          </w:tcPr>
          <w:p>
            <w:pPr>
              <w:pStyle w:val="55"/>
              <w:spacing w:beforeLines="0" w:afterLines="0" w:line="240" w:lineRule="auto"/>
              <w:rPr>
                <w:rFonts w:ascii="Times New Roman"/>
                <w:snapToGrid w:val="0"/>
                <w:kern w:val="21"/>
                <w:szCs w:val="21"/>
              </w:rPr>
            </w:pPr>
            <w:r>
              <w:rPr>
                <w:rFonts w:hint="eastAsia" w:ascii="Times New Roman"/>
                <w:szCs w:val="21"/>
                <w:lang w:val="en-US" w:eastAsia="zh-CN"/>
              </w:rPr>
              <w:t>+0.033</w:t>
            </w:r>
            <w:r>
              <w:rPr>
                <w:rFonts w:hint="eastAsia" w:ascii="Times New Roman"/>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5"/>
              <w:spacing w:beforeLines="0" w:afterLines="0" w:line="240" w:lineRule="auto"/>
              <w:rPr>
                <w:rFonts w:ascii="Times New Roman"/>
                <w:snapToGrid w:val="0"/>
                <w:kern w:val="21"/>
                <w:szCs w:val="21"/>
              </w:rPr>
            </w:pPr>
          </w:p>
        </w:tc>
        <w:tc>
          <w:tcPr>
            <w:tcW w:w="1495" w:type="dxa"/>
            <w:vAlign w:val="center"/>
          </w:tcPr>
          <w:p>
            <w:pPr>
              <w:pStyle w:val="55"/>
              <w:spacing w:beforeLines="0" w:afterLines="0" w:line="240" w:lineRule="auto"/>
              <w:rPr>
                <w:rFonts w:ascii="Times New Roman"/>
                <w:snapToGrid w:val="0"/>
                <w:kern w:val="21"/>
                <w:szCs w:val="21"/>
              </w:rPr>
            </w:pPr>
            <w:r>
              <w:rPr>
                <w:rFonts w:ascii="Times New Roman"/>
                <w:spacing w:val="6"/>
                <w:szCs w:val="21"/>
              </w:rPr>
              <w:t>SO</w:t>
            </w:r>
            <w:r>
              <w:rPr>
                <w:rFonts w:ascii="Times New Roman"/>
                <w:spacing w:val="6"/>
                <w:szCs w:val="21"/>
                <w:vertAlign w:val="subscript"/>
              </w:rPr>
              <w:t>2</w:t>
            </w:r>
          </w:p>
        </w:tc>
        <w:tc>
          <w:tcPr>
            <w:tcW w:w="170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5"/>
              <w:spacing w:beforeLines="0" w:afterLines="0" w:line="240" w:lineRule="auto"/>
              <w:rPr>
                <w:rFonts w:ascii="Times New Roman"/>
                <w:snapToGrid w:val="0"/>
                <w:kern w:val="21"/>
                <w:szCs w:val="21"/>
              </w:rPr>
            </w:pPr>
            <w:r>
              <w:rPr>
                <w:rFonts w:hint="eastAsia" w:ascii="Times New Roman"/>
                <w:szCs w:val="21"/>
              </w:rPr>
              <w:t>0</w:t>
            </w:r>
          </w:p>
        </w:tc>
        <w:tc>
          <w:tcPr>
            <w:tcW w:w="176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5"/>
              <w:spacing w:beforeLines="0" w:afterLines="0" w:line="240" w:lineRule="auto"/>
              <w:rPr>
                <w:rFonts w:ascii="Times New Roman"/>
                <w:snapToGrid w:val="0"/>
                <w:kern w:val="21"/>
                <w:szCs w:val="21"/>
              </w:rPr>
            </w:pPr>
            <w:r>
              <w:rPr>
                <w:rFonts w:hint="eastAsia" w:ascii="Times New Roman"/>
                <w:szCs w:val="21"/>
              </w:rPr>
              <w:t>0</w:t>
            </w:r>
          </w:p>
        </w:tc>
        <w:tc>
          <w:tcPr>
            <w:tcW w:w="1358" w:type="dxa"/>
            <w:vAlign w:val="center"/>
          </w:tcPr>
          <w:p>
            <w:pPr>
              <w:pStyle w:val="55"/>
              <w:spacing w:beforeLines="0" w:afterLines="0" w:line="240" w:lineRule="auto"/>
              <w:rPr>
                <w:rFonts w:ascii="Times New Roman"/>
                <w:snapToGrid w:val="0"/>
                <w:kern w:val="21"/>
                <w:szCs w:val="21"/>
              </w:rPr>
            </w:pPr>
            <w:r>
              <w:rPr>
                <w:rFonts w:hint="eastAsia" w:ascii="Times New Roman"/>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5"/>
              <w:spacing w:beforeLines="0" w:afterLines="0" w:line="240" w:lineRule="auto"/>
              <w:rPr>
                <w:rFonts w:ascii="Times New Roman"/>
                <w:snapToGrid w:val="0"/>
                <w:kern w:val="21"/>
                <w:szCs w:val="21"/>
              </w:rPr>
            </w:pPr>
          </w:p>
        </w:tc>
        <w:tc>
          <w:tcPr>
            <w:tcW w:w="1495" w:type="dxa"/>
            <w:vAlign w:val="center"/>
          </w:tcPr>
          <w:p>
            <w:pPr>
              <w:pStyle w:val="55"/>
              <w:spacing w:beforeLines="0" w:afterLines="0" w:line="240" w:lineRule="auto"/>
              <w:rPr>
                <w:rFonts w:ascii="Times New Roman"/>
                <w:snapToGrid w:val="0"/>
                <w:kern w:val="21"/>
                <w:szCs w:val="21"/>
              </w:rPr>
            </w:pPr>
            <w:r>
              <w:rPr>
                <w:rFonts w:ascii="Times New Roman"/>
                <w:spacing w:val="6"/>
                <w:szCs w:val="21"/>
              </w:rPr>
              <w:t>NO</w:t>
            </w:r>
            <w:r>
              <w:rPr>
                <w:rFonts w:ascii="Times New Roman"/>
                <w:spacing w:val="6"/>
                <w:szCs w:val="21"/>
                <w:vertAlign w:val="subscript"/>
              </w:rPr>
              <w:t>x</w:t>
            </w:r>
          </w:p>
        </w:tc>
        <w:tc>
          <w:tcPr>
            <w:tcW w:w="170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5"/>
              <w:spacing w:beforeLines="0" w:afterLines="0" w:line="240" w:lineRule="auto"/>
              <w:rPr>
                <w:rFonts w:ascii="Times New Roman"/>
                <w:snapToGrid w:val="0"/>
                <w:kern w:val="21"/>
                <w:szCs w:val="21"/>
              </w:rPr>
            </w:pPr>
            <w:r>
              <w:rPr>
                <w:rFonts w:hint="eastAsia" w:ascii="Times New Roman"/>
                <w:szCs w:val="21"/>
              </w:rPr>
              <w:t>0</w:t>
            </w:r>
          </w:p>
        </w:tc>
        <w:tc>
          <w:tcPr>
            <w:tcW w:w="176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5"/>
              <w:spacing w:beforeLines="0" w:afterLines="0" w:line="240" w:lineRule="auto"/>
              <w:rPr>
                <w:rFonts w:ascii="Times New Roman"/>
                <w:snapToGrid w:val="0"/>
                <w:kern w:val="21"/>
                <w:szCs w:val="21"/>
              </w:rPr>
            </w:pPr>
            <w:r>
              <w:rPr>
                <w:rFonts w:hint="eastAsia" w:ascii="Times New Roman"/>
                <w:szCs w:val="21"/>
              </w:rPr>
              <w:t>0</w:t>
            </w:r>
          </w:p>
        </w:tc>
        <w:tc>
          <w:tcPr>
            <w:tcW w:w="1358" w:type="dxa"/>
            <w:vAlign w:val="center"/>
          </w:tcPr>
          <w:p>
            <w:pPr>
              <w:pStyle w:val="55"/>
              <w:spacing w:beforeLines="0" w:afterLines="0" w:line="240" w:lineRule="auto"/>
              <w:rPr>
                <w:rFonts w:ascii="Times New Roman"/>
                <w:snapToGrid w:val="0"/>
                <w:kern w:val="21"/>
                <w:szCs w:val="21"/>
              </w:rPr>
            </w:pPr>
            <w:r>
              <w:rPr>
                <w:rFonts w:hint="eastAsia" w:ascii="Times New Roman"/>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restart"/>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废水</w:t>
            </w:r>
          </w:p>
        </w:tc>
        <w:tc>
          <w:tcPr>
            <w:tcW w:w="1495" w:type="dxa"/>
            <w:vAlign w:val="center"/>
          </w:tcPr>
          <w:p>
            <w:pPr>
              <w:pStyle w:val="55"/>
              <w:spacing w:beforeLines="0" w:afterLines="0" w:line="240" w:lineRule="auto"/>
              <w:rPr>
                <w:rFonts w:hint="default" w:ascii="Times New Roman" w:eastAsia="宋体"/>
                <w:snapToGrid w:val="0"/>
                <w:kern w:val="21"/>
                <w:szCs w:val="21"/>
                <w:vertAlign w:val="subscript"/>
                <w:lang w:val="en-US" w:eastAsia="zh-CN"/>
              </w:rPr>
            </w:pPr>
            <w:r>
              <w:rPr>
                <w:rFonts w:ascii="Times New Roman"/>
                <w:snapToGrid w:val="0"/>
                <w:kern w:val="21"/>
                <w:szCs w:val="21"/>
              </w:rPr>
              <w:t>COD</w:t>
            </w:r>
            <w:r>
              <w:rPr>
                <w:rFonts w:hint="eastAsia" w:ascii="Times New Roman"/>
                <w:snapToGrid w:val="0"/>
                <w:kern w:val="21"/>
                <w:szCs w:val="21"/>
                <w:vertAlign w:val="subscript"/>
                <w:lang w:val="en-US" w:eastAsia="zh-CN"/>
              </w:rPr>
              <w:t>Cr</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38"/>
              <w:snapToGrid w:val="0"/>
              <w:spacing w:line="240" w:lineRule="auto"/>
              <w:rPr>
                <w:rFonts w:hint="default" w:ascii="Times New Roman"/>
                <w:snapToGrid w:val="0"/>
                <w:kern w:val="21"/>
                <w:szCs w:val="21"/>
                <w:lang w:val="en-US"/>
              </w:rPr>
            </w:pPr>
            <w:r>
              <w:rPr>
                <w:rFonts w:hint="eastAsia" w:ascii="Times New Roman" w:hAnsi="Times New Roman"/>
                <w:lang w:val="en-US" w:eastAsia="zh-CN"/>
              </w:rPr>
              <w:t>0.057t/a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0.057t/a</w:t>
            </w:r>
          </w:p>
        </w:tc>
        <w:tc>
          <w:tcPr>
            <w:tcW w:w="1358"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+0.057t/a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5"/>
              <w:spacing w:beforeLines="0" w:afterLines="0" w:line="240" w:lineRule="auto"/>
              <w:rPr>
                <w:rFonts w:ascii="Times New Roman"/>
                <w:snapToGrid w:val="0"/>
                <w:kern w:val="21"/>
                <w:szCs w:val="21"/>
              </w:rPr>
            </w:pPr>
          </w:p>
        </w:tc>
        <w:tc>
          <w:tcPr>
            <w:tcW w:w="1495"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NH</w:t>
            </w:r>
            <w:r>
              <w:rPr>
                <w:rFonts w:ascii="Times New Roman"/>
                <w:snapToGrid w:val="0"/>
                <w:kern w:val="21"/>
                <w:szCs w:val="21"/>
                <w:vertAlign w:val="subscript"/>
              </w:rPr>
              <w:t>3</w:t>
            </w:r>
            <w:r>
              <w:rPr>
                <w:rFonts w:ascii="Times New Roman"/>
                <w:snapToGrid w:val="0"/>
                <w:kern w:val="21"/>
                <w:szCs w:val="21"/>
              </w:rPr>
              <w:t>-N</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0.012t/a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0.012t/a</w:t>
            </w:r>
          </w:p>
        </w:tc>
        <w:tc>
          <w:tcPr>
            <w:tcW w:w="1358"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+0.012t/a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5"/>
              <w:spacing w:beforeLines="0" w:afterLines="0" w:line="240" w:lineRule="auto"/>
              <w:rPr>
                <w:rFonts w:ascii="Times New Roman"/>
                <w:snapToGrid w:val="0"/>
                <w:kern w:val="21"/>
                <w:szCs w:val="21"/>
              </w:rPr>
            </w:pPr>
          </w:p>
        </w:tc>
        <w:tc>
          <w:tcPr>
            <w:tcW w:w="1495" w:type="dxa"/>
            <w:vAlign w:val="center"/>
          </w:tcPr>
          <w:p>
            <w:pPr>
              <w:pStyle w:val="55"/>
              <w:spacing w:beforeLines="0" w:afterLines="0" w:line="240" w:lineRule="auto"/>
              <w:rPr>
                <w:rFonts w:hint="eastAsia" w:ascii="Times New Roman" w:eastAsia="宋体"/>
                <w:snapToGrid w:val="0"/>
                <w:kern w:val="21"/>
                <w:szCs w:val="21"/>
                <w:vertAlign w:val="subscript"/>
                <w:lang w:val="en-US" w:eastAsia="zh-CN"/>
              </w:rPr>
            </w:pPr>
            <w:r>
              <w:rPr>
                <w:rFonts w:ascii="Times New Roman"/>
                <w:snapToGrid w:val="0"/>
                <w:kern w:val="21"/>
                <w:szCs w:val="21"/>
              </w:rPr>
              <w:t>BOD</w:t>
            </w:r>
            <w:r>
              <w:rPr>
                <w:rFonts w:hint="eastAsia" w:ascii="Times New Roman"/>
                <w:snapToGrid w:val="0"/>
                <w:kern w:val="21"/>
                <w:szCs w:val="21"/>
                <w:vertAlign w:val="subscript"/>
                <w:lang w:val="en-US" w:eastAsia="zh-CN"/>
              </w:rPr>
              <w:t>5</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0.03t/a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0.03t/a</w:t>
            </w:r>
          </w:p>
        </w:tc>
        <w:tc>
          <w:tcPr>
            <w:tcW w:w="1358"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+0.03t/a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5"/>
              <w:spacing w:beforeLines="0" w:afterLines="0" w:line="240" w:lineRule="auto"/>
              <w:rPr>
                <w:rFonts w:ascii="Times New Roman"/>
                <w:snapToGrid w:val="0"/>
                <w:kern w:val="21"/>
                <w:szCs w:val="21"/>
              </w:rPr>
            </w:pPr>
          </w:p>
        </w:tc>
        <w:tc>
          <w:tcPr>
            <w:tcW w:w="1495"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SS</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0.032t/a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0.032t/a</w:t>
            </w:r>
          </w:p>
        </w:tc>
        <w:tc>
          <w:tcPr>
            <w:tcW w:w="1358" w:type="dxa"/>
            <w:vAlign w:val="center"/>
          </w:tcPr>
          <w:p>
            <w:pPr>
              <w:pStyle w:val="38"/>
              <w:snapToGrid w:val="0"/>
              <w:spacing w:line="240" w:lineRule="auto"/>
              <w:rPr>
                <w:rFonts w:ascii="Times New Roman"/>
                <w:snapToGrid w:val="0"/>
                <w:kern w:val="21"/>
                <w:szCs w:val="21"/>
              </w:rPr>
            </w:pPr>
            <w:r>
              <w:rPr>
                <w:rFonts w:hint="eastAsia" w:ascii="Times New Roman" w:hAnsi="Times New Roman"/>
                <w:lang w:val="en-US" w:eastAsia="zh-CN"/>
              </w:rPr>
              <w:t>+0.032t/a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5"/>
              <w:spacing w:beforeLines="0" w:afterLines="0" w:line="240" w:lineRule="auto"/>
              <w:rPr>
                <w:rFonts w:ascii="Times New Roman"/>
                <w:snapToGrid w:val="0"/>
                <w:kern w:val="21"/>
                <w:szCs w:val="21"/>
              </w:rPr>
            </w:pPr>
          </w:p>
        </w:tc>
        <w:tc>
          <w:tcPr>
            <w:tcW w:w="1495"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动植物油</w:t>
            </w:r>
          </w:p>
        </w:tc>
        <w:tc>
          <w:tcPr>
            <w:tcW w:w="1701"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276"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701"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559" w:type="dxa"/>
            <w:vAlign w:val="center"/>
          </w:tcPr>
          <w:p>
            <w:pPr>
              <w:pStyle w:val="38"/>
              <w:snapToGrid w:val="0"/>
              <w:spacing w:line="240" w:lineRule="auto"/>
              <w:rPr>
                <w:rFonts w:hint="default" w:ascii="Times New Roman" w:hAnsi="Times New Roman"/>
                <w:lang w:val="en-US" w:eastAsia="zh-CN"/>
              </w:rPr>
            </w:pPr>
            <w:r>
              <w:rPr>
                <w:rFonts w:hint="eastAsia" w:ascii="Times New Roman" w:hAnsi="Times New Roman"/>
                <w:lang w:val="en-US" w:eastAsia="zh-CN"/>
              </w:rPr>
              <w:t>0.002t/a</w:t>
            </w:r>
          </w:p>
        </w:tc>
        <w:tc>
          <w:tcPr>
            <w:tcW w:w="1761"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641" w:type="dxa"/>
            <w:vAlign w:val="center"/>
          </w:tcPr>
          <w:p>
            <w:pPr>
              <w:pStyle w:val="38"/>
              <w:snapToGrid w:val="0"/>
              <w:spacing w:line="240" w:lineRule="auto"/>
              <w:rPr>
                <w:rFonts w:hint="eastAsia" w:ascii="Times New Roman" w:hAnsi="Times New Roman"/>
                <w:lang w:val="en-US" w:eastAsia="zh-CN"/>
              </w:rPr>
            </w:pPr>
            <w:r>
              <w:rPr>
                <w:rFonts w:hint="eastAsia" w:ascii="Times New Roman" w:hAnsi="Times New Roman"/>
                <w:lang w:val="en-US" w:eastAsia="zh-CN"/>
              </w:rPr>
              <w:t>0.002t/a</w:t>
            </w:r>
          </w:p>
        </w:tc>
        <w:tc>
          <w:tcPr>
            <w:tcW w:w="1358" w:type="dxa"/>
            <w:vAlign w:val="center"/>
          </w:tcPr>
          <w:p>
            <w:pPr>
              <w:pStyle w:val="38"/>
              <w:snapToGrid w:val="0"/>
              <w:spacing w:line="240" w:lineRule="auto"/>
              <w:rPr>
                <w:rFonts w:hint="eastAsia" w:ascii="Times New Roman" w:hAnsi="Times New Roman"/>
                <w:lang w:val="en-US" w:eastAsia="zh-CN"/>
              </w:rPr>
            </w:pPr>
            <w:r>
              <w:rPr>
                <w:rFonts w:hint="eastAsia" w:ascii="Times New Roman" w:hAnsi="Times New Roman"/>
                <w:lang w:val="en-US" w:eastAsia="zh-CN"/>
              </w:rPr>
              <w:t>+0.002t/a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1368"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一般工业</w:t>
            </w:r>
          </w:p>
          <w:p>
            <w:pPr>
              <w:pStyle w:val="55"/>
              <w:spacing w:beforeLines="0" w:afterLines="0" w:line="240" w:lineRule="auto"/>
              <w:rPr>
                <w:rFonts w:ascii="Times New Roman"/>
                <w:snapToGrid w:val="0"/>
                <w:kern w:val="21"/>
                <w:szCs w:val="21"/>
              </w:rPr>
            </w:pPr>
            <w:r>
              <w:rPr>
                <w:rFonts w:ascii="Times New Roman"/>
                <w:snapToGrid w:val="0"/>
                <w:kern w:val="21"/>
                <w:szCs w:val="21"/>
              </w:rPr>
              <w:t>固体废物</w:t>
            </w:r>
          </w:p>
        </w:tc>
        <w:tc>
          <w:tcPr>
            <w:tcW w:w="1495"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边角料</w:t>
            </w:r>
          </w:p>
        </w:tc>
        <w:tc>
          <w:tcPr>
            <w:tcW w:w="1701"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276"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701"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559"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6t/a</w:t>
            </w:r>
          </w:p>
        </w:tc>
        <w:tc>
          <w:tcPr>
            <w:tcW w:w="1761"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641" w:type="dxa"/>
            <w:vAlign w:val="center"/>
          </w:tcPr>
          <w:p>
            <w:pPr>
              <w:pStyle w:val="55"/>
              <w:spacing w:beforeLines="0" w:afterLines="0" w:line="240" w:lineRule="auto"/>
              <w:rPr>
                <w:rFonts w:hint="eastAsia" w:ascii="Times New Roman"/>
                <w:snapToGrid w:val="0"/>
                <w:kern w:val="21"/>
                <w:szCs w:val="21"/>
              </w:rPr>
            </w:pPr>
            <w:r>
              <w:rPr>
                <w:rFonts w:hint="eastAsia" w:ascii="Times New Roman"/>
                <w:snapToGrid w:val="0"/>
                <w:kern w:val="21"/>
                <w:szCs w:val="21"/>
                <w:lang w:val="en-US" w:eastAsia="zh-CN"/>
              </w:rPr>
              <w:t>6t/a</w:t>
            </w:r>
          </w:p>
        </w:tc>
        <w:tc>
          <w:tcPr>
            <w:tcW w:w="1358" w:type="dxa"/>
            <w:vAlign w:val="center"/>
          </w:tcPr>
          <w:p>
            <w:pPr>
              <w:pStyle w:val="55"/>
              <w:spacing w:beforeLines="0" w:afterLines="0" w:line="240" w:lineRule="auto"/>
              <w:rPr>
                <w:rFonts w:ascii="Times New Roman"/>
                <w:szCs w:val="21"/>
              </w:rPr>
            </w:pPr>
            <w:r>
              <w:rPr>
                <w:rFonts w:hint="eastAsia" w:ascii="Times New Roman"/>
                <w:snapToGrid w:val="0"/>
                <w:kern w:val="21"/>
                <w:szCs w:val="21"/>
                <w:lang w:val="en-US" w:eastAsia="zh-CN"/>
              </w:rPr>
              <w:t>+6t/a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restart"/>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危险废物</w:t>
            </w:r>
          </w:p>
        </w:tc>
        <w:tc>
          <w:tcPr>
            <w:tcW w:w="1495"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废机油</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r>
              <w:rPr>
                <w:rFonts w:hint="eastAsia" w:ascii="Times New Roman"/>
                <w:snapToGrid w:val="0"/>
                <w:kern w:val="21"/>
                <w:szCs w:val="21"/>
                <w:lang w:val="en-US" w:eastAsia="zh-CN"/>
              </w:rPr>
              <w:t>1</w:t>
            </w:r>
            <w:r>
              <w:rPr>
                <w:rFonts w:hint="eastAsia" w:ascii="Times New Roman"/>
                <w:snapToGrid w:val="0"/>
                <w:kern w:val="21"/>
                <w:szCs w:val="21"/>
              </w:rPr>
              <w:t>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r>
              <w:rPr>
                <w:rFonts w:hint="eastAsia" w:ascii="Times New Roman"/>
                <w:snapToGrid w:val="0"/>
                <w:kern w:val="21"/>
                <w:szCs w:val="21"/>
                <w:lang w:val="en-US" w:eastAsia="zh-CN"/>
              </w:rPr>
              <w:t>1</w:t>
            </w:r>
            <w:r>
              <w:rPr>
                <w:rFonts w:hint="eastAsia" w:ascii="Times New Roman"/>
                <w:snapToGrid w:val="0"/>
                <w:kern w:val="21"/>
                <w:szCs w:val="21"/>
              </w:rPr>
              <w:t>t/a</w:t>
            </w:r>
          </w:p>
        </w:tc>
        <w:tc>
          <w:tcPr>
            <w:tcW w:w="1358"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w:t>
            </w:r>
            <w:r>
              <w:rPr>
                <w:rFonts w:hint="eastAsia" w:ascii="Times New Roman"/>
                <w:snapToGrid w:val="0"/>
                <w:kern w:val="21"/>
                <w:szCs w:val="21"/>
              </w:rPr>
              <w:t>0.</w:t>
            </w:r>
            <w:r>
              <w:rPr>
                <w:rFonts w:hint="eastAsia" w:ascii="Times New Roman"/>
                <w:snapToGrid w:val="0"/>
                <w:kern w:val="21"/>
                <w:szCs w:val="21"/>
                <w:lang w:val="en-US" w:eastAsia="zh-CN"/>
              </w:rPr>
              <w:t>1</w:t>
            </w:r>
            <w:r>
              <w:rPr>
                <w:rFonts w:hint="eastAsia" w:ascii="Times New Roman"/>
                <w:snapToGrid w:val="0"/>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5"/>
              <w:spacing w:beforeLines="0" w:afterLines="0" w:line="240" w:lineRule="auto"/>
              <w:rPr>
                <w:rFonts w:ascii="Times New Roman"/>
                <w:snapToGrid w:val="0"/>
                <w:kern w:val="21"/>
                <w:szCs w:val="21"/>
              </w:rPr>
            </w:pPr>
          </w:p>
        </w:tc>
        <w:tc>
          <w:tcPr>
            <w:tcW w:w="1495"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废油桶</w:t>
            </w:r>
          </w:p>
        </w:tc>
        <w:tc>
          <w:tcPr>
            <w:tcW w:w="1701"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276"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701"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559"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0.05t/a</w:t>
            </w:r>
          </w:p>
        </w:tc>
        <w:tc>
          <w:tcPr>
            <w:tcW w:w="1761"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641"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0.05t/a</w:t>
            </w:r>
          </w:p>
        </w:tc>
        <w:tc>
          <w:tcPr>
            <w:tcW w:w="1358"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+0.05t/a</w:t>
            </w:r>
          </w:p>
        </w:tc>
      </w:tr>
    </w:tbl>
    <w:p>
      <w:pPr>
        <w:pStyle w:val="55"/>
        <w:spacing w:before="192" w:beforeLines="80" w:after="24"/>
        <w:jc w:val="left"/>
        <w:rPr>
          <w:rFonts w:hAnsi="宋体"/>
          <w:snapToGrid w:val="0"/>
          <w:spacing w:val="-6"/>
          <w:kern w:val="21"/>
          <w:szCs w:val="21"/>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p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ind w:right="206"/>
        <w:jc w:val="both"/>
        <w:rPr>
          <w:sz w:val="32"/>
          <w:szCs w:val="32"/>
        </w:rPr>
        <w:sectPr>
          <w:footerReference r:id="rId7" w:type="default"/>
          <w:pgSz w:w="11906" w:h="16838"/>
          <w:pgMar w:top="1134" w:right="1134" w:bottom="1701" w:left="1701" w:header="851" w:footer="992" w:gutter="0"/>
          <w:pgBorders>
            <w:top w:val="none" w:sz="0" w:space="0"/>
            <w:left w:val="none" w:sz="0" w:space="0"/>
            <w:bottom w:val="none" w:sz="0" w:space="0"/>
            <w:right w:val="none" w:sz="0" w:space="0"/>
          </w:pgBorders>
          <w:cols w:space="720" w:num="1"/>
          <w:docGrid w:type="lines" w:linePitch="312" w:charSpace="0"/>
        </w:sectPr>
      </w:pPr>
      <w:r>
        <w:drawing>
          <wp:inline distT="0" distB="0" distL="114300" distR="114300">
            <wp:extent cx="5524500" cy="7915275"/>
            <wp:effectExtent l="0" t="0" r="0" b="952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35"/>
                    <a:stretch>
                      <a:fillRect/>
                    </a:stretch>
                  </pic:blipFill>
                  <pic:spPr>
                    <a:xfrm>
                      <a:off x="0" y="0"/>
                      <a:ext cx="5524500" cy="7915275"/>
                    </a:xfrm>
                    <a:prstGeom prst="rect">
                      <a:avLst/>
                    </a:prstGeom>
                    <a:noFill/>
                    <a:ln>
                      <a:noFill/>
                    </a:ln>
                  </pic:spPr>
                </pic:pic>
              </a:graphicData>
            </a:graphic>
          </wp:inline>
        </w:drawing>
      </w:r>
    </w:p>
    <w:p>
      <w:pPr>
        <w:pStyle w:val="30"/>
        <w:ind w:left="0" w:leftChars="0" w:firstLine="0" w:firstLineChars="0"/>
        <w:rPr>
          <w:rFonts w:hint="default" w:eastAsia="宋体"/>
          <w:b/>
          <w:sz w:val="28"/>
          <w:szCs w:val="28"/>
          <w:lang w:val="en-US" w:eastAsia="zh-CN"/>
        </w:rPr>
      </w:pPr>
      <w:r>
        <w:rPr>
          <w:rFonts w:hint="eastAsia"/>
          <w:b/>
          <w:bCs/>
          <w:sz w:val="28"/>
          <w:szCs w:val="28"/>
        </w:rPr>
        <w:t xml:space="preserve">附件2  </w:t>
      </w:r>
      <w:r>
        <w:rPr>
          <w:rFonts w:hint="eastAsia"/>
          <w:b/>
          <w:bCs/>
          <w:sz w:val="28"/>
          <w:szCs w:val="28"/>
          <w:lang w:val="en-US" w:eastAsia="zh-CN"/>
        </w:rPr>
        <w:t>备案通知</w:t>
      </w:r>
    </w:p>
    <w:p>
      <w:r>
        <w:drawing>
          <wp:inline distT="0" distB="0" distL="114300" distR="114300">
            <wp:extent cx="5614035" cy="7426325"/>
            <wp:effectExtent l="0" t="0" r="5715" b="317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36"/>
                    <a:stretch>
                      <a:fillRect/>
                    </a:stretch>
                  </pic:blipFill>
                  <pic:spPr>
                    <a:xfrm>
                      <a:off x="0" y="0"/>
                      <a:ext cx="5614035" cy="7426325"/>
                    </a:xfrm>
                    <a:prstGeom prst="rect">
                      <a:avLst/>
                    </a:prstGeom>
                    <a:noFill/>
                    <a:ln>
                      <a:noFill/>
                    </a:ln>
                  </pic:spPr>
                </pic:pic>
              </a:graphicData>
            </a:graphic>
          </wp:inline>
        </w:drawing>
      </w:r>
    </w:p>
    <w:p>
      <w:pPr>
        <w:pStyle w:val="30"/>
        <w:ind w:left="0" w:leftChars="0" w:firstLine="0" w:firstLineChars="0"/>
        <w:rPr>
          <w:b/>
          <w:bCs/>
          <w:sz w:val="28"/>
          <w:szCs w:val="28"/>
        </w:rPr>
      </w:pPr>
    </w:p>
    <w:p>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30"/>
        <w:spacing w:line="240" w:lineRule="auto"/>
        <w:ind w:left="0" w:leftChars="0" w:firstLine="0" w:firstLineChars="0"/>
        <w:rPr>
          <w:rFonts w:hint="default" w:eastAsia="宋体"/>
          <w:b/>
          <w:bCs/>
          <w:sz w:val="28"/>
          <w:szCs w:val="28"/>
          <w:lang w:val="en-US" w:eastAsia="zh-CN"/>
        </w:rPr>
      </w:pPr>
      <w:r>
        <w:rPr>
          <w:rFonts w:hint="eastAsia"/>
          <w:b/>
          <w:bCs/>
          <w:sz w:val="28"/>
          <w:szCs w:val="28"/>
        </w:rPr>
        <w:t xml:space="preserve">附件3  </w:t>
      </w:r>
      <w:r>
        <w:rPr>
          <w:rFonts w:hint="eastAsia"/>
          <w:b/>
          <w:bCs/>
          <w:sz w:val="28"/>
          <w:szCs w:val="28"/>
          <w:lang w:val="en-US" w:eastAsia="zh-CN"/>
        </w:rPr>
        <w:t>厂房租赁合同</w:t>
      </w:r>
    </w:p>
    <w:p>
      <w:pPr>
        <w:rPr>
          <w:b/>
          <w:bCs/>
          <w:sz w:val="28"/>
          <w:szCs w:val="28"/>
        </w:rPr>
      </w:pPr>
      <w:r>
        <w:drawing>
          <wp:inline distT="0" distB="0" distL="114300" distR="114300">
            <wp:extent cx="5038725" cy="7381875"/>
            <wp:effectExtent l="0" t="0" r="9525" b="9525"/>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37"/>
                    <a:stretch>
                      <a:fillRect/>
                    </a:stretch>
                  </pic:blipFill>
                  <pic:spPr>
                    <a:xfrm>
                      <a:off x="0" y="0"/>
                      <a:ext cx="5038725" cy="7381875"/>
                    </a:xfrm>
                    <a:prstGeom prst="rect">
                      <a:avLst/>
                    </a:prstGeom>
                    <a:noFill/>
                    <a:ln>
                      <a:noFill/>
                    </a:ln>
                  </pic:spPr>
                </pic:pic>
              </a:graphicData>
            </a:graphic>
          </wp:inline>
        </w:drawing>
      </w:r>
      <w:r>
        <w:drawing>
          <wp:inline distT="0" distB="0" distL="114300" distR="114300">
            <wp:extent cx="4857750" cy="7296150"/>
            <wp:effectExtent l="0" t="0" r="0" b="0"/>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38"/>
                    <a:stretch>
                      <a:fillRect/>
                    </a:stretch>
                  </pic:blipFill>
                  <pic:spPr>
                    <a:xfrm>
                      <a:off x="0" y="0"/>
                      <a:ext cx="4857750" cy="7296150"/>
                    </a:xfrm>
                    <a:prstGeom prst="rect">
                      <a:avLst/>
                    </a:prstGeom>
                    <a:noFill/>
                    <a:ln>
                      <a:noFill/>
                    </a:ln>
                  </pic:spPr>
                </pic:pic>
              </a:graphicData>
            </a:graphic>
          </wp:inline>
        </w:drawing>
      </w:r>
    </w:p>
    <w:p>
      <w:pPr>
        <w:pStyle w:val="30"/>
        <w:spacing w:after="0" w:line="240" w:lineRule="auto"/>
        <w:ind w:left="0" w:leftChars="0" w:firstLine="0" w:firstLineChars="0"/>
      </w:pPr>
      <w:r>
        <w:drawing>
          <wp:inline distT="0" distB="0" distL="114300" distR="114300">
            <wp:extent cx="5191125" cy="7439025"/>
            <wp:effectExtent l="0" t="0" r="9525" b="9525"/>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39"/>
                    <a:stretch>
                      <a:fillRect/>
                    </a:stretch>
                  </pic:blipFill>
                  <pic:spPr>
                    <a:xfrm>
                      <a:off x="0" y="0"/>
                      <a:ext cx="5191125" cy="7439025"/>
                    </a:xfrm>
                    <a:prstGeom prst="rect">
                      <a:avLst/>
                    </a:prstGeom>
                    <a:noFill/>
                    <a:ln>
                      <a:noFill/>
                    </a:ln>
                  </pic:spPr>
                </pic:pic>
              </a:graphicData>
            </a:graphic>
          </wp:inline>
        </w:drawing>
      </w:r>
      <w:r>
        <w:drawing>
          <wp:inline distT="0" distB="0" distL="114300" distR="114300">
            <wp:extent cx="4686300" cy="7029450"/>
            <wp:effectExtent l="0" t="0" r="0" b="0"/>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40"/>
                    <a:stretch>
                      <a:fillRect/>
                    </a:stretch>
                  </pic:blipFill>
                  <pic:spPr>
                    <a:xfrm>
                      <a:off x="0" y="0"/>
                      <a:ext cx="4686300" cy="7029450"/>
                    </a:xfrm>
                    <a:prstGeom prst="rect">
                      <a:avLst/>
                    </a:prstGeom>
                    <a:noFill/>
                    <a:ln>
                      <a:noFill/>
                    </a:ln>
                  </pic:spPr>
                </pic:pic>
              </a:graphicData>
            </a:graphic>
          </wp:inline>
        </w:drawing>
      </w:r>
    </w:p>
    <w:p>
      <w:pPr>
        <w:pStyle w:val="30"/>
        <w:spacing w:line="240" w:lineRule="auto"/>
        <w:ind w:left="0" w:leftChars="0" w:firstLine="0" w:firstLineChars="0"/>
        <w:rPr>
          <w:b/>
          <w:bCs/>
          <w:sz w:val="28"/>
          <w:szCs w:val="28"/>
        </w:rPr>
      </w:pPr>
    </w:p>
    <w:p>
      <w:pPr>
        <w:pStyle w:val="30"/>
        <w:spacing w:line="240" w:lineRule="auto"/>
        <w:ind w:left="0" w:leftChars="0" w:firstLine="0" w:firstLineChars="0"/>
        <w:rPr>
          <w:b/>
          <w:bCs/>
          <w:sz w:val="28"/>
          <w:szCs w:val="28"/>
        </w:rPr>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p>
    <w:p>
      <w:pPr>
        <w:pStyle w:val="30"/>
        <w:spacing w:line="240" w:lineRule="auto"/>
        <w:ind w:left="0" w:leftChars="0" w:firstLine="0" w:firstLineChars="0"/>
        <w:rPr>
          <w:b/>
          <w:bCs/>
          <w:sz w:val="28"/>
          <w:szCs w:val="28"/>
        </w:rPr>
      </w:pPr>
      <w:r>
        <w:rPr>
          <w:rFonts w:hint="eastAsia"/>
          <w:b/>
          <w:bCs/>
          <w:sz w:val="28"/>
          <w:szCs w:val="28"/>
        </w:rPr>
        <w:t>附件</w:t>
      </w:r>
      <w:r>
        <w:rPr>
          <w:rFonts w:hint="eastAsia"/>
          <w:b/>
          <w:bCs/>
          <w:sz w:val="28"/>
          <w:szCs w:val="28"/>
          <w:lang w:val="en-US" w:eastAsia="zh-CN"/>
        </w:rPr>
        <w:t>4</w:t>
      </w:r>
      <w:r>
        <w:rPr>
          <w:rFonts w:hint="eastAsia"/>
          <w:b/>
          <w:bCs/>
          <w:sz w:val="28"/>
          <w:szCs w:val="28"/>
        </w:rPr>
        <w:t xml:space="preserve">  关于《</w:t>
      </w:r>
      <w:r>
        <w:rPr>
          <w:rFonts w:hint="eastAsia"/>
          <w:b/>
          <w:bCs/>
          <w:sz w:val="28"/>
          <w:szCs w:val="28"/>
          <w:lang w:val="en-US" w:eastAsia="zh-CN"/>
        </w:rPr>
        <w:t>甘泉堡工业园总体规划</w:t>
      </w:r>
      <w:r>
        <w:rPr>
          <w:rFonts w:hint="eastAsia"/>
          <w:b/>
          <w:bCs/>
          <w:sz w:val="28"/>
          <w:szCs w:val="28"/>
        </w:rPr>
        <w:t>（</w:t>
      </w:r>
      <w:r>
        <w:rPr>
          <w:rFonts w:hint="eastAsia"/>
          <w:b/>
          <w:bCs/>
          <w:sz w:val="28"/>
          <w:szCs w:val="28"/>
          <w:lang w:val="en-US" w:eastAsia="zh-CN"/>
        </w:rPr>
        <w:t>2016-2030</w:t>
      </w:r>
      <w:r>
        <w:rPr>
          <w:rFonts w:hint="eastAsia"/>
          <w:b/>
          <w:bCs/>
          <w:sz w:val="28"/>
          <w:szCs w:val="28"/>
          <w:lang w:eastAsia="zh-CN"/>
        </w:rPr>
        <w:t>年</w:t>
      </w:r>
      <w:r>
        <w:rPr>
          <w:rFonts w:hint="eastAsia"/>
          <w:b/>
          <w:bCs/>
          <w:sz w:val="28"/>
          <w:szCs w:val="28"/>
        </w:rPr>
        <w:t>）环境影响报告书》的审查意见</w:t>
      </w:r>
    </w:p>
    <w:p>
      <w:pPr>
        <w:rPr>
          <w:b/>
          <w:bCs/>
          <w:sz w:val="28"/>
          <w:szCs w:val="28"/>
        </w:rPr>
      </w:pPr>
      <w:r>
        <w:drawing>
          <wp:inline distT="0" distB="0" distL="114300" distR="114300">
            <wp:extent cx="5495925" cy="7886700"/>
            <wp:effectExtent l="0" t="0" r="9525" b="0"/>
            <wp:docPr id="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pic:cNvPicPr>
                      <a:picLocks noChangeAspect="1"/>
                    </pic:cNvPicPr>
                  </pic:nvPicPr>
                  <pic:blipFill>
                    <a:blip r:embed="rId41"/>
                    <a:stretch>
                      <a:fillRect/>
                    </a:stretch>
                  </pic:blipFill>
                  <pic:spPr>
                    <a:xfrm>
                      <a:off x="0" y="0"/>
                      <a:ext cx="5495925" cy="7886700"/>
                    </a:xfrm>
                    <a:prstGeom prst="rect">
                      <a:avLst/>
                    </a:prstGeom>
                    <a:noFill/>
                    <a:ln>
                      <a:noFill/>
                    </a:ln>
                  </pic:spPr>
                </pic:pic>
              </a:graphicData>
            </a:graphic>
          </wp:inline>
        </w:drawing>
      </w:r>
      <w:r>
        <w:drawing>
          <wp:inline distT="0" distB="0" distL="114300" distR="114300">
            <wp:extent cx="5314950" cy="7067550"/>
            <wp:effectExtent l="0" t="0" r="0" b="0"/>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42"/>
                    <a:stretch>
                      <a:fillRect/>
                    </a:stretch>
                  </pic:blipFill>
                  <pic:spPr>
                    <a:xfrm>
                      <a:off x="0" y="0"/>
                      <a:ext cx="5314950" cy="7067550"/>
                    </a:xfrm>
                    <a:prstGeom prst="rect">
                      <a:avLst/>
                    </a:prstGeom>
                    <a:noFill/>
                    <a:ln>
                      <a:noFill/>
                    </a:ln>
                  </pic:spPr>
                </pic:pic>
              </a:graphicData>
            </a:graphic>
          </wp:inline>
        </w:drawing>
      </w:r>
      <w:r>
        <w:drawing>
          <wp:inline distT="0" distB="0" distL="114300" distR="114300">
            <wp:extent cx="5353050" cy="7019925"/>
            <wp:effectExtent l="0" t="0" r="0" b="9525"/>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43"/>
                    <a:stretch>
                      <a:fillRect/>
                    </a:stretch>
                  </pic:blipFill>
                  <pic:spPr>
                    <a:xfrm>
                      <a:off x="0" y="0"/>
                      <a:ext cx="5353050" cy="7019925"/>
                    </a:xfrm>
                    <a:prstGeom prst="rect">
                      <a:avLst/>
                    </a:prstGeom>
                    <a:noFill/>
                    <a:ln>
                      <a:noFill/>
                    </a:ln>
                  </pic:spPr>
                </pic:pic>
              </a:graphicData>
            </a:graphic>
          </wp:inline>
        </w:drawing>
      </w:r>
    </w:p>
    <w:p>
      <w:pPr>
        <w:pStyle w:val="30"/>
        <w:ind w:firstLine="480"/>
      </w:pPr>
    </w:p>
    <w:p>
      <w:pPr>
        <w:pStyle w:val="29"/>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362575" cy="7400925"/>
            <wp:effectExtent l="0" t="0" r="9525" b="9525"/>
            <wp:docPr id="8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
                    <pic:cNvPicPr>
                      <a:picLocks noChangeAspect="1"/>
                    </pic:cNvPicPr>
                  </pic:nvPicPr>
                  <pic:blipFill>
                    <a:blip r:embed="rId44"/>
                    <a:stretch>
                      <a:fillRect/>
                    </a:stretch>
                  </pic:blipFill>
                  <pic:spPr>
                    <a:xfrm>
                      <a:off x="0" y="0"/>
                      <a:ext cx="5362575" cy="7400925"/>
                    </a:xfrm>
                    <a:prstGeom prst="rect">
                      <a:avLst/>
                    </a:prstGeom>
                    <a:noFill/>
                    <a:ln>
                      <a:noFill/>
                    </a:ln>
                  </pic:spPr>
                </pic:pic>
              </a:graphicData>
            </a:graphic>
          </wp:inline>
        </w:drawing>
      </w:r>
      <w:r>
        <w:drawing>
          <wp:inline distT="0" distB="0" distL="114300" distR="114300">
            <wp:extent cx="5334000" cy="7086600"/>
            <wp:effectExtent l="0" t="0" r="0" b="0"/>
            <wp:docPr id="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pic:cNvPicPr>
                      <a:picLocks noChangeAspect="1"/>
                    </pic:cNvPicPr>
                  </pic:nvPicPr>
                  <pic:blipFill>
                    <a:blip r:embed="rId45"/>
                    <a:stretch>
                      <a:fillRect/>
                    </a:stretch>
                  </pic:blipFill>
                  <pic:spPr>
                    <a:xfrm>
                      <a:off x="0" y="0"/>
                      <a:ext cx="5334000" cy="7086600"/>
                    </a:xfrm>
                    <a:prstGeom prst="rect">
                      <a:avLst/>
                    </a:prstGeom>
                    <a:noFill/>
                    <a:ln>
                      <a:noFill/>
                    </a:ln>
                  </pic:spPr>
                </pic:pic>
              </a:graphicData>
            </a:graphic>
          </wp:inline>
        </w:drawing>
      </w:r>
      <w:r>
        <w:drawing>
          <wp:inline distT="0" distB="0" distL="114300" distR="114300">
            <wp:extent cx="5314950" cy="7210425"/>
            <wp:effectExtent l="0" t="0" r="0" b="9525"/>
            <wp:docPr id="8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0"/>
                    <pic:cNvPicPr>
                      <a:picLocks noChangeAspect="1"/>
                    </pic:cNvPicPr>
                  </pic:nvPicPr>
                  <pic:blipFill>
                    <a:blip r:embed="rId46"/>
                    <a:stretch>
                      <a:fillRect/>
                    </a:stretch>
                  </pic:blipFill>
                  <pic:spPr>
                    <a:xfrm>
                      <a:off x="0" y="0"/>
                      <a:ext cx="5314950" cy="7210425"/>
                    </a:xfrm>
                    <a:prstGeom prst="rect">
                      <a:avLst/>
                    </a:prstGeom>
                    <a:noFill/>
                    <a:ln>
                      <a:noFill/>
                    </a:ln>
                  </pic:spPr>
                </pic:pic>
              </a:graphicData>
            </a:graphic>
          </wp:inline>
        </w:drawing>
      </w:r>
      <w:r>
        <w:drawing>
          <wp:inline distT="0" distB="0" distL="114300" distR="114300">
            <wp:extent cx="5334000" cy="7153275"/>
            <wp:effectExtent l="0" t="0" r="0" b="9525"/>
            <wp:docPr id="9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1"/>
                    <pic:cNvPicPr>
                      <a:picLocks noChangeAspect="1"/>
                    </pic:cNvPicPr>
                  </pic:nvPicPr>
                  <pic:blipFill>
                    <a:blip r:embed="rId47"/>
                    <a:stretch>
                      <a:fillRect/>
                    </a:stretch>
                  </pic:blipFill>
                  <pic:spPr>
                    <a:xfrm>
                      <a:off x="0" y="0"/>
                      <a:ext cx="5334000" cy="7153275"/>
                    </a:xfrm>
                    <a:prstGeom prst="rect">
                      <a:avLst/>
                    </a:prstGeom>
                    <a:noFill/>
                    <a:ln>
                      <a:noFill/>
                    </a:ln>
                  </pic:spPr>
                </pic:pic>
              </a:graphicData>
            </a:graphic>
          </wp:inline>
        </w:drawing>
      </w:r>
      <w:r>
        <w:drawing>
          <wp:inline distT="0" distB="0" distL="114300" distR="114300">
            <wp:extent cx="5506720" cy="7006590"/>
            <wp:effectExtent l="0" t="0" r="17780" b="3810"/>
            <wp:docPr id="9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2"/>
                    <pic:cNvPicPr>
                      <a:picLocks noChangeAspect="1"/>
                    </pic:cNvPicPr>
                  </pic:nvPicPr>
                  <pic:blipFill>
                    <a:blip r:embed="rId48"/>
                    <a:stretch>
                      <a:fillRect/>
                    </a:stretch>
                  </pic:blipFill>
                  <pic:spPr>
                    <a:xfrm>
                      <a:off x="0" y="0"/>
                      <a:ext cx="5506720" cy="7006590"/>
                    </a:xfrm>
                    <a:prstGeom prst="rect">
                      <a:avLst/>
                    </a:prstGeom>
                    <a:noFill/>
                    <a:ln>
                      <a:noFill/>
                    </a:ln>
                  </pic:spPr>
                </pic:pic>
              </a:graphicData>
            </a:graphic>
          </wp:inline>
        </w:drawing>
      </w:r>
      <w:r>
        <w:drawing>
          <wp:inline distT="0" distB="0" distL="114300" distR="114300">
            <wp:extent cx="5410200" cy="7315200"/>
            <wp:effectExtent l="0" t="0" r="0" b="0"/>
            <wp:docPr id="9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3"/>
                    <pic:cNvPicPr>
                      <a:picLocks noChangeAspect="1"/>
                    </pic:cNvPicPr>
                  </pic:nvPicPr>
                  <pic:blipFill>
                    <a:blip r:embed="rId49"/>
                    <a:stretch>
                      <a:fillRect/>
                    </a:stretch>
                  </pic:blipFill>
                  <pic:spPr>
                    <a:xfrm>
                      <a:off x="0" y="0"/>
                      <a:ext cx="5410200" cy="7315200"/>
                    </a:xfrm>
                    <a:prstGeom prst="rect">
                      <a:avLst/>
                    </a:prstGeom>
                    <a:noFill/>
                    <a:ln>
                      <a:noFill/>
                    </a:ln>
                  </pic:spPr>
                </pic:pic>
              </a:graphicData>
            </a:graphic>
          </wp:inline>
        </w:drawing>
      </w:r>
      <w:r>
        <w:drawing>
          <wp:inline distT="0" distB="0" distL="114300" distR="114300">
            <wp:extent cx="5503545" cy="7748270"/>
            <wp:effectExtent l="0" t="0" r="1905" b="5080"/>
            <wp:docPr id="9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4"/>
                    <pic:cNvPicPr>
                      <a:picLocks noChangeAspect="1"/>
                    </pic:cNvPicPr>
                  </pic:nvPicPr>
                  <pic:blipFill>
                    <a:blip r:embed="rId50"/>
                    <a:stretch>
                      <a:fillRect/>
                    </a:stretch>
                  </pic:blipFill>
                  <pic:spPr>
                    <a:xfrm>
                      <a:off x="0" y="0"/>
                      <a:ext cx="5503545" cy="7748270"/>
                    </a:xfrm>
                    <a:prstGeom prst="rect">
                      <a:avLst/>
                    </a:prstGeom>
                    <a:noFill/>
                    <a:ln>
                      <a:noFill/>
                    </a:ln>
                  </pic:spPr>
                </pic:pic>
              </a:graphicData>
            </a:graphic>
          </wp:inline>
        </w:drawing>
      </w:r>
    </w:p>
    <w:p>
      <w:pPr>
        <w:pStyle w:val="30"/>
        <w:spacing w:line="240" w:lineRule="auto"/>
        <w:ind w:left="0" w:leftChars="0" w:firstLine="0" w:firstLineChars="0"/>
        <w:rPr>
          <w:b/>
          <w:bCs/>
          <w:sz w:val="28"/>
          <w:szCs w:val="28"/>
        </w:rPr>
      </w:pPr>
      <w:r>
        <w:rPr>
          <w:rFonts w:hint="eastAsia"/>
          <w:b/>
          <w:bCs/>
          <w:sz w:val="28"/>
          <w:szCs w:val="28"/>
        </w:rPr>
        <w:t>附图1  项目地理位置图</w:t>
      </w:r>
    </w:p>
    <w:p>
      <w:pPr>
        <w:rPr>
          <w:b/>
          <w:bCs/>
          <w:sz w:val="28"/>
          <w:szCs w:val="28"/>
        </w:rPr>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717632" behindDoc="0" locked="0" layoutInCell="1" allowOverlap="1">
            <wp:simplePos x="0" y="0"/>
            <wp:positionH relativeFrom="column">
              <wp:posOffset>4408170</wp:posOffset>
            </wp:positionH>
            <wp:positionV relativeFrom="paragraph">
              <wp:posOffset>26035</wp:posOffset>
            </wp:positionV>
            <wp:extent cx="586740" cy="591820"/>
            <wp:effectExtent l="0" t="0" r="3810" b="17780"/>
            <wp:wrapNone/>
            <wp:docPr id="10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8"/>
                    <pic:cNvPicPr>
                      <a:picLocks noChangeAspect="1"/>
                    </pic:cNvPicPr>
                  </pic:nvPicPr>
                  <pic:blipFill>
                    <a:blip r:embed="rId17"/>
                    <a:stretch>
                      <a:fillRect/>
                    </a:stretch>
                  </pic:blipFill>
                  <pic:spPr>
                    <a:xfrm>
                      <a:off x="0" y="0"/>
                      <a:ext cx="586740" cy="591820"/>
                    </a:xfrm>
                    <a:prstGeom prst="rect">
                      <a:avLst/>
                    </a:prstGeom>
                    <a:noFill/>
                    <a:ln>
                      <a:noFill/>
                    </a:ln>
                  </pic:spPr>
                </pic:pic>
              </a:graphicData>
            </a:graphic>
          </wp:anchor>
        </w:drawing>
      </w:r>
      <w:r>
        <w:drawing>
          <wp:inline distT="0" distB="0" distL="114300" distR="114300">
            <wp:extent cx="7833995" cy="5001260"/>
            <wp:effectExtent l="19050" t="19050" r="27940" b="33655"/>
            <wp:docPr id="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
                    <pic:cNvPicPr>
                      <a:picLocks noChangeAspect="1"/>
                    </pic:cNvPicPr>
                  </pic:nvPicPr>
                  <pic:blipFill>
                    <a:blip r:embed="rId51"/>
                    <a:stretch>
                      <a:fillRect/>
                    </a:stretch>
                  </pic:blipFill>
                  <pic:spPr>
                    <a:xfrm rot="16200000">
                      <a:off x="0" y="0"/>
                      <a:ext cx="7833995" cy="5001260"/>
                    </a:xfrm>
                    <a:prstGeom prst="rect">
                      <a:avLst/>
                    </a:prstGeom>
                    <a:noFill/>
                    <a:ln w="19050">
                      <a:solidFill>
                        <a:schemeClr val="tx1"/>
                      </a:solidFill>
                    </a:ln>
                  </pic:spPr>
                </pic:pic>
              </a:graphicData>
            </a:graphic>
          </wp:inline>
        </w:drawing>
      </w:r>
      <w:r>
        <mc:AlternateContent>
          <mc:Choice Requires="wps">
            <w:drawing>
              <wp:anchor distT="0" distB="0" distL="114300" distR="114300" simplePos="0" relativeHeight="251677696" behindDoc="0" locked="0" layoutInCell="1" allowOverlap="1">
                <wp:simplePos x="0" y="0"/>
                <wp:positionH relativeFrom="column">
                  <wp:posOffset>573405</wp:posOffset>
                </wp:positionH>
                <wp:positionV relativeFrom="paragraph">
                  <wp:posOffset>6047105</wp:posOffset>
                </wp:positionV>
                <wp:extent cx="614680" cy="303530"/>
                <wp:effectExtent l="0" t="0" r="0" b="0"/>
                <wp:wrapNone/>
                <wp:docPr id="40" name="文本框 40"/>
                <wp:cNvGraphicFramePr/>
                <a:graphic xmlns:a="http://schemas.openxmlformats.org/drawingml/2006/main">
                  <a:graphicData uri="http://schemas.microsoft.com/office/word/2010/wordprocessingShape">
                    <wps:wsp>
                      <wps:cNvSpPr txBox="1"/>
                      <wps:spPr>
                        <a:xfrm>
                          <a:off x="4407535" y="4150995"/>
                          <a:ext cx="61468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15pt;margin-top:476.15pt;height:23.9pt;width:48.4pt;z-index:251677696;mso-width-relative:page;mso-height-relative:page;" filled="f" stroked="f" coordsize="21600,21600" o:gfxdata="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l9W13aAAAACwEAAA8AAAAAAAAA&#10;AQAgAAAAIgAAAGRycy9kb3ducmV2LnhtbFBLAQIUABQAAAAIAIdO4kAZ2n2NSAIAAHMEAAAOAAAA&#10;AAAAAAEAIAAAACkBAABkcnMvZTJvRG9jLnhtbFBLBQYAAAAABgAGAFkBAADjBQAAAAA=&#10;">
                <v:fill on="f" focussize="0,0"/>
                <v:stroke on="f" weight="0.5pt"/>
                <v:imagedata o:title=""/>
                <o:lock v:ext="edit" aspectratio="f"/>
                <v:textbo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840105</wp:posOffset>
                </wp:positionH>
                <wp:positionV relativeFrom="paragraph">
                  <wp:posOffset>6331585</wp:posOffset>
                </wp:positionV>
                <wp:extent cx="75565" cy="75565"/>
                <wp:effectExtent l="12700" t="0" r="18415" b="17780"/>
                <wp:wrapNone/>
                <wp:docPr id="13" name="十字星 13"/>
                <wp:cNvGraphicFramePr/>
                <a:graphic xmlns:a="http://schemas.openxmlformats.org/drawingml/2006/main">
                  <a:graphicData uri="http://schemas.microsoft.com/office/word/2010/wordprocessingShape">
                    <wps:wsp>
                      <wps:cNvSpPr/>
                      <wps:spPr>
                        <a:xfrm>
                          <a:off x="4295140" y="4295140"/>
                          <a:ext cx="75565" cy="75565"/>
                        </a:xfrm>
                        <a:prstGeom prst="star4">
                          <a:avLst>
                            <a:gd name="adj" fmla="val 50000"/>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66.15pt;margin-top:498.55pt;height:5.95pt;width:5.95pt;z-index:251676672;v-text-anchor:middle;mso-width-relative:page;mso-height-relative:page;" fillcolor="#FF0000" filled="t" stroked="t" coordsize="21600,21600" o:gfxdata="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IAyP72wAAAAwBAAAPAAAA&#10;AAAAAAEAIAAAACIAAABkcnMvZG93bnJldi54bWxQSwECFAAUAAAACACHTuJAFL5myYQCAAAjBQAA&#10;DgAAAAAAAAABACAAAAAqAQAAZHJzL2Uyb0RvYy54bWxQSwUGAAAAAAYABgBZAQAAIAYAAAAA&#10;" adj="0">
                <v:fill on="t" focussize="0,0"/>
                <v:stroke weight="2pt" color="#FF0000 [3205]" joinstyle="round"/>
                <v:imagedata o:title=""/>
                <o:lock v:ext="edit" aspectratio="f"/>
                <v:textbox>
                  <w:txbxContent>
                    <w:p>
                      <w:pPr>
                        <w:jc w:val="center"/>
                      </w:pPr>
                    </w:p>
                  </w:txbxContent>
                </v:textbox>
              </v:shape>
            </w:pict>
          </mc:Fallback>
        </mc:AlternateContent>
      </w:r>
    </w:p>
    <w:p>
      <w:pPr>
        <w:pStyle w:val="30"/>
        <w:ind w:left="0" w:leftChars="0" w:firstLine="0" w:firstLineChars="0"/>
      </w:pPr>
      <w:r>
        <w:rPr>
          <w:rFonts w:hint="eastAsia"/>
          <w:b/>
          <w:bCs/>
          <w:sz w:val="28"/>
          <w:szCs w:val="28"/>
        </w:rPr>
        <w:t>附图2  项目卫星影像图</w:t>
      </w:r>
    </w:p>
    <w:p>
      <w:pPr>
        <w:pStyle w:val="30"/>
        <w:spacing w:after="0" w:line="240" w:lineRule="auto"/>
        <w:ind w:left="0" w:leftChars="0" w:firstLine="0" w:firstLineChars="0"/>
        <w:sectPr>
          <w:pgSz w:w="16838" w:h="11906" w:orient="landscape"/>
          <w:pgMar w:top="170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716608" behindDoc="0" locked="0" layoutInCell="1" allowOverlap="1">
            <wp:simplePos x="0" y="0"/>
            <wp:positionH relativeFrom="column">
              <wp:posOffset>26670</wp:posOffset>
            </wp:positionH>
            <wp:positionV relativeFrom="paragraph">
              <wp:posOffset>29210</wp:posOffset>
            </wp:positionV>
            <wp:extent cx="586740" cy="591820"/>
            <wp:effectExtent l="0" t="0" r="3810" b="17780"/>
            <wp:wrapNone/>
            <wp:docPr id="1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8"/>
                    <pic:cNvPicPr>
                      <a:picLocks noChangeAspect="1"/>
                    </pic:cNvPicPr>
                  </pic:nvPicPr>
                  <pic:blipFill>
                    <a:blip r:embed="rId17"/>
                    <a:stretch>
                      <a:fillRect/>
                    </a:stretch>
                  </pic:blipFill>
                  <pic:spPr>
                    <a:xfrm>
                      <a:off x="0" y="0"/>
                      <a:ext cx="586740" cy="591820"/>
                    </a:xfrm>
                    <a:prstGeom prst="rect">
                      <a:avLst/>
                    </a:prstGeom>
                    <a:noFill/>
                    <a:ln>
                      <a:noFill/>
                    </a:ln>
                  </pic:spPr>
                </pic:pic>
              </a:graphicData>
            </a:graphic>
          </wp:anchor>
        </w:drawing>
      </w:r>
      <w:r>
        <w:drawing>
          <wp:inline distT="0" distB="0" distL="114300" distR="114300">
            <wp:extent cx="8522335" cy="4348480"/>
            <wp:effectExtent l="19050" t="19050" r="31115" b="33020"/>
            <wp:docPr id="9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6"/>
                    <pic:cNvPicPr>
                      <a:picLocks noChangeAspect="1"/>
                    </pic:cNvPicPr>
                  </pic:nvPicPr>
                  <pic:blipFill>
                    <a:blip r:embed="rId52"/>
                    <a:stretch>
                      <a:fillRect/>
                    </a:stretch>
                  </pic:blipFill>
                  <pic:spPr>
                    <a:xfrm>
                      <a:off x="0" y="0"/>
                      <a:ext cx="8522335" cy="4348480"/>
                    </a:xfrm>
                    <a:prstGeom prst="rect">
                      <a:avLst/>
                    </a:prstGeom>
                    <a:noFill/>
                    <a:ln w="19050">
                      <a:solidFill>
                        <a:schemeClr val="tx1"/>
                      </a:solidFill>
                    </a:ln>
                  </pic:spPr>
                </pic:pic>
              </a:graphicData>
            </a:graphic>
          </wp:inline>
        </w:drawing>
      </w:r>
    </w:p>
    <w:p>
      <w:pPr>
        <w:pStyle w:val="30"/>
        <w:ind w:left="0" w:leftChars="0" w:firstLine="0" w:firstLineChars="0"/>
      </w:pPr>
      <w:r>
        <mc:AlternateContent>
          <mc:Choice Requires="wps">
            <w:drawing>
              <wp:anchor distT="0" distB="0" distL="114300" distR="114300" simplePos="0" relativeHeight="251687936" behindDoc="0" locked="0" layoutInCell="1" allowOverlap="1">
                <wp:simplePos x="0" y="0"/>
                <wp:positionH relativeFrom="column">
                  <wp:posOffset>3355975</wp:posOffset>
                </wp:positionH>
                <wp:positionV relativeFrom="paragraph">
                  <wp:posOffset>7155815</wp:posOffset>
                </wp:positionV>
                <wp:extent cx="614680" cy="30353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61468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25pt;margin-top:563.45pt;height:23.9pt;width:48.4pt;z-index:251687936;mso-width-relative:page;mso-height-relative:page;" filled="f" stroked="f" coordsize="21600,21600" o:gfxdata="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u8ZEQ3QAAAA0BAAAPAAAAAAAAAAEAIAAAACIA&#10;AABkcnMvZG93bnJldi54bWxQSwECFAAUAAAACACHTuJAuxkcIj0CAABnBAAADgAAAAAAAAABACAA&#10;AAAsAQAAZHJzL2Uyb0RvYy54bWxQSwUGAAAAAAYABgBZAQAA2wUAAAAA&#10;">
                <v:fill on="f" focussize="0,0"/>
                <v:stroke on="f" weight="0.5pt"/>
                <v:imagedata o:title=""/>
                <o:lock v:ext="edit" aspectratio="f"/>
                <v:textbo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v:textbox>
              </v:shape>
            </w:pict>
          </mc:Fallback>
        </mc:AlternateContent>
      </w:r>
      <w:r>
        <w:rPr>
          <w:rFonts w:hint="eastAsia"/>
          <w:b/>
          <w:bCs/>
          <w:sz w:val="28"/>
          <w:szCs w:val="28"/>
        </w:rPr>
        <w:t xml:space="preserve">附件3  </w:t>
      </w:r>
      <w:r>
        <w:rPr>
          <w:rFonts w:hint="eastAsia"/>
          <w:b/>
          <w:bCs/>
          <w:sz w:val="28"/>
          <w:szCs w:val="28"/>
          <w:lang w:val="en-US" w:eastAsia="zh-CN"/>
        </w:rPr>
        <w:t>甘泉堡工业园</w:t>
      </w:r>
      <w:r>
        <w:rPr>
          <w:rFonts w:hint="eastAsia"/>
          <w:b/>
          <w:bCs/>
          <w:sz w:val="28"/>
          <w:szCs w:val="28"/>
        </w:rPr>
        <w:t>规划图</w:t>
      </w:r>
    </w:p>
    <w:p>
      <w:pPr>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mc:AlternateContent>
          <mc:Choice Requires="wps">
            <w:drawing>
              <wp:anchor distT="0" distB="0" distL="114300" distR="114300" simplePos="0" relativeHeight="251688960" behindDoc="0" locked="0" layoutInCell="1" allowOverlap="1">
                <wp:simplePos x="0" y="0"/>
                <wp:positionH relativeFrom="column">
                  <wp:posOffset>3429635</wp:posOffset>
                </wp:positionH>
                <wp:positionV relativeFrom="paragraph">
                  <wp:posOffset>3255645</wp:posOffset>
                </wp:positionV>
                <wp:extent cx="615315" cy="252095"/>
                <wp:effectExtent l="0" t="0" r="0" b="0"/>
                <wp:wrapNone/>
                <wp:docPr id="82" name="文本框 82"/>
                <wp:cNvGraphicFramePr/>
                <a:graphic xmlns:a="http://schemas.openxmlformats.org/drawingml/2006/main">
                  <a:graphicData uri="http://schemas.microsoft.com/office/word/2010/wordprocessingShape">
                    <wps:wsp>
                      <wps:cNvSpPr txBox="1"/>
                      <wps:spPr>
                        <a:xfrm>
                          <a:off x="3420110" y="3403600"/>
                          <a:ext cx="615315" cy="252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highlight w:val="none"/>
                              </w:rPr>
                            </w:pPr>
                            <w:r>
                              <w:rPr>
                                <w:rFonts w:hint="eastAsia"/>
                                <w:highlight w:val="none"/>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05pt;margin-top:256.35pt;height:19.85pt;width:48.45pt;z-index:251688960;mso-width-relative:page;mso-height-relative:page;" filled="f" stroked="f" coordsize="21600,21600" o:gfxdata="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jeZk/cAAAACwEAAA8AAAAAAAAA&#10;AQAgAAAAIgAAAGRycy9kb3ducmV2LnhtbFBLAQIUABQAAAAIAIdO4kCqUzXFRgIAAHMEAAAOAAAA&#10;AAAAAAEAIAAAACsBAABkcnMvZTJvRG9jLnhtbFBLBQYAAAAABgAGAFkBAADjBQAAAAA=&#10;">
                <v:fill on="f" focussize="0,0"/>
                <v:stroke on="f" weight="0.5pt"/>
                <v:imagedata o:title=""/>
                <o:lock v:ext="edit" aspectratio="f"/>
                <v:textbox>
                  <w:txbxContent>
                    <w:p>
                      <w:pPr>
                        <w:rPr>
                          <w:highlight w:val="none"/>
                        </w:rPr>
                      </w:pPr>
                      <w:r>
                        <w:rPr>
                          <w:rFonts w:hint="eastAsia"/>
                          <w:highlight w:val="none"/>
                        </w:rPr>
                        <w:t>项目区</w:t>
                      </w: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3500755</wp:posOffset>
                </wp:positionH>
                <wp:positionV relativeFrom="paragraph">
                  <wp:posOffset>3505835</wp:posOffset>
                </wp:positionV>
                <wp:extent cx="86360" cy="75565"/>
                <wp:effectExtent l="12700" t="12700" r="15240" b="26035"/>
                <wp:wrapNone/>
                <wp:docPr id="83" name="椭圆 83"/>
                <wp:cNvGraphicFramePr/>
                <a:graphic xmlns:a="http://schemas.openxmlformats.org/drawingml/2006/main">
                  <a:graphicData uri="http://schemas.microsoft.com/office/word/2010/wordprocessingShape">
                    <wps:wsp>
                      <wps:cNvSpPr/>
                      <wps:spPr>
                        <a:xfrm>
                          <a:off x="4866640" y="4636770"/>
                          <a:ext cx="86360" cy="7556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5.65pt;margin-top:276.05pt;height:5.95pt;width:6.8pt;z-index:251689984;v-text-anchor:middle;mso-width-relative:page;mso-height-relative:page;" fillcolor="#FF0000" filled="t" stroked="t" coordsize="21600,21600" o:gfxdata="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onw9C1gAAAAsBAAAPAAAAAAAAAAEAIAAAACIAAABkcnMvZG93bnJl&#10;di54bWxQSwECFAAUAAAACACHTuJAmiVpcHECAAD2BAAADgAAAAAAAAABACAAAAAlAQAAZHJzL2Uy&#10;b0RvYy54bWxQSwUGAAAAAAYABgBZAQAACAYAAAAA&#10;">
                <v:fill on="t" focussize="0,0"/>
                <v:stroke weight="2pt" color="#FF0000 [3204]" joinstyle="round"/>
                <v:imagedata o:title=""/>
                <o:lock v:ext="edit" aspectratio="f"/>
                <v:textbox>
                  <w:txbxContent>
                    <w:p>
                      <w:pPr>
                        <w:jc w:val="center"/>
                      </w:pPr>
                    </w:p>
                  </w:txbxContent>
                </v:textbox>
              </v:shape>
            </w:pict>
          </mc:Fallback>
        </mc:AlternateContent>
      </w:r>
      <w:r>
        <w:drawing>
          <wp:inline distT="0" distB="0" distL="114300" distR="114300">
            <wp:extent cx="6991350" cy="4973955"/>
            <wp:effectExtent l="0" t="0" r="0" b="17145"/>
            <wp:docPr id="9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7"/>
                    <pic:cNvPicPr>
                      <a:picLocks noChangeAspect="1"/>
                    </pic:cNvPicPr>
                  </pic:nvPicPr>
                  <pic:blipFill>
                    <a:blip r:embed="rId53"/>
                    <a:stretch>
                      <a:fillRect/>
                    </a:stretch>
                  </pic:blipFill>
                  <pic:spPr>
                    <a:xfrm>
                      <a:off x="0" y="0"/>
                      <a:ext cx="6991350" cy="4973955"/>
                    </a:xfrm>
                    <a:prstGeom prst="rect">
                      <a:avLst/>
                    </a:prstGeom>
                    <a:noFill/>
                    <a:ln>
                      <a:noFill/>
                    </a:ln>
                  </pic:spPr>
                </pic:pic>
              </a:graphicData>
            </a:graphic>
          </wp:inline>
        </w:drawing>
      </w:r>
      <w:r>
        <mc:AlternateContent>
          <mc:Choice Requires="wps">
            <w:drawing>
              <wp:anchor distT="0" distB="0" distL="114300" distR="114300" simplePos="0" relativeHeight="251686912" behindDoc="0" locked="0" layoutInCell="1" allowOverlap="1">
                <wp:simplePos x="0" y="0"/>
                <wp:positionH relativeFrom="column">
                  <wp:posOffset>3389630</wp:posOffset>
                </wp:positionH>
                <wp:positionV relativeFrom="paragraph">
                  <wp:posOffset>6749415</wp:posOffset>
                </wp:positionV>
                <wp:extent cx="744855" cy="30353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74485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9pt;margin-top:531.45pt;height:23.9pt;width:58.65pt;z-index:251686912;mso-width-relative:page;mso-height-relative:page;" filled="f" stroked="f" coordsize="21600,21600" o:gfxdata="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jfH783QAAAA0BAAAPAAAAAAAAAAEAIAAAACIA&#10;AABkcnMvZG93bnJldi54bWxQSwECFAAUAAAACACHTuJAnAus8T0CAABnBAAADgAAAAAAAAABACAA&#10;AAAsAQAAZHJzL2Uyb0RvYy54bWxQSwUGAAAAAAYABgBZAQAA2wUAAAAA&#10;">
                <v:fill on="f" focussize="0,0"/>
                <v:stroke on="f" weight="0.5pt"/>
                <v:imagedata o:title=""/>
                <o:lock v:ext="edit" aspectratio="f"/>
                <v:textbo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v:textbox>
              </v:shape>
            </w:pict>
          </mc:Fallback>
        </mc:AlternateContent>
      </w:r>
    </w:p>
    <w:p>
      <w:pPr>
        <w:pStyle w:val="3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pPr>
      <w:r>
        <w:rPr>
          <w:rFonts w:hint="eastAsia"/>
          <w:b/>
          <w:bCs/>
          <w:sz w:val="28"/>
          <w:szCs w:val="28"/>
          <w:lang w:val="en-US" w:eastAsia="zh-CN"/>
        </w:rPr>
        <w:t>附图4  监测引用图</w:t>
      </w:r>
    </w:p>
    <w:p>
      <w:pPr>
        <w:pStyle w:val="29"/>
        <w:keepNext w:val="0"/>
        <w:keepLines w:val="0"/>
        <w:pageBreakBefore w:val="0"/>
        <w:widowControl w:val="0"/>
        <w:kinsoku/>
        <w:wordWrap/>
        <w:overflowPunct/>
        <w:topLinePunct w:val="0"/>
        <w:autoSpaceDE/>
        <w:autoSpaceDN/>
        <w:bidi w:val="0"/>
        <w:adjustRightInd/>
        <w:snapToGrid w:val="0"/>
        <w:spacing w:before="0" w:after="0" w:line="240" w:lineRule="auto"/>
        <w:ind w:right="0"/>
        <w:textAlignment w:val="auto"/>
        <w:rPr>
          <w:rFonts w:hint="default"/>
          <w:lang w:val="en-US" w:eastAsia="zh-CN"/>
        </w:rPr>
      </w:pPr>
      <w:r>
        <w:drawing>
          <wp:anchor distT="0" distB="0" distL="114300" distR="114300" simplePos="0" relativeHeight="251715584" behindDoc="0" locked="0" layoutInCell="1" allowOverlap="1">
            <wp:simplePos x="0" y="0"/>
            <wp:positionH relativeFrom="column">
              <wp:posOffset>137795</wp:posOffset>
            </wp:positionH>
            <wp:positionV relativeFrom="paragraph">
              <wp:posOffset>22860</wp:posOffset>
            </wp:positionV>
            <wp:extent cx="586740" cy="591820"/>
            <wp:effectExtent l="0" t="0" r="3810" b="17780"/>
            <wp:wrapNone/>
            <wp:docPr id="10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8"/>
                    <pic:cNvPicPr>
                      <a:picLocks noChangeAspect="1"/>
                    </pic:cNvPicPr>
                  </pic:nvPicPr>
                  <pic:blipFill>
                    <a:blip r:embed="rId17"/>
                    <a:stretch>
                      <a:fillRect/>
                    </a:stretch>
                  </pic:blipFill>
                  <pic:spPr>
                    <a:xfrm>
                      <a:off x="0" y="0"/>
                      <a:ext cx="586740" cy="591820"/>
                    </a:xfrm>
                    <a:prstGeom prst="rect">
                      <a:avLst/>
                    </a:prstGeom>
                    <a:noFill/>
                    <a:ln>
                      <a:noFill/>
                    </a:ln>
                  </pic:spPr>
                </pic:pic>
              </a:graphicData>
            </a:graphic>
          </wp:anchor>
        </w:drawing>
      </w:r>
      <w:r>
        <w:rPr>
          <w:sz w:val="18"/>
        </w:rPr>
        <mc:AlternateContent>
          <mc:Choice Requires="wps">
            <w:drawing>
              <wp:anchor distT="0" distB="0" distL="114300" distR="114300" simplePos="0" relativeHeight="251714560" behindDoc="0" locked="0" layoutInCell="1" allowOverlap="1">
                <wp:simplePos x="0" y="0"/>
                <wp:positionH relativeFrom="column">
                  <wp:posOffset>4052570</wp:posOffset>
                </wp:positionH>
                <wp:positionV relativeFrom="paragraph">
                  <wp:posOffset>1800860</wp:posOffset>
                </wp:positionV>
                <wp:extent cx="590550" cy="314325"/>
                <wp:effectExtent l="0" t="0" r="0" b="0"/>
                <wp:wrapNone/>
                <wp:docPr id="97" name="文本框 97"/>
                <wp:cNvGraphicFramePr/>
                <a:graphic xmlns:a="http://schemas.openxmlformats.org/drawingml/2006/main">
                  <a:graphicData uri="http://schemas.microsoft.com/office/word/2010/wordprocessingShape">
                    <wps:wsp>
                      <wps:cNvSpPr txBox="1"/>
                      <wps:spPr>
                        <a:xfrm>
                          <a:off x="5218430" y="3288030"/>
                          <a:ext cx="59055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350m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1pt;margin-top:141.8pt;height:24.75pt;width:46.5pt;z-index:251714560;mso-width-relative:page;mso-height-relative:page;" filled="f" stroked="f" coordsize="21600,21600" o:gfxdata="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ukEr3AAAAAsBAAAPAAAAAAAAAAEA&#10;IAAAACIAAABkcnMvZG93bnJldi54bWxQSwECFAAUAAAACACHTuJAFLmUOEQCAABzBAAADgAAAAAA&#10;AAABACAAAAArAQAAZHJzL2Uyb0RvYy54bWxQSwUGAAAAAAYABgBZAQAA4QUAAAAA&#10;">
                <v:fill on="f" focussize="0,0"/>
                <v:stroke on="f" weight="0.5pt"/>
                <v:imagedata o:title=""/>
                <o:lock v:ext="edit" aspectratio="f"/>
                <v:textbox>
                  <w:txbxContent>
                    <w:p>
                      <w:pPr>
                        <w:rPr>
                          <w:rFonts w:hint="default" w:eastAsia="宋体"/>
                          <w:lang w:val="en-US" w:eastAsia="zh-CN"/>
                        </w:rPr>
                      </w:pPr>
                      <w:r>
                        <w:rPr>
                          <w:rFonts w:hint="eastAsia"/>
                          <w:lang w:val="en-US" w:eastAsia="zh-CN"/>
                        </w:rPr>
                        <w:t>350m</w:t>
                      </w:r>
                    </w:p>
                  </w:txbxContent>
                </v:textbox>
              </v:shape>
            </w:pict>
          </mc:Fallback>
        </mc:AlternateContent>
      </w:r>
      <w:r>
        <w:rPr>
          <w:sz w:val="18"/>
        </w:rPr>
        <mc:AlternateContent>
          <mc:Choice Requires="wps">
            <w:drawing>
              <wp:anchor distT="0" distB="0" distL="114300" distR="114300" simplePos="0" relativeHeight="251713536" behindDoc="0" locked="0" layoutInCell="1" allowOverlap="1">
                <wp:simplePos x="0" y="0"/>
                <wp:positionH relativeFrom="column">
                  <wp:posOffset>3881120</wp:posOffset>
                </wp:positionH>
                <wp:positionV relativeFrom="paragraph">
                  <wp:posOffset>1675765</wp:posOffset>
                </wp:positionV>
                <wp:extent cx="457200" cy="590550"/>
                <wp:effectExtent l="0" t="0" r="0" b="0"/>
                <wp:wrapNone/>
                <wp:docPr id="96" name="直接箭头连接符 96"/>
                <wp:cNvGraphicFramePr/>
                <a:graphic xmlns:a="http://schemas.openxmlformats.org/drawingml/2006/main">
                  <a:graphicData uri="http://schemas.microsoft.com/office/word/2010/wordprocessingShape">
                    <wps:wsp>
                      <wps:cNvCnPr/>
                      <wps:spPr>
                        <a:xfrm>
                          <a:off x="4961255" y="3172460"/>
                          <a:ext cx="457200" cy="59055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05.6pt;margin-top:131.95pt;height:46.5pt;width:36pt;z-index:251713536;mso-width-relative:page;mso-height-relative:page;" filled="f" stroked="t" coordsize="21600,21600" o:gfxdata="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0sA3XbAAAACwEAAA8A&#10;AAAAAAAAAQAgAAAAIgAAAGRycy9kb3ducmV2LnhtbFBLAQIUABQAAAAIAIdO4kCh4P8gFAIAAPID&#10;AAAOAAAAAAAAAAEAIAAAACoBAABkcnMvZTJvRG9jLnhtbFBLBQYAAAAABgAGAFkBAACwBQAAAAA=&#10;">
                <v:fill on="f" focussize="0,0"/>
                <v:stroke color="#FF0000 [3204]" joinstyle="round" startarrow="open" endarrow="open"/>
                <v:imagedata o:title=""/>
                <o:lock v:ext="edit" aspectratio="f"/>
              </v:shape>
            </w:pict>
          </mc:Fallback>
        </mc:AlternateContent>
      </w:r>
      <w:r>
        <w:drawing>
          <wp:inline distT="0" distB="0" distL="114300" distR="114300">
            <wp:extent cx="8255635" cy="4212590"/>
            <wp:effectExtent l="19050" t="19050" r="31115" b="35560"/>
            <wp:docPr id="9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5"/>
                    <pic:cNvPicPr>
                      <a:picLocks noChangeAspect="1"/>
                    </pic:cNvPicPr>
                  </pic:nvPicPr>
                  <pic:blipFill>
                    <a:blip r:embed="rId54"/>
                    <a:stretch>
                      <a:fillRect/>
                    </a:stretch>
                  </pic:blipFill>
                  <pic:spPr>
                    <a:xfrm>
                      <a:off x="0" y="0"/>
                      <a:ext cx="8255635" cy="4212590"/>
                    </a:xfrm>
                    <a:prstGeom prst="rect">
                      <a:avLst/>
                    </a:prstGeom>
                    <a:noFill/>
                    <a:ln w="19050" cmpd="sng">
                      <a:solidFill>
                        <a:schemeClr val="tx1"/>
                      </a:solidFill>
                      <a:prstDash val="solid"/>
                    </a:ln>
                  </pic:spPr>
                </pic:pic>
              </a:graphicData>
            </a:graphic>
          </wp:inline>
        </w:drawing>
      </w:r>
    </w:p>
    <w:p>
      <w:pPr>
        <w:pStyle w:val="30"/>
        <w:ind w:left="0" w:leftChars="0" w:firstLine="0" w:firstLineChars="0"/>
        <w:rPr>
          <w:rFonts w:hint="eastAsia"/>
          <w:b/>
          <w:bCs/>
          <w:sz w:val="28"/>
          <w:szCs w:val="28"/>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30"/>
        <w:ind w:left="0" w:leftChars="0" w:firstLine="0" w:firstLineChars="0"/>
        <w:rPr>
          <w:b/>
          <w:bCs/>
          <w:sz w:val="28"/>
          <w:szCs w:val="28"/>
        </w:rPr>
      </w:pPr>
      <w:r>
        <w:rPr>
          <w:rFonts w:hint="eastAsia"/>
          <w:b/>
          <w:bCs/>
          <w:sz w:val="28"/>
          <w:szCs w:val="28"/>
          <w:lang w:val="en-US" w:eastAsia="zh-CN"/>
        </w:rPr>
        <w:t xml:space="preserve">附图5  </w:t>
      </w:r>
      <w:r>
        <w:rPr>
          <w:rFonts w:hint="eastAsia"/>
          <w:b/>
          <w:bCs/>
          <w:sz w:val="28"/>
          <w:szCs w:val="28"/>
        </w:rPr>
        <w:t>“三线一单”环境管控单元分类图</w:t>
      </w:r>
    </w:p>
    <w:p>
      <w:r>
        <mc:AlternateContent>
          <mc:Choice Requires="wps">
            <w:drawing>
              <wp:anchor distT="0" distB="0" distL="114300" distR="114300" simplePos="0" relativeHeight="251681792" behindDoc="0" locked="0" layoutInCell="1" allowOverlap="1">
                <wp:simplePos x="0" y="0"/>
                <wp:positionH relativeFrom="column">
                  <wp:posOffset>2503170</wp:posOffset>
                </wp:positionH>
                <wp:positionV relativeFrom="paragraph">
                  <wp:posOffset>2658745</wp:posOffset>
                </wp:positionV>
                <wp:extent cx="615315" cy="282575"/>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61531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highlight w:val="lightGray"/>
                                <w14:textFill>
                                  <w14:solidFill>
                                    <w14:schemeClr w14:val="tx1"/>
                                  </w14:solidFill>
                                </w14:textFill>
                              </w:rPr>
                            </w:pPr>
                            <w:r>
                              <w:rPr>
                                <w:rFonts w:hint="eastAsia"/>
                                <w:color w:val="000000" w:themeColor="text1"/>
                                <w:highlight w:val="lightGray"/>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1pt;margin-top:209.35pt;height:22.25pt;width:48.45pt;z-index:251681792;mso-width-relative:page;mso-height-relative:page;" filled="f" stroked="f" coordsize="21600,21600" o:gfxdata="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&#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O93WNwAAAALAQAADwAAAAAAAAABACAAAAAiAAAA&#10;ZHJzL2Rvd25yZXYueG1sUEsBAhQAFAAAAAgAh07iQKU4b1M8AgAAZwQAAA4AAAAAAAAAAQAgAAAA&#10;KwEAAGRycy9lMm9Eb2MueG1sUEsFBgAAAAAGAAYAWQEAANkFAAAAAA==&#10;">
                <v:fill on="f" focussize="0,0"/>
                <v:stroke on="f" weight="0.5pt"/>
                <v:imagedata o:title=""/>
                <o:lock v:ext="edit" aspectratio="f"/>
                <v:textbox>
                  <w:txbxContent>
                    <w:p>
                      <w:pPr>
                        <w:rPr>
                          <w:color w:val="000000" w:themeColor="text1"/>
                          <w:highlight w:val="lightGray"/>
                          <w14:textFill>
                            <w14:solidFill>
                              <w14:schemeClr w14:val="tx1"/>
                            </w14:solidFill>
                          </w14:textFill>
                        </w:rPr>
                      </w:pPr>
                      <w:r>
                        <w:rPr>
                          <w:rFonts w:hint="eastAsia"/>
                          <w:color w:val="000000" w:themeColor="text1"/>
                          <w:highlight w:val="lightGray"/>
                          <w14:textFill>
                            <w14:solidFill>
                              <w14:schemeClr w14:val="tx1"/>
                            </w14:solidFill>
                          </w14:textFill>
                        </w:rPr>
                        <w:t>项目区</w:t>
                      </w:r>
                    </w:p>
                  </w:txbxContent>
                </v:textbox>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2600325</wp:posOffset>
                </wp:positionH>
                <wp:positionV relativeFrom="paragraph">
                  <wp:posOffset>2902585</wp:posOffset>
                </wp:positionV>
                <wp:extent cx="75565" cy="75565"/>
                <wp:effectExtent l="12700" t="0" r="26035" b="27305"/>
                <wp:wrapNone/>
                <wp:docPr id="29" name="十字星 29"/>
                <wp:cNvGraphicFramePr/>
                <a:graphic xmlns:a="http://schemas.openxmlformats.org/drawingml/2006/main">
                  <a:graphicData uri="http://schemas.microsoft.com/office/word/2010/wordprocessingShape">
                    <wps:wsp>
                      <wps:cNvSpPr/>
                      <wps:spPr>
                        <a:xfrm>
                          <a:off x="0" y="0"/>
                          <a:ext cx="75565" cy="75565"/>
                        </a:xfrm>
                        <a:prstGeom prst="star4">
                          <a:avLst>
                            <a:gd name="adj" fmla="val 50000"/>
                          </a:avLst>
                        </a:prstGeom>
                        <a:solidFill>
                          <a:srgbClr val="0527F9"/>
                        </a:solidFill>
                        <a:ln>
                          <a:solidFill>
                            <a:srgbClr val="0527F9"/>
                          </a:solidFill>
                        </a:ln>
                      </wps:spPr>
                      <wps:style>
                        <a:lnRef idx="2">
                          <a:schemeClr val="accent2">
                            <a:shade val="50000"/>
                          </a:schemeClr>
                        </a:lnRef>
                        <a:fillRef idx="1">
                          <a:schemeClr val="accent2"/>
                        </a:fillRef>
                        <a:effectRef idx="0">
                          <a:schemeClr val="accent2"/>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04.75pt;margin-top:228.55pt;height:5.95pt;width:5.95pt;z-index:251682816;v-text-anchor:middle;mso-width-relative:page;mso-height-relative:page;" fillcolor="#0527F9" filled="t" stroked="t" coordsize="21600,21600" o:gfxdata="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QG1PCdkAAAALAQAADwAAAAAAAAABACAA&#10;AAAiAAAAZHJzL2Rvd25yZXYueG1sUEsBAhQAFAAAAAgAh07iQHzH/3h+AgAAFwUAAA4AAAAAAAAA&#10;AQAgAAAAKAEAAGRycy9lMm9Eb2MueG1sUEsFBgAAAAAGAAYAWQEAABgGAAAAAA==&#10;" adj="0">
                <v:fill on="t" focussize="0,0"/>
                <v:stroke weight="2pt" color="#0527F9 [3205]" joinstyle="round"/>
                <v:imagedata o:title=""/>
                <o:lock v:ext="edit" aspectratio="f"/>
                <v:textbox>
                  <w:txbxContent>
                    <w:p>
                      <w:pPr>
                        <w:jc w:val="center"/>
                      </w:pPr>
                    </w:p>
                  </w:txbxContent>
                </v:textbox>
              </v:shape>
            </w:pict>
          </mc:Fallback>
        </mc:AlternateContent>
      </w:r>
      <w:r>
        <w:rPr>
          <w:rFonts w:hint="eastAsia" w:ascii="仿宋_GB2312" w:eastAsia="仿宋_GB2312"/>
          <w:sz w:val="28"/>
          <w:szCs w:val="28"/>
        </w:rPr>
        <w:drawing>
          <wp:inline distT="0" distB="0" distL="114300" distR="114300">
            <wp:extent cx="8154035" cy="5095240"/>
            <wp:effectExtent l="0" t="0" r="18415" b="1016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5" cstate="print">
                      <a:extLst>
                        <a:ext uri="{28A0092B-C50C-407E-A947-70E740481C1C}">
                          <a14:useLocalDpi xmlns:a14="http://schemas.microsoft.com/office/drawing/2010/main" val="0"/>
                        </a:ext>
                      </a:extLst>
                    </a:blip>
                    <a:srcRect l="1164" t="1788" r="1392" b="1793"/>
                    <a:stretch>
                      <a:fillRect/>
                    </a:stretch>
                  </pic:blipFill>
                  <pic:spPr>
                    <a:xfrm>
                      <a:off x="0" y="0"/>
                      <a:ext cx="8154035" cy="5095240"/>
                    </a:xfrm>
                    <a:prstGeom prst="rect">
                      <a:avLst/>
                    </a:prstGeom>
                    <a:ln>
                      <a:noFill/>
                    </a:ln>
                  </pic:spPr>
                </pic:pic>
              </a:graphicData>
            </a:graphic>
          </wp:inline>
        </w:drawing>
      </w:r>
    </w:p>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20B0604020202020204"/>
    <w:charset w:val="86"/>
    <w:family w:val="swiss"/>
    <w:pitch w:val="default"/>
    <w:sig w:usb0="00000000" w:usb1="00000000" w:usb2="0000003F" w:usb3="00000000" w:csb0="603F01FF" w:csb1="FFFF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方正仿宋简体">
    <w:altName w:val="黑体"/>
    <w:panose1 w:val="00000000000000000000"/>
    <w:charset w:val="86"/>
    <w:family w:val="script"/>
    <w:pitch w:val="default"/>
    <w:sig w:usb0="00000000" w:usb1="00000000" w:usb2="00000010" w:usb3="00000000" w:csb0="00040000"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华文仿宋">
    <w:altName w:val="仿宋"/>
    <w:panose1 w:val="02010600040101010101"/>
    <w:charset w:val="86"/>
    <w:family w:val="auto"/>
    <w:pitch w:val="default"/>
    <w:sig w:usb0="00000000" w:usb1="0000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00"/>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rap="around" w:vAnchor="text" w:hAnchor="margin" w:xAlign="center" w:y="1"/>
      <w:rPr>
        <w:rStyle w:val="34"/>
      </w:rPr>
    </w:pPr>
    <w:r>
      <w:fldChar w:fldCharType="begin"/>
    </w:r>
    <w:r>
      <w:rPr>
        <w:rStyle w:val="34"/>
      </w:rPr>
      <w:instrText xml:space="preserve">PAGE  </w:instrText>
    </w:r>
    <w:r>
      <w:fldChar w:fldCharType="end"/>
    </w:r>
  </w:p>
  <w:p>
    <w:pPr>
      <w:pStyle w:val="2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right="360" w:firstLine="360"/>
      <w:jc w:val="both"/>
    </w:pPr>
    <w:r>
      <mc:AlternateContent>
        <mc:Choice Requires="wps">
          <w:drawing>
            <wp:anchor distT="0" distB="0" distL="114300" distR="114300" simplePos="0" relativeHeight="251686912" behindDoc="0" locked="0" layoutInCell="1" allowOverlap="1">
              <wp:simplePos x="0" y="0"/>
              <wp:positionH relativeFrom="margin">
                <wp:posOffset>2767330</wp:posOffset>
              </wp:positionH>
              <wp:positionV relativeFrom="paragraph">
                <wp:posOffset>8255</wp:posOffset>
              </wp:positionV>
              <wp:extent cx="442595" cy="327025"/>
              <wp:effectExtent l="0" t="0" r="0" b="0"/>
              <wp:wrapNone/>
              <wp:docPr id="1" name="文本框 1"/>
              <wp:cNvGraphicFramePr/>
              <a:graphic xmlns:a="http://schemas.openxmlformats.org/drawingml/2006/main">
                <a:graphicData uri="http://schemas.microsoft.com/office/word/2010/wordprocessingShape">
                  <wps:wsp>
                    <wps:cNvSpPr txBox="1"/>
                    <wps:spPr>
                      <a:xfrm>
                        <a:off x="0" y="0"/>
                        <a:ext cx="442595" cy="327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7.9pt;margin-top:0.65pt;height:25.75pt;width:34.85pt;mso-position-horizontal-relative:margin;z-index:251686912;mso-width-relative:page;mso-height-relative:page;" filled="f" stroked="f" coordsize="21600,21600" o:gfxdata="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C7PpM1gAAAAgBAAAPAAAAAAAAAAEAIAAAACIAAABkcnMvZG93bnJldi54bWxQ&#10;SwECFAAUAAAACACHTuJAjES8DzICAABVBAAADgAAAAAAAAABACAAAAAlAQAAZHJzL2Uyb0RvYy54&#10;bWxQSwUGAAAAAAYABgBZAQAAyQUAAAAA&#10;">
              <v:fill on="f" focussize="0,0"/>
              <v:stroke on="f" weight="0.5pt"/>
              <v:imagedata o:title=""/>
              <o:lock v:ext="edit" aspectratio="f"/>
              <v:textbox inset="0mm,0mm,0mm,0mm">
                <w:txbxContent>
                  <w:p>
                    <w:pPr>
                      <w:pStyle w:val="2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right="360" w:firstLine="360"/>
      <w:jc w:val="center"/>
    </w:pPr>
    <w: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pPr>
                      <w:pStyle w:val="24"/>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right="360" w:firstLine="360"/>
      <w:jc w:val="center"/>
    </w:pPr>
    <w: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pPr>
                      <w:pStyle w:val="24"/>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right="360" w:firstLine="360"/>
      <w:jc w:val="center"/>
    </w:pPr>
    <w: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pPr>
                      <w:pStyle w:val="24"/>
                    </w:pPr>
                    <w:r>
                      <w:fldChar w:fldCharType="begin"/>
                    </w:r>
                    <w:r>
                      <w:instrText xml:space="preserve"> PAGE  \* MERGEFORMAT </w:instrText>
                    </w:r>
                    <w:r>
                      <w:fldChar w:fldCharType="separate"/>
                    </w:r>
                    <w:r>
                      <w:t>40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9CE7D3"/>
    <w:multiLevelType w:val="singleLevel"/>
    <w:tmpl w:val="869CE7D3"/>
    <w:lvl w:ilvl="0" w:tentative="0">
      <w:start w:val="1"/>
      <w:numFmt w:val="decimal"/>
      <w:suff w:val="nothing"/>
      <w:lvlText w:val="%1、"/>
      <w:lvlJc w:val="left"/>
    </w:lvl>
  </w:abstractNum>
  <w:abstractNum w:abstractNumId="1">
    <w:nsid w:val="A08E0653"/>
    <w:multiLevelType w:val="singleLevel"/>
    <w:tmpl w:val="A08E0653"/>
    <w:lvl w:ilvl="0" w:tentative="0">
      <w:start w:val="1"/>
      <w:numFmt w:val="decimal"/>
      <w:suff w:val="nothing"/>
      <w:lvlText w:val="%1、"/>
      <w:lvlJc w:val="left"/>
    </w:lvl>
  </w:abstractNum>
  <w:abstractNum w:abstractNumId="2">
    <w:nsid w:val="C349C0C6"/>
    <w:multiLevelType w:val="singleLevel"/>
    <w:tmpl w:val="C349C0C6"/>
    <w:lvl w:ilvl="0" w:tentative="0">
      <w:start w:val="4"/>
      <w:numFmt w:val="decimal"/>
      <w:suff w:val="nothing"/>
      <w:lvlText w:val="%1、"/>
      <w:lvlJc w:val="left"/>
    </w:lvl>
  </w:abstractNum>
  <w:abstractNum w:abstractNumId="3">
    <w:nsid w:val="FB3F7B25"/>
    <w:multiLevelType w:val="singleLevel"/>
    <w:tmpl w:val="FB3F7B25"/>
    <w:lvl w:ilvl="0" w:tentative="0">
      <w:start w:val="1"/>
      <w:numFmt w:val="decimal"/>
      <w:suff w:val="nothing"/>
      <w:lvlText w:val="%1、"/>
      <w:lvlJc w:val="left"/>
    </w:lvl>
  </w:abstractNum>
  <w:abstractNum w:abstractNumId="4">
    <w:nsid w:val="FE49CE1B"/>
    <w:multiLevelType w:val="singleLevel"/>
    <w:tmpl w:val="FE49CE1B"/>
    <w:lvl w:ilvl="0" w:tentative="0">
      <w:start w:val="4"/>
      <w:numFmt w:val="decimal"/>
      <w:suff w:val="nothing"/>
      <w:lvlText w:val="%1、"/>
      <w:lvlJc w:val="left"/>
    </w:lvl>
  </w:abstractNum>
  <w:abstractNum w:abstractNumId="5">
    <w:nsid w:val="05EF78DE"/>
    <w:multiLevelType w:val="singleLevel"/>
    <w:tmpl w:val="05EF78DE"/>
    <w:lvl w:ilvl="0" w:tentative="0">
      <w:start w:val="3"/>
      <w:numFmt w:val="decimal"/>
      <w:suff w:val="nothing"/>
      <w:lvlText w:val="（%1）"/>
      <w:lvlJc w:val="left"/>
    </w:lvl>
  </w:abstractNum>
  <w:abstractNum w:abstractNumId="6">
    <w:nsid w:val="138BAF47"/>
    <w:multiLevelType w:val="singleLevel"/>
    <w:tmpl w:val="138BAF47"/>
    <w:lvl w:ilvl="0" w:tentative="0">
      <w:start w:val="1"/>
      <w:numFmt w:val="decimal"/>
      <w:suff w:val="nothing"/>
      <w:lvlText w:val="%1、"/>
      <w:lvlJc w:val="left"/>
    </w:lvl>
  </w:abstractNum>
  <w:abstractNum w:abstractNumId="7">
    <w:nsid w:val="1A01BA1A"/>
    <w:multiLevelType w:val="singleLevel"/>
    <w:tmpl w:val="1A01BA1A"/>
    <w:lvl w:ilvl="0" w:tentative="0">
      <w:start w:val="1"/>
      <w:numFmt w:val="decimal"/>
      <w:suff w:val="nothing"/>
      <w:lvlText w:val="%1、"/>
      <w:lvlJc w:val="left"/>
      <w:pPr>
        <w:ind w:left="-60"/>
      </w:pPr>
    </w:lvl>
  </w:abstractNum>
  <w:abstractNum w:abstractNumId="8">
    <w:nsid w:val="226BCE92"/>
    <w:multiLevelType w:val="singleLevel"/>
    <w:tmpl w:val="226BCE92"/>
    <w:lvl w:ilvl="0" w:tentative="0">
      <w:start w:val="1"/>
      <w:numFmt w:val="decimal"/>
      <w:suff w:val="nothing"/>
      <w:lvlText w:val="%1、"/>
      <w:lvlJc w:val="left"/>
    </w:lvl>
  </w:abstractNum>
  <w:abstractNum w:abstractNumId="9">
    <w:nsid w:val="576167E7"/>
    <w:multiLevelType w:val="multilevel"/>
    <w:tmpl w:val="576167E7"/>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8"/>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0">
    <w:nsid w:val="7C46E264"/>
    <w:multiLevelType w:val="singleLevel"/>
    <w:tmpl w:val="7C46E264"/>
    <w:lvl w:ilvl="0" w:tentative="0">
      <w:start w:val="1"/>
      <w:numFmt w:val="decimal"/>
      <w:suff w:val="nothing"/>
      <w:lvlText w:val="（%1）"/>
      <w:lvlJc w:val="left"/>
    </w:lvl>
  </w:abstractNum>
  <w:abstractNum w:abstractNumId="11">
    <w:nsid w:val="7F51753B"/>
    <w:multiLevelType w:val="singleLevel"/>
    <w:tmpl w:val="7F51753B"/>
    <w:lvl w:ilvl="0" w:tentative="0">
      <w:start w:val="1"/>
      <w:numFmt w:val="bullet"/>
      <w:pStyle w:val="21"/>
      <w:lvlText w:val=""/>
      <w:lvlJc w:val="left"/>
      <w:pPr>
        <w:tabs>
          <w:tab w:val="left" w:pos="2040"/>
        </w:tabs>
        <w:ind w:left="2040" w:hanging="360"/>
      </w:pPr>
      <w:rPr>
        <w:rFonts w:hint="default" w:ascii="Wingdings" w:hAnsi="Wingdings"/>
      </w:rPr>
    </w:lvl>
  </w:abstractNum>
  <w:num w:numId="1">
    <w:abstractNumId w:val="9"/>
  </w:num>
  <w:num w:numId="2">
    <w:abstractNumId w:val="11"/>
  </w:num>
  <w:num w:numId="3">
    <w:abstractNumId w:val="1"/>
  </w:num>
  <w:num w:numId="4">
    <w:abstractNumId w:val="0"/>
  </w:num>
  <w:num w:numId="5">
    <w:abstractNumId w:val="3"/>
  </w:num>
  <w:num w:numId="6">
    <w:abstractNumId w:val="6"/>
  </w:num>
  <w:num w:numId="7">
    <w:abstractNumId w:val="4"/>
  </w:num>
  <w:num w:numId="8">
    <w:abstractNumId w:val="5"/>
  </w:num>
  <w:num w:numId="9">
    <w:abstractNumId w:val="10"/>
  </w:num>
  <w:num w:numId="10">
    <w:abstractNumId w:val="7"/>
  </w:num>
  <w:num w:numId="11">
    <w:abstractNumId w:val="2"/>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cyM2MzOTUyNWMzODAyOThmMDJiYzMwZTQxNWJlYmEifQ=="/>
  </w:docVars>
  <w:rsids>
    <w:rsidRoot w:val="00A14947"/>
    <w:rsid w:val="000060B3"/>
    <w:rsid w:val="00015393"/>
    <w:rsid w:val="00037F47"/>
    <w:rsid w:val="00042886"/>
    <w:rsid w:val="0004364B"/>
    <w:rsid w:val="00061B1F"/>
    <w:rsid w:val="00062C9E"/>
    <w:rsid w:val="00065CB7"/>
    <w:rsid w:val="000733C4"/>
    <w:rsid w:val="00074783"/>
    <w:rsid w:val="0008070B"/>
    <w:rsid w:val="000810AC"/>
    <w:rsid w:val="00081A02"/>
    <w:rsid w:val="00082231"/>
    <w:rsid w:val="00092D38"/>
    <w:rsid w:val="0009377B"/>
    <w:rsid w:val="000A16B8"/>
    <w:rsid w:val="000A20C9"/>
    <w:rsid w:val="000B058F"/>
    <w:rsid w:val="000B3898"/>
    <w:rsid w:val="000B4467"/>
    <w:rsid w:val="000B4DB9"/>
    <w:rsid w:val="000C09AC"/>
    <w:rsid w:val="000C767F"/>
    <w:rsid w:val="000D5A44"/>
    <w:rsid w:val="000E320B"/>
    <w:rsid w:val="000E3ED2"/>
    <w:rsid w:val="00103EB9"/>
    <w:rsid w:val="00104980"/>
    <w:rsid w:val="001100D8"/>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13B2"/>
    <w:rsid w:val="001C69B3"/>
    <w:rsid w:val="001D5595"/>
    <w:rsid w:val="001D7874"/>
    <w:rsid w:val="001D7F22"/>
    <w:rsid w:val="001F0F17"/>
    <w:rsid w:val="001F3347"/>
    <w:rsid w:val="001F69E4"/>
    <w:rsid w:val="00200D72"/>
    <w:rsid w:val="002125B4"/>
    <w:rsid w:val="002155B8"/>
    <w:rsid w:val="00217C1E"/>
    <w:rsid w:val="00224839"/>
    <w:rsid w:val="002249B2"/>
    <w:rsid w:val="00224A1A"/>
    <w:rsid w:val="00226574"/>
    <w:rsid w:val="002278EC"/>
    <w:rsid w:val="0023280E"/>
    <w:rsid w:val="002377D1"/>
    <w:rsid w:val="00242903"/>
    <w:rsid w:val="002506BC"/>
    <w:rsid w:val="0025231A"/>
    <w:rsid w:val="00254345"/>
    <w:rsid w:val="00264557"/>
    <w:rsid w:val="002805AB"/>
    <w:rsid w:val="00280A54"/>
    <w:rsid w:val="00284204"/>
    <w:rsid w:val="00290EF2"/>
    <w:rsid w:val="00291773"/>
    <w:rsid w:val="002A168C"/>
    <w:rsid w:val="002A1C8A"/>
    <w:rsid w:val="002A3DC7"/>
    <w:rsid w:val="002B49E2"/>
    <w:rsid w:val="002B5123"/>
    <w:rsid w:val="002B7B00"/>
    <w:rsid w:val="002B7C44"/>
    <w:rsid w:val="002C2B17"/>
    <w:rsid w:val="002C6B57"/>
    <w:rsid w:val="002D3DD0"/>
    <w:rsid w:val="002E1F3A"/>
    <w:rsid w:val="002E298A"/>
    <w:rsid w:val="00301978"/>
    <w:rsid w:val="0030332C"/>
    <w:rsid w:val="00304E23"/>
    <w:rsid w:val="003051C2"/>
    <w:rsid w:val="00312296"/>
    <w:rsid w:val="00314F0E"/>
    <w:rsid w:val="00316131"/>
    <w:rsid w:val="00321D8E"/>
    <w:rsid w:val="00325928"/>
    <w:rsid w:val="00332863"/>
    <w:rsid w:val="00334994"/>
    <w:rsid w:val="0033684D"/>
    <w:rsid w:val="00336ABB"/>
    <w:rsid w:val="00337B42"/>
    <w:rsid w:val="00341B42"/>
    <w:rsid w:val="0034348F"/>
    <w:rsid w:val="00356653"/>
    <w:rsid w:val="0035743F"/>
    <w:rsid w:val="00357BE2"/>
    <w:rsid w:val="0036170C"/>
    <w:rsid w:val="003656DF"/>
    <w:rsid w:val="00366E0F"/>
    <w:rsid w:val="0037164D"/>
    <w:rsid w:val="003808F8"/>
    <w:rsid w:val="00381A72"/>
    <w:rsid w:val="00384676"/>
    <w:rsid w:val="00390857"/>
    <w:rsid w:val="003974E4"/>
    <w:rsid w:val="003A4BF3"/>
    <w:rsid w:val="003B420D"/>
    <w:rsid w:val="003C6C16"/>
    <w:rsid w:val="003D3FBC"/>
    <w:rsid w:val="003D794D"/>
    <w:rsid w:val="003E3058"/>
    <w:rsid w:val="003E76A9"/>
    <w:rsid w:val="003F0809"/>
    <w:rsid w:val="003F3A8E"/>
    <w:rsid w:val="003F6A8C"/>
    <w:rsid w:val="003F755C"/>
    <w:rsid w:val="00406F01"/>
    <w:rsid w:val="004106CC"/>
    <w:rsid w:val="00416D50"/>
    <w:rsid w:val="00416FD5"/>
    <w:rsid w:val="00417772"/>
    <w:rsid w:val="00420E6A"/>
    <w:rsid w:val="00425A9E"/>
    <w:rsid w:val="00426D6B"/>
    <w:rsid w:val="00431E6C"/>
    <w:rsid w:val="00433CE7"/>
    <w:rsid w:val="0045210B"/>
    <w:rsid w:val="00452738"/>
    <w:rsid w:val="00456091"/>
    <w:rsid w:val="00466321"/>
    <w:rsid w:val="004719CF"/>
    <w:rsid w:val="0047617A"/>
    <w:rsid w:val="00484B9B"/>
    <w:rsid w:val="004855F6"/>
    <w:rsid w:val="0048661E"/>
    <w:rsid w:val="00494670"/>
    <w:rsid w:val="004A3823"/>
    <w:rsid w:val="004D259A"/>
    <w:rsid w:val="004E13E4"/>
    <w:rsid w:val="004E6946"/>
    <w:rsid w:val="004F1AD8"/>
    <w:rsid w:val="004F4B06"/>
    <w:rsid w:val="005039CB"/>
    <w:rsid w:val="0050558F"/>
    <w:rsid w:val="00506286"/>
    <w:rsid w:val="00510813"/>
    <w:rsid w:val="00511990"/>
    <w:rsid w:val="00511DE0"/>
    <w:rsid w:val="00514870"/>
    <w:rsid w:val="00514B9B"/>
    <w:rsid w:val="00514E01"/>
    <w:rsid w:val="00517F02"/>
    <w:rsid w:val="00524303"/>
    <w:rsid w:val="005258A2"/>
    <w:rsid w:val="005366A0"/>
    <w:rsid w:val="00537F42"/>
    <w:rsid w:val="005401AE"/>
    <w:rsid w:val="00542E07"/>
    <w:rsid w:val="00545424"/>
    <w:rsid w:val="00553BE4"/>
    <w:rsid w:val="00554A7B"/>
    <w:rsid w:val="0055572C"/>
    <w:rsid w:val="0056106A"/>
    <w:rsid w:val="00564E42"/>
    <w:rsid w:val="005720AE"/>
    <w:rsid w:val="00573BE7"/>
    <w:rsid w:val="005800E0"/>
    <w:rsid w:val="00594D77"/>
    <w:rsid w:val="005969E4"/>
    <w:rsid w:val="00596BB0"/>
    <w:rsid w:val="005A06B7"/>
    <w:rsid w:val="005A1759"/>
    <w:rsid w:val="005A44BE"/>
    <w:rsid w:val="005A5FC4"/>
    <w:rsid w:val="005A68A7"/>
    <w:rsid w:val="005C178B"/>
    <w:rsid w:val="005C3EEB"/>
    <w:rsid w:val="005D36AB"/>
    <w:rsid w:val="005D5C0B"/>
    <w:rsid w:val="005D7F68"/>
    <w:rsid w:val="00610E11"/>
    <w:rsid w:val="00617CC3"/>
    <w:rsid w:val="006377A6"/>
    <w:rsid w:val="00637A3D"/>
    <w:rsid w:val="006411EF"/>
    <w:rsid w:val="00644627"/>
    <w:rsid w:val="00663447"/>
    <w:rsid w:val="006710E7"/>
    <w:rsid w:val="006748B8"/>
    <w:rsid w:val="006775C3"/>
    <w:rsid w:val="00691A6A"/>
    <w:rsid w:val="0069290A"/>
    <w:rsid w:val="0069775A"/>
    <w:rsid w:val="00697813"/>
    <w:rsid w:val="006A3EE8"/>
    <w:rsid w:val="006A4CEA"/>
    <w:rsid w:val="006A57F8"/>
    <w:rsid w:val="006A72BF"/>
    <w:rsid w:val="006B03F2"/>
    <w:rsid w:val="006B37DC"/>
    <w:rsid w:val="006B4F68"/>
    <w:rsid w:val="006B6118"/>
    <w:rsid w:val="006B7335"/>
    <w:rsid w:val="006C0592"/>
    <w:rsid w:val="006C272E"/>
    <w:rsid w:val="006C5479"/>
    <w:rsid w:val="006D10B2"/>
    <w:rsid w:val="006D13B5"/>
    <w:rsid w:val="006E12FF"/>
    <w:rsid w:val="006E51EE"/>
    <w:rsid w:val="006E607E"/>
    <w:rsid w:val="00701B65"/>
    <w:rsid w:val="00706C5D"/>
    <w:rsid w:val="00732922"/>
    <w:rsid w:val="0073375A"/>
    <w:rsid w:val="00737F6F"/>
    <w:rsid w:val="0075162E"/>
    <w:rsid w:val="00754034"/>
    <w:rsid w:val="00756556"/>
    <w:rsid w:val="007618C4"/>
    <w:rsid w:val="0076467D"/>
    <w:rsid w:val="00767980"/>
    <w:rsid w:val="00770B19"/>
    <w:rsid w:val="0077463F"/>
    <w:rsid w:val="007776D0"/>
    <w:rsid w:val="007836EA"/>
    <w:rsid w:val="00784CDA"/>
    <w:rsid w:val="007906C4"/>
    <w:rsid w:val="007940EA"/>
    <w:rsid w:val="007967E8"/>
    <w:rsid w:val="007A2170"/>
    <w:rsid w:val="007A22BF"/>
    <w:rsid w:val="007A3323"/>
    <w:rsid w:val="007B2FEB"/>
    <w:rsid w:val="007B72B8"/>
    <w:rsid w:val="007B7A58"/>
    <w:rsid w:val="007C21B5"/>
    <w:rsid w:val="007D2A27"/>
    <w:rsid w:val="007D4500"/>
    <w:rsid w:val="007E4BD2"/>
    <w:rsid w:val="007F511B"/>
    <w:rsid w:val="007F7CC5"/>
    <w:rsid w:val="00801393"/>
    <w:rsid w:val="00802247"/>
    <w:rsid w:val="00802F88"/>
    <w:rsid w:val="0081293E"/>
    <w:rsid w:val="00815465"/>
    <w:rsid w:val="00817E9A"/>
    <w:rsid w:val="008306BD"/>
    <w:rsid w:val="00831A80"/>
    <w:rsid w:val="00833743"/>
    <w:rsid w:val="008340A4"/>
    <w:rsid w:val="0087135F"/>
    <w:rsid w:val="00872D94"/>
    <w:rsid w:val="008777F1"/>
    <w:rsid w:val="00880364"/>
    <w:rsid w:val="00891592"/>
    <w:rsid w:val="00891E9E"/>
    <w:rsid w:val="008A2F68"/>
    <w:rsid w:val="008B4FA6"/>
    <w:rsid w:val="008B5282"/>
    <w:rsid w:val="008B7C17"/>
    <w:rsid w:val="008C20CF"/>
    <w:rsid w:val="008C2D01"/>
    <w:rsid w:val="008C40E6"/>
    <w:rsid w:val="008C5510"/>
    <w:rsid w:val="008C6919"/>
    <w:rsid w:val="008D0F7A"/>
    <w:rsid w:val="008D68E4"/>
    <w:rsid w:val="008E0506"/>
    <w:rsid w:val="008E0CFF"/>
    <w:rsid w:val="008E5D6B"/>
    <w:rsid w:val="008E76F0"/>
    <w:rsid w:val="008F08CD"/>
    <w:rsid w:val="008F15FE"/>
    <w:rsid w:val="008F2D29"/>
    <w:rsid w:val="008F5187"/>
    <w:rsid w:val="008F60D8"/>
    <w:rsid w:val="00902727"/>
    <w:rsid w:val="0090312B"/>
    <w:rsid w:val="0090318F"/>
    <w:rsid w:val="00903450"/>
    <w:rsid w:val="0091736D"/>
    <w:rsid w:val="009175AF"/>
    <w:rsid w:val="00921CC8"/>
    <w:rsid w:val="0093037A"/>
    <w:rsid w:val="0094154D"/>
    <w:rsid w:val="0094366A"/>
    <w:rsid w:val="0095155F"/>
    <w:rsid w:val="00954429"/>
    <w:rsid w:val="009563CE"/>
    <w:rsid w:val="00962555"/>
    <w:rsid w:val="00962C96"/>
    <w:rsid w:val="009702EE"/>
    <w:rsid w:val="009739FA"/>
    <w:rsid w:val="00976328"/>
    <w:rsid w:val="0097680D"/>
    <w:rsid w:val="009805B1"/>
    <w:rsid w:val="00982438"/>
    <w:rsid w:val="0098404C"/>
    <w:rsid w:val="00985283"/>
    <w:rsid w:val="00991522"/>
    <w:rsid w:val="00995296"/>
    <w:rsid w:val="009953DB"/>
    <w:rsid w:val="00995992"/>
    <w:rsid w:val="009A03E5"/>
    <w:rsid w:val="009A0F3B"/>
    <w:rsid w:val="009A1BB4"/>
    <w:rsid w:val="009A2628"/>
    <w:rsid w:val="009A3200"/>
    <w:rsid w:val="009B0897"/>
    <w:rsid w:val="009B7BD9"/>
    <w:rsid w:val="009C7DD5"/>
    <w:rsid w:val="009D6BDF"/>
    <w:rsid w:val="009E227D"/>
    <w:rsid w:val="009E5019"/>
    <w:rsid w:val="00A04F1B"/>
    <w:rsid w:val="00A0501B"/>
    <w:rsid w:val="00A13AE9"/>
    <w:rsid w:val="00A14947"/>
    <w:rsid w:val="00A31C68"/>
    <w:rsid w:val="00A32A83"/>
    <w:rsid w:val="00A368DB"/>
    <w:rsid w:val="00A423AA"/>
    <w:rsid w:val="00A53EC6"/>
    <w:rsid w:val="00A55C0F"/>
    <w:rsid w:val="00A613B7"/>
    <w:rsid w:val="00A67B41"/>
    <w:rsid w:val="00A7118B"/>
    <w:rsid w:val="00A746FC"/>
    <w:rsid w:val="00A75EDD"/>
    <w:rsid w:val="00A7714A"/>
    <w:rsid w:val="00A8713F"/>
    <w:rsid w:val="00A90BA1"/>
    <w:rsid w:val="00A97A9A"/>
    <w:rsid w:val="00AA0671"/>
    <w:rsid w:val="00AA2531"/>
    <w:rsid w:val="00AB1E09"/>
    <w:rsid w:val="00AB5330"/>
    <w:rsid w:val="00AB7747"/>
    <w:rsid w:val="00AC14CE"/>
    <w:rsid w:val="00AC2A56"/>
    <w:rsid w:val="00AD055E"/>
    <w:rsid w:val="00AD47A7"/>
    <w:rsid w:val="00AE5CFB"/>
    <w:rsid w:val="00AF0CBF"/>
    <w:rsid w:val="00AF257F"/>
    <w:rsid w:val="00AF33CF"/>
    <w:rsid w:val="00AF4D50"/>
    <w:rsid w:val="00AF6179"/>
    <w:rsid w:val="00AF7ED4"/>
    <w:rsid w:val="00B002BD"/>
    <w:rsid w:val="00B0222D"/>
    <w:rsid w:val="00B1083A"/>
    <w:rsid w:val="00B1295A"/>
    <w:rsid w:val="00B20A45"/>
    <w:rsid w:val="00B22C5C"/>
    <w:rsid w:val="00B24F30"/>
    <w:rsid w:val="00B301C1"/>
    <w:rsid w:val="00B31ABF"/>
    <w:rsid w:val="00B33BE3"/>
    <w:rsid w:val="00B53B5D"/>
    <w:rsid w:val="00B6055E"/>
    <w:rsid w:val="00B6317D"/>
    <w:rsid w:val="00B66D19"/>
    <w:rsid w:val="00B71D74"/>
    <w:rsid w:val="00B7723F"/>
    <w:rsid w:val="00B80534"/>
    <w:rsid w:val="00B8433C"/>
    <w:rsid w:val="00B87491"/>
    <w:rsid w:val="00BA29E9"/>
    <w:rsid w:val="00BA3A13"/>
    <w:rsid w:val="00BA7142"/>
    <w:rsid w:val="00BB237C"/>
    <w:rsid w:val="00BB41A3"/>
    <w:rsid w:val="00BB6A1B"/>
    <w:rsid w:val="00BC292D"/>
    <w:rsid w:val="00BC32DC"/>
    <w:rsid w:val="00BC35B6"/>
    <w:rsid w:val="00BD1B51"/>
    <w:rsid w:val="00BD4596"/>
    <w:rsid w:val="00BE1405"/>
    <w:rsid w:val="00BE312D"/>
    <w:rsid w:val="00BF1C20"/>
    <w:rsid w:val="00BF26F7"/>
    <w:rsid w:val="00C10578"/>
    <w:rsid w:val="00C135BC"/>
    <w:rsid w:val="00C15C95"/>
    <w:rsid w:val="00C2596A"/>
    <w:rsid w:val="00C27223"/>
    <w:rsid w:val="00C27537"/>
    <w:rsid w:val="00C328FE"/>
    <w:rsid w:val="00C33507"/>
    <w:rsid w:val="00C3751F"/>
    <w:rsid w:val="00C4409D"/>
    <w:rsid w:val="00C44E72"/>
    <w:rsid w:val="00C45A06"/>
    <w:rsid w:val="00C47E5B"/>
    <w:rsid w:val="00C50D79"/>
    <w:rsid w:val="00C61E4B"/>
    <w:rsid w:val="00C63150"/>
    <w:rsid w:val="00C64BFF"/>
    <w:rsid w:val="00C704E9"/>
    <w:rsid w:val="00C71910"/>
    <w:rsid w:val="00C75EB6"/>
    <w:rsid w:val="00C763C9"/>
    <w:rsid w:val="00C80057"/>
    <w:rsid w:val="00C82232"/>
    <w:rsid w:val="00C82913"/>
    <w:rsid w:val="00C94296"/>
    <w:rsid w:val="00C972B1"/>
    <w:rsid w:val="00CA2CCE"/>
    <w:rsid w:val="00CA43FD"/>
    <w:rsid w:val="00CA7EF8"/>
    <w:rsid w:val="00CC199D"/>
    <w:rsid w:val="00CC489B"/>
    <w:rsid w:val="00CD2A97"/>
    <w:rsid w:val="00CD2BCD"/>
    <w:rsid w:val="00CD3A4C"/>
    <w:rsid w:val="00CE10E9"/>
    <w:rsid w:val="00CE2910"/>
    <w:rsid w:val="00CE5393"/>
    <w:rsid w:val="00CF36BE"/>
    <w:rsid w:val="00CF6000"/>
    <w:rsid w:val="00D003F3"/>
    <w:rsid w:val="00D0364F"/>
    <w:rsid w:val="00D05DF8"/>
    <w:rsid w:val="00D06834"/>
    <w:rsid w:val="00D16D25"/>
    <w:rsid w:val="00D23ACE"/>
    <w:rsid w:val="00D267A2"/>
    <w:rsid w:val="00D308ED"/>
    <w:rsid w:val="00D313CB"/>
    <w:rsid w:val="00D36D86"/>
    <w:rsid w:val="00D428AA"/>
    <w:rsid w:val="00D50A34"/>
    <w:rsid w:val="00D50A53"/>
    <w:rsid w:val="00D53EFA"/>
    <w:rsid w:val="00D54EB4"/>
    <w:rsid w:val="00D571FC"/>
    <w:rsid w:val="00D60BFA"/>
    <w:rsid w:val="00D64E37"/>
    <w:rsid w:val="00D6540A"/>
    <w:rsid w:val="00D94A7C"/>
    <w:rsid w:val="00D95896"/>
    <w:rsid w:val="00D95DAE"/>
    <w:rsid w:val="00DA0122"/>
    <w:rsid w:val="00DA7606"/>
    <w:rsid w:val="00DB2983"/>
    <w:rsid w:val="00DC1257"/>
    <w:rsid w:val="00DC3DC0"/>
    <w:rsid w:val="00DC56FA"/>
    <w:rsid w:val="00DC5B2B"/>
    <w:rsid w:val="00DC7623"/>
    <w:rsid w:val="00DD055B"/>
    <w:rsid w:val="00DD318D"/>
    <w:rsid w:val="00DF2E12"/>
    <w:rsid w:val="00DF514A"/>
    <w:rsid w:val="00DF6690"/>
    <w:rsid w:val="00DF6804"/>
    <w:rsid w:val="00E02489"/>
    <w:rsid w:val="00E0358D"/>
    <w:rsid w:val="00E04323"/>
    <w:rsid w:val="00E070A2"/>
    <w:rsid w:val="00E16683"/>
    <w:rsid w:val="00E2656A"/>
    <w:rsid w:val="00E412D0"/>
    <w:rsid w:val="00E458A0"/>
    <w:rsid w:val="00E56322"/>
    <w:rsid w:val="00E60982"/>
    <w:rsid w:val="00E62C62"/>
    <w:rsid w:val="00E63C30"/>
    <w:rsid w:val="00E654C1"/>
    <w:rsid w:val="00E65D97"/>
    <w:rsid w:val="00E72A5A"/>
    <w:rsid w:val="00E72A67"/>
    <w:rsid w:val="00E73354"/>
    <w:rsid w:val="00E74272"/>
    <w:rsid w:val="00E9242D"/>
    <w:rsid w:val="00E93108"/>
    <w:rsid w:val="00EA73B0"/>
    <w:rsid w:val="00EB5255"/>
    <w:rsid w:val="00EB5C47"/>
    <w:rsid w:val="00ED0639"/>
    <w:rsid w:val="00ED1E43"/>
    <w:rsid w:val="00EF4755"/>
    <w:rsid w:val="00EF7135"/>
    <w:rsid w:val="00F027DB"/>
    <w:rsid w:val="00F14A7A"/>
    <w:rsid w:val="00F1600F"/>
    <w:rsid w:val="00F22985"/>
    <w:rsid w:val="00F3383E"/>
    <w:rsid w:val="00F370A0"/>
    <w:rsid w:val="00F465A7"/>
    <w:rsid w:val="00F50B7C"/>
    <w:rsid w:val="00F5266A"/>
    <w:rsid w:val="00F550E6"/>
    <w:rsid w:val="00F55404"/>
    <w:rsid w:val="00F575B7"/>
    <w:rsid w:val="00F733CE"/>
    <w:rsid w:val="00F74345"/>
    <w:rsid w:val="00F80388"/>
    <w:rsid w:val="00F80A0A"/>
    <w:rsid w:val="00F81A9E"/>
    <w:rsid w:val="00F82B19"/>
    <w:rsid w:val="00F9212D"/>
    <w:rsid w:val="00F961F0"/>
    <w:rsid w:val="00F965DA"/>
    <w:rsid w:val="00FA2BDD"/>
    <w:rsid w:val="00FA406A"/>
    <w:rsid w:val="00FB2A54"/>
    <w:rsid w:val="00FB503A"/>
    <w:rsid w:val="00FB516C"/>
    <w:rsid w:val="00FB74ED"/>
    <w:rsid w:val="00FC1A7B"/>
    <w:rsid w:val="00FD0236"/>
    <w:rsid w:val="00FD1465"/>
    <w:rsid w:val="00FD18F4"/>
    <w:rsid w:val="00FD54DB"/>
    <w:rsid w:val="00FD593C"/>
    <w:rsid w:val="00FD619F"/>
    <w:rsid w:val="00FF0676"/>
    <w:rsid w:val="0114437B"/>
    <w:rsid w:val="01290F7E"/>
    <w:rsid w:val="015D1E09"/>
    <w:rsid w:val="017E29E3"/>
    <w:rsid w:val="01BD1C60"/>
    <w:rsid w:val="021D05F0"/>
    <w:rsid w:val="02625B13"/>
    <w:rsid w:val="02697903"/>
    <w:rsid w:val="02D21887"/>
    <w:rsid w:val="02F96569"/>
    <w:rsid w:val="030D1EF4"/>
    <w:rsid w:val="032D7F7E"/>
    <w:rsid w:val="039169E6"/>
    <w:rsid w:val="039E6600"/>
    <w:rsid w:val="03EA7B21"/>
    <w:rsid w:val="041643E8"/>
    <w:rsid w:val="04173407"/>
    <w:rsid w:val="04470EA0"/>
    <w:rsid w:val="049C25A4"/>
    <w:rsid w:val="04C47CFA"/>
    <w:rsid w:val="04D13FFB"/>
    <w:rsid w:val="054360DF"/>
    <w:rsid w:val="055379CE"/>
    <w:rsid w:val="05B17A34"/>
    <w:rsid w:val="05F83EAE"/>
    <w:rsid w:val="06065B43"/>
    <w:rsid w:val="062B146F"/>
    <w:rsid w:val="063E7D85"/>
    <w:rsid w:val="064179DC"/>
    <w:rsid w:val="06D04334"/>
    <w:rsid w:val="06F3796E"/>
    <w:rsid w:val="07293586"/>
    <w:rsid w:val="07295285"/>
    <w:rsid w:val="07636392"/>
    <w:rsid w:val="07770C56"/>
    <w:rsid w:val="077A480B"/>
    <w:rsid w:val="07A546B7"/>
    <w:rsid w:val="07B7700B"/>
    <w:rsid w:val="089274F8"/>
    <w:rsid w:val="089A0371"/>
    <w:rsid w:val="08CD62B5"/>
    <w:rsid w:val="08D13CB5"/>
    <w:rsid w:val="092217DD"/>
    <w:rsid w:val="093A7294"/>
    <w:rsid w:val="09C61CC7"/>
    <w:rsid w:val="0A263993"/>
    <w:rsid w:val="0A2D3AC2"/>
    <w:rsid w:val="0A322E53"/>
    <w:rsid w:val="0AA755DF"/>
    <w:rsid w:val="0B120D44"/>
    <w:rsid w:val="0B37555E"/>
    <w:rsid w:val="0B3D2C95"/>
    <w:rsid w:val="0BBB392A"/>
    <w:rsid w:val="0BBF69EB"/>
    <w:rsid w:val="0BD27BF6"/>
    <w:rsid w:val="0BF72C57"/>
    <w:rsid w:val="0BFC48DE"/>
    <w:rsid w:val="0BFF4A12"/>
    <w:rsid w:val="0C271BB9"/>
    <w:rsid w:val="0C3B3C7D"/>
    <w:rsid w:val="0C5B0F6A"/>
    <w:rsid w:val="0CAB2EAE"/>
    <w:rsid w:val="0CDE3C35"/>
    <w:rsid w:val="0D1050BD"/>
    <w:rsid w:val="0D1474F7"/>
    <w:rsid w:val="0D191390"/>
    <w:rsid w:val="0D5716BB"/>
    <w:rsid w:val="0D621C7D"/>
    <w:rsid w:val="0DBE36AD"/>
    <w:rsid w:val="0DE04142"/>
    <w:rsid w:val="0DEA461B"/>
    <w:rsid w:val="0E262E7C"/>
    <w:rsid w:val="0E73034D"/>
    <w:rsid w:val="0E874C8E"/>
    <w:rsid w:val="0E8E7E3A"/>
    <w:rsid w:val="0ECA527C"/>
    <w:rsid w:val="0F13775A"/>
    <w:rsid w:val="0F3C142A"/>
    <w:rsid w:val="0F526F07"/>
    <w:rsid w:val="0F5F45FE"/>
    <w:rsid w:val="0F655F3A"/>
    <w:rsid w:val="0F782584"/>
    <w:rsid w:val="0F9A112B"/>
    <w:rsid w:val="0FA94CB0"/>
    <w:rsid w:val="0FB44F9A"/>
    <w:rsid w:val="0FC66870"/>
    <w:rsid w:val="10090044"/>
    <w:rsid w:val="106D2F64"/>
    <w:rsid w:val="10B63710"/>
    <w:rsid w:val="10F10820"/>
    <w:rsid w:val="10F21D8E"/>
    <w:rsid w:val="111C2F7A"/>
    <w:rsid w:val="11523BCF"/>
    <w:rsid w:val="11665CA1"/>
    <w:rsid w:val="11BD440D"/>
    <w:rsid w:val="11CB736B"/>
    <w:rsid w:val="11EE514D"/>
    <w:rsid w:val="12886951"/>
    <w:rsid w:val="131645CE"/>
    <w:rsid w:val="1387341A"/>
    <w:rsid w:val="13951726"/>
    <w:rsid w:val="13A465FF"/>
    <w:rsid w:val="13D57A27"/>
    <w:rsid w:val="140642D1"/>
    <w:rsid w:val="14396509"/>
    <w:rsid w:val="14B303D8"/>
    <w:rsid w:val="14B47066"/>
    <w:rsid w:val="14DD2C3C"/>
    <w:rsid w:val="15020A8B"/>
    <w:rsid w:val="154C297A"/>
    <w:rsid w:val="156C36F1"/>
    <w:rsid w:val="156D734F"/>
    <w:rsid w:val="15A829C6"/>
    <w:rsid w:val="15E76625"/>
    <w:rsid w:val="16032440"/>
    <w:rsid w:val="16087E1D"/>
    <w:rsid w:val="16394285"/>
    <w:rsid w:val="166511F2"/>
    <w:rsid w:val="16B47306"/>
    <w:rsid w:val="17701D14"/>
    <w:rsid w:val="17735226"/>
    <w:rsid w:val="17CE5DF8"/>
    <w:rsid w:val="18250183"/>
    <w:rsid w:val="189F624C"/>
    <w:rsid w:val="19010775"/>
    <w:rsid w:val="19166457"/>
    <w:rsid w:val="193B083D"/>
    <w:rsid w:val="197C5DB6"/>
    <w:rsid w:val="199D1E47"/>
    <w:rsid w:val="19AE4A49"/>
    <w:rsid w:val="19D46B7B"/>
    <w:rsid w:val="1A1320D9"/>
    <w:rsid w:val="1A1C66C0"/>
    <w:rsid w:val="1A42393B"/>
    <w:rsid w:val="1AAD45DE"/>
    <w:rsid w:val="1AAE2A21"/>
    <w:rsid w:val="1ACE7C24"/>
    <w:rsid w:val="1B046F80"/>
    <w:rsid w:val="1B3267B5"/>
    <w:rsid w:val="1B40161D"/>
    <w:rsid w:val="1B441859"/>
    <w:rsid w:val="1B6606B1"/>
    <w:rsid w:val="1B8F6ADC"/>
    <w:rsid w:val="1C5E7925"/>
    <w:rsid w:val="1C8247D4"/>
    <w:rsid w:val="1CD004C6"/>
    <w:rsid w:val="1CFA2902"/>
    <w:rsid w:val="1CFD070F"/>
    <w:rsid w:val="1D5F6196"/>
    <w:rsid w:val="1D6132A5"/>
    <w:rsid w:val="1D6D7C88"/>
    <w:rsid w:val="1D8E56D5"/>
    <w:rsid w:val="1DB66C15"/>
    <w:rsid w:val="1E7A43DA"/>
    <w:rsid w:val="1EAC053D"/>
    <w:rsid w:val="1F112AB0"/>
    <w:rsid w:val="1FB66CE4"/>
    <w:rsid w:val="1FCA2C8C"/>
    <w:rsid w:val="1FE7539E"/>
    <w:rsid w:val="2014397B"/>
    <w:rsid w:val="20362704"/>
    <w:rsid w:val="20626BA7"/>
    <w:rsid w:val="20671BE0"/>
    <w:rsid w:val="20963CB8"/>
    <w:rsid w:val="20A81A1B"/>
    <w:rsid w:val="20B07FB6"/>
    <w:rsid w:val="20B646FB"/>
    <w:rsid w:val="210F1978"/>
    <w:rsid w:val="21144B99"/>
    <w:rsid w:val="211F4A18"/>
    <w:rsid w:val="213B74B1"/>
    <w:rsid w:val="215A2310"/>
    <w:rsid w:val="21613AFB"/>
    <w:rsid w:val="216D2097"/>
    <w:rsid w:val="2178649D"/>
    <w:rsid w:val="21816D1D"/>
    <w:rsid w:val="218331DE"/>
    <w:rsid w:val="2192759F"/>
    <w:rsid w:val="21DE318A"/>
    <w:rsid w:val="21EF11BC"/>
    <w:rsid w:val="21EF5B80"/>
    <w:rsid w:val="22576990"/>
    <w:rsid w:val="22F068FF"/>
    <w:rsid w:val="22F47480"/>
    <w:rsid w:val="231E6B3F"/>
    <w:rsid w:val="234E45A3"/>
    <w:rsid w:val="23975E06"/>
    <w:rsid w:val="23BD0BE6"/>
    <w:rsid w:val="23CB443D"/>
    <w:rsid w:val="23DE1C48"/>
    <w:rsid w:val="23FA2E32"/>
    <w:rsid w:val="240210CD"/>
    <w:rsid w:val="240512E3"/>
    <w:rsid w:val="24520C26"/>
    <w:rsid w:val="246A3D6E"/>
    <w:rsid w:val="246E3188"/>
    <w:rsid w:val="24BF09F7"/>
    <w:rsid w:val="252D53FE"/>
    <w:rsid w:val="25432914"/>
    <w:rsid w:val="25EC2D81"/>
    <w:rsid w:val="262D7D0C"/>
    <w:rsid w:val="264F7DF4"/>
    <w:rsid w:val="267E2BB7"/>
    <w:rsid w:val="26832E31"/>
    <w:rsid w:val="26AD1304"/>
    <w:rsid w:val="27390962"/>
    <w:rsid w:val="277057A2"/>
    <w:rsid w:val="277D081C"/>
    <w:rsid w:val="279F6E2D"/>
    <w:rsid w:val="27A66C7A"/>
    <w:rsid w:val="27D40308"/>
    <w:rsid w:val="286B7B67"/>
    <w:rsid w:val="28D35A40"/>
    <w:rsid w:val="28F76BEE"/>
    <w:rsid w:val="29206EB8"/>
    <w:rsid w:val="29595666"/>
    <w:rsid w:val="29725C52"/>
    <w:rsid w:val="298622B3"/>
    <w:rsid w:val="29874881"/>
    <w:rsid w:val="29BB09F4"/>
    <w:rsid w:val="29E325E0"/>
    <w:rsid w:val="2A184BF9"/>
    <w:rsid w:val="2A452503"/>
    <w:rsid w:val="2A874568"/>
    <w:rsid w:val="2B047E3D"/>
    <w:rsid w:val="2B123A72"/>
    <w:rsid w:val="2B276594"/>
    <w:rsid w:val="2B6103AA"/>
    <w:rsid w:val="2BA936A8"/>
    <w:rsid w:val="2C2551A4"/>
    <w:rsid w:val="2C315A5A"/>
    <w:rsid w:val="2C4B1C25"/>
    <w:rsid w:val="2CEF1CD0"/>
    <w:rsid w:val="2D261DC5"/>
    <w:rsid w:val="2D875F2A"/>
    <w:rsid w:val="2D9E56F5"/>
    <w:rsid w:val="2E1C4D8F"/>
    <w:rsid w:val="2E667F96"/>
    <w:rsid w:val="2E8226AB"/>
    <w:rsid w:val="2F50215D"/>
    <w:rsid w:val="2F63571D"/>
    <w:rsid w:val="2F6427FC"/>
    <w:rsid w:val="2F697261"/>
    <w:rsid w:val="2F724D86"/>
    <w:rsid w:val="2FD065E6"/>
    <w:rsid w:val="2FD96870"/>
    <w:rsid w:val="2FE71B25"/>
    <w:rsid w:val="303F7E05"/>
    <w:rsid w:val="30580BC9"/>
    <w:rsid w:val="30A320F0"/>
    <w:rsid w:val="30AE2769"/>
    <w:rsid w:val="30DF1C17"/>
    <w:rsid w:val="311E2ED7"/>
    <w:rsid w:val="315619EE"/>
    <w:rsid w:val="315C449C"/>
    <w:rsid w:val="31925640"/>
    <w:rsid w:val="31B04DD9"/>
    <w:rsid w:val="31B82709"/>
    <w:rsid w:val="31C0089E"/>
    <w:rsid w:val="31D05482"/>
    <w:rsid w:val="3200064D"/>
    <w:rsid w:val="320F65D3"/>
    <w:rsid w:val="32400B34"/>
    <w:rsid w:val="329E6876"/>
    <w:rsid w:val="32E97F01"/>
    <w:rsid w:val="333015F2"/>
    <w:rsid w:val="334B6320"/>
    <w:rsid w:val="33D934D4"/>
    <w:rsid w:val="33E96E93"/>
    <w:rsid w:val="33FE2F6A"/>
    <w:rsid w:val="340E07E5"/>
    <w:rsid w:val="34226A1D"/>
    <w:rsid w:val="34235BF7"/>
    <w:rsid w:val="344D2E75"/>
    <w:rsid w:val="34512C96"/>
    <w:rsid w:val="35840C31"/>
    <w:rsid w:val="358C5FA8"/>
    <w:rsid w:val="359A1669"/>
    <w:rsid w:val="35A56912"/>
    <w:rsid w:val="35C15DF1"/>
    <w:rsid w:val="35F6632E"/>
    <w:rsid w:val="36074A7F"/>
    <w:rsid w:val="361C17F5"/>
    <w:rsid w:val="36653004"/>
    <w:rsid w:val="36923549"/>
    <w:rsid w:val="36B75FBF"/>
    <w:rsid w:val="36BD0C45"/>
    <w:rsid w:val="37E00298"/>
    <w:rsid w:val="38082925"/>
    <w:rsid w:val="38886FB1"/>
    <w:rsid w:val="38B302F9"/>
    <w:rsid w:val="38F12CD3"/>
    <w:rsid w:val="38F94775"/>
    <w:rsid w:val="3903243C"/>
    <w:rsid w:val="392971ED"/>
    <w:rsid w:val="39325651"/>
    <w:rsid w:val="39412EA6"/>
    <w:rsid w:val="39692D57"/>
    <w:rsid w:val="396A5315"/>
    <w:rsid w:val="39A11D24"/>
    <w:rsid w:val="39FD547E"/>
    <w:rsid w:val="3A48361D"/>
    <w:rsid w:val="3A7E2A66"/>
    <w:rsid w:val="3A872856"/>
    <w:rsid w:val="3AB26431"/>
    <w:rsid w:val="3AF12CBA"/>
    <w:rsid w:val="3B036941"/>
    <w:rsid w:val="3B3763D1"/>
    <w:rsid w:val="3B694F97"/>
    <w:rsid w:val="3B6B4B17"/>
    <w:rsid w:val="3C2F6E1E"/>
    <w:rsid w:val="3C4B2DBB"/>
    <w:rsid w:val="3C4F64BA"/>
    <w:rsid w:val="3CDA245A"/>
    <w:rsid w:val="3D1E06B7"/>
    <w:rsid w:val="3DA77731"/>
    <w:rsid w:val="3DA805D9"/>
    <w:rsid w:val="3DCE23EC"/>
    <w:rsid w:val="3E0C3AEC"/>
    <w:rsid w:val="3E527CEA"/>
    <w:rsid w:val="3EDA0523"/>
    <w:rsid w:val="3F0B5584"/>
    <w:rsid w:val="3F244998"/>
    <w:rsid w:val="3F5327C1"/>
    <w:rsid w:val="3F6156D4"/>
    <w:rsid w:val="3F8276A8"/>
    <w:rsid w:val="3FB518EF"/>
    <w:rsid w:val="3FB9235A"/>
    <w:rsid w:val="40077295"/>
    <w:rsid w:val="407A6407"/>
    <w:rsid w:val="40B32BE1"/>
    <w:rsid w:val="40EB6256"/>
    <w:rsid w:val="41177613"/>
    <w:rsid w:val="415B3ACB"/>
    <w:rsid w:val="417D37B0"/>
    <w:rsid w:val="418538D4"/>
    <w:rsid w:val="418E0D47"/>
    <w:rsid w:val="41D340AC"/>
    <w:rsid w:val="4200449D"/>
    <w:rsid w:val="423A3BCC"/>
    <w:rsid w:val="424E57D2"/>
    <w:rsid w:val="42916243"/>
    <w:rsid w:val="429E7E3B"/>
    <w:rsid w:val="42B26C49"/>
    <w:rsid w:val="42B62B53"/>
    <w:rsid w:val="42D706F5"/>
    <w:rsid w:val="433A6FE6"/>
    <w:rsid w:val="43480868"/>
    <w:rsid w:val="4350713C"/>
    <w:rsid w:val="436653E0"/>
    <w:rsid w:val="437411B0"/>
    <w:rsid w:val="439039A1"/>
    <w:rsid w:val="43B0699F"/>
    <w:rsid w:val="43C4431A"/>
    <w:rsid w:val="444638B3"/>
    <w:rsid w:val="44904C10"/>
    <w:rsid w:val="44B951CC"/>
    <w:rsid w:val="44BF5774"/>
    <w:rsid w:val="44CD14E0"/>
    <w:rsid w:val="44F20B0B"/>
    <w:rsid w:val="452E5F4C"/>
    <w:rsid w:val="454E1EA7"/>
    <w:rsid w:val="454F2D8C"/>
    <w:rsid w:val="45612018"/>
    <w:rsid w:val="457370C4"/>
    <w:rsid w:val="458946E9"/>
    <w:rsid w:val="45A47C0E"/>
    <w:rsid w:val="45A735A4"/>
    <w:rsid w:val="46577FD6"/>
    <w:rsid w:val="46D955A7"/>
    <w:rsid w:val="47133957"/>
    <w:rsid w:val="47226A4C"/>
    <w:rsid w:val="475F4596"/>
    <w:rsid w:val="47A07E0C"/>
    <w:rsid w:val="48040509"/>
    <w:rsid w:val="48196CC0"/>
    <w:rsid w:val="481C238B"/>
    <w:rsid w:val="48314BCF"/>
    <w:rsid w:val="48315A08"/>
    <w:rsid w:val="4870272E"/>
    <w:rsid w:val="488D7D41"/>
    <w:rsid w:val="491507D7"/>
    <w:rsid w:val="494D1F25"/>
    <w:rsid w:val="4962080E"/>
    <w:rsid w:val="499350CA"/>
    <w:rsid w:val="49DC7715"/>
    <w:rsid w:val="4A023139"/>
    <w:rsid w:val="4A7B576F"/>
    <w:rsid w:val="4AF561A9"/>
    <w:rsid w:val="4B107BAF"/>
    <w:rsid w:val="4B332719"/>
    <w:rsid w:val="4B6C07D8"/>
    <w:rsid w:val="4C1E62B8"/>
    <w:rsid w:val="4C4A0649"/>
    <w:rsid w:val="4C7E5ECA"/>
    <w:rsid w:val="4C876AA5"/>
    <w:rsid w:val="4C913633"/>
    <w:rsid w:val="4D0E00FB"/>
    <w:rsid w:val="4D10423C"/>
    <w:rsid w:val="4D11539B"/>
    <w:rsid w:val="4D176606"/>
    <w:rsid w:val="4D3F4946"/>
    <w:rsid w:val="4D434A81"/>
    <w:rsid w:val="4D4A209F"/>
    <w:rsid w:val="4D787FE2"/>
    <w:rsid w:val="4D847B5A"/>
    <w:rsid w:val="4DD31794"/>
    <w:rsid w:val="4DEA7385"/>
    <w:rsid w:val="4DEC4FB0"/>
    <w:rsid w:val="4DEF3DD5"/>
    <w:rsid w:val="4E075D8A"/>
    <w:rsid w:val="4E0D05CE"/>
    <w:rsid w:val="4E0F74CD"/>
    <w:rsid w:val="4E1A0BC2"/>
    <w:rsid w:val="4E2A327F"/>
    <w:rsid w:val="4E664843"/>
    <w:rsid w:val="4EA002DD"/>
    <w:rsid w:val="4EA100BB"/>
    <w:rsid w:val="4EA60CA6"/>
    <w:rsid w:val="4EC00FAD"/>
    <w:rsid w:val="4EFA609A"/>
    <w:rsid w:val="4F081382"/>
    <w:rsid w:val="4F2752A4"/>
    <w:rsid w:val="4F2F2F84"/>
    <w:rsid w:val="4F9843DC"/>
    <w:rsid w:val="4FC62A8C"/>
    <w:rsid w:val="4FE20F0D"/>
    <w:rsid w:val="4FE51552"/>
    <w:rsid w:val="500A0850"/>
    <w:rsid w:val="504D192E"/>
    <w:rsid w:val="50504C4B"/>
    <w:rsid w:val="506A725F"/>
    <w:rsid w:val="509C6E7C"/>
    <w:rsid w:val="50C23A0B"/>
    <w:rsid w:val="50DC0CC1"/>
    <w:rsid w:val="50FB1869"/>
    <w:rsid w:val="51525CD6"/>
    <w:rsid w:val="5162104E"/>
    <w:rsid w:val="51C72625"/>
    <w:rsid w:val="51E6296C"/>
    <w:rsid w:val="524D5760"/>
    <w:rsid w:val="52925E9B"/>
    <w:rsid w:val="52A37C3C"/>
    <w:rsid w:val="52DC616C"/>
    <w:rsid w:val="53A039CC"/>
    <w:rsid w:val="53A1505A"/>
    <w:rsid w:val="53B042ED"/>
    <w:rsid w:val="53CE5F74"/>
    <w:rsid w:val="53E5165E"/>
    <w:rsid w:val="54063E08"/>
    <w:rsid w:val="54145162"/>
    <w:rsid w:val="541F52A9"/>
    <w:rsid w:val="543437E8"/>
    <w:rsid w:val="54F33119"/>
    <w:rsid w:val="54F73313"/>
    <w:rsid w:val="54F80955"/>
    <w:rsid w:val="555170A7"/>
    <w:rsid w:val="5563094D"/>
    <w:rsid w:val="558666F5"/>
    <w:rsid w:val="5587536D"/>
    <w:rsid w:val="55995F0D"/>
    <w:rsid w:val="559B174B"/>
    <w:rsid w:val="55A578E9"/>
    <w:rsid w:val="55CE0CF4"/>
    <w:rsid w:val="565546E4"/>
    <w:rsid w:val="56987076"/>
    <w:rsid w:val="56B22A9C"/>
    <w:rsid w:val="56CE4A87"/>
    <w:rsid w:val="57346908"/>
    <w:rsid w:val="578245A0"/>
    <w:rsid w:val="57B72A76"/>
    <w:rsid w:val="57C20A71"/>
    <w:rsid w:val="57C20DC6"/>
    <w:rsid w:val="57C3426C"/>
    <w:rsid w:val="57CE1F93"/>
    <w:rsid w:val="57DB12F8"/>
    <w:rsid w:val="584850D4"/>
    <w:rsid w:val="585F09F2"/>
    <w:rsid w:val="588743D1"/>
    <w:rsid w:val="5887701A"/>
    <w:rsid w:val="58AF31E4"/>
    <w:rsid w:val="58DE6061"/>
    <w:rsid w:val="58E5269C"/>
    <w:rsid w:val="59136B20"/>
    <w:rsid w:val="594F3C5E"/>
    <w:rsid w:val="59673A73"/>
    <w:rsid w:val="597419F7"/>
    <w:rsid w:val="597D6EA0"/>
    <w:rsid w:val="59A457F7"/>
    <w:rsid w:val="59C0439F"/>
    <w:rsid w:val="5A267D85"/>
    <w:rsid w:val="5A8A0566"/>
    <w:rsid w:val="5ABE2233"/>
    <w:rsid w:val="5AC121C6"/>
    <w:rsid w:val="5ADC2D46"/>
    <w:rsid w:val="5AFD4646"/>
    <w:rsid w:val="5B0B3FD4"/>
    <w:rsid w:val="5B116CD5"/>
    <w:rsid w:val="5B30041F"/>
    <w:rsid w:val="5B772740"/>
    <w:rsid w:val="5B8E736C"/>
    <w:rsid w:val="5B8F2FEE"/>
    <w:rsid w:val="5BAF4667"/>
    <w:rsid w:val="5BDF5D95"/>
    <w:rsid w:val="5BFE7528"/>
    <w:rsid w:val="5C0610FE"/>
    <w:rsid w:val="5C323451"/>
    <w:rsid w:val="5CA32435"/>
    <w:rsid w:val="5D672DB1"/>
    <w:rsid w:val="5DD60D6E"/>
    <w:rsid w:val="5E2467F1"/>
    <w:rsid w:val="5E87578C"/>
    <w:rsid w:val="5E883CE7"/>
    <w:rsid w:val="5E966E5A"/>
    <w:rsid w:val="5F057D8C"/>
    <w:rsid w:val="5F1A2B43"/>
    <w:rsid w:val="5F6C469D"/>
    <w:rsid w:val="5F703DCF"/>
    <w:rsid w:val="5F7449CE"/>
    <w:rsid w:val="5F8E025D"/>
    <w:rsid w:val="5FB837BB"/>
    <w:rsid w:val="5FC85466"/>
    <w:rsid w:val="5FE1142E"/>
    <w:rsid w:val="60753300"/>
    <w:rsid w:val="60980FE6"/>
    <w:rsid w:val="60B10850"/>
    <w:rsid w:val="60CC405A"/>
    <w:rsid w:val="61043872"/>
    <w:rsid w:val="619D7EB0"/>
    <w:rsid w:val="61E215D8"/>
    <w:rsid w:val="61FB4F64"/>
    <w:rsid w:val="621230CA"/>
    <w:rsid w:val="621B3775"/>
    <w:rsid w:val="62364782"/>
    <w:rsid w:val="62C21830"/>
    <w:rsid w:val="632A3C77"/>
    <w:rsid w:val="634A7FCA"/>
    <w:rsid w:val="635167EE"/>
    <w:rsid w:val="637B74D7"/>
    <w:rsid w:val="6394356A"/>
    <w:rsid w:val="63A02065"/>
    <w:rsid w:val="63C61B2C"/>
    <w:rsid w:val="63D40BE9"/>
    <w:rsid w:val="63DE7303"/>
    <w:rsid w:val="64102431"/>
    <w:rsid w:val="64905020"/>
    <w:rsid w:val="64960552"/>
    <w:rsid w:val="64A5243A"/>
    <w:rsid w:val="64BF35CF"/>
    <w:rsid w:val="64E71F16"/>
    <w:rsid w:val="64F06497"/>
    <w:rsid w:val="64F531DE"/>
    <w:rsid w:val="65373578"/>
    <w:rsid w:val="657B39D8"/>
    <w:rsid w:val="659C3AAB"/>
    <w:rsid w:val="65B0293F"/>
    <w:rsid w:val="65D21AA4"/>
    <w:rsid w:val="65F046BB"/>
    <w:rsid w:val="6614554E"/>
    <w:rsid w:val="665B0278"/>
    <w:rsid w:val="66BB0C85"/>
    <w:rsid w:val="66C816C9"/>
    <w:rsid w:val="67133F98"/>
    <w:rsid w:val="671F124A"/>
    <w:rsid w:val="677A33C6"/>
    <w:rsid w:val="67A901F8"/>
    <w:rsid w:val="681F6961"/>
    <w:rsid w:val="68366618"/>
    <w:rsid w:val="68534D10"/>
    <w:rsid w:val="68610A2F"/>
    <w:rsid w:val="686908DB"/>
    <w:rsid w:val="68805514"/>
    <w:rsid w:val="69274428"/>
    <w:rsid w:val="69316E2F"/>
    <w:rsid w:val="69330731"/>
    <w:rsid w:val="69432447"/>
    <w:rsid w:val="694D7761"/>
    <w:rsid w:val="694E2071"/>
    <w:rsid w:val="695970D3"/>
    <w:rsid w:val="69766163"/>
    <w:rsid w:val="697A3B33"/>
    <w:rsid w:val="697C4644"/>
    <w:rsid w:val="69BC0DBC"/>
    <w:rsid w:val="69D44760"/>
    <w:rsid w:val="69F14347"/>
    <w:rsid w:val="6A520EC7"/>
    <w:rsid w:val="6A5922F3"/>
    <w:rsid w:val="6A905FCC"/>
    <w:rsid w:val="6AC56333"/>
    <w:rsid w:val="6AE849F9"/>
    <w:rsid w:val="6AF87E20"/>
    <w:rsid w:val="6B2E2554"/>
    <w:rsid w:val="6B322639"/>
    <w:rsid w:val="6B414F08"/>
    <w:rsid w:val="6B854113"/>
    <w:rsid w:val="6C331B63"/>
    <w:rsid w:val="6C636C38"/>
    <w:rsid w:val="6C7F00F2"/>
    <w:rsid w:val="6D027D50"/>
    <w:rsid w:val="6DB34098"/>
    <w:rsid w:val="6DB545B6"/>
    <w:rsid w:val="6DE02FB4"/>
    <w:rsid w:val="6E141F28"/>
    <w:rsid w:val="6E334D51"/>
    <w:rsid w:val="6E514CED"/>
    <w:rsid w:val="6E7D0421"/>
    <w:rsid w:val="6EA75B3B"/>
    <w:rsid w:val="6EB563D5"/>
    <w:rsid w:val="6ED92677"/>
    <w:rsid w:val="6F1E054F"/>
    <w:rsid w:val="6F225983"/>
    <w:rsid w:val="6F230905"/>
    <w:rsid w:val="6F6A779F"/>
    <w:rsid w:val="6FE22F68"/>
    <w:rsid w:val="6FFC5590"/>
    <w:rsid w:val="703E5C75"/>
    <w:rsid w:val="705139A0"/>
    <w:rsid w:val="706D1DD0"/>
    <w:rsid w:val="70856B87"/>
    <w:rsid w:val="70D45FB5"/>
    <w:rsid w:val="70D527EE"/>
    <w:rsid w:val="710B6EA4"/>
    <w:rsid w:val="714D316B"/>
    <w:rsid w:val="71512241"/>
    <w:rsid w:val="715B5300"/>
    <w:rsid w:val="715F08B5"/>
    <w:rsid w:val="71D27F8A"/>
    <w:rsid w:val="7213679F"/>
    <w:rsid w:val="722579F9"/>
    <w:rsid w:val="723F49EB"/>
    <w:rsid w:val="72553024"/>
    <w:rsid w:val="727A2530"/>
    <w:rsid w:val="73072AA1"/>
    <w:rsid w:val="730F71A9"/>
    <w:rsid w:val="73122968"/>
    <w:rsid w:val="731D5D8A"/>
    <w:rsid w:val="731F5D5E"/>
    <w:rsid w:val="734C2E72"/>
    <w:rsid w:val="739300FC"/>
    <w:rsid w:val="73C51AD5"/>
    <w:rsid w:val="741E793C"/>
    <w:rsid w:val="7424577E"/>
    <w:rsid w:val="74325F80"/>
    <w:rsid w:val="745C147E"/>
    <w:rsid w:val="745E3944"/>
    <w:rsid w:val="74685B67"/>
    <w:rsid w:val="7499234F"/>
    <w:rsid w:val="74A40DCE"/>
    <w:rsid w:val="74C33581"/>
    <w:rsid w:val="751434AC"/>
    <w:rsid w:val="753D7BD6"/>
    <w:rsid w:val="75412BF2"/>
    <w:rsid w:val="757C5005"/>
    <w:rsid w:val="758A10F5"/>
    <w:rsid w:val="75904F22"/>
    <w:rsid w:val="75F76454"/>
    <w:rsid w:val="7626186D"/>
    <w:rsid w:val="762D38DA"/>
    <w:rsid w:val="7635099D"/>
    <w:rsid w:val="764F3C8B"/>
    <w:rsid w:val="768A4D4D"/>
    <w:rsid w:val="76A43102"/>
    <w:rsid w:val="76B746DA"/>
    <w:rsid w:val="76C814F7"/>
    <w:rsid w:val="770C3CAE"/>
    <w:rsid w:val="77443163"/>
    <w:rsid w:val="77762421"/>
    <w:rsid w:val="77947980"/>
    <w:rsid w:val="77B56B1F"/>
    <w:rsid w:val="77CD39F6"/>
    <w:rsid w:val="780805DD"/>
    <w:rsid w:val="780F09F4"/>
    <w:rsid w:val="78282B14"/>
    <w:rsid w:val="785E4134"/>
    <w:rsid w:val="786673C2"/>
    <w:rsid w:val="78A90480"/>
    <w:rsid w:val="78AE573C"/>
    <w:rsid w:val="7A364017"/>
    <w:rsid w:val="7A396B72"/>
    <w:rsid w:val="7A7E64E3"/>
    <w:rsid w:val="7A8265E1"/>
    <w:rsid w:val="7B4D37E3"/>
    <w:rsid w:val="7B686D42"/>
    <w:rsid w:val="7B6D31B8"/>
    <w:rsid w:val="7B841746"/>
    <w:rsid w:val="7BB45EFA"/>
    <w:rsid w:val="7BCA02BD"/>
    <w:rsid w:val="7C25586B"/>
    <w:rsid w:val="7C6C5AC7"/>
    <w:rsid w:val="7CC6544B"/>
    <w:rsid w:val="7D0239FF"/>
    <w:rsid w:val="7D5E40CD"/>
    <w:rsid w:val="7D866A0E"/>
    <w:rsid w:val="7DAF0E8F"/>
    <w:rsid w:val="7DC8525D"/>
    <w:rsid w:val="7DCD56F2"/>
    <w:rsid w:val="7E4F65AB"/>
    <w:rsid w:val="7F001CE7"/>
    <w:rsid w:val="7F122209"/>
    <w:rsid w:val="7F1C7C2D"/>
    <w:rsid w:val="7FB70B0F"/>
    <w:rsid w:val="7FC3206F"/>
    <w:rsid w:val="7FE47E50"/>
    <w:rsid w:val="7FFC74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FFFFFF"/>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qFormat="1" w:uiPriority="99"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qFormat="1"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99"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qFormat/>
    <w:locked/>
    <w:uiPriority w:val="0"/>
    <w:pPr>
      <w:keepNext/>
      <w:keepLines/>
      <w:spacing w:before="260" w:after="260" w:line="415" w:lineRule="auto"/>
      <w:outlineLvl w:val="1"/>
    </w:pPr>
    <w:rPr>
      <w:rFonts w:ascii="Arial" w:hAnsi="Arial" w:eastAsia="黑体"/>
      <w:sz w:val="32"/>
      <w:szCs w:val="32"/>
    </w:rPr>
  </w:style>
  <w:style w:type="paragraph" w:styleId="7">
    <w:name w:val="heading 3"/>
    <w:basedOn w:val="1"/>
    <w:next w:val="1"/>
    <w:qFormat/>
    <w:locked/>
    <w:uiPriority w:val="0"/>
    <w:pPr>
      <w:keepNext/>
      <w:keepLines/>
      <w:spacing w:before="260" w:after="260" w:line="413" w:lineRule="auto"/>
      <w:outlineLvl w:val="2"/>
    </w:pPr>
    <w:rPr>
      <w:b/>
      <w:bCs/>
      <w:sz w:val="32"/>
      <w:szCs w:val="32"/>
    </w:rPr>
  </w:style>
  <w:style w:type="paragraph" w:styleId="8">
    <w:name w:val="heading 4"/>
    <w:basedOn w:val="1"/>
    <w:next w:val="1"/>
    <w:qFormat/>
    <w:locked/>
    <w:uiPriority w:val="0"/>
    <w:pPr>
      <w:keepNext/>
      <w:keepLines/>
      <w:numPr>
        <w:ilvl w:val="3"/>
        <w:numId w:val="1"/>
      </w:numPr>
      <w:ind w:left="0" w:firstLine="643" w:firstLineChars="200"/>
      <w:outlineLvl w:val="3"/>
    </w:p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autoSpaceDE w:val="0"/>
      <w:autoSpaceDN w:val="0"/>
      <w:adjustRightInd w:val="0"/>
    </w:pPr>
    <w:rPr>
      <w:rFonts w:hAnsi="Times New Roman"/>
      <w:color w:val="000000"/>
      <w:sz w:val="24"/>
    </w:rPr>
  </w:style>
  <w:style w:type="paragraph" w:customStyle="1" w:styleId="3">
    <w:name w:val="纯文本1"/>
    <w:basedOn w:val="1"/>
    <w:qFormat/>
    <w:uiPriority w:val="0"/>
    <w:rPr>
      <w:rFonts w:ascii="宋体" w:hAnsi="Courier New"/>
    </w:rPr>
  </w:style>
  <w:style w:type="paragraph" w:styleId="4">
    <w:name w:val="List"/>
    <w:basedOn w:val="1"/>
    <w:next w:val="1"/>
    <w:qFormat/>
    <w:locked/>
    <w:uiPriority w:val="0"/>
    <w:pPr>
      <w:ind w:left="200" w:hanging="200" w:hangingChars="200"/>
    </w:pPr>
  </w:style>
  <w:style w:type="paragraph" w:styleId="9">
    <w:name w:val="List 3"/>
    <w:basedOn w:val="1"/>
    <w:next w:val="1"/>
    <w:qFormat/>
    <w:locked/>
    <w:uiPriority w:val="0"/>
    <w:pPr>
      <w:autoSpaceDE w:val="0"/>
      <w:autoSpaceDN w:val="0"/>
      <w:adjustRightInd w:val="0"/>
      <w:spacing w:line="288" w:lineRule="auto"/>
      <w:ind w:left="1260" w:hanging="420"/>
      <w:jc w:val="left"/>
      <w:textAlignment w:val="baseline"/>
    </w:pPr>
    <w:rPr>
      <w:kern w:val="0"/>
      <w:sz w:val="20"/>
      <w:szCs w:val="20"/>
    </w:rPr>
  </w:style>
  <w:style w:type="paragraph" w:styleId="10">
    <w:name w:val="Normal Indent"/>
    <w:basedOn w:val="1"/>
    <w:next w:val="1"/>
    <w:qFormat/>
    <w:locked/>
    <w:uiPriority w:val="0"/>
    <w:pPr>
      <w:ind w:firstLine="420"/>
    </w:pPr>
    <w:rPr>
      <w:szCs w:val="24"/>
    </w:rPr>
  </w:style>
  <w:style w:type="paragraph" w:styleId="11">
    <w:name w:val="index 5"/>
    <w:basedOn w:val="1"/>
    <w:next w:val="1"/>
    <w:unhideWhenUsed/>
    <w:qFormat/>
    <w:locked/>
    <w:uiPriority w:val="99"/>
    <w:pPr>
      <w:ind w:left="1680"/>
    </w:pPr>
  </w:style>
  <w:style w:type="paragraph" w:styleId="12">
    <w:name w:val="annotation text"/>
    <w:basedOn w:val="1"/>
    <w:link w:val="42"/>
    <w:semiHidden/>
    <w:qFormat/>
    <w:uiPriority w:val="0"/>
    <w:pPr>
      <w:jc w:val="left"/>
    </w:pPr>
    <w:rPr>
      <w:kern w:val="0"/>
      <w:sz w:val="24"/>
      <w:szCs w:val="20"/>
    </w:rPr>
  </w:style>
  <w:style w:type="paragraph" w:styleId="13">
    <w:name w:val="Body Text"/>
    <w:basedOn w:val="1"/>
    <w:next w:val="14"/>
    <w:link w:val="43"/>
    <w:qFormat/>
    <w:uiPriority w:val="0"/>
    <w:pPr>
      <w:widowControl/>
      <w:snapToGrid w:val="0"/>
      <w:spacing w:before="60" w:after="160" w:line="259" w:lineRule="auto"/>
      <w:ind w:right="113"/>
    </w:pPr>
    <w:rPr>
      <w:kern w:val="0"/>
      <w:sz w:val="18"/>
      <w:szCs w:val="20"/>
    </w:rPr>
  </w:style>
  <w:style w:type="paragraph" w:customStyle="1" w:styleId="14">
    <w:name w:val="xl27"/>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rPr>
  </w:style>
  <w:style w:type="paragraph" w:styleId="15">
    <w:name w:val="Body Text Indent"/>
    <w:basedOn w:val="1"/>
    <w:next w:val="16"/>
    <w:link w:val="44"/>
    <w:qFormat/>
    <w:uiPriority w:val="0"/>
    <w:pPr>
      <w:spacing w:after="120"/>
      <w:ind w:left="420" w:leftChars="200"/>
    </w:pPr>
    <w:rPr>
      <w:kern w:val="0"/>
      <w:sz w:val="24"/>
      <w:szCs w:val="20"/>
    </w:rPr>
  </w:style>
  <w:style w:type="paragraph" w:styleId="16">
    <w:name w:val="header"/>
    <w:basedOn w:val="1"/>
    <w:next w:val="17"/>
    <w:link w:val="45"/>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7">
    <w:name w:val="样式5"/>
    <w:basedOn w:val="18"/>
    <w:qFormat/>
    <w:uiPriority w:val="0"/>
    <w:pPr>
      <w:spacing w:line="360" w:lineRule="auto"/>
    </w:pPr>
    <w:rPr>
      <w:rFonts w:ascii="Times New Roman" w:hAnsi="Times New Roman"/>
      <w:sz w:val="24"/>
      <w:szCs w:val="22"/>
    </w:rPr>
  </w:style>
  <w:style w:type="paragraph" w:customStyle="1" w:styleId="18">
    <w:name w:val="正文1"/>
    <w:basedOn w:val="19"/>
    <w:next w:val="1"/>
    <w:qFormat/>
    <w:uiPriority w:val="0"/>
    <w:rPr>
      <w:rFonts w:ascii="宋体" w:hAnsi="宋体"/>
      <w:sz w:val="32"/>
      <w:szCs w:val="32"/>
    </w:rPr>
  </w:style>
  <w:style w:type="paragraph" w:customStyle="1" w:styleId="19">
    <w:name w:val="列出段落11"/>
    <w:basedOn w:val="1"/>
    <w:qFormat/>
    <w:uiPriority w:val="34"/>
    <w:pPr>
      <w:ind w:firstLine="420"/>
    </w:pPr>
  </w:style>
  <w:style w:type="paragraph" w:styleId="20">
    <w:name w:val="Plain Text"/>
    <w:basedOn w:val="1"/>
    <w:link w:val="83"/>
    <w:qFormat/>
    <w:locked/>
    <w:uiPriority w:val="99"/>
    <w:rPr>
      <w:rFonts w:ascii="宋体" w:hAnsi="Courier New"/>
    </w:rPr>
  </w:style>
  <w:style w:type="paragraph" w:styleId="21">
    <w:name w:val="List Bullet 5"/>
    <w:basedOn w:val="1"/>
    <w:qFormat/>
    <w:locked/>
    <w:uiPriority w:val="0"/>
    <w:pPr>
      <w:numPr>
        <w:ilvl w:val="0"/>
        <w:numId w:val="2"/>
      </w:numPr>
    </w:pPr>
  </w:style>
  <w:style w:type="paragraph" w:styleId="22">
    <w:name w:val="Date"/>
    <w:basedOn w:val="1"/>
    <w:next w:val="1"/>
    <w:link w:val="46"/>
    <w:qFormat/>
    <w:uiPriority w:val="0"/>
    <w:pPr>
      <w:ind w:left="100" w:leftChars="2500"/>
    </w:pPr>
    <w:rPr>
      <w:kern w:val="0"/>
      <w:sz w:val="24"/>
      <w:szCs w:val="20"/>
    </w:rPr>
  </w:style>
  <w:style w:type="paragraph" w:styleId="23">
    <w:name w:val="Balloon Text"/>
    <w:basedOn w:val="1"/>
    <w:link w:val="47"/>
    <w:semiHidden/>
    <w:qFormat/>
    <w:uiPriority w:val="0"/>
    <w:rPr>
      <w:kern w:val="0"/>
      <w:sz w:val="18"/>
      <w:szCs w:val="20"/>
    </w:rPr>
  </w:style>
  <w:style w:type="paragraph" w:styleId="24">
    <w:name w:val="footer"/>
    <w:basedOn w:val="1"/>
    <w:link w:val="48"/>
    <w:qFormat/>
    <w:uiPriority w:val="99"/>
    <w:pPr>
      <w:tabs>
        <w:tab w:val="center" w:pos="4153"/>
        <w:tab w:val="right" w:pos="8306"/>
      </w:tabs>
      <w:snapToGrid w:val="0"/>
      <w:jc w:val="left"/>
    </w:pPr>
    <w:rPr>
      <w:kern w:val="0"/>
      <w:sz w:val="18"/>
      <w:szCs w:val="20"/>
    </w:rPr>
  </w:style>
  <w:style w:type="paragraph" w:styleId="25">
    <w:name w:val="footnote text"/>
    <w:basedOn w:val="1"/>
    <w:next w:val="11"/>
    <w:qFormat/>
    <w:locked/>
    <w:uiPriority w:val="0"/>
    <w:pPr>
      <w:snapToGrid w:val="0"/>
    </w:pPr>
    <w:rPr>
      <w:rFonts w:ascii="Times New Roman" w:hAnsi="Times New Roman" w:cs="Times New Roman"/>
      <w:kern w:val="2"/>
      <w:sz w:val="18"/>
      <w:szCs w:val="24"/>
      <w:lang w:eastAsia="zh-CN"/>
    </w:rPr>
  </w:style>
  <w:style w:type="paragraph" w:styleId="26">
    <w:name w:val="Normal (Web)"/>
    <w:basedOn w:val="1"/>
    <w:link w:val="49"/>
    <w:qFormat/>
    <w:uiPriority w:val="0"/>
    <w:pPr>
      <w:widowControl/>
      <w:spacing w:before="100" w:beforeAutospacing="1" w:after="100" w:afterAutospacing="1"/>
      <w:jc w:val="left"/>
    </w:pPr>
    <w:rPr>
      <w:rFonts w:ascii="宋体" w:hAnsi="宋体"/>
      <w:kern w:val="0"/>
      <w:sz w:val="24"/>
      <w:szCs w:val="20"/>
    </w:rPr>
  </w:style>
  <w:style w:type="paragraph" w:styleId="27">
    <w:name w:val="index 1"/>
    <w:basedOn w:val="1"/>
    <w:next w:val="1"/>
    <w:qFormat/>
    <w:locked/>
    <w:uiPriority w:val="0"/>
    <w:pPr>
      <w:tabs>
        <w:tab w:val="left" w:pos="5580"/>
      </w:tabs>
      <w:spacing w:line="280" w:lineRule="exact"/>
    </w:pPr>
    <w:rPr>
      <w:rFonts w:ascii="宋体" w:hAnsi="宋体"/>
      <w:spacing w:val="10"/>
    </w:rPr>
  </w:style>
  <w:style w:type="paragraph" w:styleId="28">
    <w:name w:val="annotation subject"/>
    <w:basedOn w:val="12"/>
    <w:next w:val="12"/>
    <w:link w:val="50"/>
    <w:semiHidden/>
    <w:qFormat/>
    <w:uiPriority w:val="0"/>
    <w:rPr>
      <w:b/>
    </w:rPr>
  </w:style>
  <w:style w:type="paragraph" w:styleId="29">
    <w:name w:val="Body Text First Indent"/>
    <w:basedOn w:val="13"/>
    <w:next w:val="15"/>
    <w:qFormat/>
    <w:locked/>
    <w:uiPriority w:val="0"/>
    <w:pPr>
      <w:widowControl w:val="0"/>
      <w:spacing w:after="120"/>
      <w:ind w:firstLine="420" w:firstLineChars="100"/>
      <w:jc w:val="both"/>
    </w:pPr>
    <w:rPr>
      <w:kern w:val="2"/>
      <w:szCs w:val="24"/>
      <w:lang w:eastAsia="zh-CN" w:bidi="ar-SA"/>
    </w:rPr>
  </w:style>
  <w:style w:type="paragraph" w:styleId="30">
    <w:name w:val="Body Text First Indent 2"/>
    <w:basedOn w:val="15"/>
    <w:next w:val="1"/>
    <w:qFormat/>
    <w:locked/>
    <w:uiPriority w:val="0"/>
    <w:pPr>
      <w:spacing w:line="520" w:lineRule="exact"/>
      <w:ind w:firstLine="420" w:firstLineChars="200"/>
    </w:pPr>
    <w:rPr>
      <w:szCs w:val="24"/>
    </w:rPr>
  </w:style>
  <w:style w:type="table" w:styleId="32">
    <w:name w:val="Table Grid"/>
    <w:basedOn w:val="3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page number"/>
    <w:basedOn w:val="33"/>
    <w:qFormat/>
    <w:locked/>
    <w:uiPriority w:val="0"/>
  </w:style>
  <w:style w:type="character" w:styleId="35">
    <w:name w:val="FollowedHyperlink"/>
    <w:basedOn w:val="33"/>
    <w:qFormat/>
    <w:locked/>
    <w:uiPriority w:val="0"/>
    <w:rPr>
      <w:color w:val="800080" w:themeColor="followedHyperlink"/>
      <w:u w:val="single"/>
      <w14:textFill>
        <w14:solidFill>
          <w14:schemeClr w14:val="folHlink"/>
        </w14:solidFill>
      </w14:textFill>
    </w:rPr>
  </w:style>
  <w:style w:type="character" w:styleId="36">
    <w:name w:val="Hyperlink"/>
    <w:basedOn w:val="33"/>
    <w:qFormat/>
    <w:locked/>
    <w:uiPriority w:val="0"/>
    <w:rPr>
      <w:color w:val="0000FF" w:themeColor="hyperlink"/>
      <w:u w:val="single"/>
      <w14:textFill>
        <w14:solidFill>
          <w14:schemeClr w14:val="hlink"/>
        </w14:solidFill>
      </w14:textFill>
    </w:rPr>
  </w:style>
  <w:style w:type="character" w:styleId="37">
    <w:name w:val="annotation reference"/>
    <w:qFormat/>
    <w:uiPriority w:val="0"/>
    <w:rPr>
      <w:sz w:val="21"/>
    </w:rPr>
  </w:style>
  <w:style w:type="paragraph" w:customStyle="1" w:styleId="38">
    <w:name w:val="表格内"/>
    <w:basedOn w:val="1"/>
    <w:qFormat/>
    <w:uiPriority w:val="0"/>
    <w:pPr>
      <w:spacing w:line="360" w:lineRule="exact"/>
      <w:jc w:val="center"/>
    </w:pPr>
    <w:rPr>
      <w:rFonts w:ascii="Calibri" w:hAnsi="Calibri"/>
      <w:snapToGrid w:val="0"/>
      <w:szCs w:val="21"/>
    </w:rPr>
  </w:style>
  <w:style w:type="paragraph" w:customStyle="1" w:styleId="39">
    <w:name w:val="Table Paragraph"/>
    <w:basedOn w:val="1"/>
    <w:qFormat/>
    <w:uiPriority w:val="1"/>
    <w:rPr>
      <w:rFonts w:ascii="仿宋" w:hAnsi="仿宋" w:eastAsia="仿宋" w:cs="仿宋"/>
      <w:lang w:val="zh-CN" w:bidi="zh-CN"/>
    </w:rPr>
  </w:style>
  <w:style w:type="paragraph" w:customStyle="1" w:styleId="40">
    <w:name w:val="1 表头"/>
    <w:basedOn w:val="1"/>
    <w:qFormat/>
    <w:uiPriority w:val="0"/>
    <w:pPr>
      <w:adjustRightInd w:val="0"/>
      <w:snapToGrid w:val="0"/>
      <w:jc w:val="center"/>
    </w:pPr>
    <w:rPr>
      <w:b/>
      <w:color w:val="000000"/>
      <w:szCs w:val="21"/>
    </w:rPr>
  </w:style>
  <w:style w:type="paragraph" w:customStyle="1" w:styleId="41">
    <w:name w:val="@正文缩进"/>
    <w:basedOn w:val="1"/>
    <w:qFormat/>
    <w:uiPriority w:val="0"/>
    <w:pPr>
      <w:ind w:firstLine="200" w:firstLineChars="200"/>
      <w:jc w:val="left"/>
    </w:pPr>
    <w:rPr>
      <w:kern w:val="0"/>
    </w:rPr>
  </w:style>
  <w:style w:type="character" w:customStyle="1" w:styleId="42">
    <w:name w:val="批注文字 字符"/>
    <w:link w:val="12"/>
    <w:qFormat/>
    <w:locked/>
    <w:uiPriority w:val="0"/>
    <w:rPr>
      <w:rFonts w:ascii="Times New Roman" w:hAnsi="Times New Roman" w:eastAsia="宋体"/>
      <w:sz w:val="24"/>
    </w:rPr>
  </w:style>
  <w:style w:type="character" w:customStyle="1" w:styleId="43">
    <w:name w:val="正文文本 字符"/>
    <w:link w:val="13"/>
    <w:qFormat/>
    <w:locked/>
    <w:uiPriority w:val="0"/>
    <w:rPr>
      <w:sz w:val="18"/>
    </w:rPr>
  </w:style>
  <w:style w:type="character" w:customStyle="1" w:styleId="44">
    <w:name w:val="正文文本缩进 字符"/>
    <w:link w:val="15"/>
    <w:semiHidden/>
    <w:qFormat/>
    <w:locked/>
    <w:uiPriority w:val="0"/>
    <w:rPr>
      <w:rFonts w:ascii="Times New Roman" w:hAnsi="Times New Roman" w:eastAsia="宋体"/>
      <w:sz w:val="24"/>
    </w:rPr>
  </w:style>
  <w:style w:type="character" w:customStyle="1" w:styleId="45">
    <w:name w:val="页眉 字符"/>
    <w:link w:val="16"/>
    <w:qFormat/>
    <w:locked/>
    <w:uiPriority w:val="0"/>
    <w:rPr>
      <w:sz w:val="18"/>
    </w:rPr>
  </w:style>
  <w:style w:type="character" w:customStyle="1" w:styleId="46">
    <w:name w:val="日期 字符1"/>
    <w:link w:val="22"/>
    <w:qFormat/>
    <w:locked/>
    <w:uiPriority w:val="0"/>
    <w:rPr>
      <w:rFonts w:ascii="Times New Roman" w:hAnsi="Times New Roman" w:eastAsia="宋体"/>
      <w:sz w:val="24"/>
    </w:rPr>
  </w:style>
  <w:style w:type="character" w:customStyle="1" w:styleId="47">
    <w:name w:val="批注框文本 字符"/>
    <w:link w:val="23"/>
    <w:semiHidden/>
    <w:qFormat/>
    <w:locked/>
    <w:uiPriority w:val="0"/>
    <w:rPr>
      <w:rFonts w:ascii="Times New Roman" w:hAnsi="Times New Roman" w:eastAsia="宋体"/>
      <w:sz w:val="18"/>
    </w:rPr>
  </w:style>
  <w:style w:type="character" w:customStyle="1" w:styleId="48">
    <w:name w:val="页脚 字符1"/>
    <w:link w:val="24"/>
    <w:qFormat/>
    <w:locked/>
    <w:uiPriority w:val="99"/>
    <w:rPr>
      <w:sz w:val="18"/>
    </w:rPr>
  </w:style>
  <w:style w:type="character" w:customStyle="1" w:styleId="49">
    <w:name w:val="普通(网站) 字符"/>
    <w:link w:val="26"/>
    <w:qFormat/>
    <w:locked/>
    <w:uiPriority w:val="0"/>
    <w:rPr>
      <w:rFonts w:ascii="宋体" w:hAnsi="宋体" w:eastAsia="宋体"/>
      <w:sz w:val="24"/>
    </w:rPr>
  </w:style>
  <w:style w:type="character" w:customStyle="1" w:styleId="50">
    <w:name w:val="批注主题 字符"/>
    <w:link w:val="28"/>
    <w:semiHidden/>
    <w:qFormat/>
    <w:locked/>
    <w:uiPriority w:val="0"/>
    <w:rPr>
      <w:rFonts w:ascii="Times New Roman" w:hAnsi="Times New Roman" w:eastAsia="宋体"/>
      <w:b/>
      <w:kern w:val="2"/>
      <w:sz w:val="24"/>
    </w:rPr>
  </w:style>
  <w:style w:type="character" w:customStyle="1" w:styleId="51">
    <w:name w:val="正文文本 字符1"/>
    <w:semiHidden/>
    <w:qFormat/>
    <w:uiPriority w:val="0"/>
    <w:rPr>
      <w:rFonts w:ascii="Times New Roman" w:hAnsi="Times New Roman" w:eastAsia="宋体"/>
      <w:sz w:val="24"/>
    </w:rPr>
  </w:style>
  <w:style w:type="character" w:customStyle="1" w:styleId="52">
    <w:name w:val="日期 字符"/>
    <w:semiHidden/>
    <w:qFormat/>
    <w:uiPriority w:val="0"/>
    <w:rPr>
      <w:rFonts w:ascii="Times New Roman" w:hAnsi="Times New Roman" w:eastAsia="宋体"/>
      <w:sz w:val="24"/>
    </w:rPr>
  </w:style>
  <w:style w:type="character" w:customStyle="1" w:styleId="53">
    <w:name w:val="页脚 字符"/>
    <w:qFormat/>
    <w:uiPriority w:val="99"/>
  </w:style>
  <w:style w:type="character" w:customStyle="1" w:styleId="54">
    <w:name w:val="表格 Char"/>
    <w:link w:val="55"/>
    <w:qFormat/>
    <w:locked/>
    <w:uiPriority w:val="0"/>
    <w:rPr>
      <w:rFonts w:ascii="宋体"/>
      <w:sz w:val="21"/>
    </w:rPr>
  </w:style>
  <w:style w:type="paragraph" w:customStyle="1" w:styleId="55">
    <w:name w:val="表格"/>
    <w:basedOn w:val="1"/>
    <w:next w:val="1"/>
    <w:link w:val="54"/>
    <w:qFormat/>
    <w:uiPriority w:val="0"/>
    <w:pPr>
      <w:adjustRightInd w:val="0"/>
      <w:snapToGrid w:val="0"/>
      <w:spacing w:beforeLines="10" w:afterLines="10" w:line="259" w:lineRule="auto"/>
      <w:jc w:val="center"/>
    </w:pPr>
    <w:rPr>
      <w:rFonts w:ascii="宋体"/>
      <w:kern w:val="0"/>
      <w:szCs w:val="20"/>
    </w:rPr>
  </w:style>
  <w:style w:type="character" w:customStyle="1" w:styleId="56">
    <w:name w:val="批注文字 字符1"/>
    <w:semiHidden/>
    <w:qFormat/>
    <w:uiPriority w:val="0"/>
    <w:rPr>
      <w:rFonts w:ascii="Times New Roman" w:hAnsi="Times New Roman" w:eastAsia="宋体"/>
      <w:sz w:val="24"/>
    </w:rPr>
  </w:style>
  <w:style w:type="paragraph" w:customStyle="1" w:styleId="57">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8">
    <w:name w:val="xl26"/>
    <w:basedOn w:val="1"/>
    <w:qFormat/>
    <w:uiPriority w:val="0"/>
    <w:pPr>
      <w:widowControl/>
      <w:pBdr>
        <w:left w:val="single" w:color="auto" w:sz="12" w:space="0"/>
      </w:pBdr>
      <w:spacing w:before="100" w:beforeAutospacing="1" w:after="100" w:afterAutospacing="1"/>
      <w:jc w:val="left"/>
    </w:pPr>
    <w:rPr>
      <w:rFonts w:ascii="Arial Unicode MS" w:hAnsi="Arial Unicode MS" w:cs="宋体"/>
      <w:kern w:val="0"/>
      <w:sz w:val="24"/>
      <w:lang w:val="en-AU" w:eastAsia="en-US"/>
    </w:rPr>
  </w:style>
  <w:style w:type="paragraph" w:customStyle="1" w:styleId="59">
    <w:name w:val="表格内容"/>
    <w:basedOn w:val="1"/>
    <w:qFormat/>
    <w:uiPriority w:val="0"/>
    <w:pPr>
      <w:jc w:val="center"/>
    </w:pPr>
    <w:rPr>
      <w:szCs w:val="21"/>
    </w:rPr>
  </w:style>
  <w:style w:type="paragraph" w:customStyle="1" w:styleId="60">
    <w:name w:val="正文A"/>
    <w:basedOn w:val="1"/>
    <w:qFormat/>
    <w:uiPriority w:val="0"/>
    <w:pPr>
      <w:spacing w:line="500" w:lineRule="exact"/>
      <w:ind w:firstLine="200" w:firstLineChars="200"/>
    </w:pPr>
    <w:rPr>
      <w:sz w:val="24"/>
    </w:rPr>
  </w:style>
  <w:style w:type="paragraph" w:customStyle="1" w:styleId="61">
    <w:name w:val="正文(首行缩进)"/>
    <w:basedOn w:val="1"/>
    <w:link w:val="88"/>
    <w:qFormat/>
    <w:uiPriority w:val="0"/>
    <w:pPr>
      <w:adjustRightInd w:val="0"/>
      <w:snapToGrid w:val="0"/>
      <w:spacing w:line="360" w:lineRule="auto"/>
      <w:ind w:firstLine="482" w:firstLineChars="200"/>
    </w:pPr>
    <w:rPr>
      <w:rFonts w:hAnsi="宋体"/>
      <w:b/>
      <w:bCs/>
      <w:color w:val="000000"/>
      <w:sz w:val="24"/>
      <w:szCs w:val="28"/>
    </w:rPr>
  </w:style>
  <w:style w:type="paragraph" w:customStyle="1" w:styleId="62">
    <w:name w:val="表格标题"/>
    <w:basedOn w:val="41"/>
    <w:next w:val="41"/>
    <w:link w:val="89"/>
    <w:qFormat/>
    <w:uiPriority w:val="0"/>
    <w:pPr>
      <w:spacing w:before="50" w:beforeLines="50"/>
      <w:ind w:firstLine="0" w:firstLineChars="0"/>
      <w:jc w:val="center"/>
    </w:pPr>
    <w:rPr>
      <w:rFonts w:eastAsia="黑体"/>
    </w:rPr>
  </w:style>
  <w:style w:type="paragraph" w:customStyle="1" w:styleId="6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64">
    <w:name w:val="fontstyle21"/>
    <w:qFormat/>
    <w:uiPriority w:val="0"/>
    <w:rPr>
      <w:rFonts w:hint="eastAsia" w:ascii="宋体" w:hAnsi="宋体" w:eastAsia="宋体"/>
      <w:color w:val="000000"/>
      <w:sz w:val="24"/>
      <w:szCs w:val="24"/>
    </w:rPr>
  </w:style>
  <w:style w:type="paragraph" w:customStyle="1" w:styleId="65">
    <w:name w:val="正文26-5.21"/>
    <w:basedOn w:val="1"/>
    <w:link w:val="66"/>
    <w:qFormat/>
    <w:uiPriority w:val="0"/>
    <w:pPr>
      <w:adjustRightInd w:val="0"/>
      <w:snapToGrid w:val="0"/>
      <w:spacing w:line="520" w:lineRule="exact"/>
      <w:ind w:firstLine="480" w:firstLineChars="200"/>
      <w:textAlignment w:val="baseline"/>
    </w:pPr>
    <w:rPr>
      <w:rFonts w:cs="宋体"/>
      <w:snapToGrid w:val="0"/>
      <w:sz w:val="24"/>
    </w:rPr>
  </w:style>
  <w:style w:type="character" w:customStyle="1" w:styleId="66">
    <w:name w:val="正文26-5.21 字符"/>
    <w:link w:val="65"/>
    <w:qFormat/>
    <w:uiPriority w:val="0"/>
    <w:rPr>
      <w:rFonts w:cs="宋体"/>
      <w:snapToGrid/>
      <w:kern w:val="2"/>
      <w:sz w:val="24"/>
      <w:szCs w:val="24"/>
    </w:rPr>
  </w:style>
  <w:style w:type="paragraph" w:customStyle="1" w:styleId="67">
    <w:name w:val="正文邓"/>
    <w:basedOn w:val="1"/>
    <w:qFormat/>
    <w:uiPriority w:val="0"/>
    <w:pPr>
      <w:adjustRightInd w:val="0"/>
      <w:snapToGrid w:val="0"/>
      <w:spacing w:line="360" w:lineRule="auto"/>
      <w:ind w:firstLine="480" w:firstLineChars="200"/>
      <w:jc w:val="left"/>
    </w:pPr>
    <w:rPr>
      <w:bCs/>
      <w:snapToGrid w:val="0"/>
      <w:kern w:val="0"/>
      <w:sz w:val="24"/>
    </w:rPr>
  </w:style>
  <w:style w:type="paragraph" w:customStyle="1" w:styleId="68">
    <w:name w:val="邓表头标题"/>
    <w:basedOn w:val="1"/>
    <w:qFormat/>
    <w:uiPriority w:val="0"/>
    <w:pPr>
      <w:snapToGrid w:val="0"/>
      <w:jc w:val="center"/>
    </w:pPr>
    <w:rPr>
      <w:rFonts w:ascii="黑体" w:hAnsi="黑体" w:eastAsia="黑体"/>
      <w:b/>
      <w:bCs/>
      <w:lang w:eastAsia="en-US"/>
    </w:rPr>
  </w:style>
  <w:style w:type="paragraph" w:customStyle="1" w:styleId="69">
    <w:name w:val="邓表格文字"/>
    <w:basedOn w:val="1"/>
    <w:qFormat/>
    <w:uiPriority w:val="0"/>
    <w:pPr>
      <w:widowControl/>
      <w:snapToGrid w:val="0"/>
      <w:spacing w:line="240" w:lineRule="exact"/>
      <w:jc w:val="center"/>
    </w:pPr>
    <w:rPr>
      <w:rFonts w:ascii="宋体" w:hAnsi="宋体"/>
    </w:rPr>
  </w:style>
  <w:style w:type="paragraph" w:customStyle="1" w:styleId="70">
    <w:name w:val="表头A"/>
    <w:basedOn w:val="71"/>
    <w:qFormat/>
    <w:uiPriority w:val="0"/>
    <w:pPr>
      <w:widowControl/>
      <w:spacing w:beforeLines="0" w:line="500" w:lineRule="exact"/>
      <w:ind w:firstLine="0" w:firstLineChars="0"/>
      <w:jc w:val="center"/>
    </w:pPr>
    <w:rPr>
      <w:rFonts w:eastAsia="宋体"/>
      <w:b/>
      <w:sz w:val="24"/>
    </w:rPr>
  </w:style>
  <w:style w:type="paragraph" w:customStyle="1" w:styleId="71">
    <w:name w:val="表头"/>
    <w:basedOn w:val="10"/>
    <w:next w:val="1"/>
    <w:qFormat/>
    <w:uiPriority w:val="0"/>
    <w:pPr>
      <w:spacing w:beforeLines="50" w:line="400" w:lineRule="exact"/>
      <w:ind w:firstLine="200" w:firstLineChars="200"/>
    </w:pPr>
    <w:rPr>
      <w:rFonts w:eastAsia="黑体"/>
    </w:rPr>
  </w:style>
  <w:style w:type="paragraph" w:customStyle="1" w:styleId="72">
    <w:name w:val="表格标题1"/>
    <w:basedOn w:val="73"/>
    <w:qFormat/>
    <w:uiPriority w:val="0"/>
    <w:pPr>
      <w:spacing w:line="240" w:lineRule="auto"/>
      <w:ind w:firstLine="0" w:firstLineChars="0"/>
      <w:jc w:val="center"/>
    </w:pPr>
    <w:rPr>
      <w:rFonts w:ascii="黑体" w:hAnsi="黑体" w:eastAsia="黑体"/>
      <w:kern w:val="0"/>
    </w:rPr>
  </w:style>
  <w:style w:type="paragraph" w:customStyle="1" w:styleId="73">
    <w:name w:val="正文26"/>
    <w:basedOn w:val="74"/>
    <w:qFormat/>
    <w:uiPriority w:val="0"/>
    <w:pPr>
      <w:snapToGrid w:val="0"/>
      <w:spacing w:line="520" w:lineRule="exact"/>
      <w:ind w:firstLine="480" w:firstLineChars="200"/>
      <w:jc w:val="both"/>
    </w:pPr>
    <w:rPr>
      <w:snapToGrid w:val="0"/>
      <w:kern w:val="2"/>
    </w:rPr>
  </w:style>
  <w:style w:type="paragraph" w:customStyle="1" w:styleId="74">
    <w:name w:val="样式2"/>
    <w:basedOn w:val="1"/>
    <w:qFormat/>
    <w:uiPriority w:val="0"/>
    <w:pPr>
      <w:adjustRightInd w:val="0"/>
      <w:spacing w:line="300" w:lineRule="atLeast"/>
      <w:jc w:val="center"/>
      <w:textAlignment w:val="baseline"/>
    </w:pPr>
    <w:rPr>
      <w:rFonts w:eastAsia="楷体_GB2312"/>
      <w:kern w:val="28"/>
      <w:szCs w:val="20"/>
    </w:rPr>
  </w:style>
  <w:style w:type="table" w:customStyle="1" w:styleId="75">
    <w:name w:val="Table Normal"/>
    <w:qFormat/>
    <w:uiPriority w:val="2"/>
    <w:pPr>
      <w:widowControl w:val="0"/>
      <w:autoSpaceDE w:val="0"/>
      <w:autoSpaceDN w:val="0"/>
    </w:pPr>
    <w:rPr>
      <w:rFonts w:ascii="Calibri" w:hAnsi="Calibri" w:cs="宋体"/>
      <w:sz w:val="22"/>
      <w:szCs w:val="22"/>
      <w:lang w:eastAsia="en-US"/>
    </w:rPr>
    <w:tblPr>
      <w:tblCellMar>
        <w:top w:w="0" w:type="dxa"/>
        <w:left w:w="0" w:type="dxa"/>
        <w:bottom w:w="0" w:type="dxa"/>
        <w:right w:w="0" w:type="dxa"/>
      </w:tblCellMar>
    </w:tblPr>
  </w:style>
  <w:style w:type="paragraph" w:customStyle="1" w:styleId="76">
    <w:name w:val="表格内文字"/>
    <w:basedOn w:val="1"/>
    <w:qFormat/>
    <w:uiPriority w:val="0"/>
    <w:pPr>
      <w:tabs>
        <w:tab w:val="left" w:pos="0"/>
      </w:tabs>
      <w:adjustRightInd w:val="0"/>
      <w:snapToGrid w:val="0"/>
      <w:jc w:val="center"/>
    </w:pPr>
    <w:rPr>
      <w:szCs w:val="21"/>
    </w:rPr>
  </w:style>
  <w:style w:type="paragraph" w:customStyle="1" w:styleId="77">
    <w:name w:val="表内容"/>
    <w:basedOn w:val="1"/>
    <w:next w:val="1"/>
    <w:qFormat/>
    <w:uiPriority w:val="0"/>
    <w:pPr>
      <w:jc w:val="center"/>
    </w:pPr>
    <w:rPr>
      <w:szCs w:val="21"/>
    </w:rPr>
  </w:style>
  <w:style w:type="character" w:customStyle="1" w:styleId="78">
    <w:name w:val="font01"/>
    <w:basedOn w:val="33"/>
    <w:qFormat/>
    <w:uiPriority w:val="0"/>
    <w:rPr>
      <w:rFonts w:hint="eastAsia" w:ascii="宋体" w:hAnsi="宋体" w:eastAsia="宋体" w:cs="宋体"/>
      <w:color w:val="000000"/>
      <w:sz w:val="21"/>
      <w:szCs w:val="21"/>
      <w:u w:val="none"/>
    </w:rPr>
  </w:style>
  <w:style w:type="paragraph" w:customStyle="1" w:styleId="79">
    <w:name w:val="正文首行缩进 21"/>
    <w:basedOn w:val="1"/>
    <w:link w:val="80"/>
    <w:qFormat/>
    <w:uiPriority w:val="0"/>
    <w:pPr>
      <w:spacing w:line="540" w:lineRule="exact"/>
      <w:ind w:firstLine="420" w:firstLineChars="200"/>
    </w:pPr>
    <w:rPr>
      <w:rFonts w:eastAsia="方正仿宋简体"/>
      <w:sz w:val="28"/>
      <w:szCs w:val="20"/>
    </w:rPr>
  </w:style>
  <w:style w:type="character" w:customStyle="1" w:styleId="80">
    <w:name w:val="正文首行缩进 2 Char"/>
    <w:link w:val="79"/>
    <w:qFormat/>
    <w:uiPriority w:val="0"/>
    <w:rPr>
      <w:rFonts w:eastAsia="方正仿宋简体"/>
      <w:kern w:val="2"/>
      <w:sz w:val="28"/>
    </w:rPr>
  </w:style>
  <w:style w:type="paragraph" w:customStyle="1" w:styleId="81">
    <w:name w:val="表格标题5.21"/>
    <w:basedOn w:val="1"/>
    <w:link w:val="82"/>
    <w:qFormat/>
    <w:uiPriority w:val="0"/>
    <w:pPr>
      <w:adjustRightInd w:val="0"/>
      <w:snapToGrid w:val="0"/>
      <w:spacing w:line="520" w:lineRule="exact"/>
      <w:jc w:val="center"/>
      <w:textAlignment w:val="baseline"/>
    </w:pPr>
    <w:rPr>
      <w:rFonts w:ascii="黑体" w:hAnsi="黑体" w:eastAsia="黑体" w:cs="宋体"/>
      <w:snapToGrid w:val="0"/>
      <w:kern w:val="0"/>
      <w:sz w:val="24"/>
    </w:rPr>
  </w:style>
  <w:style w:type="character" w:customStyle="1" w:styleId="82">
    <w:name w:val="表格标题5.21 字符"/>
    <w:link w:val="81"/>
    <w:qFormat/>
    <w:uiPriority w:val="0"/>
    <w:rPr>
      <w:rFonts w:ascii="黑体" w:hAnsi="黑体" w:eastAsia="黑体" w:cs="宋体"/>
      <w:snapToGrid w:val="0"/>
      <w:sz w:val="24"/>
      <w:szCs w:val="24"/>
    </w:rPr>
  </w:style>
  <w:style w:type="character" w:customStyle="1" w:styleId="83">
    <w:name w:val="纯文本 字符"/>
    <w:link w:val="20"/>
    <w:qFormat/>
    <w:uiPriority w:val="99"/>
    <w:rPr>
      <w:rFonts w:ascii="宋体" w:hAnsi="Courier New"/>
      <w:kern w:val="2"/>
      <w:sz w:val="21"/>
      <w:szCs w:val="24"/>
    </w:rPr>
  </w:style>
  <w:style w:type="character" w:customStyle="1" w:styleId="84">
    <w:name w:val="未处理的提及1"/>
    <w:basedOn w:val="33"/>
    <w:semiHidden/>
    <w:unhideWhenUsed/>
    <w:qFormat/>
    <w:uiPriority w:val="99"/>
    <w:rPr>
      <w:color w:val="605E5C"/>
      <w:shd w:val="clear" w:color="auto" w:fill="E1DFDD"/>
    </w:rPr>
  </w:style>
  <w:style w:type="character" w:customStyle="1" w:styleId="85">
    <w:name w:val="正文首行缩进 Char"/>
    <w:link w:val="86"/>
    <w:qFormat/>
    <w:uiPriority w:val="0"/>
    <w:rPr>
      <w:kern w:val="2"/>
      <w:sz w:val="21"/>
    </w:rPr>
  </w:style>
  <w:style w:type="paragraph" w:customStyle="1" w:styleId="86">
    <w:name w:val="正文首行缩进1"/>
    <w:basedOn w:val="13"/>
    <w:link w:val="85"/>
    <w:qFormat/>
    <w:uiPriority w:val="0"/>
    <w:pPr>
      <w:widowControl w:val="0"/>
      <w:snapToGrid/>
      <w:spacing w:before="0" w:after="120" w:line="240" w:lineRule="auto"/>
      <w:ind w:right="0" w:firstLine="420" w:firstLineChars="100"/>
    </w:pPr>
    <w:rPr>
      <w:kern w:val="2"/>
      <w:sz w:val="21"/>
    </w:rPr>
  </w:style>
  <w:style w:type="paragraph" w:customStyle="1" w:styleId="87">
    <w:name w:val="1正文"/>
    <w:basedOn w:val="1"/>
    <w:qFormat/>
    <w:uiPriority w:val="0"/>
    <w:pPr>
      <w:widowControl/>
      <w:spacing w:line="360" w:lineRule="auto"/>
      <w:ind w:firstLine="200" w:firstLineChars="200"/>
    </w:pPr>
    <w:rPr>
      <w:kern w:val="0"/>
      <w:sz w:val="24"/>
      <w:szCs w:val="20"/>
      <w:lang w:val="en-GB"/>
    </w:rPr>
  </w:style>
  <w:style w:type="character" w:customStyle="1" w:styleId="88">
    <w:name w:val="正文(首行缩进) Char"/>
    <w:link w:val="61"/>
    <w:qFormat/>
    <w:locked/>
    <w:uiPriority w:val="0"/>
    <w:rPr>
      <w:rFonts w:hAnsi="宋体"/>
      <w:b/>
      <w:bCs/>
      <w:color w:val="000000"/>
      <w:kern w:val="2"/>
      <w:sz w:val="24"/>
      <w:szCs w:val="28"/>
    </w:rPr>
  </w:style>
  <w:style w:type="character" w:customStyle="1" w:styleId="89">
    <w:name w:val="表格标题 Char Char"/>
    <w:link w:val="62"/>
    <w:qFormat/>
    <w:uiPriority w:val="0"/>
    <w:rPr>
      <w:rFonts w:eastAsia="黑体"/>
      <w:sz w:val="21"/>
      <w:szCs w:val="24"/>
    </w:rPr>
  </w:style>
  <w:style w:type="character" w:customStyle="1" w:styleId="90">
    <w:name w:val="15"/>
    <w:qFormat/>
    <w:uiPriority w:val="0"/>
    <w:rPr>
      <w:rFonts w:hint="eastAsia" w:ascii="PMingLiU" w:eastAsia="PMingLiU"/>
      <w:color w:val="000000"/>
      <w:spacing w:val="20"/>
      <w:sz w:val="24"/>
      <w:szCs w:val="24"/>
    </w:rPr>
  </w:style>
  <w:style w:type="paragraph" w:customStyle="1" w:styleId="91">
    <w:name w:val="正文小四"/>
    <w:qFormat/>
    <w:uiPriority w:val="0"/>
    <w:pPr>
      <w:spacing w:line="360" w:lineRule="auto"/>
      <w:ind w:firstLine="200" w:firstLineChars="200"/>
    </w:pPr>
    <w:rPr>
      <w:rFonts w:ascii="Calibri" w:hAnsi="Calibri" w:eastAsia="宋体" w:cs="Times New Roman"/>
      <w:color w:val="000000"/>
      <w:sz w:val="24"/>
      <w:szCs w:val="24"/>
      <w:lang w:val="en-US" w:eastAsia="zh-CN" w:bidi="ar-SA"/>
    </w:rPr>
  </w:style>
  <w:style w:type="paragraph" w:customStyle="1" w:styleId="92">
    <w:name w:val="YJ正文*"/>
    <w:basedOn w:val="1"/>
    <w:qFormat/>
    <w:uiPriority w:val="0"/>
    <w:pPr>
      <w:spacing w:line="520" w:lineRule="exact"/>
      <w:ind w:firstLine="480" w:firstLineChars="200"/>
    </w:pPr>
    <w:rPr>
      <w:rFonts w:ascii="宋体" w:hAnsi="宋体"/>
      <w:sz w:val="24"/>
    </w:rPr>
  </w:style>
  <w:style w:type="paragraph" w:customStyle="1" w:styleId="93">
    <w:name w:val="无间隔1"/>
    <w:qFormat/>
    <w:uiPriority w:val="0"/>
    <w:pPr>
      <w:widowControl w:val="0"/>
      <w:jc w:val="center"/>
    </w:pPr>
    <w:rPr>
      <w:rFonts w:ascii="宋体" w:hAnsi="Times New Roman" w:eastAsia="宋体" w:cs="Times New Roman"/>
      <w:kern w:val="2"/>
      <w:sz w:val="24"/>
      <w:lang w:val="en-US" w:eastAsia="zh-CN" w:bidi="ar-SA"/>
    </w:rPr>
  </w:style>
  <w:style w:type="paragraph" w:customStyle="1" w:styleId="94">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95">
    <w:name w:val="Revision"/>
    <w:hidden/>
    <w:semiHidden/>
    <w:qFormat/>
    <w:uiPriority w:val="99"/>
    <w:rPr>
      <w:rFonts w:ascii="Times New Roman" w:hAnsi="Times New Roman" w:eastAsia="宋体" w:cs="Times New Roman"/>
      <w:kern w:val="2"/>
      <w:sz w:val="21"/>
      <w:szCs w:val="24"/>
      <w:lang w:val="en-US" w:eastAsia="zh-CN" w:bidi="ar-SA"/>
    </w:rPr>
  </w:style>
  <w:style w:type="paragraph" w:customStyle="1" w:styleId="96">
    <w:name w:val="_Style 4"/>
    <w:basedOn w:val="1"/>
    <w:qFormat/>
    <w:uiPriority w:val="0"/>
  </w:style>
  <w:style w:type="paragraph" w:customStyle="1" w:styleId="97">
    <w:name w:val="Body text|21"/>
    <w:basedOn w:val="1"/>
    <w:qFormat/>
    <w:uiPriority w:val="0"/>
    <w:pPr>
      <w:shd w:val="clear" w:color="auto" w:fill="FFFFFF"/>
      <w:spacing w:line="1280" w:lineRule="exact"/>
    </w:pPr>
    <w:rPr>
      <w:rFonts w:ascii="PMingLiU" w:hAnsi="PMingLiU" w:eastAsia="PMingLiU" w:cs="PMingLiU"/>
      <w:spacing w:val="30"/>
      <w:sz w:val="44"/>
      <w:szCs w:val="44"/>
    </w:rPr>
  </w:style>
  <w:style w:type="paragraph" w:customStyle="1" w:styleId="98">
    <w:name w:val="_Style 2"/>
    <w:basedOn w:val="1"/>
    <w:qFormat/>
    <w:uiPriority w:val="99"/>
    <w:pPr>
      <w:ind w:firstLine="420"/>
    </w:pPr>
    <w:rPr>
      <w:rFonts w:ascii="Calibri" w:hAnsi="Calibri" w:cs="Times New Roman"/>
    </w:rPr>
  </w:style>
  <w:style w:type="paragraph" w:customStyle="1" w:styleId="99">
    <w:name w:val="新表头"/>
    <w:basedOn w:val="1"/>
    <w:qFormat/>
    <w:uiPriority w:val="0"/>
    <w:pPr>
      <w:jc w:val="center"/>
    </w:pPr>
    <w:rPr>
      <w:rFonts w:ascii="Times New Roman" w:hAnsi="Times New Roman"/>
      <w:b/>
    </w:rPr>
  </w:style>
  <w:style w:type="paragraph" w:customStyle="1" w:styleId="100">
    <w:name w:val="正文01"/>
    <w:basedOn w:val="1"/>
    <w:qFormat/>
    <w:uiPriority w:val="0"/>
    <w:pPr>
      <w:spacing w:before="60" w:line="460" w:lineRule="exact"/>
      <w:ind w:firstLine="200" w:firstLineChars="200"/>
    </w:pPr>
    <w:rPr>
      <w:bCs/>
      <w:sz w:val="24"/>
    </w:rPr>
  </w:style>
  <w:style w:type="paragraph" w:customStyle="1" w:styleId="101">
    <w:name w:val="表中文字"/>
    <w:basedOn w:val="1"/>
    <w:next w:val="1"/>
    <w:qFormat/>
    <w:uiPriority w:val="0"/>
    <w:pPr>
      <w:spacing w:line="300" w:lineRule="exact"/>
      <w:ind w:firstLine="0" w:firstLineChars="0"/>
      <w:jc w:val="center"/>
    </w:pPr>
    <w:rPr>
      <w:sz w:val="21"/>
    </w:rPr>
  </w:style>
  <w:style w:type="paragraph" w:customStyle="1" w:styleId="102">
    <w:name w:val="表格内容-模板"/>
    <w:basedOn w:val="1"/>
    <w:qFormat/>
    <w:uiPriority w:val="0"/>
    <w:pPr>
      <w:widowControl/>
      <w:jc w:val="center"/>
    </w:pPr>
    <w:rPr>
      <w:kern w:val="0"/>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customXml" Target="../customXml/item2.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38.jpe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3.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footer" Target="footer2.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emf"/><Relationship Id="rId33" Type="http://schemas.openxmlformats.org/officeDocument/2006/relationships/oleObject" Target="embeddings/oleObject8.bin"/><Relationship Id="rId32" Type="http://schemas.openxmlformats.org/officeDocument/2006/relationships/image" Target="media/image16.wmf"/><Relationship Id="rId31" Type="http://schemas.openxmlformats.org/officeDocument/2006/relationships/oleObject" Target="embeddings/oleObject7.bin"/><Relationship Id="rId30" Type="http://schemas.openxmlformats.org/officeDocument/2006/relationships/image" Target="media/image15.wmf"/><Relationship Id="rId3" Type="http://schemas.openxmlformats.org/officeDocument/2006/relationships/footer" Target="footer1.xml"/><Relationship Id="rId29" Type="http://schemas.openxmlformats.org/officeDocument/2006/relationships/oleObject" Target="embeddings/oleObject6.bin"/><Relationship Id="rId28" Type="http://schemas.openxmlformats.org/officeDocument/2006/relationships/image" Target="media/image14.wmf"/><Relationship Id="rId27" Type="http://schemas.openxmlformats.org/officeDocument/2006/relationships/oleObject" Target="embeddings/oleObject5.bin"/><Relationship Id="rId26" Type="http://schemas.openxmlformats.org/officeDocument/2006/relationships/image" Target="media/image13.wmf"/><Relationship Id="rId25" Type="http://schemas.openxmlformats.org/officeDocument/2006/relationships/oleObject" Target="embeddings/oleObject4.bin"/><Relationship Id="rId24" Type="http://schemas.openxmlformats.org/officeDocument/2006/relationships/image" Target="media/image12.wmf"/><Relationship Id="rId23" Type="http://schemas.openxmlformats.org/officeDocument/2006/relationships/oleObject" Target="embeddings/oleObject3.bin"/><Relationship Id="rId22" Type="http://schemas.openxmlformats.org/officeDocument/2006/relationships/image" Target="media/image11.emf"/><Relationship Id="rId21" Type="http://schemas.openxmlformats.org/officeDocument/2006/relationships/oleObject" Target="embeddings/oleObject2.bin"/><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emf"/><Relationship Id="rId18" Type="http://schemas.openxmlformats.org/officeDocument/2006/relationships/oleObject" Target="embeddings/oleObject1.bin"/><Relationship Id="rId17" Type="http://schemas.openxmlformats.org/officeDocument/2006/relationships/image" Target="media/image8.pn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1EBA72F-05F2-4365-936A-A55D7DE9940E}">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69</Pages>
  <Words>22701</Words>
  <Characters>25719</Characters>
  <Lines>165</Lines>
  <Paragraphs>46</Paragraphs>
  <TotalTime>2</TotalTime>
  <ScaleCrop>false</ScaleCrop>
  <LinksUpToDate>false</LinksUpToDate>
  <CharactersWithSpaces>25947</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2021-08-30T14:17:00Z</dcterms:created>
  <dc:creator>lhj</dc:creator>
  <cp:lastModifiedBy>往事随风</cp:lastModifiedBy>
  <cp:lastPrinted>2020-12-29T02:43:00Z</cp:lastPrinted>
  <dcterms:modified xsi:type="dcterms:W3CDTF">2022-07-04T04:13:44Z</dcterms:modified>
  <dc:title>附件2</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F17456C79CE44569A680E3F67360A8EB</vt:lpwstr>
  </property>
</Properties>
</file>