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81493718"/>
      <w:bookmarkEnd w:id="0"/>
      <w:bookmarkStart w:id="1" w:name="_Hlk57883707"/>
    </w:p>
    <w:bookmarkEnd w:id="1"/>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pPr>
        <w:adjustRightInd w:val="0"/>
        <w:snapToGrid w:val="0"/>
        <w:spacing w:before="192" w:beforeLines="80"/>
        <w:jc w:val="center"/>
        <w:rPr>
          <w:rFonts w:hint="eastAsia" w:ascii="楷体_GB2312" w:hAnsi="Times New Roman" w:eastAsia="楷体_GB2312" w:cs="Times New Roman"/>
          <w:bCs/>
          <w:sz w:val="48"/>
          <w:szCs w:val="48"/>
          <w:lang w:val="en-US" w:eastAsia="zh-CN"/>
        </w:rPr>
      </w:pPr>
      <w:bookmarkStart w:id="2" w:name="_Hlk57883728"/>
      <w:r>
        <w:rPr>
          <w:rFonts w:hint="eastAsia" w:ascii="楷体_GB2312" w:hAnsi="Times New Roman" w:eastAsia="楷体_GB2312" w:cs="Times New Roman"/>
          <w:bCs/>
          <w:sz w:val="48"/>
          <w:szCs w:val="48"/>
          <w:lang w:val="en-US" w:eastAsia="zh-CN"/>
        </w:rPr>
        <w:t>报批版</w:t>
      </w:r>
      <w:bookmarkStart w:id="35" w:name="_GoBack"/>
      <w:bookmarkEnd w:id="35"/>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2"/>
    <w:p>
      <w:pPr>
        <w:ind w:firstLine="1040"/>
        <w:rPr>
          <w:rFonts w:eastAsia="仿宋"/>
          <w:sz w:val="44"/>
          <w:szCs w:val="44"/>
        </w:rPr>
      </w:pPr>
    </w:p>
    <w:p>
      <w:pPr>
        <w:adjustRightInd w:val="0"/>
        <w:snapToGrid w:val="0"/>
        <w:spacing w:line="288" w:lineRule="auto"/>
        <w:ind w:left="2591" w:leftChars="472" w:hanging="1600" w:hangingChars="500"/>
        <w:rPr>
          <w:rFonts w:ascii="仿宋_GB2312" w:eastAsia="仿宋_GB2312"/>
          <w:sz w:val="32"/>
          <w:szCs w:val="32"/>
          <w:u w:val="single"/>
        </w:rPr>
      </w:pPr>
      <w:r>
        <w:rPr>
          <w:rFonts w:hint="eastAsia" w:ascii="仿宋_GB2312" w:eastAsia="仿宋_GB2312"/>
          <w:sz w:val="32"/>
          <w:szCs w:val="32"/>
        </w:rPr>
        <w:t>项目名称：</w:t>
      </w:r>
      <w:r>
        <w:rPr>
          <w:rFonts w:hint="eastAsia" w:ascii="仿宋_GB2312" w:eastAsia="仿宋_GB2312"/>
          <w:sz w:val="32"/>
          <w:szCs w:val="32"/>
          <w:u w:val="single"/>
        </w:rPr>
        <w:t xml:space="preserve">康9井勘探钻探项目                    </w:t>
      </w:r>
    </w:p>
    <w:p>
      <w:pPr>
        <w:adjustRightInd w:val="0"/>
        <w:snapToGrid w:val="0"/>
        <w:spacing w:line="288" w:lineRule="auto"/>
        <w:ind w:firstLine="1040"/>
        <w:rPr>
          <w:rFonts w:ascii="仿宋_GB2312" w:eastAsia="仿宋_GB2312"/>
          <w:sz w:val="32"/>
          <w:szCs w:val="32"/>
          <w:u w:val="single"/>
        </w:rPr>
      </w:pPr>
      <w:r>
        <w:rPr>
          <w:rFonts w:hint="eastAsia" w:ascii="仿宋_GB2312" w:eastAsia="仿宋_GB2312"/>
          <w:sz w:val="32"/>
          <w:szCs w:val="32"/>
        </w:rPr>
        <w:t>建设单位（盖章）：</w:t>
      </w:r>
      <w:r>
        <w:rPr>
          <w:rFonts w:hint="eastAsia" w:ascii="仿宋_GB2312" w:eastAsia="仿宋_GB2312"/>
          <w:sz w:val="32"/>
          <w:szCs w:val="32"/>
          <w:u w:val="single"/>
        </w:rPr>
        <w:t xml:space="preserve">中国石油新疆油田分公司勘探事业部 </w:t>
      </w:r>
    </w:p>
    <w:p>
      <w:pPr>
        <w:adjustRightInd w:val="0"/>
        <w:snapToGrid w:val="0"/>
        <w:spacing w:line="288" w:lineRule="auto"/>
        <w:ind w:firstLine="1040"/>
        <w:rPr>
          <w:rFonts w:ascii="仿宋_GB2312" w:eastAsia="仿宋_GB2312"/>
          <w:sz w:val="32"/>
          <w:szCs w:val="32"/>
          <w:u w:val="single"/>
        </w:rPr>
      </w:pPr>
      <w:r>
        <w:rPr>
          <w:rFonts w:hint="eastAsia" w:ascii="仿宋_GB2312" w:eastAsia="仿宋_GB2312"/>
          <w:sz w:val="32"/>
          <w:szCs w:val="32"/>
        </w:rPr>
        <w:t>编制日期：</w:t>
      </w:r>
      <w:r>
        <w:rPr>
          <w:rFonts w:ascii="仿宋_GB2312" w:eastAsia="仿宋_GB2312"/>
          <w:sz w:val="32"/>
          <w:szCs w:val="32"/>
          <w:u w:val="single"/>
        </w:rPr>
        <w:t>202</w:t>
      </w:r>
      <w:r>
        <w:rPr>
          <w:rFonts w:hint="eastAsia" w:ascii="仿宋_GB2312" w:eastAsia="仿宋_GB2312"/>
          <w:sz w:val="32"/>
          <w:szCs w:val="32"/>
          <w:u w:val="single"/>
        </w:rPr>
        <w:t xml:space="preserve">2年5月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p>
    <w:p>
      <w:pPr>
        <w:adjustRightInd w:val="0"/>
        <w:snapToGrid w:val="0"/>
        <w:spacing w:line="288" w:lineRule="auto"/>
        <w:ind w:firstLine="1040"/>
        <w:rPr>
          <w:rFonts w:ascii="仿宋_GB2312" w:eastAsia="仿宋_GB2312"/>
          <w:sz w:val="36"/>
          <w:szCs w:val="36"/>
          <w:u w:val="single"/>
        </w:rPr>
      </w:pPr>
    </w:p>
    <w:p>
      <w:pPr>
        <w:tabs>
          <w:tab w:val="left" w:pos="2444"/>
        </w:tabs>
        <w:adjustRightInd w:val="0"/>
        <w:snapToGrid w:val="0"/>
        <w:spacing w:line="288" w:lineRule="auto"/>
        <w:ind w:firstLine="1040"/>
        <w:rPr>
          <w:rFonts w:ascii="仿宋_GB2312" w:eastAsia="仿宋_GB2312"/>
          <w:sz w:val="36"/>
          <w:szCs w:val="36"/>
        </w:rPr>
      </w:pPr>
      <w:r>
        <w:rPr>
          <w:rFonts w:ascii="仿宋_GB2312" w:eastAsia="仿宋_GB2312"/>
          <w:sz w:val="36"/>
          <w:szCs w:val="36"/>
        </w:rPr>
        <w:tab/>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pacing w:line="288" w:lineRule="auto"/>
        <w:jc w:val="center"/>
        <w:rPr>
          <w:sz w:val="24"/>
        </w:rPr>
      </w:pPr>
      <w:r>
        <w:rPr>
          <w:rFonts w:hint="eastAsia" w:ascii="楷体_GB2312" w:eastAsia="楷体_GB2312"/>
          <w:sz w:val="36"/>
          <w:szCs w:val="36"/>
        </w:rPr>
        <w:t>中华人民共和国生态环境部制</w:t>
      </w:r>
    </w:p>
    <w:p>
      <w:pPr>
        <w:widowControl/>
        <w:spacing w:line="343" w:lineRule="auto"/>
        <w:sectPr>
          <w:footerReference r:id="rId5" w:type="first"/>
          <w:footerReference r:id="rId3" w:type="default"/>
          <w:footerReference r:id="rId4" w:type="even"/>
          <w:pgSz w:w="11910" w:h="16840"/>
          <w:pgMar w:top="1580" w:right="1320" w:bottom="1240" w:left="1420" w:header="720" w:footer="1055" w:gutter="0"/>
          <w:pgNumType w:start="1"/>
          <w:cols w:space="720" w:num="1"/>
        </w:sectPr>
      </w:pPr>
    </w:p>
    <w:p>
      <w:pPr>
        <w:pStyle w:val="4"/>
        <w:snapToGrid w:val="0"/>
        <w:spacing w:before="0" w:after="0" w:line="360" w:lineRule="auto"/>
        <w:rPr>
          <w:rFonts w:ascii="宋体" w:hAnsi="宋体" w:cs="宋体"/>
          <w:sz w:val="28"/>
          <w:szCs w:val="28"/>
        </w:rPr>
      </w:pPr>
      <w:r>
        <w:rPr>
          <w:rFonts w:hint="eastAsia" w:ascii="宋体" w:hAnsi="宋体" w:cs="宋体"/>
          <w:sz w:val="28"/>
          <w:szCs w:val="28"/>
        </w:rPr>
        <w:t>附表  编制单位和编制人员情况表</w:t>
      </w:r>
    </w:p>
    <w:p>
      <w:pPr>
        <w:bidi w:val="0"/>
        <w:jc w:val="center"/>
      </w:pPr>
      <w:r>
        <w:rPr>
          <w:rFonts w:hint="eastAsia"/>
        </w:rPr>
        <w:drawing>
          <wp:inline distT="0" distB="0" distL="114300" distR="114300">
            <wp:extent cx="5268595" cy="7450455"/>
            <wp:effectExtent l="0" t="0" r="8255" b="17145"/>
            <wp:docPr id="2" name="图片 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0001"/>
                    <pic:cNvPicPr>
                      <a:picLocks noChangeAspect="1"/>
                    </pic:cNvPicPr>
                  </pic:nvPicPr>
                  <pic:blipFill>
                    <a:blip r:embed="rId10"/>
                    <a:stretch>
                      <a:fillRect/>
                    </a:stretch>
                  </pic:blipFill>
                  <pic:spPr>
                    <a:xfrm>
                      <a:off x="0" y="0"/>
                      <a:ext cx="5268595" cy="7450455"/>
                    </a:xfrm>
                    <a:prstGeom prst="rect">
                      <a:avLst/>
                    </a:prstGeom>
                  </pic:spPr>
                </pic:pic>
              </a:graphicData>
            </a:graphic>
          </wp:inline>
        </w:drawing>
      </w:r>
    </w:p>
    <w:p>
      <w:pPr>
        <w:adjustRightInd w:val="0"/>
        <w:snapToGrid w:val="0"/>
        <w:rPr>
          <w:rFonts w:ascii="宋体" w:hAnsi="宋体" w:cs="宋体"/>
          <w:b/>
          <w:sz w:val="28"/>
          <w:szCs w:val="28"/>
        </w:rPr>
      </w:pPr>
    </w:p>
    <w:p>
      <w:pPr>
        <w:widowControl/>
        <w:adjustRightInd w:val="0"/>
        <w:snapToGrid w:val="0"/>
        <w:spacing w:line="343" w:lineRule="auto"/>
        <w:sectPr>
          <w:pgSz w:w="11910" w:h="16840"/>
          <w:pgMar w:top="1580" w:right="1320" w:bottom="1240" w:left="1420" w:header="720" w:footer="1055" w:gutter="0"/>
          <w:pgNumType w:start="1"/>
          <w:cols w:space="720" w:num="1"/>
        </w:sectPr>
      </w:pPr>
    </w:p>
    <w:p>
      <w:pPr>
        <w:pStyle w:val="4"/>
        <w:snapToGrid w:val="0"/>
        <w:spacing w:before="0" w:after="0" w:line="360" w:lineRule="auto"/>
        <w:jc w:val="center"/>
        <w:rPr>
          <w:rFonts w:ascii="黑体" w:hAnsi="黑体" w:eastAsia="黑体" w:cs="黑体"/>
          <w:b w:val="0"/>
          <w:bCs/>
          <w:sz w:val="30"/>
          <w:szCs w:val="30"/>
        </w:rPr>
      </w:pPr>
      <w:r>
        <w:rPr>
          <w:rFonts w:hint="eastAsia" w:ascii="黑体" w:hAnsi="黑体" w:eastAsia="黑体" w:cs="黑体"/>
          <w:b w:val="0"/>
          <w:bCs/>
          <w:sz w:val="30"/>
          <w:szCs w:val="30"/>
        </w:rPr>
        <w:t>一、建设项目基本情况</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450"/>
        <w:gridCol w:w="843"/>
        <w:gridCol w:w="703"/>
        <w:gridCol w:w="1576"/>
        <w:gridCol w:w="29"/>
        <w:gridCol w:w="1418"/>
        <w:gridCol w:w="2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snapToGrid w:val="0"/>
              <w:spacing w:line="300" w:lineRule="exact"/>
              <w:jc w:val="center"/>
              <w:rPr>
                <w:rFonts w:ascii="宋体" w:hAnsi="宋体" w:cs="宋体"/>
                <w:sz w:val="24"/>
              </w:rPr>
            </w:pPr>
            <w:r>
              <w:rPr>
                <w:rFonts w:hint="eastAsia" w:ascii="宋体" w:hAnsi="宋体" w:cs="宋体"/>
                <w:sz w:val="24"/>
              </w:rPr>
              <w:t>建设项目名称</w:t>
            </w:r>
          </w:p>
        </w:tc>
        <w:tc>
          <w:tcPr>
            <w:tcW w:w="6724" w:type="dxa"/>
            <w:gridSpan w:val="5"/>
            <w:vAlign w:val="center"/>
          </w:tcPr>
          <w:p>
            <w:pPr>
              <w:snapToGrid w:val="0"/>
              <w:spacing w:line="300" w:lineRule="exact"/>
              <w:jc w:val="center"/>
              <w:rPr>
                <w:rFonts w:ascii="宋体" w:hAnsi="宋体" w:cs="宋体"/>
                <w:sz w:val="24"/>
              </w:rPr>
            </w:pPr>
            <w:bookmarkStart w:id="3" w:name="_Hlk101196976"/>
            <w:r>
              <w:rPr>
                <w:rFonts w:hint="eastAsia" w:ascii="宋体" w:hAnsi="宋体" w:cs="宋体"/>
                <w:sz w:val="24"/>
              </w:rPr>
              <w:t>康9井勘探钻探项目</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snapToGrid w:val="0"/>
              <w:spacing w:line="300" w:lineRule="exact"/>
              <w:jc w:val="center"/>
              <w:rPr>
                <w:rFonts w:ascii="宋体" w:hAnsi="宋体" w:cs="宋体"/>
                <w:sz w:val="24"/>
              </w:rPr>
            </w:pPr>
            <w:r>
              <w:rPr>
                <w:rFonts w:hint="eastAsia" w:ascii="宋体" w:hAnsi="宋体" w:cs="宋体"/>
                <w:sz w:val="24"/>
              </w:rPr>
              <w:t>项目代码</w:t>
            </w:r>
          </w:p>
        </w:tc>
        <w:tc>
          <w:tcPr>
            <w:tcW w:w="6724" w:type="dxa"/>
            <w:gridSpan w:val="5"/>
            <w:vAlign w:val="center"/>
          </w:tcPr>
          <w:p>
            <w:pPr>
              <w:snapToGrid w:val="0"/>
              <w:spacing w:line="300" w:lineRule="exact"/>
              <w:jc w:val="center"/>
              <w:rPr>
                <w:rFonts w:ascii="宋体" w:hAnsi="宋体" w:cs="宋体"/>
                <w:sz w:val="24"/>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snapToGrid w:val="0"/>
              <w:spacing w:line="300" w:lineRule="exact"/>
              <w:jc w:val="center"/>
              <w:rPr>
                <w:rFonts w:ascii="宋体" w:hAnsi="宋体" w:cs="宋体"/>
                <w:sz w:val="24"/>
              </w:rPr>
            </w:pPr>
            <w:r>
              <w:rPr>
                <w:rFonts w:hint="eastAsia" w:ascii="宋体" w:hAnsi="宋体" w:cs="宋体"/>
                <w:spacing w:val="-11"/>
                <w:sz w:val="24"/>
              </w:rPr>
              <w:t>建设单位联系人</w:t>
            </w:r>
          </w:p>
        </w:tc>
        <w:tc>
          <w:tcPr>
            <w:tcW w:w="2279" w:type="dxa"/>
            <w:gridSpan w:val="2"/>
            <w:vAlign w:val="center"/>
          </w:tcPr>
          <w:p>
            <w:pPr>
              <w:snapToGrid w:val="0"/>
              <w:spacing w:line="300" w:lineRule="exact"/>
              <w:jc w:val="center"/>
              <w:rPr>
                <w:rFonts w:ascii="宋体" w:hAnsi="宋体" w:cs="宋体"/>
                <w:sz w:val="24"/>
              </w:rPr>
            </w:pPr>
            <w:r>
              <w:rPr>
                <w:rFonts w:hint="eastAsia" w:ascii="宋体" w:hAnsi="宋体" w:cs="宋体"/>
                <w:sz w:val="24"/>
              </w:rPr>
              <w:t>郑以华</w:t>
            </w:r>
          </w:p>
        </w:tc>
        <w:tc>
          <w:tcPr>
            <w:tcW w:w="1447" w:type="dxa"/>
            <w:gridSpan w:val="2"/>
            <w:vAlign w:val="center"/>
          </w:tcPr>
          <w:p>
            <w:pPr>
              <w:snapToGrid w:val="0"/>
              <w:spacing w:line="300" w:lineRule="exact"/>
              <w:jc w:val="center"/>
              <w:rPr>
                <w:rFonts w:ascii="宋体" w:hAnsi="宋体" w:cs="宋体"/>
                <w:sz w:val="24"/>
              </w:rPr>
            </w:pPr>
            <w:r>
              <w:rPr>
                <w:rFonts w:hint="eastAsia" w:ascii="宋体" w:hAnsi="宋体" w:cs="宋体"/>
                <w:sz w:val="24"/>
              </w:rPr>
              <w:t>联系方式</w:t>
            </w:r>
          </w:p>
        </w:tc>
        <w:tc>
          <w:tcPr>
            <w:tcW w:w="2998" w:type="dxa"/>
            <w:vAlign w:val="center"/>
          </w:tcPr>
          <w:p>
            <w:pPr>
              <w:snapToGrid w:val="0"/>
              <w:spacing w:line="300" w:lineRule="exact"/>
              <w:jc w:val="center"/>
              <w:rPr>
                <w:rFonts w:ascii="宋体" w:hAnsi="宋体" w:cs="宋体"/>
                <w:sz w:val="24"/>
              </w:rPr>
            </w:pPr>
            <w:r>
              <w:rPr>
                <w:rFonts w:hint="eastAsia" w:ascii="宋体" w:hAnsi="宋体" w:cs="宋体"/>
                <w:bCs/>
                <w:sz w:val="24"/>
              </w:rPr>
              <w:t>13579520838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snapToGrid w:val="0"/>
              <w:spacing w:line="300" w:lineRule="exact"/>
              <w:jc w:val="center"/>
              <w:rPr>
                <w:rFonts w:ascii="宋体" w:hAnsi="宋体" w:cs="宋体"/>
                <w:sz w:val="24"/>
              </w:rPr>
            </w:pPr>
            <w:r>
              <w:rPr>
                <w:rFonts w:hint="eastAsia" w:ascii="宋体" w:hAnsi="宋体" w:cs="宋体"/>
                <w:sz w:val="24"/>
              </w:rPr>
              <w:t>建设地点</w:t>
            </w:r>
          </w:p>
        </w:tc>
        <w:tc>
          <w:tcPr>
            <w:tcW w:w="6724" w:type="dxa"/>
            <w:gridSpan w:val="5"/>
            <w:vAlign w:val="center"/>
          </w:tcPr>
          <w:p>
            <w:pPr>
              <w:snapToGrid w:val="0"/>
              <w:spacing w:line="300" w:lineRule="exact"/>
              <w:jc w:val="center"/>
              <w:rPr>
                <w:rFonts w:ascii="宋体" w:hAnsi="宋体" w:cs="宋体"/>
                <w:sz w:val="24"/>
              </w:rPr>
            </w:pPr>
            <w:r>
              <w:rPr>
                <w:rFonts w:hint="eastAsia" w:ascii="宋体" w:hAnsi="宋体" w:cs="宋体"/>
                <w:sz w:val="24"/>
              </w:rPr>
              <w:t>新疆维吾尔自治区昌吉回族自治州阜康市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adjustRightInd w:val="0"/>
              <w:snapToGrid w:val="0"/>
              <w:spacing w:line="300" w:lineRule="exact"/>
              <w:jc w:val="center"/>
              <w:rPr>
                <w:rFonts w:ascii="宋体" w:hAnsi="宋体" w:cs="宋体"/>
                <w:sz w:val="24"/>
              </w:rPr>
            </w:pPr>
            <w:r>
              <w:rPr>
                <w:rFonts w:hint="eastAsia" w:ascii="宋体" w:hAnsi="宋体" w:cs="宋体"/>
                <w:sz w:val="24"/>
              </w:rPr>
              <w:t>地理坐标</w:t>
            </w:r>
          </w:p>
        </w:tc>
        <w:tc>
          <w:tcPr>
            <w:tcW w:w="6724" w:type="dxa"/>
            <w:gridSpan w:val="5"/>
            <w:vAlign w:val="center"/>
          </w:tcPr>
          <w:p>
            <w:pPr>
              <w:adjustRightInd w:val="0"/>
              <w:snapToGrid w:val="0"/>
              <w:spacing w:line="300" w:lineRule="exact"/>
              <w:jc w:val="center"/>
              <w:rPr>
                <w:rFonts w:ascii="宋体" w:hAnsi="宋体" w:cs="宋体"/>
                <w:sz w:val="24"/>
              </w:rPr>
            </w:pPr>
            <w:r>
              <w:rPr>
                <w:rFonts w:hint="eastAsia" w:ascii="宋体" w:hAnsi="宋体" w:cs="宋体"/>
                <w:sz w:val="24"/>
              </w:rPr>
              <w:t>东经</w:t>
            </w:r>
            <w:r>
              <w:rPr>
                <w:rFonts w:ascii="宋体" w:hAnsi="宋体" w:cs="宋体"/>
                <w:sz w:val="24"/>
              </w:rPr>
              <w:t>88</w:t>
            </w:r>
            <w:r>
              <w:rPr>
                <w:rFonts w:hint="eastAsia" w:ascii="宋体" w:hAnsi="宋体" w:cs="宋体"/>
                <w:sz w:val="24"/>
              </w:rPr>
              <w:t>度</w:t>
            </w:r>
            <w:r>
              <w:rPr>
                <w:rFonts w:ascii="宋体" w:hAnsi="宋体" w:cs="宋体"/>
                <w:sz w:val="24"/>
              </w:rPr>
              <w:t>38</w:t>
            </w:r>
            <w:r>
              <w:rPr>
                <w:rFonts w:hint="eastAsia" w:ascii="宋体" w:hAnsi="宋体" w:cs="宋体"/>
                <w:sz w:val="24"/>
              </w:rPr>
              <w:t>分</w:t>
            </w:r>
            <w:r>
              <w:rPr>
                <w:rFonts w:ascii="宋体" w:hAnsi="宋体" w:cs="宋体"/>
                <w:sz w:val="24"/>
              </w:rPr>
              <w:t>44.344</w:t>
            </w:r>
            <w:r>
              <w:rPr>
                <w:rFonts w:hint="eastAsia" w:ascii="宋体" w:hAnsi="宋体" w:cs="宋体"/>
                <w:sz w:val="24"/>
              </w:rPr>
              <w:t>秒，北纬4</w:t>
            </w:r>
            <w:r>
              <w:rPr>
                <w:rFonts w:ascii="宋体" w:hAnsi="宋体" w:cs="宋体"/>
                <w:sz w:val="24"/>
              </w:rPr>
              <w:t>4</w:t>
            </w:r>
            <w:r>
              <w:rPr>
                <w:rFonts w:hint="eastAsia" w:ascii="宋体" w:hAnsi="宋体" w:cs="宋体"/>
                <w:sz w:val="24"/>
              </w:rPr>
              <w:t>度0</w:t>
            </w:r>
            <w:r>
              <w:rPr>
                <w:rFonts w:ascii="宋体" w:hAnsi="宋体" w:cs="宋体"/>
                <w:sz w:val="24"/>
              </w:rPr>
              <w:t>7</w:t>
            </w:r>
            <w:r>
              <w:rPr>
                <w:rFonts w:hint="eastAsia" w:ascii="宋体" w:hAnsi="宋体" w:cs="宋体"/>
                <w:sz w:val="24"/>
              </w:rPr>
              <w:t>分3</w:t>
            </w:r>
            <w:r>
              <w:rPr>
                <w:rFonts w:ascii="宋体" w:hAnsi="宋体" w:cs="宋体"/>
                <w:sz w:val="24"/>
              </w:rPr>
              <w:t>0.244</w:t>
            </w:r>
            <w:r>
              <w:rPr>
                <w:rFonts w:hint="eastAsia" w:ascii="宋体" w:hAnsi="宋体" w:cs="宋体"/>
                <w:sz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adjustRightInd w:val="0"/>
              <w:snapToGrid w:val="0"/>
              <w:spacing w:line="300" w:lineRule="exact"/>
              <w:jc w:val="center"/>
              <w:rPr>
                <w:rFonts w:ascii="宋体" w:hAnsi="宋体" w:cs="宋体"/>
                <w:sz w:val="24"/>
              </w:rPr>
            </w:pPr>
            <w:r>
              <w:rPr>
                <w:rFonts w:hint="eastAsia" w:ascii="宋体" w:hAnsi="宋体" w:cs="宋体"/>
                <w:sz w:val="24"/>
              </w:rPr>
              <w:t>建设项目</w:t>
            </w:r>
          </w:p>
          <w:p>
            <w:pPr>
              <w:adjustRightInd w:val="0"/>
              <w:snapToGrid w:val="0"/>
              <w:spacing w:line="300" w:lineRule="exact"/>
              <w:jc w:val="center"/>
              <w:rPr>
                <w:rFonts w:ascii="宋体" w:hAnsi="宋体" w:cs="宋体"/>
                <w:sz w:val="24"/>
              </w:rPr>
            </w:pPr>
            <w:r>
              <w:rPr>
                <w:rFonts w:hint="eastAsia" w:ascii="宋体" w:hAnsi="宋体" w:cs="宋体"/>
                <w:sz w:val="24"/>
              </w:rPr>
              <w:t>行业类别</w:t>
            </w:r>
          </w:p>
        </w:tc>
        <w:tc>
          <w:tcPr>
            <w:tcW w:w="2308" w:type="dxa"/>
            <w:gridSpan w:val="3"/>
            <w:vAlign w:val="center"/>
          </w:tcPr>
          <w:p>
            <w:pPr>
              <w:adjustRightInd w:val="0"/>
              <w:snapToGrid w:val="0"/>
              <w:spacing w:line="380" w:lineRule="exact"/>
              <w:ind w:left="-30" w:leftChars="-80" w:right="-118" w:rightChars="-56" w:hanging="138" w:hangingChars="69"/>
              <w:jc w:val="center"/>
              <w:rPr>
                <w:rFonts w:ascii="宋体" w:hAnsi="宋体" w:cs="宋体"/>
                <w:spacing w:val="-20"/>
                <w:sz w:val="24"/>
              </w:rPr>
            </w:pPr>
            <w:r>
              <w:rPr>
                <w:rFonts w:hint="eastAsia" w:ascii="宋体" w:hAnsi="宋体" w:cs="宋体"/>
                <w:spacing w:val="-20"/>
                <w:sz w:val="24"/>
              </w:rPr>
              <w:t>四十六、专业技术服务</w:t>
            </w:r>
          </w:p>
          <w:p>
            <w:pPr>
              <w:adjustRightInd w:val="0"/>
              <w:snapToGrid w:val="0"/>
              <w:spacing w:line="380" w:lineRule="exact"/>
              <w:ind w:left="-30" w:leftChars="-80" w:right="-118" w:rightChars="-56" w:hanging="138" w:hangingChars="69"/>
              <w:jc w:val="center"/>
              <w:rPr>
                <w:rFonts w:ascii="宋体" w:hAnsi="宋体" w:cs="宋体"/>
                <w:spacing w:val="-20"/>
                <w:sz w:val="24"/>
              </w:rPr>
            </w:pPr>
            <w:r>
              <w:rPr>
                <w:rFonts w:hint="eastAsia" w:ascii="宋体" w:hAnsi="宋体" w:cs="宋体"/>
                <w:spacing w:val="-20"/>
                <w:sz w:val="24"/>
              </w:rPr>
              <w:t>业99陆地矿产资源地质</w:t>
            </w:r>
          </w:p>
          <w:p>
            <w:pPr>
              <w:adjustRightInd w:val="0"/>
              <w:snapToGrid w:val="0"/>
              <w:spacing w:line="380" w:lineRule="exact"/>
              <w:ind w:left="-2" w:leftChars="-1" w:right="-118" w:rightChars="-56" w:firstLine="2"/>
              <w:jc w:val="center"/>
              <w:rPr>
                <w:rFonts w:ascii="宋体" w:hAnsi="宋体" w:cs="宋体"/>
                <w:sz w:val="24"/>
              </w:rPr>
            </w:pPr>
            <w:r>
              <w:rPr>
                <w:rFonts w:hint="eastAsia" w:ascii="宋体" w:hAnsi="宋体" w:cs="宋体"/>
                <w:spacing w:val="-20"/>
                <w:sz w:val="24"/>
              </w:rPr>
              <w:t>勘查（含油气资源勘探）</w:t>
            </w:r>
          </w:p>
        </w:tc>
        <w:tc>
          <w:tcPr>
            <w:tcW w:w="1418" w:type="dxa"/>
            <w:vAlign w:val="center"/>
          </w:tcPr>
          <w:p>
            <w:pPr>
              <w:adjustRightInd w:val="0"/>
              <w:snapToGrid w:val="0"/>
              <w:spacing w:line="380" w:lineRule="exact"/>
              <w:jc w:val="center"/>
              <w:rPr>
                <w:rFonts w:ascii="宋体" w:hAnsi="宋体" w:cs="宋体"/>
                <w:sz w:val="24"/>
              </w:rPr>
            </w:pPr>
            <w:r>
              <w:rPr>
                <w:rFonts w:hint="eastAsia" w:ascii="宋体" w:hAnsi="宋体" w:cs="宋体"/>
                <w:sz w:val="24"/>
              </w:rPr>
              <w:t>用地面积（m</w:t>
            </w:r>
            <w:r>
              <w:rPr>
                <w:rFonts w:hint="eastAsia" w:ascii="宋体" w:hAnsi="宋体" w:cs="宋体"/>
                <w:sz w:val="24"/>
                <w:vertAlign w:val="superscript"/>
              </w:rPr>
              <w:t>2</w:t>
            </w:r>
            <w:r>
              <w:rPr>
                <w:rFonts w:hint="eastAsia" w:ascii="宋体" w:hAnsi="宋体" w:cs="宋体"/>
                <w:sz w:val="24"/>
              </w:rPr>
              <w:t>）/长度（km）</w:t>
            </w:r>
          </w:p>
        </w:tc>
        <w:tc>
          <w:tcPr>
            <w:tcW w:w="2998" w:type="dxa"/>
            <w:vAlign w:val="center"/>
          </w:tcPr>
          <w:p>
            <w:pPr>
              <w:adjustRightInd w:val="0"/>
              <w:snapToGrid w:val="0"/>
              <w:spacing w:line="380" w:lineRule="exact"/>
              <w:jc w:val="center"/>
              <w:rPr>
                <w:rFonts w:ascii="宋体" w:hAnsi="宋体" w:cs="宋体"/>
                <w:sz w:val="24"/>
              </w:rPr>
            </w:pPr>
            <w:r>
              <w:rPr>
                <w:rFonts w:ascii="宋体" w:hAnsi="宋体" w:cs="宋体"/>
                <w:sz w:val="24"/>
              </w:rPr>
              <w:t>20490</w:t>
            </w:r>
            <w:r>
              <w:rPr>
                <w:rFonts w:hint="eastAsia" w:ascii="宋体" w:hAnsi="宋体" w:cs="宋体"/>
                <w:sz w:val="24"/>
              </w:rPr>
              <w:t>（临时用地）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adjustRightInd w:val="0"/>
              <w:snapToGrid w:val="0"/>
              <w:spacing w:line="300" w:lineRule="exact"/>
              <w:jc w:val="center"/>
              <w:rPr>
                <w:rFonts w:ascii="宋体" w:hAnsi="宋体" w:cs="宋体"/>
                <w:sz w:val="24"/>
              </w:rPr>
            </w:pPr>
            <w:r>
              <w:rPr>
                <w:rFonts w:hint="eastAsia" w:ascii="宋体" w:hAnsi="宋体" w:cs="宋体"/>
                <w:sz w:val="24"/>
              </w:rPr>
              <w:t>建设性质</w:t>
            </w:r>
          </w:p>
        </w:tc>
        <w:tc>
          <w:tcPr>
            <w:tcW w:w="2308" w:type="dxa"/>
            <w:gridSpan w:val="3"/>
            <w:vAlign w:val="center"/>
          </w:tcPr>
          <w:p>
            <w:pPr>
              <w:adjustRightInd w:val="0"/>
              <w:snapToGrid w:val="0"/>
              <w:spacing w:line="380" w:lineRule="exact"/>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新建（迁建）</w:t>
            </w:r>
          </w:p>
          <w:p>
            <w:pPr>
              <w:adjustRightInd w:val="0"/>
              <w:snapToGrid w:val="0"/>
              <w:spacing w:line="380" w:lineRule="exact"/>
              <w:jc w:val="left"/>
              <w:rPr>
                <w:rFonts w:ascii="宋体" w:hAnsi="宋体" w:cs="宋体"/>
                <w:sz w:val="24"/>
              </w:rPr>
            </w:pPr>
            <w:r>
              <w:rPr>
                <w:rFonts w:hint="eastAsia" w:ascii="宋体" w:hAnsi="宋体" w:cs="宋体"/>
                <w:sz w:val="24"/>
              </w:rPr>
              <w:t>□改建</w:t>
            </w:r>
          </w:p>
          <w:p>
            <w:pPr>
              <w:adjustRightInd w:val="0"/>
              <w:snapToGrid w:val="0"/>
              <w:spacing w:line="380" w:lineRule="exact"/>
              <w:jc w:val="left"/>
              <w:rPr>
                <w:rFonts w:ascii="宋体" w:hAnsi="宋体" w:cs="宋体"/>
                <w:sz w:val="24"/>
              </w:rPr>
            </w:pPr>
            <w:r>
              <w:rPr>
                <w:rFonts w:hint="eastAsia" w:ascii="宋体" w:hAnsi="宋体" w:cs="宋体"/>
                <w:sz w:val="24"/>
              </w:rPr>
              <w:t>□扩建</w:t>
            </w:r>
          </w:p>
          <w:p>
            <w:pPr>
              <w:adjustRightInd w:val="0"/>
              <w:snapToGrid w:val="0"/>
              <w:spacing w:line="380" w:lineRule="exact"/>
              <w:jc w:val="left"/>
              <w:rPr>
                <w:rFonts w:ascii="宋体" w:hAnsi="宋体" w:cs="宋体"/>
                <w:sz w:val="24"/>
              </w:rPr>
            </w:pPr>
            <w:r>
              <w:rPr>
                <w:rFonts w:hint="eastAsia" w:ascii="宋体" w:hAnsi="宋体" w:cs="宋体"/>
                <w:sz w:val="24"/>
              </w:rPr>
              <w:t>□技术改造</w:t>
            </w:r>
          </w:p>
        </w:tc>
        <w:tc>
          <w:tcPr>
            <w:tcW w:w="1418" w:type="dxa"/>
            <w:vAlign w:val="center"/>
          </w:tcPr>
          <w:p>
            <w:pPr>
              <w:adjustRightInd w:val="0"/>
              <w:snapToGrid w:val="0"/>
              <w:spacing w:line="380" w:lineRule="exact"/>
              <w:jc w:val="center"/>
              <w:rPr>
                <w:rFonts w:ascii="宋体" w:hAnsi="宋体" w:cs="宋体"/>
                <w:sz w:val="24"/>
              </w:rPr>
            </w:pPr>
            <w:r>
              <w:rPr>
                <w:rFonts w:hint="eastAsia" w:ascii="宋体" w:hAnsi="宋体" w:cs="宋体"/>
                <w:sz w:val="24"/>
              </w:rPr>
              <w:t>建设项目</w:t>
            </w:r>
          </w:p>
          <w:p>
            <w:pPr>
              <w:adjustRightInd w:val="0"/>
              <w:snapToGrid w:val="0"/>
              <w:spacing w:line="380" w:lineRule="exact"/>
              <w:jc w:val="center"/>
              <w:rPr>
                <w:rFonts w:ascii="宋体" w:hAnsi="宋体" w:cs="宋体"/>
                <w:sz w:val="24"/>
              </w:rPr>
            </w:pPr>
            <w:r>
              <w:rPr>
                <w:rFonts w:hint="eastAsia" w:ascii="宋体" w:hAnsi="宋体" w:cs="宋体"/>
                <w:sz w:val="24"/>
              </w:rPr>
              <w:t>申报情形</w:t>
            </w:r>
          </w:p>
        </w:tc>
        <w:tc>
          <w:tcPr>
            <w:tcW w:w="2998" w:type="dxa"/>
            <w:vAlign w:val="center"/>
          </w:tcPr>
          <w:p>
            <w:pPr>
              <w:adjustRightInd w:val="0"/>
              <w:snapToGrid w:val="0"/>
              <w:spacing w:line="380" w:lineRule="exact"/>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首次申报项目</w:t>
            </w:r>
          </w:p>
          <w:p>
            <w:pPr>
              <w:adjustRightInd w:val="0"/>
              <w:snapToGrid w:val="0"/>
              <w:spacing w:line="380" w:lineRule="exact"/>
              <w:jc w:val="left"/>
              <w:rPr>
                <w:rFonts w:ascii="宋体" w:hAnsi="宋体" w:cs="宋体"/>
                <w:spacing w:val="-23"/>
                <w:sz w:val="24"/>
              </w:rPr>
            </w:pPr>
            <w:r>
              <w:rPr>
                <w:rFonts w:hint="eastAsia" w:ascii="宋体" w:hAnsi="宋体" w:cs="宋体"/>
                <w:spacing w:val="-23"/>
                <w:sz w:val="24"/>
              </w:rPr>
              <w:t>□不予批准后再次申报项目</w:t>
            </w:r>
          </w:p>
          <w:p>
            <w:pPr>
              <w:adjustRightInd w:val="0"/>
              <w:snapToGrid w:val="0"/>
              <w:spacing w:line="380" w:lineRule="exact"/>
              <w:jc w:val="left"/>
              <w:rPr>
                <w:rFonts w:ascii="宋体" w:hAnsi="宋体" w:cs="宋体"/>
                <w:spacing w:val="-6"/>
                <w:sz w:val="24"/>
              </w:rPr>
            </w:pPr>
            <w:r>
              <w:rPr>
                <w:rFonts w:hint="eastAsia" w:ascii="宋体" w:hAnsi="宋体" w:cs="宋体"/>
                <w:spacing w:val="-6"/>
                <w:sz w:val="24"/>
              </w:rPr>
              <w:t>□超五年重新审核项目</w:t>
            </w:r>
          </w:p>
          <w:p>
            <w:pPr>
              <w:adjustRightInd w:val="0"/>
              <w:snapToGrid w:val="0"/>
              <w:spacing w:line="380" w:lineRule="exact"/>
              <w:rPr>
                <w:rFonts w:ascii="宋体" w:hAnsi="宋体" w:cs="宋体"/>
                <w:sz w:val="24"/>
              </w:rPr>
            </w:pPr>
            <w:r>
              <w:rPr>
                <w:rFonts w:hint="eastAsia" w:ascii="宋体" w:hAnsi="宋体" w:cs="宋体"/>
                <w:spacing w:val="-11"/>
                <w:sz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adjustRightInd w:val="0"/>
              <w:snapToGrid w:val="0"/>
              <w:spacing w:line="300" w:lineRule="exact"/>
              <w:jc w:val="center"/>
              <w:rPr>
                <w:rFonts w:ascii="宋体" w:hAnsi="宋体" w:cs="宋体"/>
                <w:sz w:val="24"/>
              </w:rPr>
            </w:pPr>
            <w:r>
              <w:rPr>
                <w:rFonts w:hint="eastAsia" w:ascii="宋体" w:hAnsi="宋体" w:cs="宋体"/>
                <w:sz w:val="24"/>
              </w:rPr>
              <w:t>项目审批（核准/备案）部门</w:t>
            </w:r>
          </w:p>
        </w:tc>
        <w:tc>
          <w:tcPr>
            <w:tcW w:w="2308" w:type="dxa"/>
            <w:gridSpan w:val="3"/>
            <w:vAlign w:val="center"/>
          </w:tcPr>
          <w:p>
            <w:pPr>
              <w:adjustRightInd w:val="0"/>
              <w:snapToGrid w:val="0"/>
              <w:spacing w:line="380" w:lineRule="exact"/>
              <w:jc w:val="center"/>
              <w:rPr>
                <w:rFonts w:ascii="宋体" w:hAnsi="宋体" w:cs="宋体"/>
                <w:sz w:val="24"/>
              </w:rPr>
            </w:pPr>
            <w:r>
              <w:rPr>
                <w:rFonts w:hint="eastAsia" w:ascii="宋体" w:hAnsi="宋体" w:cs="宋体"/>
                <w:sz w:val="24"/>
              </w:rPr>
              <w:t>无</w:t>
            </w:r>
          </w:p>
        </w:tc>
        <w:tc>
          <w:tcPr>
            <w:tcW w:w="1418" w:type="dxa"/>
            <w:vAlign w:val="center"/>
          </w:tcPr>
          <w:p>
            <w:pPr>
              <w:adjustRightInd w:val="0"/>
              <w:snapToGrid w:val="0"/>
              <w:spacing w:line="380" w:lineRule="exact"/>
              <w:jc w:val="center"/>
              <w:rPr>
                <w:rFonts w:ascii="宋体" w:hAnsi="宋体" w:cs="宋体"/>
                <w:sz w:val="24"/>
              </w:rPr>
            </w:pPr>
            <w:r>
              <w:rPr>
                <w:rFonts w:hint="eastAsia" w:ascii="宋体" w:hAnsi="宋体" w:cs="宋体"/>
                <w:sz w:val="24"/>
              </w:rPr>
              <w:t>项目审批（核准/备案）文号</w:t>
            </w:r>
          </w:p>
        </w:tc>
        <w:tc>
          <w:tcPr>
            <w:tcW w:w="2998" w:type="dxa"/>
            <w:vAlign w:val="center"/>
          </w:tcPr>
          <w:p>
            <w:pPr>
              <w:adjustRightInd w:val="0"/>
              <w:snapToGrid w:val="0"/>
              <w:spacing w:line="380" w:lineRule="exact"/>
              <w:jc w:val="center"/>
              <w:rPr>
                <w:rFonts w:ascii="宋体" w:hAnsi="宋体" w:cs="宋体"/>
                <w:sz w:val="24"/>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adjustRightInd w:val="0"/>
              <w:snapToGrid w:val="0"/>
              <w:spacing w:line="300" w:lineRule="exact"/>
              <w:jc w:val="center"/>
              <w:rPr>
                <w:rFonts w:ascii="宋体" w:hAnsi="宋体" w:cs="宋体"/>
                <w:sz w:val="24"/>
              </w:rPr>
            </w:pPr>
            <w:r>
              <w:rPr>
                <w:rFonts w:hint="eastAsia" w:ascii="宋体" w:hAnsi="宋体" w:cs="宋体"/>
                <w:sz w:val="24"/>
              </w:rPr>
              <w:t>总投资</w:t>
            </w:r>
          </w:p>
          <w:p>
            <w:pPr>
              <w:adjustRightInd w:val="0"/>
              <w:snapToGrid w:val="0"/>
              <w:spacing w:line="300" w:lineRule="exact"/>
              <w:jc w:val="center"/>
              <w:rPr>
                <w:rFonts w:ascii="宋体" w:hAnsi="宋体" w:cs="宋体"/>
                <w:sz w:val="24"/>
              </w:rPr>
            </w:pPr>
            <w:r>
              <w:rPr>
                <w:rFonts w:hint="eastAsia" w:ascii="宋体" w:hAnsi="宋体" w:cs="宋体"/>
                <w:sz w:val="24"/>
              </w:rPr>
              <w:t>（万元）</w:t>
            </w:r>
          </w:p>
        </w:tc>
        <w:tc>
          <w:tcPr>
            <w:tcW w:w="2308" w:type="dxa"/>
            <w:gridSpan w:val="3"/>
            <w:vAlign w:val="center"/>
          </w:tcPr>
          <w:p>
            <w:pPr>
              <w:adjustRightInd w:val="0"/>
              <w:snapToGrid w:val="0"/>
              <w:spacing w:line="380" w:lineRule="exact"/>
              <w:jc w:val="center"/>
              <w:rPr>
                <w:rFonts w:ascii="宋体" w:hAnsi="宋体" w:cs="宋体"/>
                <w:sz w:val="24"/>
              </w:rPr>
            </w:pPr>
            <w:r>
              <w:rPr>
                <w:rFonts w:ascii="宋体" w:hAnsi="宋体" w:cs="宋体"/>
                <w:sz w:val="24"/>
              </w:rPr>
              <w:t>800</w:t>
            </w:r>
          </w:p>
        </w:tc>
        <w:tc>
          <w:tcPr>
            <w:tcW w:w="1418" w:type="dxa"/>
            <w:vAlign w:val="center"/>
          </w:tcPr>
          <w:p>
            <w:pPr>
              <w:adjustRightInd w:val="0"/>
              <w:snapToGrid w:val="0"/>
              <w:spacing w:line="380" w:lineRule="exact"/>
              <w:jc w:val="center"/>
              <w:rPr>
                <w:rFonts w:ascii="宋体" w:hAnsi="宋体" w:cs="宋体"/>
                <w:sz w:val="24"/>
              </w:rPr>
            </w:pPr>
            <w:r>
              <w:rPr>
                <w:rFonts w:hint="eastAsia" w:ascii="宋体" w:hAnsi="宋体" w:cs="宋体"/>
                <w:sz w:val="24"/>
              </w:rPr>
              <w:t>环保投资</w:t>
            </w:r>
          </w:p>
          <w:p>
            <w:pPr>
              <w:adjustRightInd w:val="0"/>
              <w:snapToGrid w:val="0"/>
              <w:spacing w:line="380" w:lineRule="exact"/>
              <w:jc w:val="center"/>
              <w:rPr>
                <w:rFonts w:ascii="宋体" w:hAnsi="宋体" w:cs="宋体"/>
                <w:sz w:val="24"/>
              </w:rPr>
            </w:pPr>
            <w:r>
              <w:rPr>
                <w:rFonts w:hint="eastAsia" w:ascii="宋体" w:hAnsi="宋体" w:cs="宋体"/>
                <w:sz w:val="24"/>
              </w:rPr>
              <w:t>（万元）</w:t>
            </w:r>
          </w:p>
        </w:tc>
        <w:tc>
          <w:tcPr>
            <w:tcW w:w="2998" w:type="dxa"/>
            <w:vAlign w:val="center"/>
          </w:tcPr>
          <w:p>
            <w:pPr>
              <w:adjustRightInd w:val="0"/>
              <w:snapToGrid w:val="0"/>
              <w:spacing w:line="380" w:lineRule="exact"/>
              <w:jc w:val="center"/>
              <w:rPr>
                <w:rFonts w:ascii="宋体" w:hAnsi="宋体" w:cs="宋体"/>
                <w:sz w:val="24"/>
              </w:rPr>
            </w:pPr>
            <w:r>
              <w:rPr>
                <w:rFonts w:ascii="宋体" w:hAnsi="宋体" w:cs="宋体"/>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adjustRightInd w:val="0"/>
              <w:snapToGrid w:val="0"/>
              <w:spacing w:line="300" w:lineRule="exact"/>
              <w:jc w:val="center"/>
              <w:rPr>
                <w:rFonts w:ascii="宋体" w:hAnsi="宋体" w:cs="宋体"/>
                <w:sz w:val="24"/>
              </w:rPr>
            </w:pPr>
            <w:r>
              <w:rPr>
                <w:rFonts w:hint="eastAsia" w:ascii="宋体" w:hAnsi="宋体" w:cs="宋体"/>
                <w:sz w:val="24"/>
              </w:rPr>
              <w:t>环保投资占比（%）</w:t>
            </w:r>
          </w:p>
        </w:tc>
        <w:tc>
          <w:tcPr>
            <w:tcW w:w="2308" w:type="dxa"/>
            <w:gridSpan w:val="3"/>
            <w:vAlign w:val="center"/>
          </w:tcPr>
          <w:p>
            <w:pPr>
              <w:adjustRightInd w:val="0"/>
              <w:snapToGrid w:val="0"/>
              <w:spacing w:line="400" w:lineRule="exact"/>
              <w:jc w:val="center"/>
              <w:rPr>
                <w:rFonts w:ascii="宋体" w:hAnsi="宋体" w:cs="宋体"/>
                <w:sz w:val="24"/>
              </w:rPr>
            </w:pPr>
            <w:r>
              <w:rPr>
                <w:rFonts w:ascii="宋体" w:hAnsi="宋体" w:cs="宋体"/>
                <w:sz w:val="24"/>
              </w:rPr>
              <w:t>6.5</w:t>
            </w:r>
          </w:p>
        </w:tc>
        <w:tc>
          <w:tcPr>
            <w:tcW w:w="1418" w:type="dxa"/>
            <w:vAlign w:val="center"/>
          </w:tcPr>
          <w:p>
            <w:pPr>
              <w:adjustRightInd w:val="0"/>
              <w:snapToGrid w:val="0"/>
              <w:spacing w:line="400" w:lineRule="exact"/>
              <w:jc w:val="center"/>
              <w:rPr>
                <w:rFonts w:ascii="宋体" w:hAnsi="宋体" w:cs="宋体"/>
                <w:sz w:val="24"/>
              </w:rPr>
            </w:pPr>
            <w:r>
              <w:rPr>
                <w:rFonts w:hint="eastAsia" w:ascii="宋体" w:hAnsi="宋体" w:cs="宋体"/>
                <w:sz w:val="24"/>
              </w:rPr>
              <w:t>施工工期</w:t>
            </w:r>
          </w:p>
        </w:tc>
        <w:tc>
          <w:tcPr>
            <w:tcW w:w="2998" w:type="dxa"/>
            <w:vAlign w:val="center"/>
          </w:tcPr>
          <w:p>
            <w:pPr>
              <w:adjustRightInd w:val="0"/>
              <w:snapToGrid w:val="0"/>
              <w:spacing w:line="400" w:lineRule="exact"/>
              <w:jc w:val="center"/>
              <w:rPr>
                <w:rFonts w:ascii="宋体" w:hAnsi="宋体" w:cs="宋体"/>
                <w:spacing w:val="-4"/>
                <w:sz w:val="24"/>
              </w:rPr>
            </w:pPr>
            <w:r>
              <w:rPr>
                <w:rFonts w:hint="eastAsia" w:ascii="宋体" w:hAnsi="宋体" w:cs="宋体"/>
                <w:spacing w:val="-4"/>
                <w:sz w:val="24"/>
              </w:rPr>
              <w:t>钻井期93天</w:t>
            </w:r>
          </w:p>
          <w:p>
            <w:pPr>
              <w:adjustRightInd w:val="0"/>
              <w:snapToGrid w:val="0"/>
              <w:spacing w:line="400" w:lineRule="exact"/>
              <w:jc w:val="center"/>
              <w:rPr>
                <w:rFonts w:ascii="宋体" w:hAnsi="宋体" w:cs="宋体"/>
                <w:sz w:val="24"/>
              </w:rPr>
            </w:pPr>
            <w:r>
              <w:rPr>
                <w:rFonts w:hint="eastAsia" w:ascii="宋体" w:hAnsi="宋体" w:cs="宋体"/>
                <w:spacing w:val="-4"/>
                <w:sz w:val="24"/>
              </w:rPr>
              <w:t>试油期</w:t>
            </w:r>
            <w:r>
              <w:rPr>
                <w:rFonts w:ascii="宋体" w:hAnsi="宋体" w:cs="宋体"/>
                <w:spacing w:val="-4"/>
                <w:sz w:val="24"/>
              </w:rPr>
              <w:t>90</w:t>
            </w:r>
            <w:r>
              <w:rPr>
                <w:rFonts w:hint="eastAsia" w:ascii="宋体" w:hAnsi="宋体" w:cs="宋体"/>
                <w:spacing w:val="-4"/>
                <w:sz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adjustRightInd w:val="0"/>
              <w:snapToGrid w:val="0"/>
              <w:spacing w:line="300" w:lineRule="exact"/>
              <w:jc w:val="center"/>
              <w:rPr>
                <w:rFonts w:ascii="宋体" w:hAnsi="宋体" w:cs="宋体"/>
                <w:sz w:val="24"/>
              </w:rPr>
            </w:pPr>
            <w:r>
              <w:rPr>
                <w:rFonts w:hint="eastAsia" w:ascii="宋体" w:hAnsi="宋体" w:cs="宋体"/>
                <w:sz w:val="24"/>
              </w:rPr>
              <w:t>是否开工建设</w:t>
            </w:r>
          </w:p>
        </w:tc>
        <w:tc>
          <w:tcPr>
            <w:tcW w:w="6724" w:type="dxa"/>
            <w:gridSpan w:val="5"/>
            <w:vAlign w:val="center"/>
          </w:tcPr>
          <w:p>
            <w:pPr>
              <w:adjustRightInd w:val="0"/>
              <w:snapToGrid w:val="0"/>
              <w:spacing w:line="400" w:lineRule="exact"/>
              <w:ind w:firstLine="105"/>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否</w:t>
            </w:r>
          </w:p>
          <w:p>
            <w:pPr>
              <w:adjustRightInd w:val="0"/>
              <w:snapToGrid w:val="0"/>
              <w:spacing w:line="400" w:lineRule="exact"/>
              <w:ind w:firstLine="92"/>
              <w:jc w:val="left"/>
              <w:rPr>
                <w:rFonts w:ascii="宋体" w:hAnsi="宋体" w:cs="宋体"/>
                <w:sz w:val="24"/>
              </w:rPr>
            </w:pPr>
            <w:r>
              <w:rPr>
                <w:rFonts w:hint="eastAsia" w:ascii="宋体" w:hAnsi="宋体" w:cs="宋体"/>
                <w:sz w:val="24"/>
              </w:rPr>
              <w:t>□是：</w:t>
            </w:r>
            <w:r>
              <w:rPr>
                <w:rFonts w:hint="eastAsia" w:ascii="宋体" w:hAnsi="宋体"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8" w:type="dxa"/>
            <w:gridSpan w:val="3"/>
            <w:vAlign w:val="center"/>
          </w:tcPr>
          <w:p>
            <w:pPr>
              <w:autoSpaceDE w:val="0"/>
              <w:autoSpaceDN w:val="0"/>
              <w:adjustRightInd w:val="0"/>
              <w:snapToGrid w:val="0"/>
              <w:spacing w:line="300" w:lineRule="exact"/>
              <w:jc w:val="center"/>
              <w:rPr>
                <w:rFonts w:ascii="宋体" w:hAnsi="宋体" w:cs="宋体"/>
                <w:kern w:val="0"/>
                <w:sz w:val="24"/>
              </w:rPr>
            </w:pPr>
            <w:r>
              <w:rPr>
                <w:rFonts w:hint="eastAsia" w:ascii="宋体" w:hAnsi="宋体" w:cs="宋体"/>
                <w:kern w:val="0"/>
                <w:sz w:val="24"/>
              </w:rPr>
              <w:t>专项评价</w:t>
            </w:r>
          </w:p>
          <w:p>
            <w:pPr>
              <w:autoSpaceDE w:val="0"/>
              <w:autoSpaceDN w:val="0"/>
              <w:adjustRightInd w:val="0"/>
              <w:snapToGrid w:val="0"/>
              <w:spacing w:line="300" w:lineRule="exact"/>
              <w:jc w:val="center"/>
              <w:rPr>
                <w:rFonts w:ascii="宋体" w:hAnsi="宋体" w:cs="宋体"/>
                <w:sz w:val="24"/>
              </w:rPr>
            </w:pPr>
            <w:r>
              <w:rPr>
                <w:rFonts w:hint="eastAsia" w:ascii="宋体" w:hAnsi="宋体" w:cs="宋体"/>
                <w:kern w:val="0"/>
                <w:sz w:val="24"/>
              </w:rPr>
              <w:t>设置情况</w:t>
            </w:r>
          </w:p>
        </w:tc>
        <w:tc>
          <w:tcPr>
            <w:tcW w:w="6724" w:type="dxa"/>
            <w:gridSpan w:val="5"/>
            <w:vAlign w:val="center"/>
          </w:tcPr>
          <w:p>
            <w:pPr>
              <w:autoSpaceDE w:val="0"/>
              <w:autoSpaceDN w:val="0"/>
              <w:adjustRightInd w:val="0"/>
              <w:snapToGrid w:val="0"/>
              <w:spacing w:line="400" w:lineRule="exact"/>
              <w:jc w:val="center"/>
              <w:rPr>
                <w:rFonts w:ascii="宋体" w:hAnsi="宋体" w:cs="宋体"/>
                <w:sz w:val="24"/>
              </w:rPr>
            </w:pPr>
            <w:r>
              <w:rPr>
                <w:rFonts w:hint="eastAsia" w:ascii="宋体" w:hAnsi="宋体" w:cs="宋体"/>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798" w:type="dxa"/>
            <w:gridSpan w:val="3"/>
            <w:vAlign w:val="center"/>
          </w:tcPr>
          <w:p>
            <w:pPr>
              <w:autoSpaceDE w:val="0"/>
              <w:autoSpaceDN w:val="0"/>
              <w:adjustRightInd w:val="0"/>
              <w:snapToGrid w:val="0"/>
              <w:spacing w:line="300" w:lineRule="exact"/>
              <w:jc w:val="center"/>
              <w:rPr>
                <w:rFonts w:ascii="宋体" w:hAnsi="宋体" w:cs="宋体"/>
                <w:sz w:val="24"/>
              </w:rPr>
            </w:pPr>
            <w:r>
              <w:rPr>
                <w:rFonts w:hint="eastAsia" w:ascii="宋体" w:hAnsi="宋体" w:cs="宋体"/>
                <w:sz w:val="24"/>
              </w:rPr>
              <w:t>规划情况</w:t>
            </w:r>
          </w:p>
        </w:tc>
        <w:tc>
          <w:tcPr>
            <w:tcW w:w="6724" w:type="dxa"/>
            <w:gridSpan w:val="5"/>
            <w:vAlign w:val="center"/>
          </w:tcPr>
          <w:p>
            <w:pPr>
              <w:pStyle w:val="22"/>
              <w:snapToGrid w:val="0"/>
              <w:spacing w:line="300" w:lineRule="exact"/>
              <w:ind w:firstLine="480"/>
              <w:rPr>
                <w:rFonts w:cs="宋体"/>
              </w:rPr>
            </w:pPr>
            <w:r>
              <w:rPr>
                <w:rFonts w:hint="eastAsia" w:cs="宋体"/>
              </w:rPr>
              <w:t>国土资源部于2017年9月26日发布《国土资源部关于新疆维吾尔自治区矿产资源总体规划（2016—2020年）的复函》（国土资函〔2017〕625号），同意实施</w:t>
            </w:r>
            <w:bookmarkStart w:id="4" w:name="_Hlk105515260"/>
            <w:r>
              <w:rPr>
                <w:rFonts w:hint="eastAsia" w:cs="宋体"/>
              </w:rPr>
              <w:t>《新疆维吾尔自治区矿产资源总体规划（2016—2020年）》</w:t>
            </w:r>
            <w:bookmarkEnd w:id="4"/>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798" w:type="dxa"/>
            <w:gridSpan w:val="3"/>
            <w:vAlign w:val="center"/>
          </w:tcPr>
          <w:p>
            <w:pPr>
              <w:autoSpaceDE w:val="0"/>
              <w:autoSpaceDN w:val="0"/>
              <w:adjustRightInd w:val="0"/>
              <w:snapToGrid w:val="0"/>
              <w:spacing w:line="300" w:lineRule="exact"/>
              <w:jc w:val="center"/>
              <w:rPr>
                <w:rFonts w:ascii="宋体" w:hAnsi="宋体" w:cs="宋体"/>
                <w:sz w:val="24"/>
              </w:rPr>
            </w:pPr>
            <w:r>
              <w:rPr>
                <w:rFonts w:hint="eastAsia" w:ascii="宋体" w:hAnsi="宋体" w:cs="宋体"/>
                <w:sz w:val="24"/>
              </w:rPr>
              <w:t>规划环境影响</w:t>
            </w:r>
          </w:p>
          <w:p>
            <w:pPr>
              <w:autoSpaceDE w:val="0"/>
              <w:autoSpaceDN w:val="0"/>
              <w:adjustRightInd w:val="0"/>
              <w:snapToGrid w:val="0"/>
              <w:spacing w:line="300" w:lineRule="exact"/>
              <w:jc w:val="center"/>
              <w:rPr>
                <w:rFonts w:ascii="宋体" w:hAnsi="宋体" w:cs="宋体"/>
                <w:sz w:val="24"/>
              </w:rPr>
            </w:pPr>
            <w:r>
              <w:rPr>
                <w:rFonts w:hint="eastAsia" w:ascii="宋体" w:hAnsi="宋体" w:cs="宋体"/>
                <w:sz w:val="24"/>
              </w:rPr>
              <w:t>评价情况</w:t>
            </w:r>
          </w:p>
        </w:tc>
        <w:tc>
          <w:tcPr>
            <w:tcW w:w="6724" w:type="dxa"/>
            <w:gridSpan w:val="5"/>
            <w:vAlign w:val="center"/>
          </w:tcPr>
          <w:p>
            <w:pPr>
              <w:pStyle w:val="22"/>
              <w:snapToGrid w:val="0"/>
              <w:spacing w:line="300" w:lineRule="exact"/>
              <w:ind w:firstLine="480"/>
              <w:rPr>
                <w:rFonts w:cs="宋体"/>
              </w:rPr>
            </w:pPr>
            <w:r>
              <w:rPr>
                <w:rFonts w:hint="eastAsia" w:cs="宋体"/>
              </w:rPr>
              <w:t>《新疆维吾尔自治区矿产资源总体规划（2016—2020年）环境影响报告书》于2017年8月3日通过原环境保护部（现生态环境部）审查，文号为环审〔2017〕114号。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798" w:type="dxa"/>
            <w:gridSpan w:val="3"/>
            <w:vAlign w:val="center"/>
          </w:tcPr>
          <w:p>
            <w:pPr>
              <w:autoSpaceDE w:val="0"/>
              <w:autoSpaceDN w:val="0"/>
              <w:adjustRightInd w:val="0"/>
              <w:snapToGrid w:val="0"/>
              <w:spacing w:line="300" w:lineRule="exact"/>
              <w:jc w:val="center"/>
              <w:rPr>
                <w:rFonts w:ascii="宋体" w:hAnsi="宋体" w:cs="宋体"/>
                <w:sz w:val="24"/>
              </w:rPr>
            </w:pPr>
            <w:r>
              <w:rPr>
                <w:rFonts w:hint="eastAsia" w:ascii="宋体" w:hAnsi="宋体" w:cs="宋体"/>
                <w:kern w:val="0"/>
                <w:sz w:val="24"/>
              </w:rPr>
              <w:t>规划及</w:t>
            </w:r>
            <w:r>
              <w:rPr>
                <w:rFonts w:hint="eastAsia" w:ascii="宋体" w:hAnsi="宋体" w:cs="宋体"/>
                <w:sz w:val="24"/>
              </w:rPr>
              <w:t>规划环境影响评价</w:t>
            </w:r>
            <w:r>
              <w:rPr>
                <w:rFonts w:hint="eastAsia" w:ascii="宋体" w:hAnsi="宋体" w:cs="宋体"/>
                <w:kern w:val="0"/>
                <w:sz w:val="24"/>
              </w:rPr>
              <w:t>符合性分析</w:t>
            </w:r>
          </w:p>
        </w:tc>
        <w:tc>
          <w:tcPr>
            <w:tcW w:w="6724" w:type="dxa"/>
            <w:gridSpan w:val="5"/>
            <w:vAlign w:val="center"/>
          </w:tcPr>
          <w:p>
            <w:pPr>
              <w:pStyle w:val="22"/>
              <w:snapToGrid w:val="0"/>
              <w:spacing w:line="300" w:lineRule="exact"/>
              <w:ind w:firstLine="480"/>
              <w:rPr>
                <w:rFonts w:cs="宋体"/>
                <w:kern w:val="2"/>
              </w:rPr>
            </w:pPr>
            <w:r>
              <w:rPr>
                <w:rFonts w:hint="eastAsia" w:cs="宋体"/>
                <w:kern w:val="2"/>
              </w:rPr>
              <w:t>规划</w:t>
            </w:r>
            <w:r>
              <w:rPr>
                <w:rFonts w:hint="eastAsia" w:cs="宋体"/>
                <w:kern w:val="2"/>
                <w:lang w:eastAsia="zh-Hans"/>
              </w:rPr>
              <w:t>和规划环评</w:t>
            </w:r>
            <w:r>
              <w:rPr>
                <w:rFonts w:hint="eastAsia" w:cs="宋体"/>
                <w:kern w:val="2"/>
              </w:rPr>
              <w:t>将石油天然气列为</w:t>
            </w:r>
            <w:r>
              <w:rPr>
                <w:rFonts w:hint="eastAsia" w:cs="宋体"/>
                <w:kern w:val="2"/>
                <w:lang w:eastAsia="zh-Hans"/>
              </w:rPr>
              <w:t>新疆</w:t>
            </w:r>
            <w:r>
              <w:rPr>
                <w:rFonts w:hint="eastAsia" w:cs="宋体"/>
                <w:kern w:val="2"/>
              </w:rPr>
              <w:t>安全战略资源，</w:t>
            </w:r>
            <w:r>
              <w:rPr>
                <w:rFonts w:hint="eastAsia" w:cs="宋体"/>
                <w:kern w:val="2"/>
                <w:lang w:eastAsia="zh-Hans"/>
              </w:rPr>
              <w:t>鼓励勘探和开发</w:t>
            </w:r>
            <w:r>
              <w:rPr>
                <w:rFonts w:cs="宋体"/>
                <w:kern w:val="2"/>
                <w:lang w:eastAsia="zh-Hans"/>
              </w:rPr>
              <w:t>，</w:t>
            </w:r>
            <w:r>
              <w:rPr>
                <w:rFonts w:hint="eastAsia" w:cs="宋体"/>
                <w:kern w:val="2"/>
                <w:lang w:eastAsia="zh-Hans"/>
              </w:rPr>
              <w:t>并将</w:t>
            </w:r>
            <w:r>
              <w:rPr>
                <w:rFonts w:hint="eastAsia" w:cs="宋体"/>
                <w:kern w:val="2"/>
              </w:rPr>
              <w:t>准噶尔盆地</w:t>
            </w:r>
            <w:r>
              <w:rPr>
                <w:rFonts w:hint="eastAsia" w:cs="宋体"/>
                <w:kern w:val="2"/>
                <w:lang w:eastAsia="zh-Hans"/>
              </w:rPr>
              <w:t>及周</w:t>
            </w:r>
            <w:r>
              <w:rPr>
                <w:rFonts w:hint="eastAsia" w:cs="宋体"/>
                <w:kern w:val="2"/>
              </w:rPr>
              <w:t>缘</w:t>
            </w:r>
            <w:r>
              <w:rPr>
                <w:rFonts w:hint="eastAsia" w:cs="宋体"/>
                <w:kern w:val="2"/>
                <w:lang w:eastAsia="zh-Hans"/>
              </w:rPr>
              <w:t>划定为</w:t>
            </w:r>
            <w:r>
              <w:rPr>
                <w:rFonts w:hint="eastAsia" w:cs="宋体"/>
                <w:kern w:val="2"/>
              </w:rPr>
              <w:t>重点勘探开发区域，</w:t>
            </w:r>
            <w:r>
              <w:rPr>
                <w:rFonts w:hint="eastAsia" w:cs="宋体"/>
                <w:kern w:val="2"/>
                <w:lang w:eastAsia="zh-Hans"/>
              </w:rPr>
              <w:t>因此本项目</w:t>
            </w:r>
            <w:r>
              <w:rPr>
                <w:rFonts w:hint="eastAsia" w:cs="宋体"/>
              </w:rPr>
              <w:t>符合规划及规划环评相关要求</w:t>
            </w:r>
            <w:r>
              <w:rPr>
                <w:rFonts w:hint="eastAsia" w:cs="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restart"/>
            <w:vAlign w:val="center"/>
          </w:tcPr>
          <w:p>
            <w:pPr>
              <w:autoSpaceDE w:val="0"/>
              <w:autoSpaceDN w:val="0"/>
              <w:adjustRightInd w:val="0"/>
              <w:snapToGrid w:val="0"/>
              <w:spacing w:line="360" w:lineRule="exact"/>
              <w:jc w:val="center"/>
              <w:rPr>
                <w:rFonts w:ascii="宋体" w:hAnsi="宋体" w:cs="宋体"/>
                <w:kern w:val="0"/>
                <w:sz w:val="24"/>
              </w:rPr>
            </w:pPr>
            <w:r>
              <w:rPr>
                <w:rFonts w:hint="eastAsia" w:ascii="宋体" w:hAnsi="宋体" w:cs="宋体"/>
                <w:kern w:val="0"/>
                <w:sz w:val="24"/>
              </w:rPr>
              <w:t>其他符合性分析</w:t>
            </w:r>
          </w:p>
        </w:tc>
        <w:tc>
          <w:tcPr>
            <w:tcW w:w="1293" w:type="dxa"/>
            <w:gridSpan w:val="2"/>
            <w:vAlign w:val="center"/>
          </w:tcPr>
          <w:p>
            <w:pPr>
              <w:autoSpaceDE w:val="0"/>
              <w:autoSpaceDN w:val="0"/>
              <w:adjustRightInd w:val="0"/>
              <w:snapToGrid w:val="0"/>
              <w:spacing w:line="400" w:lineRule="exact"/>
              <w:jc w:val="center"/>
              <w:rPr>
                <w:rFonts w:ascii="宋体" w:hAnsi="宋体" w:cs="宋体"/>
                <w:kern w:val="0"/>
                <w:sz w:val="24"/>
              </w:rPr>
            </w:pPr>
            <w:r>
              <w:rPr>
                <w:rFonts w:hint="eastAsia" w:ascii="宋体" w:hAnsi="宋体" w:cs="宋体"/>
                <w:kern w:val="0"/>
                <w:sz w:val="24"/>
              </w:rPr>
              <w:t>产业政策</w:t>
            </w:r>
          </w:p>
        </w:tc>
        <w:tc>
          <w:tcPr>
            <w:tcW w:w="6724" w:type="dxa"/>
            <w:gridSpan w:val="5"/>
            <w:vAlign w:val="center"/>
          </w:tcPr>
          <w:p>
            <w:pPr>
              <w:snapToGrid w:val="0"/>
              <w:spacing w:line="400" w:lineRule="exact"/>
              <w:ind w:firstLine="480" w:firstLineChars="200"/>
              <w:rPr>
                <w:rFonts w:ascii="宋体" w:hAnsi="宋体" w:cs="宋体"/>
                <w:sz w:val="24"/>
              </w:rPr>
            </w:pPr>
            <w:r>
              <w:rPr>
                <w:rFonts w:hint="eastAsia" w:ascii="宋体" w:hAnsi="宋体" w:cs="宋体"/>
                <w:sz w:val="24"/>
              </w:rPr>
              <w:t>本项目属于《产业结构调整指导目录》（2019年本）中的鼓励类——七、石油、天然气——1、常规石油、天然气勘探与开采，符合国家产业政策。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450" w:type="dxa"/>
            <w:vMerge w:val="restart"/>
            <w:vAlign w:val="center"/>
          </w:tcPr>
          <w:p>
            <w:pPr>
              <w:autoSpaceDE w:val="0"/>
              <w:autoSpaceDN w:val="0"/>
              <w:adjustRightInd w:val="0"/>
              <w:snapToGrid w:val="0"/>
              <w:spacing w:line="400" w:lineRule="exact"/>
              <w:jc w:val="center"/>
              <w:rPr>
                <w:rFonts w:ascii="宋体" w:hAnsi="宋体" w:cs="宋体"/>
                <w:kern w:val="0"/>
                <w:sz w:val="24"/>
              </w:rPr>
            </w:pPr>
            <w:r>
              <w:rPr>
                <w:rFonts w:hint="eastAsia" w:ascii="宋体" w:hAnsi="宋体" w:cs="宋体"/>
                <w:kern w:val="0"/>
                <w:sz w:val="24"/>
              </w:rPr>
              <w:t>三线一单</w:t>
            </w:r>
          </w:p>
        </w:tc>
        <w:tc>
          <w:tcPr>
            <w:tcW w:w="843" w:type="dxa"/>
            <w:vAlign w:val="center"/>
          </w:tcPr>
          <w:p>
            <w:pPr>
              <w:pStyle w:val="22"/>
              <w:snapToGrid w:val="0"/>
              <w:spacing w:line="400" w:lineRule="exact"/>
              <w:ind w:firstLine="0" w:firstLineChars="0"/>
              <w:jc w:val="center"/>
              <w:rPr>
                <w:rFonts w:cs="宋体"/>
              </w:rPr>
            </w:pPr>
            <w:r>
              <w:rPr>
                <w:rFonts w:hint="eastAsia" w:cs="宋体"/>
              </w:rPr>
              <w:t>生态保护红线</w:t>
            </w:r>
          </w:p>
        </w:tc>
        <w:tc>
          <w:tcPr>
            <w:tcW w:w="6724" w:type="dxa"/>
            <w:gridSpan w:val="5"/>
            <w:vAlign w:val="center"/>
          </w:tcPr>
          <w:p>
            <w:pPr>
              <w:pStyle w:val="22"/>
              <w:snapToGrid w:val="0"/>
              <w:spacing w:line="400" w:lineRule="exact"/>
              <w:ind w:firstLine="480"/>
              <w:rPr>
                <w:rFonts w:cs="宋体"/>
              </w:rPr>
            </w:pPr>
            <w:r>
              <w:rPr>
                <w:rFonts w:hint="eastAsia" w:cs="宋体"/>
              </w:rPr>
              <w:t>根据《新疆维吾尔自治区“三线一单”生态环境分区管控方案》（新政发〔2021〕18号）和《昌吉回族自治州“三线一单”生态环境分区管控方案及生态环境准入清单》（昌州政办发〔2021〕4</w:t>
            </w:r>
            <w:r>
              <w:rPr>
                <w:rFonts w:cs="宋体"/>
              </w:rPr>
              <w:t>1</w:t>
            </w:r>
            <w:r>
              <w:rPr>
                <w:rFonts w:hint="eastAsia" w:cs="宋体"/>
              </w:rPr>
              <w:t>号），本项目属于阜康市重点管控单元（编码：</w:t>
            </w:r>
            <w:r>
              <w:rPr>
                <w:rFonts w:cs="宋体"/>
              </w:rPr>
              <w:t>ZH65230220008</w:t>
            </w:r>
            <w:r>
              <w:rPr>
                <w:rFonts w:hint="eastAsia" w:cs="宋体"/>
              </w:rPr>
              <w:t>），不在划定的生态保护红线范围内，具体划分见附图1。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450" w:type="dxa"/>
            <w:vMerge w:val="continue"/>
            <w:vAlign w:val="center"/>
          </w:tcPr>
          <w:p>
            <w:pPr>
              <w:autoSpaceDE w:val="0"/>
              <w:autoSpaceDN w:val="0"/>
              <w:adjustRightInd w:val="0"/>
              <w:snapToGrid w:val="0"/>
              <w:spacing w:line="400" w:lineRule="exact"/>
              <w:jc w:val="center"/>
              <w:rPr>
                <w:rFonts w:ascii="宋体" w:hAnsi="宋体" w:cs="宋体"/>
                <w:kern w:val="0"/>
                <w:sz w:val="24"/>
              </w:rPr>
            </w:pPr>
          </w:p>
        </w:tc>
        <w:tc>
          <w:tcPr>
            <w:tcW w:w="843" w:type="dxa"/>
            <w:vAlign w:val="center"/>
          </w:tcPr>
          <w:p>
            <w:pPr>
              <w:pStyle w:val="22"/>
              <w:snapToGrid w:val="0"/>
              <w:spacing w:line="400" w:lineRule="exact"/>
              <w:ind w:firstLine="0" w:firstLineChars="0"/>
              <w:jc w:val="center"/>
              <w:rPr>
                <w:rFonts w:cs="宋体"/>
              </w:rPr>
            </w:pPr>
            <w:r>
              <w:rPr>
                <w:rFonts w:hint="eastAsia" w:cs="宋体"/>
              </w:rPr>
              <w:t>环境质量底线</w:t>
            </w:r>
          </w:p>
        </w:tc>
        <w:tc>
          <w:tcPr>
            <w:tcW w:w="6724" w:type="dxa"/>
            <w:gridSpan w:val="5"/>
            <w:vAlign w:val="center"/>
          </w:tcPr>
          <w:p>
            <w:pPr>
              <w:pStyle w:val="22"/>
              <w:snapToGrid w:val="0"/>
              <w:spacing w:line="400" w:lineRule="exact"/>
              <w:ind w:firstLine="480"/>
              <w:rPr>
                <w:rFonts w:cs="宋体"/>
              </w:rPr>
            </w:pPr>
            <w:bookmarkStart w:id="5" w:name="_Hlk105514284"/>
            <w:r>
              <w:rPr>
                <w:rFonts w:hint="eastAsia" w:cs="宋体"/>
              </w:rPr>
              <w:t>本项目为矿产资源地质勘探项目，</w:t>
            </w:r>
            <w:bookmarkEnd w:id="5"/>
            <w:r>
              <w:rPr>
                <w:rFonts w:hint="eastAsia" w:cs="宋体"/>
              </w:rPr>
              <w:t>无运营期，</w:t>
            </w:r>
            <w:r>
              <w:rPr>
                <w:rFonts w:hint="eastAsia" w:cs="宋体"/>
                <w:spacing w:val="-6"/>
                <w:kern w:val="2"/>
              </w:rPr>
              <w:t>产生的污染影响多为短期影响，随着钻试工程的结束即消失，对区域环境质量的影响较小，不会突破区域环境质量底线。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450" w:type="dxa"/>
            <w:vMerge w:val="continue"/>
            <w:vAlign w:val="center"/>
          </w:tcPr>
          <w:p>
            <w:pPr>
              <w:autoSpaceDE w:val="0"/>
              <w:autoSpaceDN w:val="0"/>
              <w:adjustRightInd w:val="0"/>
              <w:snapToGrid w:val="0"/>
              <w:spacing w:line="400" w:lineRule="exact"/>
              <w:jc w:val="center"/>
              <w:rPr>
                <w:rFonts w:ascii="宋体" w:hAnsi="宋体" w:cs="宋体"/>
                <w:kern w:val="0"/>
                <w:sz w:val="24"/>
              </w:rPr>
            </w:pPr>
          </w:p>
        </w:tc>
        <w:tc>
          <w:tcPr>
            <w:tcW w:w="843" w:type="dxa"/>
            <w:vAlign w:val="center"/>
          </w:tcPr>
          <w:p>
            <w:pPr>
              <w:pStyle w:val="22"/>
              <w:snapToGrid w:val="0"/>
              <w:spacing w:line="400" w:lineRule="exact"/>
              <w:ind w:firstLine="0" w:firstLineChars="0"/>
              <w:jc w:val="center"/>
              <w:rPr>
                <w:rFonts w:cs="宋体"/>
              </w:rPr>
            </w:pPr>
            <w:r>
              <w:rPr>
                <w:rFonts w:hint="eastAsia" w:cs="宋体"/>
              </w:rPr>
              <w:t>资源利用上线</w:t>
            </w:r>
          </w:p>
        </w:tc>
        <w:tc>
          <w:tcPr>
            <w:tcW w:w="6724" w:type="dxa"/>
            <w:gridSpan w:val="5"/>
            <w:vAlign w:val="center"/>
          </w:tcPr>
          <w:p>
            <w:pPr>
              <w:pStyle w:val="22"/>
              <w:snapToGrid w:val="0"/>
              <w:spacing w:line="400" w:lineRule="exact"/>
              <w:ind w:firstLine="480"/>
              <w:rPr>
                <w:rFonts w:cs="宋体"/>
              </w:rPr>
            </w:pPr>
            <w:r>
              <w:rPr>
                <w:rFonts w:hint="eastAsia" w:cs="宋体"/>
              </w:rPr>
              <w:t>本项目在建设过程中仅消耗少量新鲜水和柴油，新鲜水从小庙村拉运，不开采地下水；外购柴油由罐车拉运至井场；项目水资源和能源用量在区域可承受范围内，不会达到区域资源利用上线。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450" w:type="dxa"/>
            <w:vMerge w:val="continue"/>
            <w:vAlign w:val="center"/>
          </w:tcPr>
          <w:p>
            <w:pPr>
              <w:autoSpaceDE w:val="0"/>
              <w:autoSpaceDN w:val="0"/>
              <w:adjustRightInd w:val="0"/>
              <w:snapToGrid w:val="0"/>
              <w:spacing w:line="400" w:lineRule="exact"/>
              <w:jc w:val="center"/>
              <w:rPr>
                <w:rFonts w:ascii="宋体" w:hAnsi="宋体" w:cs="宋体"/>
                <w:kern w:val="0"/>
                <w:sz w:val="24"/>
              </w:rPr>
            </w:pPr>
          </w:p>
        </w:tc>
        <w:tc>
          <w:tcPr>
            <w:tcW w:w="843" w:type="dxa"/>
            <w:vMerge w:val="restart"/>
            <w:vAlign w:val="center"/>
          </w:tcPr>
          <w:p>
            <w:pPr>
              <w:pStyle w:val="22"/>
              <w:snapToGrid w:val="0"/>
              <w:spacing w:line="400" w:lineRule="exact"/>
              <w:ind w:firstLine="0" w:firstLineChars="0"/>
              <w:jc w:val="center"/>
              <w:rPr>
                <w:rFonts w:cs="宋体"/>
              </w:rPr>
            </w:pPr>
            <w:r>
              <w:rPr>
                <w:rFonts w:hint="eastAsia" w:cs="宋体"/>
              </w:rPr>
              <w:t>生态准入清单（《昌吉回族自治州“三线一单”生态环境分区管控方案及生态环境准入清单》管控要求）</w:t>
            </w:r>
          </w:p>
        </w:tc>
        <w:tc>
          <w:tcPr>
            <w:tcW w:w="3726" w:type="dxa"/>
            <w:gridSpan w:val="4"/>
            <w:vAlign w:val="center"/>
          </w:tcPr>
          <w:p>
            <w:pPr>
              <w:pStyle w:val="22"/>
              <w:snapToGrid w:val="0"/>
              <w:spacing w:line="400" w:lineRule="exact"/>
              <w:ind w:firstLine="0" w:firstLineChars="0"/>
              <w:jc w:val="center"/>
              <w:rPr>
                <w:rFonts w:cs="宋体"/>
              </w:rPr>
            </w:pPr>
            <w:r>
              <w:rPr>
                <w:rFonts w:hint="eastAsia" w:cs="宋体"/>
              </w:rPr>
              <w:t>管控要求</w:t>
            </w:r>
          </w:p>
        </w:tc>
        <w:tc>
          <w:tcPr>
            <w:tcW w:w="2998" w:type="dxa"/>
            <w:vAlign w:val="center"/>
          </w:tcPr>
          <w:p>
            <w:pPr>
              <w:pStyle w:val="22"/>
              <w:snapToGrid w:val="0"/>
              <w:spacing w:line="400" w:lineRule="exact"/>
              <w:ind w:firstLine="0" w:firstLineChars="0"/>
              <w:jc w:val="center"/>
              <w:rPr>
                <w:rFonts w:cs="宋体"/>
              </w:rPr>
            </w:pPr>
            <w:r>
              <w:rPr>
                <w:rFonts w:hint="eastAsia" w:cs="宋体"/>
              </w:rPr>
              <w:t>本项目相符性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450" w:type="dxa"/>
            <w:vMerge w:val="continue"/>
            <w:vAlign w:val="center"/>
          </w:tcPr>
          <w:p>
            <w:pPr>
              <w:autoSpaceDE w:val="0"/>
              <w:autoSpaceDN w:val="0"/>
              <w:adjustRightInd w:val="0"/>
              <w:snapToGrid w:val="0"/>
              <w:spacing w:line="400" w:lineRule="exact"/>
              <w:jc w:val="center"/>
              <w:rPr>
                <w:rFonts w:ascii="宋体" w:hAnsi="宋体" w:cs="宋体"/>
                <w:kern w:val="0"/>
                <w:sz w:val="24"/>
              </w:rPr>
            </w:pPr>
          </w:p>
        </w:tc>
        <w:tc>
          <w:tcPr>
            <w:tcW w:w="843" w:type="dxa"/>
            <w:vMerge w:val="continue"/>
            <w:vAlign w:val="center"/>
          </w:tcPr>
          <w:p>
            <w:pPr>
              <w:pStyle w:val="22"/>
              <w:snapToGrid w:val="0"/>
              <w:spacing w:line="400" w:lineRule="exact"/>
              <w:ind w:firstLine="0" w:firstLineChars="0"/>
              <w:jc w:val="center"/>
              <w:rPr>
                <w:rFonts w:cs="宋体"/>
              </w:rPr>
            </w:pPr>
          </w:p>
        </w:tc>
        <w:tc>
          <w:tcPr>
            <w:tcW w:w="703" w:type="dxa"/>
            <w:vAlign w:val="center"/>
          </w:tcPr>
          <w:p>
            <w:pPr>
              <w:pStyle w:val="22"/>
              <w:snapToGrid w:val="0"/>
              <w:spacing w:line="400" w:lineRule="exact"/>
              <w:ind w:firstLine="0" w:firstLineChars="0"/>
              <w:jc w:val="center"/>
              <w:rPr>
                <w:rFonts w:cs="宋体"/>
              </w:rPr>
            </w:pPr>
            <w:r>
              <w:rPr>
                <w:rFonts w:hint="eastAsia" w:cs="宋体"/>
              </w:rPr>
              <w:t>空间布局约束</w:t>
            </w:r>
          </w:p>
        </w:tc>
        <w:tc>
          <w:tcPr>
            <w:tcW w:w="3023" w:type="dxa"/>
            <w:gridSpan w:val="3"/>
            <w:vAlign w:val="center"/>
          </w:tcPr>
          <w:p>
            <w:pPr>
              <w:pStyle w:val="22"/>
              <w:snapToGrid w:val="0"/>
              <w:spacing w:line="400" w:lineRule="exact"/>
              <w:ind w:firstLine="0" w:firstLineChars="0"/>
              <w:rPr>
                <w:rFonts w:cs="宋体"/>
              </w:rPr>
            </w:pPr>
            <w:r>
              <w:rPr>
                <w:rFonts w:hint="eastAsia" w:cs="宋体"/>
              </w:rPr>
              <w:t>执行自治区、乌昌石片区总体准入要求中关于重点管控单元空间布局约束的准入要求（表2-3 【A</w:t>
            </w:r>
            <w:r>
              <w:rPr>
                <w:rFonts w:cs="宋体"/>
              </w:rPr>
              <w:t>6</w:t>
            </w:r>
            <w:r>
              <w:rPr>
                <w:rFonts w:hint="eastAsia" w:cs="宋体"/>
              </w:rPr>
              <w:t>.</w:t>
            </w:r>
            <w:r>
              <w:rPr>
                <w:rFonts w:cs="宋体"/>
              </w:rPr>
              <w:t>1</w:t>
            </w:r>
            <w:r>
              <w:rPr>
                <w:rFonts w:hint="eastAsia" w:cs="宋体"/>
              </w:rPr>
              <w:t>】、表3.4-2 【</w:t>
            </w:r>
            <w:r>
              <w:rPr>
                <w:rFonts w:cs="宋体"/>
              </w:rPr>
              <w:t>B1</w:t>
            </w:r>
            <w:r>
              <w:rPr>
                <w:rFonts w:hint="eastAsia" w:cs="宋体"/>
              </w:rPr>
              <w:t>】）</w:t>
            </w:r>
          </w:p>
        </w:tc>
        <w:tc>
          <w:tcPr>
            <w:tcW w:w="2998" w:type="dxa"/>
            <w:vAlign w:val="center"/>
          </w:tcPr>
          <w:p>
            <w:pPr>
              <w:pStyle w:val="22"/>
              <w:snapToGrid w:val="0"/>
              <w:spacing w:line="400" w:lineRule="exact"/>
              <w:ind w:firstLine="0" w:firstLineChars="0"/>
              <w:jc w:val="center"/>
              <w:rPr>
                <w:rFonts w:cs="宋体"/>
              </w:rPr>
            </w:pPr>
            <w:r>
              <w:rPr>
                <w:rFonts w:hint="eastAsia" w:cs="宋体"/>
              </w:rPr>
              <w:t>本项目不属于“高污染、高环境风险产品”的工业项目，不涉及自治区、乌昌石片区总体准入要求。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450" w:type="dxa"/>
            <w:vMerge w:val="continue"/>
            <w:vAlign w:val="center"/>
          </w:tcPr>
          <w:p>
            <w:pPr>
              <w:autoSpaceDE w:val="0"/>
              <w:autoSpaceDN w:val="0"/>
              <w:adjustRightInd w:val="0"/>
              <w:snapToGrid w:val="0"/>
              <w:spacing w:line="400" w:lineRule="exact"/>
              <w:jc w:val="center"/>
              <w:rPr>
                <w:rFonts w:ascii="宋体" w:hAnsi="宋体" w:cs="宋体"/>
                <w:kern w:val="0"/>
                <w:sz w:val="24"/>
              </w:rPr>
            </w:pPr>
          </w:p>
        </w:tc>
        <w:tc>
          <w:tcPr>
            <w:tcW w:w="843" w:type="dxa"/>
            <w:vMerge w:val="continue"/>
            <w:vAlign w:val="center"/>
          </w:tcPr>
          <w:p>
            <w:pPr>
              <w:pStyle w:val="22"/>
              <w:snapToGrid w:val="0"/>
              <w:spacing w:line="400" w:lineRule="exact"/>
              <w:ind w:firstLine="0" w:firstLineChars="0"/>
              <w:jc w:val="center"/>
              <w:rPr>
                <w:rFonts w:cs="宋体"/>
              </w:rPr>
            </w:pPr>
          </w:p>
        </w:tc>
        <w:tc>
          <w:tcPr>
            <w:tcW w:w="703" w:type="dxa"/>
            <w:vAlign w:val="center"/>
          </w:tcPr>
          <w:p>
            <w:pPr>
              <w:pStyle w:val="22"/>
              <w:snapToGrid w:val="0"/>
              <w:spacing w:line="400" w:lineRule="exact"/>
              <w:ind w:firstLine="0" w:firstLineChars="0"/>
              <w:jc w:val="center"/>
              <w:rPr>
                <w:rFonts w:cs="宋体"/>
              </w:rPr>
            </w:pPr>
            <w:r>
              <w:rPr>
                <w:rFonts w:hint="eastAsia" w:cs="宋体"/>
              </w:rPr>
              <w:t>污染物排放管控</w:t>
            </w:r>
          </w:p>
        </w:tc>
        <w:tc>
          <w:tcPr>
            <w:tcW w:w="3023" w:type="dxa"/>
            <w:gridSpan w:val="3"/>
            <w:vAlign w:val="center"/>
          </w:tcPr>
          <w:p>
            <w:pPr>
              <w:pStyle w:val="22"/>
              <w:snapToGrid w:val="0"/>
              <w:spacing w:line="400" w:lineRule="exact"/>
              <w:ind w:firstLine="0" w:firstLineChars="0"/>
              <w:rPr>
                <w:rFonts w:cs="宋体"/>
              </w:rPr>
            </w:pPr>
            <w:r>
              <w:rPr>
                <w:rFonts w:hint="eastAsia" w:cs="宋体"/>
              </w:rPr>
              <w:t>执行自治区、乌昌石片区总体准入要求中关于重点管控单元污染物排放管控的准入要求（表2-3 【A</w:t>
            </w:r>
            <w:r>
              <w:rPr>
                <w:rFonts w:cs="宋体"/>
              </w:rPr>
              <w:t>6</w:t>
            </w:r>
            <w:r>
              <w:rPr>
                <w:rFonts w:hint="eastAsia" w:cs="宋体"/>
              </w:rPr>
              <w:t>.</w:t>
            </w:r>
            <w:r>
              <w:rPr>
                <w:rFonts w:cs="宋体"/>
              </w:rPr>
              <w:t>2</w:t>
            </w:r>
            <w:r>
              <w:rPr>
                <w:rFonts w:hint="eastAsia" w:cs="宋体"/>
              </w:rPr>
              <w:t>】、表3.4-2 【</w:t>
            </w:r>
            <w:r>
              <w:rPr>
                <w:rFonts w:cs="宋体"/>
              </w:rPr>
              <w:t>B2</w:t>
            </w:r>
            <w:r>
              <w:rPr>
                <w:rFonts w:hint="eastAsia" w:cs="宋体"/>
              </w:rPr>
              <w:t>】）</w:t>
            </w:r>
          </w:p>
        </w:tc>
        <w:tc>
          <w:tcPr>
            <w:tcW w:w="2998" w:type="dxa"/>
            <w:vAlign w:val="center"/>
          </w:tcPr>
          <w:p>
            <w:pPr>
              <w:pStyle w:val="22"/>
              <w:snapToGrid w:val="0"/>
              <w:spacing w:line="400" w:lineRule="exact"/>
              <w:ind w:firstLine="0" w:firstLineChars="0"/>
              <w:jc w:val="center"/>
              <w:rPr>
                <w:rFonts w:cs="宋体"/>
              </w:rPr>
            </w:pPr>
            <w:r>
              <w:rPr>
                <w:rFonts w:hint="eastAsia" w:cs="宋体"/>
              </w:rPr>
              <w:t>钻试周期短且无运营期，故不涉及总量控制指标；钻井过程中使用水泥固井，用套管将含水层与井筒分隔开，井场重点区域均采取了符合规范的防渗措施，不会对土壤和地下水环境产生不利影响，不涉及自治区、乌昌石片区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450" w:type="dxa"/>
            <w:vMerge w:val="continue"/>
            <w:vAlign w:val="center"/>
          </w:tcPr>
          <w:p>
            <w:pPr>
              <w:autoSpaceDE w:val="0"/>
              <w:autoSpaceDN w:val="0"/>
              <w:adjustRightInd w:val="0"/>
              <w:snapToGrid w:val="0"/>
              <w:spacing w:line="400" w:lineRule="exact"/>
              <w:jc w:val="center"/>
              <w:rPr>
                <w:rFonts w:ascii="宋体" w:hAnsi="宋体" w:cs="宋体"/>
                <w:kern w:val="0"/>
                <w:sz w:val="24"/>
              </w:rPr>
            </w:pPr>
          </w:p>
        </w:tc>
        <w:tc>
          <w:tcPr>
            <w:tcW w:w="843" w:type="dxa"/>
            <w:vMerge w:val="continue"/>
            <w:vAlign w:val="center"/>
          </w:tcPr>
          <w:p>
            <w:pPr>
              <w:pStyle w:val="22"/>
              <w:snapToGrid w:val="0"/>
              <w:spacing w:line="400" w:lineRule="exact"/>
              <w:ind w:firstLine="0" w:firstLineChars="0"/>
              <w:jc w:val="center"/>
              <w:rPr>
                <w:rFonts w:cs="宋体"/>
              </w:rPr>
            </w:pPr>
          </w:p>
        </w:tc>
        <w:tc>
          <w:tcPr>
            <w:tcW w:w="703" w:type="dxa"/>
            <w:vAlign w:val="center"/>
          </w:tcPr>
          <w:p>
            <w:pPr>
              <w:pStyle w:val="22"/>
              <w:snapToGrid w:val="0"/>
              <w:spacing w:line="400" w:lineRule="exact"/>
              <w:ind w:firstLine="0" w:firstLineChars="0"/>
              <w:jc w:val="center"/>
              <w:rPr>
                <w:rFonts w:cs="宋体"/>
              </w:rPr>
            </w:pPr>
            <w:r>
              <w:rPr>
                <w:rFonts w:hint="eastAsia" w:cs="宋体"/>
              </w:rPr>
              <w:t>环境风险防控</w:t>
            </w:r>
          </w:p>
        </w:tc>
        <w:tc>
          <w:tcPr>
            <w:tcW w:w="3023" w:type="dxa"/>
            <w:gridSpan w:val="3"/>
            <w:vAlign w:val="center"/>
          </w:tcPr>
          <w:p>
            <w:pPr>
              <w:pStyle w:val="22"/>
              <w:snapToGrid w:val="0"/>
              <w:spacing w:line="400" w:lineRule="exact"/>
              <w:ind w:firstLine="0" w:firstLineChars="0"/>
              <w:rPr>
                <w:rFonts w:cs="宋体"/>
              </w:rPr>
            </w:pPr>
            <w:r>
              <w:rPr>
                <w:rFonts w:hint="eastAsia" w:cs="宋体"/>
              </w:rPr>
              <w:t>执行自治区、乌昌石片区总体准入要求中关于重点管控单元环境风险防控的准入要求（表2-3 【A</w:t>
            </w:r>
            <w:r>
              <w:rPr>
                <w:rFonts w:cs="宋体"/>
              </w:rPr>
              <w:t>6</w:t>
            </w:r>
            <w:r>
              <w:rPr>
                <w:rFonts w:hint="eastAsia" w:cs="宋体"/>
              </w:rPr>
              <w:t>.</w:t>
            </w:r>
            <w:r>
              <w:rPr>
                <w:rFonts w:cs="宋体"/>
              </w:rPr>
              <w:t>3</w:t>
            </w:r>
            <w:r>
              <w:rPr>
                <w:rFonts w:hint="eastAsia" w:cs="宋体"/>
              </w:rPr>
              <w:t>】、表3.4-2 【</w:t>
            </w:r>
            <w:r>
              <w:rPr>
                <w:rFonts w:cs="宋体"/>
              </w:rPr>
              <w:t>B3</w:t>
            </w:r>
            <w:r>
              <w:rPr>
                <w:rFonts w:hint="eastAsia" w:cs="宋体"/>
              </w:rPr>
              <w:t>】）</w:t>
            </w:r>
          </w:p>
        </w:tc>
        <w:tc>
          <w:tcPr>
            <w:tcW w:w="2998" w:type="dxa"/>
            <w:vAlign w:val="center"/>
          </w:tcPr>
          <w:p>
            <w:pPr>
              <w:pStyle w:val="22"/>
              <w:snapToGrid w:val="0"/>
              <w:spacing w:line="400" w:lineRule="exact"/>
              <w:ind w:firstLine="0" w:firstLineChars="0"/>
              <w:jc w:val="center"/>
              <w:rPr>
                <w:rFonts w:cs="宋体"/>
              </w:rPr>
            </w:pPr>
            <w:r>
              <w:rPr>
                <w:rFonts w:hint="eastAsia" w:cs="宋体"/>
              </w:rPr>
              <w:t>在实施过程中的环境管理执行中国石油新疆油田 分公司已建立的健康、安全与环境管理体系（HSE管理体系），钻井和试油均纳入《新疆油田公司勘探事业部突发环境事件应急预案》。符合自治区、乌昌石片区总体准入要求。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450" w:type="dxa"/>
            <w:vMerge w:val="continue"/>
            <w:vAlign w:val="center"/>
          </w:tcPr>
          <w:p>
            <w:pPr>
              <w:autoSpaceDE w:val="0"/>
              <w:autoSpaceDN w:val="0"/>
              <w:adjustRightInd w:val="0"/>
              <w:snapToGrid w:val="0"/>
              <w:spacing w:line="400" w:lineRule="exact"/>
              <w:jc w:val="center"/>
              <w:rPr>
                <w:rFonts w:ascii="宋体" w:hAnsi="宋体" w:cs="宋体"/>
                <w:kern w:val="0"/>
                <w:sz w:val="24"/>
              </w:rPr>
            </w:pPr>
          </w:p>
        </w:tc>
        <w:tc>
          <w:tcPr>
            <w:tcW w:w="843" w:type="dxa"/>
            <w:vMerge w:val="continue"/>
            <w:vAlign w:val="center"/>
          </w:tcPr>
          <w:p>
            <w:pPr>
              <w:pStyle w:val="22"/>
              <w:snapToGrid w:val="0"/>
              <w:spacing w:line="400" w:lineRule="exact"/>
              <w:ind w:firstLine="0" w:firstLineChars="0"/>
              <w:jc w:val="center"/>
              <w:rPr>
                <w:rFonts w:cs="宋体"/>
              </w:rPr>
            </w:pPr>
          </w:p>
        </w:tc>
        <w:tc>
          <w:tcPr>
            <w:tcW w:w="703" w:type="dxa"/>
            <w:vAlign w:val="center"/>
          </w:tcPr>
          <w:p>
            <w:pPr>
              <w:pStyle w:val="22"/>
              <w:snapToGrid w:val="0"/>
              <w:spacing w:line="400" w:lineRule="exact"/>
              <w:ind w:firstLine="0" w:firstLineChars="0"/>
              <w:jc w:val="center"/>
              <w:rPr>
                <w:rFonts w:cs="宋体"/>
              </w:rPr>
            </w:pPr>
            <w:r>
              <w:rPr>
                <w:rFonts w:hint="eastAsia" w:cs="宋体"/>
              </w:rPr>
              <w:t>资源利用效率</w:t>
            </w:r>
          </w:p>
        </w:tc>
        <w:tc>
          <w:tcPr>
            <w:tcW w:w="3023" w:type="dxa"/>
            <w:gridSpan w:val="3"/>
            <w:vAlign w:val="center"/>
          </w:tcPr>
          <w:p>
            <w:pPr>
              <w:pStyle w:val="22"/>
              <w:snapToGrid w:val="0"/>
              <w:spacing w:line="400" w:lineRule="exact"/>
              <w:ind w:firstLine="0" w:firstLineChars="0"/>
              <w:rPr>
                <w:rFonts w:cs="宋体"/>
              </w:rPr>
            </w:pPr>
            <w:r>
              <w:rPr>
                <w:rFonts w:hint="eastAsia" w:cs="宋体"/>
              </w:rPr>
              <w:t>1、执行自治区、乌昌石片区总体准入要求中关于重点管控单元资源利用效率的准入要求（表2-3【A</w:t>
            </w:r>
            <w:r>
              <w:rPr>
                <w:rFonts w:cs="宋体"/>
              </w:rPr>
              <w:t>6</w:t>
            </w:r>
            <w:r>
              <w:rPr>
                <w:rFonts w:hint="eastAsia" w:cs="宋体"/>
              </w:rPr>
              <w:t>.</w:t>
            </w:r>
            <w:r>
              <w:rPr>
                <w:rFonts w:cs="宋体"/>
              </w:rPr>
              <w:t>4</w:t>
            </w:r>
            <w:r>
              <w:rPr>
                <w:rFonts w:hint="eastAsia" w:cs="宋体"/>
              </w:rPr>
              <w:t>】、表3.4-2 【</w:t>
            </w:r>
            <w:r>
              <w:rPr>
                <w:rFonts w:cs="宋体"/>
              </w:rPr>
              <w:t>B4</w:t>
            </w:r>
            <w:r>
              <w:rPr>
                <w:rFonts w:hint="eastAsia" w:cs="宋体"/>
              </w:rPr>
              <w:t>】）。</w:t>
            </w:r>
          </w:p>
          <w:p>
            <w:pPr>
              <w:pStyle w:val="22"/>
              <w:snapToGrid w:val="0"/>
              <w:spacing w:line="400" w:lineRule="exact"/>
              <w:ind w:firstLine="0" w:firstLineChars="0"/>
              <w:rPr>
                <w:rFonts w:cs="宋体"/>
              </w:rPr>
            </w:pPr>
            <w:r>
              <w:rPr>
                <w:rFonts w:hint="eastAsia" w:cs="宋体"/>
              </w:rPr>
              <w:t>2、合理配置地表水、地下水，从严控制地下水取水总量。</w:t>
            </w:r>
          </w:p>
        </w:tc>
        <w:tc>
          <w:tcPr>
            <w:tcW w:w="2998" w:type="dxa"/>
            <w:vAlign w:val="center"/>
          </w:tcPr>
          <w:p>
            <w:pPr>
              <w:pStyle w:val="22"/>
              <w:snapToGrid w:val="0"/>
              <w:spacing w:line="400" w:lineRule="exact"/>
              <w:ind w:firstLine="0" w:firstLineChars="0"/>
              <w:jc w:val="center"/>
              <w:rPr>
                <w:rFonts w:cs="宋体"/>
              </w:rPr>
            </w:pPr>
            <w:r>
              <w:rPr>
                <w:rFonts w:hint="eastAsia" w:cs="宋体"/>
              </w:rPr>
              <w:t>本次新鲜水消耗量小且就近从小庙村拉运，不开采地下水，不涉及自治区、乌昌石片区总体准入要求。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1293" w:type="dxa"/>
            <w:gridSpan w:val="2"/>
            <w:vAlign w:val="center"/>
          </w:tcPr>
          <w:p>
            <w:pPr>
              <w:pStyle w:val="22"/>
              <w:snapToGrid w:val="0"/>
              <w:spacing w:line="400" w:lineRule="exact"/>
              <w:ind w:firstLine="0" w:firstLineChars="0"/>
              <w:jc w:val="center"/>
              <w:rPr>
                <w:rFonts w:cs="宋体"/>
              </w:rPr>
            </w:pPr>
            <w:r>
              <w:rPr>
                <w:rFonts w:hint="eastAsia" w:cs="宋体"/>
                <w:spacing w:val="22"/>
                <w:kern w:val="2"/>
              </w:rPr>
              <w:t>主体功能区划</w:t>
            </w:r>
          </w:p>
        </w:tc>
        <w:tc>
          <w:tcPr>
            <w:tcW w:w="6724" w:type="dxa"/>
            <w:gridSpan w:val="5"/>
            <w:vAlign w:val="center"/>
          </w:tcPr>
          <w:p>
            <w:pPr>
              <w:pStyle w:val="22"/>
              <w:snapToGrid w:val="0"/>
              <w:spacing w:line="400" w:lineRule="exact"/>
              <w:ind w:firstLine="480"/>
              <w:rPr>
                <w:rFonts w:cs="宋体"/>
              </w:rPr>
            </w:pPr>
            <w:r>
              <w:rPr>
                <w:rFonts w:hint="eastAsia" w:cs="宋体"/>
              </w:rPr>
              <w:t>根据《新疆维吾尔自治区主体功能区规划》，阜康市功能定位为“天山北坡地区重点开发区——全国重要的能源基地”。本项目为陆地石油勘探项目，符合该区域的功能定位。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autoSpaceDE w:val="0"/>
              <w:autoSpaceDN w:val="0"/>
              <w:adjustRightInd w:val="0"/>
              <w:snapToGrid w:val="0"/>
              <w:spacing w:line="360" w:lineRule="exact"/>
              <w:jc w:val="center"/>
              <w:rPr>
                <w:rFonts w:ascii="宋体" w:hAnsi="宋体" w:cs="宋体"/>
                <w:kern w:val="0"/>
                <w:sz w:val="24"/>
              </w:rPr>
            </w:pPr>
          </w:p>
        </w:tc>
        <w:tc>
          <w:tcPr>
            <w:tcW w:w="1293" w:type="dxa"/>
            <w:gridSpan w:val="2"/>
            <w:vAlign w:val="center"/>
          </w:tcPr>
          <w:p>
            <w:pPr>
              <w:pStyle w:val="22"/>
              <w:snapToGrid w:val="0"/>
              <w:spacing w:line="400" w:lineRule="exact"/>
              <w:ind w:firstLine="0" w:firstLineChars="0"/>
              <w:jc w:val="center"/>
              <w:rPr>
                <w:rFonts w:cs="宋体"/>
                <w:spacing w:val="22"/>
                <w:kern w:val="2"/>
              </w:rPr>
            </w:pPr>
            <w:r>
              <w:rPr>
                <w:rFonts w:hint="eastAsia" w:cs="宋体"/>
                <w:spacing w:val="22"/>
                <w:kern w:val="2"/>
              </w:rPr>
              <w:t>相关环保政策</w:t>
            </w:r>
          </w:p>
        </w:tc>
        <w:tc>
          <w:tcPr>
            <w:tcW w:w="6724" w:type="dxa"/>
            <w:gridSpan w:val="5"/>
            <w:vAlign w:val="center"/>
          </w:tcPr>
          <w:p>
            <w:pPr>
              <w:pStyle w:val="22"/>
              <w:snapToGrid w:val="0"/>
              <w:spacing w:line="400" w:lineRule="exact"/>
              <w:ind w:firstLine="480"/>
              <w:rPr>
                <w:rFonts w:cs="宋体"/>
              </w:rPr>
            </w:pPr>
            <w:r>
              <w:rPr>
                <w:rFonts w:hint="eastAsia" w:cs="宋体"/>
              </w:rPr>
              <w:t>康9井在新疆油田“一张图”区块范围外（见附图2），属于未确定产能建设规模的陆地石油天然气开采新区块的勘探；不属于“高污染、高环境风险产品”的工业项目；项目不涉及生态敏感区，不涉及生态保护红线，“三废”及噪声对区域环境质量影响小，不会突破区域环境质量底线；新鲜水和柴油消耗不会突破区域资源利用上线，符合昌吉回族自治州生态环境准入清单的要求。阜康市为新疆维吾尔自治区水土流失重点治理区，已提出了相应的水土保持措施，可将项目引起的水土流失的程度降低到最小限度。</w:t>
            </w:r>
          </w:p>
          <w:p>
            <w:pPr>
              <w:pStyle w:val="22"/>
              <w:snapToGrid w:val="0"/>
              <w:spacing w:line="400" w:lineRule="exact"/>
              <w:ind w:firstLine="480"/>
              <w:rPr>
                <w:rFonts w:cs="宋体"/>
              </w:rPr>
            </w:pPr>
            <w:r>
              <w:rPr>
                <w:rFonts w:hint="eastAsia" w:cs="宋体"/>
              </w:rPr>
              <w:t>井场设钻井液不落地设备，钻井采用水基钻井液，钻井液全部回用，岩屑实现无害化处置；施工结束后废防渗材料委托具有相应危险废物处置资质的单位处置，生活垃圾清运至吉木萨尔县生活垃圾填埋场；生活污水送至吉木萨尔县污水处理厂，洗井废水和压裂返排液运至沙南联合站；试油期产生的伴生气的气量不稳定，经液气分离器排气管线燃烧后放空；施工期产生的污染物随施工期的结束而停止产生，不会对周围环境产生明显影响；钻井过程中使用水泥固井，用套管将含水层与井筒分隔开；井场采用了符合规范的防渗措施。</w:t>
            </w:r>
          </w:p>
          <w:p>
            <w:pPr>
              <w:pStyle w:val="22"/>
              <w:snapToGrid w:val="0"/>
              <w:spacing w:line="400" w:lineRule="exact"/>
              <w:ind w:firstLine="480"/>
              <w:rPr>
                <w:rFonts w:cs="宋体"/>
              </w:rPr>
            </w:pPr>
            <w:r>
              <w:rPr>
                <w:rFonts w:hint="eastAsia" w:cs="宋体"/>
              </w:rPr>
              <w:t>环境风险防范执行《中国石油新疆油田分公司勘探事业部突发环境事件应急预案》，同时落实中国石油新疆油田分公司已建立的健康、安全与环境（HSE）管理体系。以上措施均符合《石油天然气开采业污染防治技术政策》、《新疆维吾尔自治区煤炭石油天然气开发环境保护条例》、《关于进一步加强石油天然气行业环境影响评价管理的通知》、《新疆生态环境保护“十四五”规划》和《昌吉州生态环境保护“十四五”规划》的相关要求。</w:t>
            </w:r>
          </w:p>
        </w:tc>
      </w:tr>
    </w:tbl>
    <w:p>
      <w:pPr>
        <w:sectPr>
          <w:footerReference r:id="rId6" w:type="default"/>
          <w:pgSz w:w="11906" w:h="16838"/>
          <w:pgMar w:top="1440" w:right="1800" w:bottom="1440" w:left="1800" w:header="851" w:footer="992" w:gutter="0"/>
          <w:pgNumType w:start="1"/>
          <w:cols w:space="425" w:num="1"/>
          <w:docGrid w:type="lines" w:linePitch="312" w:charSpace="0"/>
        </w:sectPr>
      </w:pPr>
    </w:p>
    <w:p>
      <w:pPr>
        <w:pStyle w:val="4"/>
        <w:snapToGrid w:val="0"/>
        <w:spacing w:before="0" w:after="0" w:line="360" w:lineRule="auto"/>
        <w:jc w:val="center"/>
        <w:rPr>
          <w:rFonts w:ascii="黑体" w:hAnsi="黑体" w:eastAsia="黑体" w:cs="黑体"/>
          <w:b w:val="0"/>
          <w:bCs/>
          <w:sz w:val="30"/>
          <w:szCs w:val="30"/>
        </w:rPr>
      </w:pPr>
      <w:r>
        <w:rPr>
          <w:rFonts w:hint="eastAsia" w:ascii="黑体" w:hAnsi="黑体" w:eastAsia="黑体" w:cs="黑体"/>
          <w:b w:val="0"/>
          <w:bCs/>
          <w:sz w:val="30"/>
          <w:szCs w:val="30"/>
        </w:rPr>
        <w:t>二、建设内容</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7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vAlign w:val="center"/>
          </w:tcPr>
          <w:p>
            <w:pPr>
              <w:pStyle w:val="7"/>
              <w:spacing w:before="0" w:after="0" w:line="300" w:lineRule="exact"/>
              <w:ind w:right="0"/>
              <w:jc w:val="center"/>
              <w:rPr>
                <w:rFonts w:ascii="宋体" w:hAnsi="宋体" w:cs="宋体"/>
                <w:sz w:val="24"/>
                <w:szCs w:val="24"/>
              </w:rPr>
            </w:pPr>
            <w:r>
              <w:rPr>
                <w:rFonts w:hint="eastAsia" w:ascii="宋体" w:hAnsi="宋体" w:cs="宋体"/>
                <w:sz w:val="24"/>
                <w:szCs w:val="24"/>
              </w:rPr>
              <w:t>地理位置</w:t>
            </w:r>
          </w:p>
        </w:tc>
        <w:tc>
          <w:tcPr>
            <w:tcW w:w="7728" w:type="dxa"/>
          </w:tcPr>
          <w:p>
            <w:pPr>
              <w:pStyle w:val="22"/>
              <w:ind w:firstLine="480"/>
            </w:pPr>
            <w:r>
              <w:rPr>
                <w:rFonts w:hint="eastAsia"/>
              </w:rPr>
              <w:t>康9井行政隶属于新疆维吾尔自治区昌吉回族自治州阜康市，西距阜康市中心城区约5</w:t>
            </w:r>
            <w:r>
              <w:t>3</w:t>
            </w:r>
            <w:r>
              <w:rPr>
                <w:rFonts w:hint="eastAsia"/>
              </w:rPr>
              <w:t>km，北距沙南联合站约39km，西南距小庙村2</w:t>
            </w:r>
            <w:r>
              <w:t>.2</w:t>
            </w:r>
            <w:r>
              <w:rPr>
                <w:rFonts w:hint="eastAsia"/>
              </w:rPr>
              <w:t>km，西距农田1</w:t>
            </w:r>
            <w:r>
              <w:t>50</w:t>
            </w:r>
            <w:r>
              <w:rPr>
                <w:rFonts w:hint="eastAsia"/>
              </w:rPr>
              <w:t>m。</w:t>
            </w:r>
            <w:r>
              <w:rPr>
                <w:rFonts w:hint="eastAsia" w:cs="宋体"/>
              </w:rPr>
              <w:t>井位坐标见表1，地理位置</w:t>
            </w:r>
            <w:r>
              <w:rPr>
                <w:rFonts w:hint="eastAsia"/>
              </w:rPr>
              <w:t>见附图</w:t>
            </w:r>
            <w:r>
              <w:t>3</w:t>
            </w:r>
            <w:r>
              <w:rPr>
                <w:rFonts w:hint="eastAsia"/>
              </w:rPr>
              <w:t>。</w:t>
            </w:r>
          </w:p>
          <w:p>
            <w:pPr>
              <w:pStyle w:val="5"/>
              <w:keepNext/>
            </w:pPr>
            <w:r>
              <w:t>表1</w:t>
            </w:r>
            <w:r>
              <w:rPr>
                <w:rFonts w:hint="eastAsia"/>
              </w:rPr>
              <w:t xml:space="preserve">  拟部署井位坐标表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03"/>
              <w:gridCol w:w="3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2"/>
                  <w:vAlign w:val="center"/>
                </w:tcPr>
                <w:p>
                  <w:pPr>
                    <w:pStyle w:val="26"/>
                    <w:spacing w:line="300" w:lineRule="exact"/>
                  </w:pPr>
                  <w:r>
                    <w:rPr>
                      <w:rFonts w:hint="eastAsia"/>
                    </w:rPr>
                    <w:t>经纬度坐标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98" w:type="pct"/>
                  <w:vAlign w:val="center"/>
                </w:tcPr>
                <w:p>
                  <w:pPr>
                    <w:pStyle w:val="26"/>
                    <w:spacing w:line="300" w:lineRule="exact"/>
                  </w:pPr>
                  <w:r>
                    <w:rPr>
                      <w:rFonts w:hint="eastAsia"/>
                    </w:rPr>
                    <w:t>东经</w:t>
                  </w:r>
                </w:p>
              </w:tc>
              <w:tc>
                <w:tcPr>
                  <w:tcW w:w="2402" w:type="pct"/>
                  <w:vAlign w:val="center"/>
                </w:tcPr>
                <w:p>
                  <w:pPr>
                    <w:pStyle w:val="26"/>
                    <w:spacing w:line="300" w:lineRule="exact"/>
                  </w:pPr>
                  <w:r>
                    <w:rPr>
                      <w:rFonts w:hint="eastAsia"/>
                    </w:rPr>
                    <w:t>北纬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98" w:type="pct"/>
                  <w:vAlign w:val="center"/>
                </w:tcPr>
                <w:p>
                  <w:pPr>
                    <w:pStyle w:val="26"/>
                    <w:spacing w:line="300" w:lineRule="exact"/>
                  </w:pPr>
                  <w:r>
                    <w:rPr>
                      <w:rFonts w:hint="eastAsia"/>
                      <w:color w:val="000000"/>
                    </w:rPr>
                    <w:t>8</w:t>
                  </w:r>
                  <w:r>
                    <w:rPr>
                      <w:color w:val="000000"/>
                    </w:rPr>
                    <w:t>8</w:t>
                  </w:r>
                  <w:r>
                    <w:rPr>
                      <w:rFonts w:hint="eastAsia"/>
                      <w:color w:val="000000"/>
                    </w:rPr>
                    <w:t>°3</w:t>
                  </w:r>
                  <w:r>
                    <w:rPr>
                      <w:color w:val="000000"/>
                    </w:rPr>
                    <w:t>8</w:t>
                  </w:r>
                  <w:r>
                    <w:rPr>
                      <w:rFonts w:hint="eastAsia"/>
                      <w:color w:val="000000"/>
                    </w:rPr>
                    <w:t>′4</w:t>
                  </w:r>
                  <w:r>
                    <w:rPr>
                      <w:color w:val="000000"/>
                    </w:rPr>
                    <w:t>4</w:t>
                  </w:r>
                  <w:r>
                    <w:rPr>
                      <w:rFonts w:hint="eastAsia"/>
                      <w:color w:val="000000"/>
                    </w:rPr>
                    <w:t>.</w:t>
                  </w:r>
                  <w:r>
                    <w:rPr>
                      <w:color w:val="000000"/>
                    </w:rPr>
                    <w:t>344</w:t>
                  </w:r>
                  <w:r>
                    <w:rPr>
                      <w:rFonts w:hint="eastAsia"/>
                      <w:color w:val="000000"/>
                    </w:rPr>
                    <w:t>"</w:t>
                  </w:r>
                </w:p>
              </w:tc>
              <w:tc>
                <w:tcPr>
                  <w:tcW w:w="2402" w:type="pct"/>
                  <w:vAlign w:val="center"/>
                </w:tcPr>
                <w:p>
                  <w:pPr>
                    <w:pStyle w:val="26"/>
                    <w:spacing w:line="300" w:lineRule="exact"/>
                  </w:pPr>
                  <w:r>
                    <w:rPr>
                      <w:rFonts w:hint="eastAsia"/>
                      <w:color w:val="000000"/>
                    </w:rPr>
                    <w:t>4</w:t>
                  </w:r>
                  <w:r>
                    <w:rPr>
                      <w:color w:val="000000"/>
                    </w:rPr>
                    <w:t>4</w:t>
                  </w:r>
                  <w:r>
                    <w:rPr>
                      <w:rFonts w:hint="eastAsia"/>
                      <w:color w:val="000000"/>
                    </w:rPr>
                    <w:t>°07′3</w:t>
                  </w:r>
                  <w:r>
                    <w:rPr>
                      <w:color w:val="000000"/>
                    </w:rPr>
                    <w:t>0</w:t>
                  </w:r>
                  <w:r>
                    <w:rPr>
                      <w:rFonts w:hint="eastAsia"/>
                      <w:color w:val="000000"/>
                    </w:rPr>
                    <w:t>.</w:t>
                  </w:r>
                  <w:r>
                    <w:rPr>
                      <w:color w:val="000000"/>
                    </w:rPr>
                    <w:t>244</w:t>
                  </w:r>
                  <w:r>
                    <w:rPr>
                      <w:rFonts w:hint="eastAsia"/>
                      <w:color w:val="000000"/>
                    </w:rPr>
                    <w:t>"</w:t>
                  </w:r>
                </w:p>
              </w:tc>
            </w:tr>
          </w:tbl>
          <w:p>
            <w:pPr>
              <w:pStyle w:val="9"/>
              <w:ind w:left="0"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vAlign w:val="center"/>
          </w:tcPr>
          <w:p>
            <w:pPr>
              <w:pStyle w:val="7"/>
              <w:spacing w:before="0" w:after="0" w:line="300" w:lineRule="exact"/>
              <w:ind w:right="0"/>
              <w:jc w:val="center"/>
              <w:rPr>
                <w:rFonts w:ascii="宋体" w:hAnsi="宋体" w:cs="宋体"/>
                <w:sz w:val="24"/>
                <w:szCs w:val="24"/>
              </w:rPr>
            </w:pPr>
            <w:r>
              <w:rPr>
                <w:rFonts w:hint="eastAsia" w:ascii="宋体" w:hAnsi="宋体" w:cs="宋体"/>
                <w:sz w:val="24"/>
                <w:szCs w:val="24"/>
              </w:rPr>
              <w:t>项目组成及规模</w:t>
            </w:r>
          </w:p>
        </w:tc>
        <w:tc>
          <w:tcPr>
            <w:tcW w:w="7728" w:type="dxa"/>
          </w:tcPr>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工程组成情况见表2。</w:t>
            </w:r>
          </w:p>
          <w:p>
            <w:pPr>
              <w:pStyle w:val="5"/>
              <w:keepNext/>
            </w:pPr>
            <w:bookmarkStart w:id="6" w:name="_Ref19637151"/>
            <w:bookmarkStart w:id="7" w:name="_Hlk105666719"/>
            <w:r>
              <w:t>表</w:t>
            </w:r>
            <w:bookmarkEnd w:id="6"/>
            <w:r>
              <w:t>2</w:t>
            </w:r>
            <w:r>
              <w:rPr>
                <w:rFonts w:hint="eastAsia"/>
              </w:rPr>
              <w:t xml:space="preserve">  工程组成</w:t>
            </w:r>
            <w:r>
              <w:t>一览表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92"/>
              <w:gridCol w:w="430"/>
              <w:gridCol w:w="1166"/>
              <w:gridCol w:w="53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Align w:val="center"/>
                </w:tcPr>
                <w:p>
                  <w:pPr>
                    <w:pStyle w:val="26"/>
                    <w:adjustRightInd w:val="0"/>
                    <w:snapToGrid w:val="0"/>
                    <w:spacing w:line="240" w:lineRule="auto"/>
                  </w:pPr>
                  <w:r>
                    <w:rPr>
                      <w:rFonts w:hint="eastAsia"/>
                    </w:rPr>
                    <w:t>工程组成</w:t>
                  </w:r>
                </w:p>
              </w:tc>
              <w:tc>
                <w:tcPr>
                  <w:tcW w:w="4604" w:type="pct"/>
                  <w:gridSpan w:val="3"/>
                  <w:vAlign w:val="center"/>
                </w:tcPr>
                <w:p>
                  <w:pPr>
                    <w:pStyle w:val="26"/>
                    <w:adjustRightInd w:val="0"/>
                    <w:snapToGrid w:val="0"/>
                    <w:spacing w:line="240" w:lineRule="auto"/>
                  </w:pPr>
                  <w:r>
                    <w:rPr>
                      <w:rFonts w:hint="eastAsia"/>
                    </w:rPr>
                    <w:t>工程内容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restart"/>
                  <w:vAlign w:val="center"/>
                </w:tcPr>
                <w:p>
                  <w:pPr>
                    <w:pStyle w:val="26"/>
                    <w:adjustRightInd w:val="0"/>
                    <w:snapToGrid w:val="0"/>
                    <w:spacing w:line="240" w:lineRule="auto"/>
                  </w:pPr>
                  <w:r>
                    <w:rPr>
                      <w:rFonts w:hint="eastAsia"/>
                    </w:rPr>
                    <w:t>主体工程</w:t>
                  </w:r>
                </w:p>
              </w:tc>
              <w:tc>
                <w:tcPr>
                  <w:tcW w:w="1062" w:type="pct"/>
                  <w:gridSpan w:val="2"/>
                  <w:vAlign w:val="center"/>
                </w:tcPr>
                <w:p>
                  <w:pPr>
                    <w:pStyle w:val="26"/>
                    <w:adjustRightInd w:val="0"/>
                    <w:snapToGrid w:val="0"/>
                    <w:spacing w:line="240" w:lineRule="auto"/>
                  </w:pPr>
                  <w:r>
                    <w:rPr>
                      <w:rFonts w:hint="eastAsia"/>
                    </w:rPr>
                    <w:t>钻前工程</w:t>
                  </w:r>
                </w:p>
              </w:tc>
              <w:tc>
                <w:tcPr>
                  <w:tcW w:w="3541" w:type="pct"/>
                  <w:vAlign w:val="center"/>
                </w:tcPr>
                <w:p>
                  <w:pPr>
                    <w:pStyle w:val="26"/>
                    <w:adjustRightInd w:val="0"/>
                    <w:snapToGrid w:val="0"/>
                    <w:spacing w:line="240" w:lineRule="auto"/>
                    <w:jc w:val="both"/>
                  </w:pPr>
                  <w:r>
                    <w:rPr>
                      <w:rFonts w:hint="eastAsia"/>
                      <w:spacing w:val="-6"/>
                    </w:rPr>
                    <w:t>井场平整、钻机基础建设、井场探临道路和生活营地建设，以及设备进场。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1062" w:type="pct"/>
                  <w:gridSpan w:val="2"/>
                  <w:vAlign w:val="center"/>
                </w:tcPr>
                <w:p>
                  <w:pPr>
                    <w:pStyle w:val="26"/>
                    <w:adjustRightInd w:val="0"/>
                    <w:snapToGrid w:val="0"/>
                    <w:spacing w:line="240" w:lineRule="auto"/>
                  </w:pPr>
                  <w:r>
                    <w:rPr>
                      <w:rFonts w:hint="eastAsia"/>
                    </w:rPr>
                    <w:t>钻井工程</w:t>
                  </w:r>
                </w:p>
              </w:tc>
              <w:tc>
                <w:tcPr>
                  <w:tcW w:w="3541" w:type="pct"/>
                  <w:vAlign w:val="center"/>
                </w:tcPr>
                <w:p>
                  <w:pPr>
                    <w:pStyle w:val="26"/>
                    <w:adjustRightInd w:val="0"/>
                    <w:snapToGrid w:val="0"/>
                    <w:spacing w:line="240" w:lineRule="auto"/>
                    <w:jc w:val="both"/>
                  </w:pPr>
                  <w:r>
                    <w:rPr>
                      <w:rFonts w:hint="eastAsia"/>
                    </w:rPr>
                    <w:t>钻井进尺</w:t>
                  </w:r>
                  <w:r>
                    <w:t>3900</w:t>
                  </w:r>
                  <w:r>
                    <w:rPr>
                      <w:rFonts w:hint="eastAsia"/>
                    </w:rPr>
                    <w:t>m，为三开直井；钻井期为93天，井场施工人数为35人。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1062" w:type="pct"/>
                  <w:gridSpan w:val="2"/>
                  <w:vAlign w:val="center"/>
                </w:tcPr>
                <w:p>
                  <w:pPr>
                    <w:pStyle w:val="26"/>
                    <w:adjustRightInd w:val="0"/>
                    <w:snapToGrid w:val="0"/>
                    <w:spacing w:line="240" w:lineRule="auto"/>
                  </w:pPr>
                  <w:r>
                    <w:rPr>
                      <w:rFonts w:hint="eastAsia"/>
                    </w:rPr>
                    <w:t>试油工程</w:t>
                  </w:r>
                </w:p>
              </w:tc>
              <w:tc>
                <w:tcPr>
                  <w:tcW w:w="3541" w:type="pct"/>
                  <w:vAlign w:val="center"/>
                </w:tcPr>
                <w:p>
                  <w:pPr>
                    <w:pStyle w:val="26"/>
                    <w:adjustRightInd w:val="0"/>
                    <w:snapToGrid w:val="0"/>
                    <w:spacing w:line="240" w:lineRule="auto"/>
                    <w:jc w:val="both"/>
                  </w:pPr>
                  <w:r>
                    <w:rPr>
                      <w:rFonts w:hint="eastAsia"/>
                    </w:rPr>
                    <w:t>对完钻井进行通井、洗井、试压、射孔、压裂、求产等工序，并配套试油设备、记录油气产量；试油期为</w:t>
                  </w:r>
                  <w:r>
                    <w:t>90</w:t>
                  </w:r>
                  <w:r>
                    <w:rPr>
                      <w:rFonts w:hint="eastAsia"/>
                    </w:rPr>
                    <w:t>天，施工人数为</w:t>
                  </w:r>
                  <w:r>
                    <w:t>2</w:t>
                  </w:r>
                  <w:r>
                    <w:rPr>
                      <w:rFonts w:hint="eastAsia"/>
                    </w:rPr>
                    <w:t>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restart"/>
                  <w:vAlign w:val="center"/>
                </w:tcPr>
                <w:p>
                  <w:pPr>
                    <w:pStyle w:val="26"/>
                    <w:adjustRightInd w:val="0"/>
                    <w:snapToGrid w:val="0"/>
                    <w:spacing w:line="240" w:lineRule="auto"/>
                  </w:pPr>
                  <w:r>
                    <w:rPr>
                      <w:rFonts w:hint="eastAsia"/>
                    </w:rPr>
                    <w:t>公用工程</w:t>
                  </w:r>
                </w:p>
              </w:tc>
              <w:tc>
                <w:tcPr>
                  <w:tcW w:w="1062" w:type="pct"/>
                  <w:gridSpan w:val="2"/>
                  <w:vAlign w:val="center"/>
                </w:tcPr>
                <w:p>
                  <w:pPr>
                    <w:pStyle w:val="26"/>
                    <w:adjustRightInd w:val="0"/>
                    <w:snapToGrid w:val="0"/>
                    <w:spacing w:line="240" w:lineRule="auto"/>
                  </w:pPr>
                  <w:r>
                    <w:rPr>
                      <w:rFonts w:hint="eastAsia"/>
                    </w:rPr>
                    <w:t>供配电</w:t>
                  </w:r>
                </w:p>
              </w:tc>
              <w:tc>
                <w:tcPr>
                  <w:tcW w:w="3541" w:type="pct"/>
                  <w:vAlign w:val="center"/>
                </w:tcPr>
                <w:p>
                  <w:pPr>
                    <w:pStyle w:val="26"/>
                    <w:adjustRightInd w:val="0"/>
                    <w:snapToGrid w:val="0"/>
                    <w:spacing w:line="240" w:lineRule="auto"/>
                    <w:jc w:val="both"/>
                  </w:pPr>
                  <w:r>
                    <w:rPr>
                      <w:rFonts w:hint="eastAsia"/>
                    </w:rPr>
                    <w:t>井场用电由柴油发电机供给；</w:t>
                  </w:r>
                  <w:r>
                    <w:rPr>
                      <w:rFonts w:hint="eastAsia" w:cs="宋体"/>
                      <w:color w:val="000000"/>
                    </w:rPr>
                    <w:t>外购</w:t>
                  </w:r>
                  <w:r>
                    <w:rPr>
                      <w:rFonts w:hint="eastAsia"/>
                    </w:rPr>
                    <w:t>柴油由罐车</w:t>
                  </w:r>
                  <w:r>
                    <w:rPr>
                      <w:rFonts w:hint="eastAsia" w:cs="宋体"/>
                      <w:color w:val="000000"/>
                    </w:rPr>
                    <w:t>拉运至井场，并设1座油罐储存（日常储备20t），柴油</w:t>
                  </w:r>
                  <w:r>
                    <w:rPr>
                      <w:rFonts w:hint="eastAsia"/>
                    </w:rPr>
                    <w:t>消耗总量约2</w:t>
                  </w:r>
                  <w:r>
                    <w:t>94t</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1062" w:type="pct"/>
                  <w:gridSpan w:val="2"/>
                  <w:vAlign w:val="center"/>
                </w:tcPr>
                <w:p>
                  <w:pPr>
                    <w:pStyle w:val="26"/>
                    <w:adjustRightInd w:val="0"/>
                    <w:snapToGrid w:val="0"/>
                    <w:spacing w:line="240" w:lineRule="auto"/>
                  </w:pPr>
                  <w:r>
                    <w:rPr>
                      <w:rFonts w:hint="eastAsia"/>
                    </w:rPr>
                    <w:t>给排水</w:t>
                  </w:r>
                </w:p>
              </w:tc>
              <w:tc>
                <w:tcPr>
                  <w:tcW w:w="3541" w:type="pct"/>
                  <w:vAlign w:val="center"/>
                </w:tcPr>
                <w:p>
                  <w:pPr>
                    <w:pStyle w:val="26"/>
                    <w:adjustRightInd w:val="0"/>
                    <w:snapToGrid w:val="0"/>
                    <w:spacing w:line="240" w:lineRule="auto"/>
                    <w:jc w:val="both"/>
                    <w:rPr>
                      <w:color w:val="FF0000"/>
                    </w:rPr>
                  </w:pPr>
                  <w:r>
                    <w:rPr>
                      <w:rFonts w:hint="eastAsia"/>
                    </w:rPr>
                    <w:t>用水主要为洗井用水和生活用水，均可就近从小庙村由罐车拉运至井场；洗井废水暂存至井场专用储罐；生活污水排至生活营地</w:t>
                  </w:r>
                  <w:r>
                    <w:rPr>
                      <w:rFonts w:hint="eastAsia"/>
                      <w:bCs/>
                    </w:rPr>
                    <w:t>临时防渗收集池暂存</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1062" w:type="pct"/>
                  <w:gridSpan w:val="2"/>
                  <w:vAlign w:val="center"/>
                </w:tcPr>
                <w:p>
                  <w:pPr>
                    <w:pStyle w:val="26"/>
                    <w:adjustRightInd w:val="0"/>
                    <w:snapToGrid w:val="0"/>
                    <w:spacing w:line="240" w:lineRule="auto"/>
                  </w:pPr>
                  <w:r>
                    <w:rPr>
                      <w:rFonts w:hint="eastAsia"/>
                    </w:rPr>
                    <w:t>道路</w:t>
                  </w:r>
                </w:p>
              </w:tc>
              <w:tc>
                <w:tcPr>
                  <w:tcW w:w="3541" w:type="pct"/>
                  <w:vAlign w:val="center"/>
                </w:tcPr>
                <w:p>
                  <w:pPr>
                    <w:pStyle w:val="26"/>
                    <w:adjustRightInd w:val="0"/>
                    <w:snapToGrid w:val="0"/>
                    <w:spacing w:line="240" w:lineRule="auto"/>
                    <w:jc w:val="both"/>
                  </w:pPr>
                  <w:r>
                    <w:rPr>
                      <w:rFonts w:hint="eastAsia"/>
                    </w:rPr>
                    <w:t>新建1条长度为</w:t>
                  </w:r>
                  <w:r>
                    <w:t>100m</w:t>
                  </w:r>
                  <w:r>
                    <w:rPr>
                      <w:rFonts w:hint="eastAsia"/>
                    </w:rPr>
                    <w:t>的探临道路，路宽7m，砂石路面。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1062" w:type="pct"/>
                  <w:gridSpan w:val="2"/>
                  <w:vAlign w:val="center"/>
                </w:tcPr>
                <w:p>
                  <w:pPr>
                    <w:pStyle w:val="26"/>
                    <w:adjustRightInd w:val="0"/>
                    <w:snapToGrid w:val="0"/>
                    <w:spacing w:line="240" w:lineRule="auto"/>
                  </w:pPr>
                  <w:r>
                    <w:rPr>
                      <w:rFonts w:hint="eastAsia"/>
                    </w:rPr>
                    <w:t>消防</w:t>
                  </w:r>
                </w:p>
              </w:tc>
              <w:tc>
                <w:tcPr>
                  <w:tcW w:w="3541" w:type="pct"/>
                  <w:vAlign w:val="center"/>
                </w:tcPr>
                <w:p>
                  <w:pPr>
                    <w:pStyle w:val="26"/>
                    <w:adjustRightInd w:val="0"/>
                    <w:snapToGrid w:val="0"/>
                    <w:spacing w:line="240" w:lineRule="auto"/>
                    <w:jc w:val="both"/>
                  </w:pPr>
                  <w:r>
                    <w:rPr>
                      <w:rFonts w:hint="eastAsia" w:cs="宋体"/>
                      <w:kern w:val="0"/>
                    </w:rPr>
                    <w:t>按规范配置一定数量的消防器材。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restart"/>
                  <w:vAlign w:val="center"/>
                </w:tcPr>
                <w:p>
                  <w:pPr>
                    <w:pStyle w:val="26"/>
                    <w:adjustRightInd w:val="0"/>
                    <w:snapToGrid w:val="0"/>
                    <w:spacing w:line="240" w:lineRule="auto"/>
                  </w:pPr>
                  <w:r>
                    <w:rPr>
                      <w:rFonts w:hint="eastAsia"/>
                    </w:rPr>
                    <w:t>环保工程</w:t>
                  </w:r>
                </w:p>
              </w:tc>
              <w:tc>
                <w:tcPr>
                  <w:tcW w:w="286" w:type="pct"/>
                  <w:tcBorders>
                    <w:right w:val="single" w:color="auto" w:sz="4" w:space="0"/>
                  </w:tcBorders>
                  <w:vAlign w:val="center"/>
                </w:tcPr>
                <w:p>
                  <w:pPr>
                    <w:pStyle w:val="26"/>
                    <w:snapToGrid w:val="0"/>
                    <w:spacing w:line="240" w:lineRule="auto"/>
                    <w:contextualSpacing/>
                  </w:pPr>
                  <w:r>
                    <w:rPr>
                      <w:rFonts w:hint="eastAsia"/>
                    </w:rPr>
                    <w:t>废气</w:t>
                  </w:r>
                </w:p>
              </w:tc>
              <w:tc>
                <w:tcPr>
                  <w:tcW w:w="776" w:type="pct"/>
                  <w:tcBorders>
                    <w:left w:val="single" w:color="auto" w:sz="4" w:space="0"/>
                  </w:tcBorders>
                  <w:vAlign w:val="center"/>
                </w:tcPr>
                <w:p>
                  <w:pPr>
                    <w:jc w:val="center"/>
                  </w:pPr>
                  <w:r>
                    <w:rPr>
                      <w:szCs w:val="21"/>
                    </w:rPr>
                    <w:t>伴生气</w:t>
                  </w:r>
                </w:p>
              </w:tc>
              <w:tc>
                <w:tcPr>
                  <w:tcW w:w="3541" w:type="pct"/>
                  <w:vAlign w:val="center"/>
                </w:tcPr>
                <w:p>
                  <w:pPr>
                    <w:pStyle w:val="28"/>
                    <w:snapToGrid w:val="0"/>
                    <w:jc w:val="both"/>
                    <w:rPr>
                      <w:szCs w:val="21"/>
                    </w:rPr>
                  </w:pPr>
                  <w:r>
                    <w:rPr>
                      <w:rFonts w:hint="eastAsia"/>
                      <w:szCs w:val="21"/>
                    </w:rPr>
                    <w:t>由液气分离器排气管线</w:t>
                  </w:r>
                  <w:r>
                    <w:rPr>
                      <w:rFonts w:hint="eastAsia"/>
                    </w:rPr>
                    <w:t>点燃后放空。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286" w:type="pct"/>
                  <w:vMerge w:val="restart"/>
                  <w:tcBorders>
                    <w:right w:val="single" w:color="auto" w:sz="4" w:space="0"/>
                  </w:tcBorders>
                  <w:vAlign w:val="center"/>
                </w:tcPr>
                <w:p>
                  <w:pPr>
                    <w:pStyle w:val="26"/>
                    <w:snapToGrid w:val="0"/>
                    <w:spacing w:line="240" w:lineRule="auto"/>
                    <w:contextualSpacing/>
                  </w:pPr>
                  <w:r>
                    <w:rPr>
                      <w:rFonts w:hint="eastAsia"/>
                    </w:rPr>
                    <w:t>废水</w:t>
                  </w:r>
                </w:p>
              </w:tc>
              <w:tc>
                <w:tcPr>
                  <w:tcW w:w="776" w:type="pct"/>
                  <w:tcBorders>
                    <w:left w:val="single" w:color="auto" w:sz="4" w:space="0"/>
                  </w:tcBorders>
                  <w:vAlign w:val="center"/>
                </w:tcPr>
                <w:p>
                  <w:pPr>
                    <w:jc w:val="center"/>
                    <w:rPr>
                      <w:szCs w:val="21"/>
                    </w:rPr>
                  </w:pPr>
                  <w:r>
                    <w:rPr>
                      <w:rFonts w:hint="eastAsia"/>
                    </w:rPr>
                    <w:t>洗井废水、压裂返排液</w:t>
                  </w:r>
                </w:p>
              </w:tc>
              <w:tc>
                <w:tcPr>
                  <w:tcW w:w="3541" w:type="pct"/>
                  <w:vAlign w:val="center"/>
                </w:tcPr>
                <w:p>
                  <w:pPr>
                    <w:pStyle w:val="28"/>
                    <w:snapToGrid w:val="0"/>
                    <w:jc w:val="both"/>
                    <w:rPr>
                      <w:szCs w:val="21"/>
                    </w:rPr>
                  </w:pPr>
                  <w:bookmarkStart w:id="8" w:name="_Hlk105514366"/>
                  <w:r>
                    <w:rPr>
                      <w:rFonts w:hint="eastAsia"/>
                      <w:szCs w:val="21"/>
                    </w:rPr>
                    <w:t>由专用储罐收集后拉运至</w:t>
                  </w:r>
                  <w:r>
                    <w:rPr>
                      <w:rFonts w:hint="eastAsia" w:ascii="宋体" w:hAnsi="宋体" w:cs="宋体"/>
                      <w:szCs w:val="21"/>
                    </w:rPr>
                    <w:t>沙南联合站</w:t>
                  </w:r>
                  <w:r>
                    <w:rPr>
                      <w:rFonts w:hint="eastAsia"/>
                      <w:szCs w:val="21"/>
                    </w:rPr>
                    <w:t>处理。</w:t>
                  </w:r>
                  <w:bookmarkEnd w:id="8"/>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286" w:type="pct"/>
                  <w:vMerge w:val="continue"/>
                  <w:tcBorders>
                    <w:right w:val="single" w:color="auto" w:sz="4" w:space="0"/>
                  </w:tcBorders>
                  <w:vAlign w:val="center"/>
                </w:tcPr>
                <w:p>
                  <w:pPr>
                    <w:pStyle w:val="26"/>
                    <w:snapToGrid w:val="0"/>
                    <w:spacing w:line="240" w:lineRule="auto"/>
                    <w:contextualSpacing/>
                  </w:pPr>
                </w:p>
              </w:tc>
              <w:tc>
                <w:tcPr>
                  <w:tcW w:w="776" w:type="pct"/>
                  <w:tcBorders>
                    <w:left w:val="single" w:color="auto" w:sz="4" w:space="0"/>
                  </w:tcBorders>
                  <w:vAlign w:val="center"/>
                </w:tcPr>
                <w:p>
                  <w:pPr>
                    <w:jc w:val="center"/>
                    <w:rPr>
                      <w:szCs w:val="21"/>
                    </w:rPr>
                  </w:pPr>
                  <w:r>
                    <w:rPr>
                      <w:rFonts w:hint="eastAsia"/>
                    </w:rPr>
                    <w:t>生活污水</w:t>
                  </w:r>
                </w:p>
              </w:tc>
              <w:tc>
                <w:tcPr>
                  <w:tcW w:w="3541" w:type="pct"/>
                  <w:vAlign w:val="center"/>
                </w:tcPr>
                <w:p>
                  <w:pPr>
                    <w:pStyle w:val="28"/>
                    <w:snapToGrid w:val="0"/>
                    <w:jc w:val="both"/>
                    <w:rPr>
                      <w:szCs w:val="21"/>
                    </w:rPr>
                  </w:pPr>
                  <w:r>
                    <w:rPr>
                      <w:rFonts w:hint="eastAsia"/>
                      <w:szCs w:val="21"/>
                    </w:rPr>
                    <w:t>生活营</w:t>
                  </w:r>
                  <w:r>
                    <w:rPr>
                      <w:rFonts w:hint="eastAsia" w:ascii="宋体" w:hAnsi="宋体" w:cs="宋体"/>
                      <w:szCs w:val="21"/>
                    </w:rPr>
                    <w:t>地设1座防渗收集池，用于收集、暂存生活污水，施工结束后送至</w:t>
                  </w:r>
                  <w:r>
                    <w:rPr>
                      <w:rFonts w:hint="eastAsia"/>
                      <w:szCs w:val="21"/>
                    </w:rPr>
                    <w:t>吉木萨尔县污水处理厂处理。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286" w:type="pct"/>
                  <w:tcBorders>
                    <w:right w:val="single" w:color="auto" w:sz="4" w:space="0"/>
                  </w:tcBorders>
                  <w:vAlign w:val="center"/>
                </w:tcPr>
                <w:p>
                  <w:pPr>
                    <w:pStyle w:val="26"/>
                    <w:snapToGrid w:val="0"/>
                    <w:spacing w:line="240" w:lineRule="auto"/>
                    <w:contextualSpacing/>
                  </w:pPr>
                  <w:r>
                    <w:rPr>
                      <w:rFonts w:hint="eastAsia"/>
                    </w:rPr>
                    <w:t>噪声</w:t>
                  </w:r>
                </w:p>
              </w:tc>
              <w:tc>
                <w:tcPr>
                  <w:tcW w:w="776" w:type="pct"/>
                  <w:tcBorders>
                    <w:left w:val="single" w:color="auto" w:sz="4" w:space="0"/>
                  </w:tcBorders>
                  <w:vAlign w:val="center"/>
                </w:tcPr>
                <w:p>
                  <w:pPr>
                    <w:jc w:val="center"/>
                  </w:pPr>
                  <w:r>
                    <w:rPr>
                      <w:rFonts w:hint="eastAsia"/>
                    </w:rPr>
                    <w:t>钻试设备运行噪声</w:t>
                  </w:r>
                </w:p>
              </w:tc>
              <w:tc>
                <w:tcPr>
                  <w:tcW w:w="3541" w:type="pct"/>
                  <w:vAlign w:val="center"/>
                </w:tcPr>
                <w:p>
                  <w:pPr>
                    <w:pStyle w:val="28"/>
                    <w:snapToGrid w:val="0"/>
                    <w:jc w:val="both"/>
                    <w:rPr>
                      <w:szCs w:val="21"/>
                    </w:rPr>
                  </w:pPr>
                  <w:r>
                    <w:rPr>
                      <w:rFonts w:hint="eastAsia"/>
                    </w:rPr>
                    <w:t>设备底部进行基础减震。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430" w:type="dxa"/>
                  <w:vMerge w:val="restart"/>
                  <w:tcBorders>
                    <w:right w:val="single" w:color="auto" w:sz="4" w:space="0"/>
                  </w:tcBorders>
                  <w:vAlign w:val="center"/>
                </w:tcPr>
                <w:p>
                  <w:pPr>
                    <w:pStyle w:val="26"/>
                    <w:snapToGrid w:val="0"/>
                    <w:spacing w:line="240" w:lineRule="auto"/>
                    <w:contextualSpacing/>
                  </w:pPr>
                  <w:r>
                    <w:rPr>
                      <w:rFonts w:hint="eastAsia"/>
                    </w:rPr>
                    <w:t>固体废物</w:t>
                  </w:r>
                </w:p>
              </w:tc>
              <w:tc>
                <w:tcPr>
                  <w:tcW w:w="1166" w:type="dxa"/>
                  <w:tcBorders>
                    <w:left w:val="single" w:color="auto" w:sz="4" w:space="0"/>
                  </w:tcBorders>
                  <w:vAlign w:val="center"/>
                </w:tcPr>
                <w:p>
                  <w:pPr>
                    <w:pStyle w:val="26"/>
                    <w:snapToGrid w:val="0"/>
                    <w:spacing w:line="240" w:lineRule="auto"/>
                    <w:contextualSpacing/>
                  </w:pPr>
                  <w:r>
                    <w:rPr>
                      <w:rFonts w:hint="eastAsia"/>
                    </w:rPr>
                    <w:t>钻井岩屑</w:t>
                  </w:r>
                </w:p>
              </w:tc>
              <w:tc>
                <w:tcPr>
                  <w:tcW w:w="5321" w:type="dxa"/>
                  <w:vAlign w:val="center"/>
                </w:tcPr>
                <w:p>
                  <w:pPr>
                    <w:pStyle w:val="26"/>
                    <w:snapToGrid w:val="0"/>
                    <w:spacing w:line="240" w:lineRule="auto"/>
                    <w:contextualSpacing/>
                    <w:jc w:val="both"/>
                  </w:pPr>
                  <w:r>
                    <w:t>井场设置1套</w:t>
                  </w:r>
                  <w:r>
                    <w:rPr>
                      <w:rFonts w:hint="eastAsia"/>
                    </w:rPr>
                    <w:t>钻井液</w:t>
                  </w:r>
                  <w:r>
                    <w:t>不落地设备</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430" w:type="dxa"/>
                  <w:vMerge w:val="continue"/>
                  <w:tcBorders>
                    <w:right w:val="single" w:color="auto" w:sz="4" w:space="0"/>
                  </w:tcBorders>
                  <w:vAlign w:val="center"/>
                </w:tcPr>
                <w:p>
                  <w:pPr>
                    <w:pStyle w:val="26"/>
                    <w:snapToGrid w:val="0"/>
                    <w:spacing w:line="240" w:lineRule="auto"/>
                    <w:contextualSpacing/>
                  </w:pPr>
                </w:p>
              </w:tc>
              <w:tc>
                <w:tcPr>
                  <w:tcW w:w="1166" w:type="dxa"/>
                  <w:tcBorders>
                    <w:left w:val="single" w:color="auto" w:sz="4" w:space="0"/>
                  </w:tcBorders>
                  <w:vAlign w:val="center"/>
                </w:tcPr>
                <w:p>
                  <w:pPr>
                    <w:pStyle w:val="26"/>
                    <w:snapToGrid w:val="0"/>
                    <w:spacing w:line="240" w:lineRule="auto"/>
                    <w:contextualSpacing/>
                  </w:pPr>
                  <w:r>
                    <w:rPr>
                      <w:rFonts w:hint="eastAsia" w:cs="宋体"/>
                    </w:rPr>
                    <w:t>沾油的废防渗材料</w:t>
                  </w:r>
                </w:p>
              </w:tc>
              <w:tc>
                <w:tcPr>
                  <w:tcW w:w="5321" w:type="dxa"/>
                  <w:vAlign w:val="center"/>
                </w:tcPr>
                <w:p>
                  <w:pPr>
                    <w:pStyle w:val="26"/>
                    <w:snapToGrid w:val="0"/>
                    <w:spacing w:line="240" w:lineRule="auto"/>
                    <w:contextualSpacing/>
                    <w:jc w:val="both"/>
                  </w:pPr>
                  <w:r>
                    <w:rPr>
                      <w:rFonts w:hint="eastAsia" w:cs="宋体"/>
                    </w:rPr>
                    <w:t>施工结束后交由具有相应危险废物处置资质的单位进行处置。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5" w:type="pct"/>
                  <w:vMerge w:val="continue"/>
                  <w:vAlign w:val="center"/>
                </w:tcPr>
                <w:p>
                  <w:pPr>
                    <w:pStyle w:val="26"/>
                    <w:adjustRightInd w:val="0"/>
                    <w:snapToGrid w:val="0"/>
                    <w:spacing w:line="240" w:lineRule="auto"/>
                  </w:pPr>
                </w:p>
              </w:tc>
              <w:tc>
                <w:tcPr>
                  <w:tcW w:w="430" w:type="dxa"/>
                  <w:vMerge w:val="continue"/>
                  <w:tcBorders>
                    <w:right w:val="single" w:color="auto" w:sz="4" w:space="0"/>
                  </w:tcBorders>
                  <w:vAlign w:val="center"/>
                </w:tcPr>
                <w:p>
                  <w:pPr>
                    <w:pStyle w:val="26"/>
                    <w:snapToGrid w:val="0"/>
                    <w:spacing w:line="240" w:lineRule="auto"/>
                    <w:contextualSpacing/>
                  </w:pPr>
                </w:p>
              </w:tc>
              <w:tc>
                <w:tcPr>
                  <w:tcW w:w="1166" w:type="dxa"/>
                  <w:tcBorders>
                    <w:left w:val="single" w:color="auto" w:sz="4" w:space="0"/>
                  </w:tcBorders>
                  <w:vAlign w:val="center"/>
                </w:tcPr>
                <w:p>
                  <w:pPr>
                    <w:pStyle w:val="26"/>
                    <w:snapToGrid w:val="0"/>
                    <w:spacing w:line="240" w:lineRule="auto"/>
                    <w:contextualSpacing/>
                  </w:pPr>
                  <w:r>
                    <w:rPr>
                      <w:rFonts w:hint="eastAsia"/>
                    </w:rPr>
                    <w:t>生活垃圾</w:t>
                  </w:r>
                </w:p>
              </w:tc>
              <w:tc>
                <w:tcPr>
                  <w:tcW w:w="5321" w:type="dxa"/>
                  <w:vAlign w:val="center"/>
                </w:tcPr>
                <w:p>
                  <w:pPr>
                    <w:pStyle w:val="26"/>
                    <w:snapToGrid w:val="0"/>
                    <w:spacing w:line="240" w:lineRule="auto"/>
                    <w:contextualSpacing/>
                    <w:jc w:val="both"/>
                  </w:pPr>
                  <w:r>
                    <w:rPr>
                      <w:rFonts w:hint="eastAsia"/>
                    </w:rPr>
                    <w:t>井场和生活营地均设有垃圾箱暂存生活垃圾，施工结束后清运至吉木萨尔县生活垃圾填埋场处置。</w:t>
                  </w:r>
                </w:p>
              </w:tc>
            </w:tr>
            <w:bookmarkEnd w:id="7"/>
          </w:tbl>
          <w:p>
            <w:pPr>
              <w:pStyle w:val="5"/>
              <w:keepNext/>
            </w:pPr>
            <w:bookmarkStart w:id="9" w:name="_Hlk105666731"/>
            <w:r>
              <w:rPr>
                <w:rFonts w:hint="eastAsia"/>
              </w:rPr>
              <w:t>续</w:t>
            </w:r>
            <w:r>
              <w:t>表2</w:t>
            </w:r>
            <w:r>
              <w:rPr>
                <w:rFonts w:hint="eastAsia"/>
              </w:rPr>
              <w:t xml:space="preserve">  工程组成</w:t>
            </w:r>
            <w:r>
              <w:t>一览表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98"/>
              <w:gridCol w:w="1601"/>
              <w:gridCol w:w="53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Align w:val="center"/>
                </w:tcPr>
                <w:p>
                  <w:pPr>
                    <w:pStyle w:val="26"/>
                    <w:adjustRightInd w:val="0"/>
                    <w:snapToGrid w:val="0"/>
                    <w:spacing w:line="240" w:lineRule="auto"/>
                  </w:pPr>
                  <w:r>
                    <w:rPr>
                      <w:rFonts w:hint="eastAsia"/>
                    </w:rPr>
                    <w:t>工程组成</w:t>
                  </w:r>
                </w:p>
              </w:tc>
              <w:tc>
                <w:tcPr>
                  <w:tcW w:w="4601" w:type="pct"/>
                  <w:gridSpan w:val="2"/>
                  <w:vAlign w:val="center"/>
                </w:tcPr>
                <w:p>
                  <w:pPr>
                    <w:pStyle w:val="26"/>
                    <w:adjustRightInd w:val="0"/>
                    <w:snapToGrid w:val="0"/>
                    <w:spacing w:line="240" w:lineRule="auto"/>
                  </w:pPr>
                  <w:r>
                    <w:rPr>
                      <w:rFonts w:hint="eastAsia"/>
                    </w:rPr>
                    <w:t>工程内容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restart"/>
                  <w:vAlign w:val="center"/>
                </w:tcPr>
                <w:p>
                  <w:pPr>
                    <w:pStyle w:val="26"/>
                    <w:adjustRightInd w:val="0"/>
                    <w:snapToGrid w:val="0"/>
                    <w:spacing w:line="240" w:lineRule="auto"/>
                  </w:pPr>
                  <w:r>
                    <w:rPr>
                      <w:rFonts w:hint="eastAsia"/>
                    </w:rPr>
                    <w:t>环保工程</w:t>
                  </w:r>
                </w:p>
              </w:tc>
              <w:tc>
                <w:tcPr>
                  <w:tcW w:w="1066" w:type="pct"/>
                  <w:vAlign w:val="center"/>
                </w:tcPr>
                <w:p>
                  <w:pPr>
                    <w:pStyle w:val="26"/>
                    <w:snapToGrid w:val="0"/>
                    <w:spacing w:line="240" w:lineRule="auto"/>
                    <w:contextualSpacing/>
                  </w:pPr>
                  <w:r>
                    <w:rPr>
                      <w:rFonts w:hint="eastAsia"/>
                    </w:rPr>
                    <w:t>生态措施</w:t>
                  </w:r>
                </w:p>
              </w:tc>
              <w:tc>
                <w:tcPr>
                  <w:tcW w:w="3535" w:type="pct"/>
                  <w:vAlign w:val="center"/>
                </w:tcPr>
                <w:p>
                  <w:pPr>
                    <w:pStyle w:val="26"/>
                    <w:snapToGrid w:val="0"/>
                    <w:spacing w:line="240" w:lineRule="auto"/>
                    <w:contextualSpacing/>
                    <w:jc w:val="both"/>
                  </w:pPr>
                  <w:r>
                    <w:rPr>
                      <w:rFonts w:hint="eastAsia"/>
                    </w:rPr>
                    <w:t>施工结束后及时对临时占地进行清理、平整，植被自然恢复。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continue"/>
                  <w:vAlign w:val="center"/>
                </w:tcPr>
                <w:p>
                  <w:pPr>
                    <w:pStyle w:val="26"/>
                    <w:adjustRightInd w:val="0"/>
                    <w:snapToGrid w:val="0"/>
                    <w:spacing w:line="240" w:lineRule="auto"/>
                  </w:pPr>
                </w:p>
              </w:tc>
              <w:tc>
                <w:tcPr>
                  <w:tcW w:w="1066" w:type="pct"/>
                  <w:vAlign w:val="center"/>
                </w:tcPr>
                <w:p>
                  <w:pPr>
                    <w:pStyle w:val="26"/>
                    <w:snapToGrid w:val="0"/>
                    <w:spacing w:line="240" w:lineRule="auto"/>
                    <w:contextualSpacing/>
                  </w:pPr>
                  <w:r>
                    <w:t>H</w:t>
                  </w:r>
                  <w:r>
                    <w:rPr>
                      <w:vertAlign w:val="subscript"/>
                    </w:rPr>
                    <w:t>2</w:t>
                  </w:r>
                  <w:r>
                    <w:t>S监测</w:t>
                  </w:r>
                </w:p>
              </w:tc>
              <w:tc>
                <w:tcPr>
                  <w:tcW w:w="3535" w:type="pct"/>
                  <w:vAlign w:val="center"/>
                </w:tcPr>
                <w:p>
                  <w:pPr>
                    <w:pStyle w:val="26"/>
                    <w:snapToGrid w:val="0"/>
                    <w:spacing w:line="240" w:lineRule="auto"/>
                    <w:contextualSpacing/>
                    <w:jc w:val="both"/>
                  </w:pPr>
                  <w:r>
                    <w:rPr>
                      <w:rFonts w:hint="eastAsia"/>
                      <w:spacing w:val="-6"/>
                    </w:rPr>
                    <w:t>井场按规范设置H</w:t>
                  </w:r>
                  <w:r>
                    <w:rPr>
                      <w:rFonts w:hint="eastAsia"/>
                      <w:spacing w:val="-6"/>
                      <w:vertAlign w:val="subscript"/>
                    </w:rPr>
                    <w:t>2</w:t>
                  </w:r>
                  <w:r>
                    <w:rPr>
                      <w:rFonts w:hint="eastAsia"/>
                      <w:spacing w:val="-6"/>
                    </w:rPr>
                    <w:t>S监测仪。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continue"/>
                  <w:vAlign w:val="center"/>
                </w:tcPr>
                <w:p>
                  <w:pPr>
                    <w:pStyle w:val="26"/>
                    <w:adjustRightInd w:val="0"/>
                    <w:snapToGrid w:val="0"/>
                    <w:spacing w:line="240" w:lineRule="auto"/>
                  </w:pPr>
                </w:p>
              </w:tc>
              <w:tc>
                <w:tcPr>
                  <w:tcW w:w="1066" w:type="pct"/>
                  <w:vAlign w:val="center"/>
                </w:tcPr>
                <w:p>
                  <w:pPr>
                    <w:pStyle w:val="26"/>
                    <w:snapToGrid w:val="0"/>
                    <w:spacing w:line="240" w:lineRule="auto"/>
                    <w:contextualSpacing/>
                  </w:pPr>
                  <w:r>
                    <w:t>放喷设施</w:t>
                  </w:r>
                </w:p>
              </w:tc>
              <w:tc>
                <w:tcPr>
                  <w:tcW w:w="3535" w:type="pct"/>
                  <w:vAlign w:val="center"/>
                </w:tcPr>
                <w:p>
                  <w:pPr>
                    <w:pStyle w:val="26"/>
                    <w:snapToGrid w:val="0"/>
                    <w:spacing w:line="240" w:lineRule="auto"/>
                    <w:contextualSpacing/>
                    <w:jc w:val="both"/>
                  </w:pPr>
                  <w:r>
                    <w:t>井场左右两侧各设置1条</w:t>
                  </w:r>
                  <w:r>
                    <w:rPr>
                      <w:rFonts w:hint="eastAsia"/>
                    </w:rPr>
                    <w:t>放喷管线</w:t>
                  </w:r>
                  <w:r>
                    <w:t>，</w:t>
                  </w:r>
                  <w:r>
                    <w:rPr>
                      <w:rFonts w:hint="eastAsia"/>
                    </w:rPr>
                    <w:t>预留</w:t>
                  </w:r>
                  <w:r>
                    <w:t>应急放喷</w:t>
                  </w:r>
                  <w:r>
                    <w:rPr>
                      <w:rFonts w:hint="eastAsia"/>
                    </w:rPr>
                    <w:t>池位</w:t>
                  </w:r>
                  <w:r>
                    <w:t>置</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restart"/>
                  <w:vAlign w:val="center"/>
                </w:tcPr>
                <w:p>
                  <w:pPr>
                    <w:pStyle w:val="26"/>
                    <w:adjustRightInd w:val="0"/>
                    <w:snapToGrid w:val="0"/>
                    <w:spacing w:line="240" w:lineRule="auto"/>
                  </w:pPr>
                  <w:r>
                    <w:rPr>
                      <w:rFonts w:hint="eastAsia"/>
                    </w:rPr>
                    <w:t>依托工程</w:t>
                  </w:r>
                </w:p>
              </w:tc>
              <w:tc>
                <w:tcPr>
                  <w:tcW w:w="1066" w:type="pct"/>
                  <w:vAlign w:val="center"/>
                </w:tcPr>
                <w:p>
                  <w:pPr>
                    <w:pStyle w:val="26"/>
                    <w:snapToGrid w:val="0"/>
                    <w:spacing w:line="240" w:lineRule="auto"/>
                    <w:contextualSpacing/>
                  </w:pPr>
                  <w:r>
                    <w:rPr>
                      <w:rFonts w:hint="eastAsia"/>
                    </w:rPr>
                    <w:t>洗井废水、压裂返排液</w:t>
                  </w:r>
                </w:p>
              </w:tc>
              <w:tc>
                <w:tcPr>
                  <w:tcW w:w="3535" w:type="pct"/>
                  <w:vAlign w:val="center"/>
                </w:tcPr>
                <w:p>
                  <w:pPr>
                    <w:pStyle w:val="26"/>
                    <w:snapToGrid w:val="0"/>
                    <w:spacing w:line="240" w:lineRule="auto"/>
                    <w:contextualSpacing/>
                    <w:jc w:val="both"/>
                  </w:pPr>
                  <w:r>
                    <w:rPr>
                      <w:rFonts w:hint="eastAsia"/>
                    </w:rPr>
                    <w:t>罐车送至沙南联合站采出水处理系统。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continue"/>
                  <w:vAlign w:val="center"/>
                </w:tcPr>
                <w:p>
                  <w:pPr>
                    <w:pStyle w:val="26"/>
                    <w:adjustRightInd w:val="0"/>
                    <w:snapToGrid w:val="0"/>
                    <w:spacing w:line="240" w:lineRule="auto"/>
                  </w:pPr>
                </w:p>
              </w:tc>
              <w:tc>
                <w:tcPr>
                  <w:tcW w:w="1066" w:type="pct"/>
                  <w:vAlign w:val="center"/>
                </w:tcPr>
                <w:p>
                  <w:pPr>
                    <w:pStyle w:val="26"/>
                    <w:snapToGrid w:val="0"/>
                    <w:spacing w:line="240" w:lineRule="auto"/>
                    <w:contextualSpacing/>
                  </w:pPr>
                  <w:r>
                    <w:rPr>
                      <w:rFonts w:hint="eastAsia"/>
                    </w:rPr>
                    <w:t>采出液</w:t>
                  </w:r>
                </w:p>
              </w:tc>
              <w:tc>
                <w:tcPr>
                  <w:tcW w:w="3535" w:type="pct"/>
                  <w:vAlign w:val="center"/>
                </w:tcPr>
                <w:p>
                  <w:pPr>
                    <w:pStyle w:val="26"/>
                    <w:snapToGrid w:val="0"/>
                    <w:spacing w:line="240" w:lineRule="auto"/>
                    <w:contextualSpacing/>
                    <w:jc w:val="both"/>
                  </w:pPr>
                  <w:r>
                    <w:rPr>
                      <w:rFonts w:hint="eastAsia"/>
                    </w:rPr>
                    <w:t>罐车送至沙南联合站原油处理系统。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continue"/>
                  <w:vAlign w:val="center"/>
                </w:tcPr>
                <w:p>
                  <w:pPr>
                    <w:pStyle w:val="26"/>
                    <w:adjustRightInd w:val="0"/>
                    <w:snapToGrid w:val="0"/>
                    <w:spacing w:line="240" w:lineRule="auto"/>
                  </w:pPr>
                </w:p>
              </w:tc>
              <w:tc>
                <w:tcPr>
                  <w:tcW w:w="1066" w:type="pct"/>
                  <w:vAlign w:val="center"/>
                </w:tcPr>
                <w:p>
                  <w:pPr>
                    <w:pStyle w:val="26"/>
                    <w:snapToGrid w:val="0"/>
                    <w:spacing w:line="240" w:lineRule="auto"/>
                    <w:contextualSpacing/>
                  </w:pPr>
                  <w:r>
                    <w:rPr>
                      <w:rFonts w:hint="eastAsia"/>
                    </w:rPr>
                    <w:t>生活污水</w:t>
                  </w:r>
                </w:p>
              </w:tc>
              <w:tc>
                <w:tcPr>
                  <w:tcW w:w="3535" w:type="pct"/>
                  <w:vAlign w:val="center"/>
                </w:tcPr>
                <w:p>
                  <w:pPr>
                    <w:pStyle w:val="26"/>
                    <w:snapToGrid w:val="0"/>
                    <w:spacing w:line="240" w:lineRule="auto"/>
                    <w:contextualSpacing/>
                    <w:jc w:val="both"/>
                  </w:pPr>
                  <w:r>
                    <w:rPr>
                      <w:rFonts w:hint="eastAsia"/>
                    </w:rPr>
                    <w:t>定期由吸污车运至吉木萨尔县污水处理厂。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continue"/>
                  <w:vAlign w:val="center"/>
                </w:tcPr>
                <w:p>
                  <w:pPr>
                    <w:pStyle w:val="26"/>
                    <w:adjustRightInd w:val="0"/>
                    <w:snapToGrid w:val="0"/>
                    <w:spacing w:line="240" w:lineRule="auto"/>
                  </w:pPr>
                </w:p>
              </w:tc>
              <w:tc>
                <w:tcPr>
                  <w:tcW w:w="1066" w:type="pct"/>
                  <w:vAlign w:val="center"/>
                </w:tcPr>
                <w:p>
                  <w:pPr>
                    <w:pStyle w:val="26"/>
                    <w:snapToGrid w:val="0"/>
                    <w:spacing w:line="240" w:lineRule="auto"/>
                    <w:contextualSpacing/>
                  </w:pPr>
                  <w:r>
                    <w:rPr>
                      <w:rFonts w:hint="eastAsia"/>
                    </w:rPr>
                    <w:t>生活垃圾</w:t>
                  </w:r>
                </w:p>
              </w:tc>
              <w:tc>
                <w:tcPr>
                  <w:tcW w:w="3535" w:type="pct"/>
                  <w:vAlign w:val="center"/>
                </w:tcPr>
                <w:p>
                  <w:pPr>
                    <w:pStyle w:val="26"/>
                    <w:snapToGrid w:val="0"/>
                    <w:spacing w:line="240" w:lineRule="auto"/>
                    <w:contextualSpacing/>
                    <w:jc w:val="both"/>
                  </w:pPr>
                  <w:r>
                    <w:rPr>
                      <w:rFonts w:hint="eastAsia"/>
                    </w:rPr>
                    <w:t>送至吉木萨尔县生活垃圾填埋场。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continue"/>
                  <w:vAlign w:val="center"/>
                </w:tcPr>
                <w:p>
                  <w:pPr>
                    <w:pStyle w:val="26"/>
                    <w:adjustRightInd w:val="0"/>
                    <w:snapToGrid w:val="0"/>
                    <w:spacing w:line="240" w:lineRule="auto"/>
                  </w:pPr>
                </w:p>
              </w:tc>
              <w:tc>
                <w:tcPr>
                  <w:tcW w:w="1066" w:type="pct"/>
                  <w:vAlign w:val="center"/>
                </w:tcPr>
                <w:p>
                  <w:pPr>
                    <w:pStyle w:val="26"/>
                    <w:snapToGrid w:val="0"/>
                    <w:spacing w:line="240" w:lineRule="auto"/>
                    <w:contextualSpacing/>
                  </w:pPr>
                  <w:r>
                    <w:rPr>
                      <w:rFonts w:hint="eastAsia"/>
                    </w:rPr>
                    <w:t>水基钻井岩屑</w:t>
                  </w:r>
                </w:p>
              </w:tc>
              <w:tc>
                <w:tcPr>
                  <w:tcW w:w="3535" w:type="pct"/>
                  <w:vAlign w:val="center"/>
                </w:tcPr>
                <w:p>
                  <w:pPr>
                    <w:pStyle w:val="26"/>
                    <w:snapToGrid w:val="0"/>
                    <w:spacing w:line="240" w:lineRule="auto"/>
                    <w:contextualSpacing/>
                    <w:jc w:val="both"/>
                  </w:pPr>
                  <w:r>
                    <w:rPr>
                      <w:rFonts w:hint="eastAsia"/>
                    </w:rPr>
                    <w:t>委托岩屑处置单位处置。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8" w:type="pct"/>
                  <w:vMerge w:val="continue"/>
                  <w:vAlign w:val="center"/>
                </w:tcPr>
                <w:p>
                  <w:pPr>
                    <w:pStyle w:val="26"/>
                    <w:adjustRightInd w:val="0"/>
                    <w:snapToGrid w:val="0"/>
                    <w:spacing w:line="240" w:lineRule="auto"/>
                  </w:pPr>
                </w:p>
              </w:tc>
              <w:tc>
                <w:tcPr>
                  <w:tcW w:w="1066" w:type="pct"/>
                  <w:vAlign w:val="center"/>
                </w:tcPr>
                <w:p>
                  <w:pPr>
                    <w:pStyle w:val="26"/>
                    <w:snapToGrid w:val="0"/>
                    <w:spacing w:line="240" w:lineRule="auto"/>
                    <w:contextualSpacing/>
                  </w:pPr>
                  <w:r>
                    <w:rPr>
                      <w:rFonts w:hint="eastAsia" w:cs="宋体"/>
                    </w:rPr>
                    <w:t>沾油的废防渗材料</w:t>
                  </w:r>
                </w:p>
              </w:tc>
              <w:tc>
                <w:tcPr>
                  <w:tcW w:w="3535" w:type="pct"/>
                  <w:vAlign w:val="center"/>
                </w:tcPr>
                <w:p>
                  <w:pPr>
                    <w:pStyle w:val="26"/>
                    <w:snapToGrid w:val="0"/>
                    <w:spacing w:line="240" w:lineRule="auto"/>
                    <w:contextualSpacing/>
                    <w:jc w:val="both"/>
                  </w:pPr>
                  <w:r>
                    <w:rPr>
                      <w:rFonts w:hint="eastAsia"/>
                    </w:rPr>
                    <w:t>委托具有相应危险废物处置资质的单位处置。</w:t>
                  </w:r>
                </w:p>
              </w:tc>
            </w:tr>
            <w:bookmarkEnd w:id="9"/>
          </w:tbl>
          <w:p>
            <w:pPr>
              <w:pStyle w:val="7"/>
              <w:spacing w:before="0" w:after="0" w:line="500" w:lineRule="exact"/>
              <w:ind w:right="0"/>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vAlign w:val="center"/>
          </w:tcPr>
          <w:p>
            <w:pPr>
              <w:pStyle w:val="7"/>
              <w:spacing w:before="0" w:after="0" w:line="300" w:lineRule="exact"/>
              <w:ind w:right="0"/>
              <w:jc w:val="center"/>
              <w:rPr>
                <w:rFonts w:ascii="宋体" w:hAnsi="宋体" w:cs="宋体"/>
                <w:sz w:val="24"/>
                <w:szCs w:val="24"/>
              </w:rPr>
            </w:pPr>
            <w:r>
              <w:rPr>
                <w:rFonts w:hint="eastAsia" w:ascii="宋体" w:hAnsi="宋体" w:cs="宋体"/>
                <w:sz w:val="24"/>
                <w:szCs w:val="24"/>
              </w:rPr>
              <w:t>总平面及现场布置</w:t>
            </w:r>
          </w:p>
        </w:tc>
        <w:tc>
          <w:tcPr>
            <w:tcW w:w="7728" w:type="dxa"/>
          </w:tcPr>
          <w:p>
            <w:pPr>
              <w:pStyle w:val="7"/>
              <w:spacing w:before="0" w:after="0" w:line="500" w:lineRule="exact"/>
              <w:ind w:right="0" w:firstLine="482" w:firstLineChars="200"/>
              <w:rPr>
                <w:rFonts w:ascii="宋体" w:hAnsi="宋体" w:cs="宋体"/>
                <w:b/>
                <w:bCs/>
                <w:sz w:val="24"/>
                <w:szCs w:val="24"/>
              </w:rPr>
            </w:pPr>
            <w:r>
              <w:rPr>
                <w:rFonts w:hint="eastAsia" w:ascii="宋体" w:hAnsi="宋体" w:cs="宋体"/>
                <w:b/>
                <w:bCs/>
                <w:sz w:val="24"/>
                <w:szCs w:val="24"/>
              </w:rPr>
              <w:t>1、钻井期井场平面布置</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钻井期井场布置有值班房、材料房、钳工房、录井房、配电房、发电机房、罐区、钻井液不落地设备等，平面布置见附图4。</w:t>
            </w:r>
          </w:p>
          <w:p>
            <w:pPr>
              <w:pStyle w:val="7"/>
              <w:spacing w:before="0" w:after="0" w:line="500" w:lineRule="exact"/>
              <w:ind w:right="0" w:firstLine="482" w:firstLineChars="200"/>
              <w:rPr>
                <w:rFonts w:ascii="宋体" w:hAnsi="宋体" w:cs="宋体"/>
                <w:b/>
                <w:bCs/>
                <w:sz w:val="24"/>
                <w:szCs w:val="24"/>
              </w:rPr>
            </w:pPr>
            <w:r>
              <w:rPr>
                <w:rFonts w:hint="eastAsia" w:ascii="宋体" w:hAnsi="宋体" w:cs="宋体"/>
                <w:b/>
                <w:bCs/>
                <w:sz w:val="24"/>
                <w:szCs w:val="24"/>
              </w:rPr>
              <w:t>2、试油期井场平面布置</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试油期井场布置井口方罐、发电机房、值班房、井口放喷管线、消防沙箱等设施，并在井场设置紧急集合点，平面布置见附图5。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vAlign w:val="center"/>
          </w:tcPr>
          <w:p>
            <w:pPr>
              <w:pStyle w:val="7"/>
              <w:spacing w:before="0" w:after="0" w:line="300" w:lineRule="exact"/>
              <w:ind w:right="0"/>
              <w:jc w:val="center"/>
              <w:rPr>
                <w:rFonts w:ascii="宋体" w:hAnsi="宋体" w:cs="宋体"/>
                <w:sz w:val="24"/>
                <w:szCs w:val="24"/>
              </w:rPr>
            </w:pPr>
            <w:r>
              <w:rPr>
                <w:rFonts w:hint="eastAsia" w:ascii="宋体" w:hAnsi="宋体" w:cs="宋体"/>
                <w:sz w:val="24"/>
                <w:szCs w:val="24"/>
              </w:rPr>
              <w:t>施工方案</w:t>
            </w:r>
          </w:p>
        </w:tc>
        <w:tc>
          <w:tcPr>
            <w:tcW w:w="7728" w:type="dxa"/>
          </w:tcPr>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施工分为钻井工程、试油工程和完井三个阶段。</w:t>
            </w:r>
          </w:p>
          <w:p>
            <w:pPr>
              <w:pStyle w:val="7"/>
              <w:spacing w:before="0" w:after="0" w:line="500" w:lineRule="exact"/>
              <w:ind w:right="0" w:firstLine="482" w:firstLineChars="200"/>
              <w:rPr>
                <w:rFonts w:ascii="宋体" w:hAnsi="宋体" w:cs="宋体"/>
                <w:b/>
                <w:bCs/>
                <w:sz w:val="24"/>
                <w:szCs w:val="24"/>
              </w:rPr>
            </w:pPr>
            <w:r>
              <w:rPr>
                <w:rFonts w:hint="eastAsia" w:ascii="宋体" w:hAnsi="宋体" w:cs="宋体"/>
                <w:b/>
                <w:bCs/>
                <w:sz w:val="24"/>
                <w:szCs w:val="24"/>
              </w:rPr>
              <w:t>1、钻井工程施工方案</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（1）钻前准备</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包括井场平整、</w:t>
            </w:r>
            <w:r>
              <w:rPr>
                <w:rFonts w:hint="eastAsia" w:ascii="宋体" w:hAnsi="宋体" w:cs="宋体"/>
                <w:sz w:val="24"/>
                <w:szCs w:val="24"/>
              </w:rPr>
              <w:t>铺垫、</w:t>
            </w:r>
            <w:r>
              <w:rPr>
                <w:rFonts w:ascii="宋体" w:hAnsi="宋体" w:cs="宋体"/>
                <w:sz w:val="24"/>
                <w:szCs w:val="24"/>
              </w:rPr>
              <w:t>钻机基础建设、井场探临道路</w:t>
            </w:r>
            <w:r>
              <w:rPr>
                <w:rFonts w:hint="eastAsia" w:ascii="宋体" w:hAnsi="宋体" w:cs="宋体"/>
                <w:sz w:val="24"/>
                <w:szCs w:val="24"/>
              </w:rPr>
              <w:t>和生活营地</w:t>
            </w:r>
            <w:r>
              <w:rPr>
                <w:rFonts w:ascii="宋体" w:hAnsi="宋体" w:cs="宋体"/>
                <w:sz w:val="24"/>
                <w:szCs w:val="24"/>
              </w:rPr>
              <w:t>建设</w:t>
            </w:r>
            <w:r>
              <w:rPr>
                <w:rFonts w:hint="eastAsia" w:ascii="宋体" w:hAnsi="宋体" w:cs="宋体"/>
                <w:sz w:val="24"/>
                <w:szCs w:val="24"/>
              </w:rPr>
              <w:t>，</w:t>
            </w:r>
            <w:r>
              <w:rPr>
                <w:rFonts w:ascii="宋体" w:hAnsi="宋体" w:cs="宋体"/>
                <w:sz w:val="24"/>
                <w:szCs w:val="24"/>
              </w:rPr>
              <w:t>以及设备进场。</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（2）钻井工程</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①钻井流程</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钻前准备工作完成后即可开展钻井工作。钻井是破岩和加深井眼的过程，首先埋设导管后下钻达下表层套管深度后，再下入表层套管并固井试压；然后继续钻进，待安全钻达目标深度后下油层套管；最后根据钻井设计要求，及时进行测井、录井、固井等其他作业。</w:t>
            </w:r>
          </w:p>
          <w:p>
            <w:pPr>
              <w:pStyle w:val="22"/>
              <w:snapToGrid w:val="0"/>
              <w:ind w:firstLine="480"/>
              <w:rPr>
                <w:rFonts w:cs="宋体"/>
              </w:rPr>
            </w:pPr>
            <w:r>
              <w:rPr>
                <w:rFonts w:hint="eastAsia" w:cs="宋体"/>
              </w:rPr>
              <w:t>②井身结构</w:t>
            </w:r>
          </w:p>
          <w:p>
            <w:pPr>
              <w:pStyle w:val="22"/>
              <w:snapToGrid w:val="0"/>
              <w:ind w:firstLine="480"/>
              <w:rPr>
                <w:rFonts w:cs="宋体"/>
              </w:rPr>
            </w:pPr>
            <w:r>
              <w:rPr>
                <w:rFonts w:hint="eastAsia"/>
                <w:szCs w:val="28"/>
                <w:lang w:bidi="ar"/>
              </w:rPr>
              <w:t>康9井设计钻井进尺</w:t>
            </w:r>
            <w:r>
              <w:rPr>
                <w:szCs w:val="28"/>
                <w:lang w:bidi="ar"/>
              </w:rPr>
              <w:t>39</w:t>
            </w:r>
            <w:r>
              <w:rPr>
                <w:rFonts w:hint="eastAsia"/>
                <w:szCs w:val="28"/>
                <w:lang w:bidi="ar"/>
              </w:rPr>
              <w:t>00m，井型为三开直井，设计参数见</w:t>
            </w:r>
            <w:r>
              <w:rPr>
                <w:rFonts w:cs="宋体"/>
              </w:rPr>
              <w:t>表3</w:t>
            </w:r>
            <w:r>
              <w:rPr>
                <w:rFonts w:hint="eastAsia" w:cs="宋体"/>
              </w:rPr>
              <w:t>，井身结构见附图</w:t>
            </w:r>
            <w:r>
              <w:rPr>
                <w:rFonts w:cs="宋体"/>
              </w:rPr>
              <w:t>6</w:t>
            </w:r>
            <w:r>
              <w:rPr>
                <w:rFonts w:hint="eastAsia" w:cs="宋体"/>
              </w:rPr>
              <w:t>。</w:t>
            </w:r>
          </w:p>
          <w:p>
            <w:pPr>
              <w:pStyle w:val="5"/>
              <w:keepNext/>
              <w:rPr>
                <w:rFonts w:hAnsi="Times New Roman"/>
              </w:rPr>
            </w:pPr>
            <w:r>
              <w:t>表3</w:t>
            </w:r>
            <w:r>
              <w:rPr>
                <w:rFonts w:hint="eastAsia" w:hAnsi="Times New Roman"/>
              </w:rPr>
              <w:t xml:space="preserve">  井身结构设计参数一览表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70"/>
              <w:gridCol w:w="1008"/>
              <w:gridCol w:w="1415"/>
              <w:gridCol w:w="1363"/>
              <w:gridCol w:w="1629"/>
              <w:gridCol w:w="13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13" w:type="pct"/>
                  <w:vAlign w:val="center"/>
                </w:tcPr>
                <w:p>
                  <w:pPr>
                    <w:pStyle w:val="26"/>
                    <w:spacing w:line="300" w:lineRule="exact"/>
                    <w:rPr>
                      <w:rFonts w:cs="宋体"/>
                    </w:rPr>
                  </w:pPr>
                  <w:r>
                    <w:rPr>
                      <w:rFonts w:hint="eastAsia" w:cs="宋体"/>
                    </w:rPr>
                    <w:t>开钻程序</w:t>
                  </w:r>
                </w:p>
              </w:tc>
              <w:tc>
                <w:tcPr>
                  <w:tcW w:w="671" w:type="pct"/>
                  <w:vAlign w:val="center"/>
                </w:tcPr>
                <w:p>
                  <w:pPr>
                    <w:pStyle w:val="26"/>
                    <w:spacing w:line="300" w:lineRule="exact"/>
                    <w:rPr>
                      <w:rFonts w:cs="宋体"/>
                    </w:rPr>
                  </w:pPr>
                  <w:r>
                    <w:rPr>
                      <w:rFonts w:hint="eastAsia" w:cs="宋体"/>
                    </w:rPr>
                    <w:t>井深</w:t>
                  </w:r>
                </w:p>
                <w:p>
                  <w:pPr>
                    <w:pStyle w:val="26"/>
                    <w:spacing w:line="300" w:lineRule="exact"/>
                    <w:rPr>
                      <w:rFonts w:cs="宋体"/>
                    </w:rPr>
                  </w:pPr>
                  <w:r>
                    <w:rPr>
                      <w:rFonts w:hint="eastAsia" w:cs="宋体"/>
                    </w:rPr>
                    <w:t>(m)</w:t>
                  </w:r>
                </w:p>
              </w:tc>
              <w:tc>
                <w:tcPr>
                  <w:tcW w:w="942" w:type="pct"/>
                  <w:vAlign w:val="center"/>
                </w:tcPr>
                <w:p>
                  <w:pPr>
                    <w:pStyle w:val="26"/>
                    <w:spacing w:line="300" w:lineRule="exact"/>
                    <w:rPr>
                      <w:rFonts w:cs="宋体"/>
                    </w:rPr>
                  </w:pPr>
                  <w:r>
                    <w:rPr>
                      <w:rFonts w:hint="eastAsia" w:cs="宋体"/>
                    </w:rPr>
                    <w:t>钻头尺寸</w:t>
                  </w:r>
                </w:p>
                <w:p>
                  <w:pPr>
                    <w:pStyle w:val="26"/>
                    <w:spacing w:line="300" w:lineRule="exact"/>
                    <w:rPr>
                      <w:rFonts w:cs="宋体"/>
                    </w:rPr>
                  </w:pPr>
                  <w:r>
                    <w:rPr>
                      <w:rFonts w:hint="eastAsia" w:cs="宋体"/>
                    </w:rPr>
                    <w:t>(mm)</w:t>
                  </w:r>
                </w:p>
              </w:tc>
              <w:tc>
                <w:tcPr>
                  <w:tcW w:w="907" w:type="pct"/>
                  <w:vAlign w:val="center"/>
                </w:tcPr>
                <w:p>
                  <w:pPr>
                    <w:pStyle w:val="26"/>
                    <w:spacing w:line="300" w:lineRule="exact"/>
                    <w:rPr>
                      <w:rFonts w:cs="宋体"/>
                    </w:rPr>
                  </w:pPr>
                  <w:r>
                    <w:rPr>
                      <w:rFonts w:hint="eastAsia" w:cs="宋体"/>
                    </w:rPr>
                    <w:t>套管尺寸</w:t>
                  </w:r>
                </w:p>
                <w:p>
                  <w:pPr>
                    <w:pStyle w:val="26"/>
                    <w:spacing w:line="300" w:lineRule="exact"/>
                    <w:rPr>
                      <w:rFonts w:cs="宋体"/>
                    </w:rPr>
                  </w:pPr>
                  <w:r>
                    <w:rPr>
                      <w:rFonts w:hint="eastAsia" w:cs="宋体"/>
                    </w:rPr>
                    <w:t>(mm)</w:t>
                  </w:r>
                </w:p>
              </w:tc>
              <w:tc>
                <w:tcPr>
                  <w:tcW w:w="1084" w:type="pct"/>
                  <w:vAlign w:val="center"/>
                </w:tcPr>
                <w:p>
                  <w:pPr>
                    <w:pStyle w:val="26"/>
                    <w:spacing w:line="300" w:lineRule="exact"/>
                    <w:rPr>
                      <w:rFonts w:cs="宋体"/>
                    </w:rPr>
                  </w:pPr>
                  <w:r>
                    <w:rPr>
                      <w:rFonts w:hint="eastAsia" w:cs="宋体"/>
                    </w:rPr>
                    <w:t>套管下入深度（m）</w:t>
                  </w:r>
                </w:p>
              </w:tc>
              <w:tc>
                <w:tcPr>
                  <w:tcW w:w="883" w:type="pct"/>
                  <w:vAlign w:val="center"/>
                </w:tcPr>
                <w:p>
                  <w:pPr>
                    <w:pStyle w:val="26"/>
                    <w:spacing w:line="300" w:lineRule="exact"/>
                    <w:rPr>
                      <w:rFonts w:cs="宋体"/>
                    </w:rPr>
                  </w:pPr>
                  <w:r>
                    <w:rPr>
                      <w:rFonts w:hint="eastAsia" w:cs="宋体"/>
                    </w:rPr>
                    <w:t>水泥浆返高</w:t>
                  </w:r>
                </w:p>
                <w:p>
                  <w:pPr>
                    <w:pStyle w:val="26"/>
                    <w:spacing w:line="300" w:lineRule="exact"/>
                    <w:rPr>
                      <w:rFonts w:cs="宋体"/>
                    </w:rPr>
                  </w:pPr>
                  <w:r>
                    <w:rPr>
                      <w:rFonts w:hint="eastAsia" w:cs="宋体"/>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13" w:type="pct"/>
                  <w:vAlign w:val="center"/>
                </w:tcPr>
                <w:p>
                  <w:pPr>
                    <w:pStyle w:val="26"/>
                    <w:spacing w:line="300" w:lineRule="exact"/>
                    <w:rPr>
                      <w:rFonts w:cs="宋体"/>
                    </w:rPr>
                  </w:pPr>
                  <w:r>
                    <w:rPr>
                      <w:rFonts w:hint="eastAsia" w:cs="宋体"/>
                    </w:rPr>
                    <w:t>一开</w:t>
                  </w:r>
                </w:p>
              </w:tc>
              <w:tc>
                <w:tcPr>
                  <w:tcW w:w="671" w:type="pct"/>
                  <w:vAlign w:val="center"/>
                </w:tcPr>
                <w:p>
                  <w:pPr>
                    <w:pStyle w:val="26"/>
                    <w:spacing w:line="300" w:lineRule="exact"/>
                    <w:rPr>
                      <w:rFonts w:asciiTheme="minorEastAsia" w:hAnsiTheme="minorEastAsia" w:eastAsiaTheme="minorEastAsia" w:cstheme="minorEastAsia"/>
                      <w:spacing w:val="4"/>
                    </w:rPr>
                  </w:pPr>
                  <w:r>
                    <w:t>900</w:t>
                  </w:r>
                </w:p>
              </w:tc>
              <w:tc>
                <w:tcPr>
                  <w:tcW w:w="942" w:type="pct"/>
                  <w:vAlign w:val="center"/>
                </w:tcPr>
                <w:p>
                  <w:pPr>
                    <w:pStyle w:val="26"/>
                    <w:adjustRightInd w:val="0"/>
                    <w:snapToGrid w:val="0"/>
                    <w:spacing w:line="300" w:lineRule="exact"/>
                    <w:rPr>
                      <w:rFonts w:cs="宋体"/>
                    </w:rPr>
                  </w:pPr>
                  <w:r>
                    <w:rPr>
                      <w:rFonts w:hint="eastAsia" w:asciiTheme="minorEastAsia" w:hAnsiTheme="minorEastAsia" w:eastAsiaTheme="minorEastAsia" w:cstheme="minorEastAsia"/>
                      <w:spacing w:val="4"/>
                    </w:rPr>
                    <w:sym w:font="Symbol" w:char="F046"/>
                  </w:r>
                  <w:r>
                    <w:rPr>
                      <w:rFonts w:hint="eastAsia" w:cs="宋体"/>
                      <w:spacing w:val="4"/>
                    </w:rPr>
                    <w:t>444.5</w:t>
                  </w:r>
                </w:p>
              </w:tc>
              <w:tc>
                <w:tcPr>
                  <w:tcW w:w="907" w:type="pct"/>
                  <w:vAlign w:val="center"/>
                </w:tcPr>
                <w:p>
                  <w:pPr>
                    <w:pStyle w:val="26"/>
                    <w:adjustRightInd w:val="0"/>
                    <w:snapToGrid w:val="0"/>
                    <w:spacing w:line="300" w:lineRule="exact"/>
                    <w:rPr>
                      <w:rFonts w:cs="宋体"/>
                    </w:rPr>
                  </w:pPr>
                  <w:r>
                    <w:rPr>
                      <w:rFonts w:hint="eastAsia" w:cs="宋体"/>
                      <w:spacing w:val="4"/>
                    </w:rPr>
                    <w:sym w:font="Symbol" w:char="F046"/>
                  </w:r>
                  <w:r>
                    <w:rPr>
                      <w:rFonts w:hint="eastAsia" w:cs="宋体"/>
                      <w:spacing w:val="4"/>
                    </w:rPr>
                    <w:t>339.7</w:t>
                  </w:r>
                </w:p>
              </w:tc>
              <w:tc>
                <w:tcPr>
                  <w:tcW w:w="1084" w:type="pct"/>
                  <w:vAlign w:val="center"/>
                </w:tcPr>
                <w:p>
                  <w:pPr>
                    <w:pStyle w:val="26"/>
                    <w:spacing w:line="300" w:lineRule="exact"/>
                    <w:rPr>
                      <w:rFonts w:cs="宋体"/>
                    </w:rPr>
                  </w:pPr>
                  <w:r>
                    <w:t>900</w:t>
                  </w:r>
                </w:p>
              </w:tc>
              <w:tc>
                <w:tcPr>
                  <w:tcW w:w="883" w:type="pct"/>
                  <w:vAlign w:val="center"/>
                </w:tcPr>
                <w:p>
                  <w:pPr>
                    <w:pStyle w:val="26"/>
                    <w:spacing w:line="300" w:lineRule="exact"/>
                    <w:rPr>
                      <w:rFonts w:cs="宋体"/>
                    </w:rPr>
                  </w:pPr>
                  <w:r>
                    <w:rPr>
                      <w:rFonts w:hint="eastAsia"/>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13" w:type="pct"/>
                  <w:vAlign w:val="center"/>
                </w:tcPr>
                <w:p>
                  <w:pPr>
                    <w:pStyle w:val="26"/>
                    <w:spacing w:line="300" w:lineRule="exact"/>
                    <w:rPr>
                      <w:rFonts w:cs="宋体"/>
                    </w:rPr>
                  </w:pPr>
                  <w:r>
                    <w:rPr>
                      <w:rFonts w:hint="eastAsia" w:cs="宋体"/>
                    </w:rPr>
                    <w:t>二开</w:t>
                  </w:r>
                </w:p>
              </w:tc>
              <w:tc>
                <w:tcPr>
                  <w:tcW w:w="671" w:type="pct"/>
                  <w:vAlign w:val="center"/>
                </w:tcPr>
                <w:p>
                  <w:pPr>
                    <w:pStyle w:val="26"/>
                    <w:spacing w:line="300" w:lineRule="exact"/>
                    <w:rPr>
                      <w:rFonts w:asciiTheme="minorEastAsia" w:hAnsiTheme="minorEastAsia" w:eastAsiaTheme="minorEastAsia" w:cstheme="minorEastAsia"/>
                      <w:spacing w:val="4"/>
                    </w:rPr>
                  </w:pPr>
                  <w:r>
                    <w:t>2400</w:t>
                  </w:r>
                </w:p>
              </w:tc>
              <w:tc>
                <w:tcPr>
                  <w:tcW w:w="942" w:type="pct"/>
                  <w:vAlign w:val="center"/>
                </w:tcPr>
                <w:p>
                  <w:pPr>
                    <w:pStyle w:val="26"/>
                    <w:adjustRightInd w:val="0"/>
                    <w:snapToGrid w:val="0"/>
                    <w:spacing w:line="300" w:lineRule="exact"/>
                    <w:rPr>
                      <w:rFonts w:cs="宋体" w:eastAsiaTheme="minorEastAsia"/>
                      <w:spacing w:val="4"/>
                    </w:rPr>
                  </w:pPr>
                  <w:r>
                    <w:rPr>
                      <w:rFonts w:hint="eastAsia" w:asciiTheme="minorEastAsia" w:hAnsiTheme="minorEastAsia" w:eastAsiaTheme="minorEastAsia" w:cstheme="minorEastAsia"/>
                      <w:spacing w:val="4"/>
                    </w:rPr>
                    <w:sym w:font="Symbol" w:char="F046"/>
                  </w:r>
                  <w:r>
                    <w:rPr>
                      <w:rFonts w:hint="eastAsia" w:asciiTheme="minorEastAsia" w:hAnsiTheme="minorEastAsia" w:eastAsiaTheme="minorEastAsia" w:cstheme="minorEastAsia"/>
                      <w:spacing w:val="4"/>
                    </w:rPr>
                    <w:t>311.2</w:t>
                  </w:r>
                </w:p>
              </w:tc>
              <w:tc>
                <w:tcPr>
                  <w:tcW w:w="907" w:type="pct"/>
                  <w:vAlign w:val="center"/>
                </w:tcPr>
                <w:p>
                  <w:pPr>
                    <w:pStyle w:val="26"/>
                    <w:adjustRightInd w:val="0"/>
                    <w:snapToGrid w:val="0"/>
                    <w:spacing w:line="300" w:lineRule="exact"/>
                    <w:rPr>
                      <w:rFonts w:cs="宋体"/>
                      <w:spacing w:val="4"/>
                    </w:rPr>
                  </w:pPr>
                  <w:r>
                    <w:rPr>
                      <w:rFonts w:hint="eastAsia" w:cs="宋体"/>
                      <w:spacing w:val="4"/>
                    </w:rPr>
                    <w:sym w:font="Symbol" w:char="F046"/>
                  </w:r>
                  <w:r>
                    <w:rPr>
                      <w:rFonts w:hint="eastAsia" w:cs="宋体"/>
                      <w:spacing w:val="4"/>
                    </w:rPr>
                    <w:t>244.5</w:t>
                  </w:r>
                </w:p>
              </w:tc>
              <w:tc>
                <w:tcPr>
                  <w:tcW w:w="1084" w:type="pct"/>
                  <w:vAlign w:val="center"/>
                </w:tcPr>
                <w:p>
                  <w:pPr>
                    <w:pStyle w:val="26"/>
                    <w:spacing w:line="300" w:lineRule="exact"/>
                    <w:rPr>
                      <w:rFonts w:cs="宋体"/>
                    </w:rPr>
                  </w:pPr>
                  <w:r>
                    <w:t>2400</w:t>
                  </w:r>
                </w:p>
              </w:tc>
              <w:tc>
                <w:tcPr>
                  <w:tcW w:w="883" w:type="pct"/>
                  <w:vAlign w:val="center"/>
                </w:tcPr>
                <w:p>
                  <w:pPr>
                    <w:pStyle w:val="26"/>
                    <w:spacing w:line="300" w:lineRule="exact"/>
                    <w:rPr>
                      <w:rFonts w:cs="宋体"/>
                    </w:rPr>
                  </w:pPr>
                  <w:r>
                    <w:t>1600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13" w:type="pct"/>
                  <w:vAlign w:val="center"/>
                </w:tcPr>
                <w:p>
                  <w:pPr>
                    <w:pStyle w:val="26"/>
                    <w:spacing w:line="300" w:lineRule="exact"/>
                    <w:rPr>
                      <w:rFonts w:cs="宋体"/>
                    </w:rPr>
                  </w:pPr>
                  <w:r>
                    <w:rPr>
                      <w:rFonts w:hint="eastAsia" w:cs="宋体"/>
                    </w:rPr>
                    <w:t>三开</w:t>
                  </w:r>
                </w:p>
              </w:tc>
              <w:tc>
                <w:tcPr>
                  <w:tcW w:w="671" w:type="pct"/>
                  <w:vAlign w:val="center"/>
                </w:tcPr>
                <w:p>
                  <w:pPr>
                    <w:pStyle w:val="26"/>
                    <w:spacing w:line="300" w:lineRule="exact"/>
                    <w:rPr>
                      <w:rFonts w:cs="宋体"/>
                      <w:spacing w:val="4"/>
                    </w:rPr>
                  </w:pPr>
                  <w:r>
                    <w:t>3900</w:t>
                  </w:r>
                </w:p>
              </w:tc>
              <w:tc>
                <w:tcPr>
                  <w:tcW w:w="942" w:type="pct"/>
                  <w:vAlign w:val="center"/>
                </w:tcPr>
                <w:p>
                  <w:pPr>
                    <w:pStyle w:val="26"/>
                    <w:adjustRightInd w:val="0"/>
                    <w:snapToGrid w:val="0"/>
                    <w:spacing w:line="300" w:lineRule="exact"/>
                    <w:rPr>
                      <w:rFonts w:cs="宋体"/>
                    </w:rPr>
                  </w:pPr>
                  <w:r>
                    <w:rPr>
                      <w:rFonts w:hint="eastAsia" w:cs="宋体"/>
                      <w:spacing w:val="4"/>
                    </w:rPr>
                    <w:sym w:font="Symbol" w:char="F046"/>
                  </w:r>
                  <w:r>
                    <w:rPr>
                      <w:rFonts w:hint="eastAsia" w:cs="宋体"/>
                    </w:rPr>
                    <w:t>215.9</w:t>
                  </w:r>
                </w:p>
              </w:tc>
              <w:tc>
                <w:tcPr>
                  <w:tcW w:w="907" w:type="pct"/>
                  <w:vAlign w:val="center"/>
                </w:tcPr>
                <w:p>
                  <w:pPr>
                    <w:pStyle w:val="26"/>
                    <w:adjustRightInd w:val="0"/>
                    <w:snapToGrid w:val="0"/>
                    <w:spacing w:line="300" w:lineRule="exact"/>
                    <w:rPr>
                      <w:rFonts w:cs="宋体"/>
                    </w:rPr>
                  </w:pPr>
                  <w:r>
                    <w:rPr>
                      <w:rFonts w:hint="eastAsia" w:cs="宋体"/>
                      <w:spacing w:val="4"/>
                    </w:rPr>
                    <w:sym w:font="Symbol" w:char="F046"/>
                  </w:r>
                  <w:r>
                    <w:rPr>
                      <w:rFonts w:hint="eastAsia" w:cs="宋体"/>
                    </w:rPr>
                    <w:t>139.7</w:t>
                  </w:r>
                </w:p>
              </w:tc>
              <w:tc>
                <w:tcPr>
                  <w:tcW w:w="1084" w:type="pct"/>
                  <w:vAlign w:val="center"/>
                </w:tcPr>
                <w:p>
                  <w:pPr>
                    <w:pStyle w:val="26"/>
                    <w:spacing w:line="300" w:lineRule="exact"/>
                    <w:rPr>
                      <w:rFonts w:cs="宋体"/>
                    </w:rPr>
                  </w:pPr>
                  <w:r>
                    <w:t>3900</w:t>
                  </w:r>
                </w:p>
              </w:tc>
              <w:tc>
                <w:tcPr>
                  <w:tcW w:w="883" w:type="pct"/>
                  <w:vAlign w:val="center"/>
                </w:tcPr>
                <w:p>
                  <w:pPr>
                    <w:pStyle w:val="26"/>
                    <w:spacing w:line="300" w:lineRule="exact"/>
                    <w:rPr>
                      <w:rFonts w:cs="宋体"/>
                    </w:rPr>
                  </w:pPr>
                  <w:r>
                    <w:t>2200</w:t>
                  </w:r>
                </w:p>
              </w:tc>
            </w:tr>
          </w:tbl>
          <w:p>
            <w:pPr>
              <w:pStyle w:val="22"/>
              <w:ind w:firstLine="480"/>
            </w:pPr>
            <w:r>
              <w:rPr>
                <w:rFonts w:hint="eastAsia"/>
              </w:rPr>
              <w:t>③钻井设备</w:t>
            </w:r>
          </w:p>
          <w:p>
            <w:pPr>
              <w:pStyle w:val="22"/>
              <w:ind w:firstLine="480"/>
              <w:rPr>
                <w:kern w:val="2"/>
              </w:rPr>
            </w:pPr>
            <w:r>
              <w:rPr>
                <w:rFonts w:hint="eastAsia"/>
                <w:snapToGrid w:val="0"/>
              </w:rPr>
              <w:t>钻井</w:t>
            </w:r>
            <w:r>
              <w:rPr>
                <w:snapToGrid w:val="0"/>
              </w:rPr>
              <w:t>设备包括提升系统、循环系统、动力系统、控制系统、仪器仪表等</w:t>
            </w:r>
            <w:r>
              <w:rPr>
                <w:rFonts w:hint="eastAsia"/>
                <w:snapToGrid w:val="0"/>
              </w:rPr>
              <w:t>，</w:t>
            </w:r>
            <w:r>
              <w:t>钻井主要设备</w:t>
            </w:r>
            <w:r>
              <w:rPr>
                <w:rFonts w:hint="eastAsia"/>
                <w:kern w:val="2"/>
              </w:rPr>
              <w:t>见</w:t>
            </w:r>
            <w:r>
              <w:rPr>
                <w:kern w:val="2"/>
              </w:rPr>
              <w:t>表4</w:t>
            </w:r>
            <w:r>
              <w:rPr>
                <w:rFonts w:hint="eastAsia"/>
                <w:kern w:val="2"/>
              </w:rPr>
              <w:t>。</w:t>
            </w:r>
          </w:p>
          <w:p>
            <w:pPr>
              <w:spacing w:line="500" w:lineRule="exact"/>
              <w:jc w:val="center"/>
              <w:rPr>
                <w:rFonts w:ascii="黑体" w:hAnsi="黑体" w:eastAsia="黑体"/>
                <w:szCs w:val="20"/>
              </w:rPr>
            </w:pPr>
            <w:r>
              <w:rPr>
                <w:rFonts w:ascii="黑体" w:hAnsi="黑体" w:eastAsia="黑体"/>
                <w:szCs w:val="20"/>
              </w:rPr>
              <w:t>表4  钻井主要设备一览表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26"/>
              <w:gridCol w:w="2155"/>
              <w:gridCol w:w="3275"/>
              <w:gridCol w:w="13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ascii="宋体" w:hAnsi="宋体" w:cs="Arial"/>
                      <w:szCs w:val="21"/>
                    </w:rPr>
                    <w:t>序号</w:t>
                  </w:r>
                </w:p>
              </w:tc>
              <w:tc>
                <w:tcPr>
                  <w:tcW w:w="1434" w:type="pct"/>
                  <w:vAlign w:val="center"/>
                </w:tcPr>
                <w:p>
                  <w:pPr>
                    <w:widowControl/>
                    <w:spacing w:line="300" w:lineRule="exact"/>
                    <w:jc w:val="center"/>
                    <w:rPr>
                      <w:rFonts w:ascii="宋体" w:hAnsi="宋体" w:cs="Arial"/>
                      <w:szCs w:val="21"/>
                    </w:rPr>
                  </w:pPr>
                  <w:r>
                    <w:rPr>
                      <w:rFonts w:ascii="宋体" w:hAnsi="宋体" w:cs="Arial"/>
                      <w:szCs w:val="21"/>
                    </w:rPr>
                    <w:t>名    称</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型号</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hint="eastAsia" w:ascii="宋体" w:hAnsi="宋体" w:cs="Arial"/>
                      <w:szCs w:val="21"/>
                    </w:rPr>
                    <w:t>1</w:t>
                  </w:r>
                </w:p>
              </w:tc>
              <w:tc>
                <w:tcPr>
                  <w:tcW w:w="1434" w:type="pct"/>
                  <w:vAlign w:val="center"/>
                </w:tcPr>
                <w:p>
                  <w:pPr>
                    <w:widowControl/>
                    <w:spacing w:line="300" w:lineRule="exact"/>
                    <w:jc w:val="center"/>
                    <w:rPr>
                      <w:rFonts w:ascii="宋体" w:hAnsi="宋体" w:cs="Arial"/>
                      <w:szCs w:val="21"/>
                    </w:rPr>
                  </w:pPr>
                  <w:r>
                    <w:rPr>
                      <w:rFonts w:ascii="宋体" w:hAnsi="宋体" w:cs="Arial"/>
                      <w:szCs w:val="21"/>
                    </w:rPr>
                    <w:t>钻   机</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ZJ-50D</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hint="eastAsia" w:ascii="宋体" w:hAnsi="宋体" w:cs="Arial"/>
                      <w:szCs w:val="21"/>
                    </w:rPr>
                    <w:t>2</w:t>
                  </w:r>
                </w:p>
              </w:tc>
              <w:tc>
                <w:tcPr>
                  <w:tcW w:w="1434" w:type="pct"/>
                  <w:vAlign w:val="center"/>
                </w:tcPr>
                <w:p>
                  <w:pPr>
                    <w:widowControl/>
                    <w:spacing w:line="300" w:lineRule="exact"/>
                    <w:jc w:val="center"/>
                    <w:rPr>
                      <w:rFonts w:ascii="宋体" w:hAnsi="宋体" w:cs="Arial"/>
                      <w:szCs w:val="21"/>
                    </w:rPr>
                  </w:pPr>
                  <w:r>
                    <w:rPr>
                      <w:rFonts w:ascii="宋体" w:hAnsi="宋体" w:cs="Arial"/>
                      <w:szCs w:val="21"/>
                    </w:rPr>
                    <w:t>井   架</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JJ315/45</w:t>
                  </w:r>
                  <w:r>
                    <w:rPr>
                      <w:rFonts w:hint="eastAsia" w:ascii="宋体" w:hAnsi="宋体" w:cs="Arial"/>
                      <w:szCs w:val="21"/>
                    </w:rPr>
                    <w:t>—</w:t>
                  </w:r>
                  <w:r>
                    <w:rPr>
                      <w:rFonts w:ascii="宋体" w:hAnsi="宋体" w:cs="Arial"/>
                      <w:szCs w:val="21"/>
                    </w:rPr>
                    <w:t>K</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hint="eastAsia" w:ascii="宋体" w:hAnsi="宋体" w:cs="Arial"/>
                      <w:szCs w:val="21"/>
                    </w:rPr>
                    <w:t>3</w:t>
                  </w:r>
                </w:p>
              </w:tc>
              <w:tc>
                <w:tcPr>
                  <w:tcW w:w="1434" w:type="pct"/>
                  <w:vAlign w:val="center"/>
                </w:tcPr>
                <w:p>
                  <w:pPr>
                    <w:widowControl/>
                    <w:spacing w:line="300" w:lineRule="exact"/>
                    <w:jc w:val="center"/>
                    <w:rPr>
                      <w:rFonts w:ascii="宋体" w:hAnsi="宋体" w:cs="Arial"/>
                      <w:szCs w:val="21"/>
                    </w:rPr>
                  </w:pPr>
                  <w:r>
                    <w:rPr>
                      <w:rFonts w:hint="eastAsia" w:ascii="宋体" w:hAnsi="宋体" w:cs="微软雅黑"/>
                      <w:szCs w:val="21"/>
                    </w:rPr>
                    <w:t>钻井泵</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F1600</w:t>
                  </w:r>
                </w:p>
              </w:tc>
              <w:tc>
                <w:tcPr>
                  <w:tcW w:w="902" w:type="pct"/>
                  <w:vAlign w:val="center"/>
                </w:tcPr>
                <w:p>
                  <w:pPr>
                    <w:widowControl/>
                    <w:spacing w:line="300" w:lineRule="exact"/>
                    <w:jc w:val="center"/>
                    <w:rPr>
                      <w:rFonts w:ascii="宋体" w:hAnsi="宋体" w:cs="Arial"/>
                      <w:szCs w:val="21"/>
                    </w:rPr>
                  </w:pPr>
                  <w:r>
                    <w:rPr>
                      <w:rFonts w:ascii="宋体" w:hAnsi="宋体" w:cs="Arial"/>
                      <w:szCs w:val="21"/>
                    </w:rPr>
                    <w:t>3</w:t>
                  </w:r>
                  <w:r>
                    <w:rPr>
                      <w:rFonts w:hint="eastAsia" w:ascii="宋体" w:hAnsi="宋体" w:cs="Arial"/>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hint="eastAsia" w:ascii="宋体" w:hAnsi="宋体" w:cs="Arial"/>
                      <w:szCs w:val="21"/>
                    </w:rPr>
                    <w:t>4</w:t>
                  </w:r>
                </w:p>
              </w:tc>
              <w:tc>
                <w:tcPr>
                  <w:tcW w:w="1434" w:type="pct"/>
                  <w:vAlign w:val="center"/>
                </w:tcPr>
                <w:p>
                  <w:pPr>
                    <w:widowControl/>
                    <w:spacing w:line="300" w:lineRule="exact"/>
                    <w:jc w:val="center"/>
                    <w:rPr>
                      <w:rFonts w:ascii="宋体" w:hAnsi="宋体" w:cs="微软雅黑"/>
                      <w:szCs w:val="21"/>
                    </w:rPr>
                  </w:pPr>
                  <w:r>
                    <w:rPr>
                      <w:rFonts w:hint="eastAsia" w:ascii="宋体" w:hAnsi="宋体" w:cs="微软雅黑"/>
                      <w:szCs w:val="21"/>
                    </w:rPr>
                    <w:t>钻井液罐</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循环罐总容积350m</w:t>
                  </w:r>
                  <w:r>
                    <w:rPr>
                      <w:rFonts w:ascii="宋体" w:hAnsi="宋体" w:cs="Arial"/>
                      <w:szCs w:val="21"/>
                      <w:vertAlign w:val="superscript"/>
                    </w:rPr>
                    <w:t>3</w:t>
                  </w:r>
                  <w:r>
                    <w:rPr>
                      <w:rFonts w:hint="eastAsia" w:ascii="宋体" w:hAnsi="宋体" w:cs="Arial"/>
                      <w:szCs w:val="21"/>
                    </w:rPr>
                    <w:t>；</w:t>
                  </w:r>
                  <w:r>
                    <w:rPr>
                      <w:rFonts w:ascii="宋体" w:hAnsi="宋体" w:cs="Arial"/>
                      <w:szCs w:val="21"/>
                    </w:rPr>
                    <w:t>储备罐总容积250m</w:t>
                  </w:r>
                  <w:r>
                    <w:rPr>
                      <w:rFonts w:ascii="宋体" w:hAnsi="宋体" w:cs="Arial"/>
                      <w:szCs w:val="21"/>
                      <w:vertAlign w:val="superscript"/>
                    </w:rPr>
                    <w:t>3</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hint="eastAsia" w:ascii="宋体" w:hAnsi="宋体" w:cs="Arial"/>
                      <w:szCs w:val="21"/>
                    </w:rPr>
                    <w:t>5</w:t>
                  </w:r>
                </w:p>
              </w:tc>
              <w:tc>
                <w:tcPr>
                  <w:tcW w:w="1434" w:type="pct"/>
                  <w:vAlign w:val="center"/>
                </w:tcPr>
                <w:p>
                  <w:pPr>
                    <w:widowControl/>
                    <w:spacing w:line="300" w:lineRule="exact"/>
                    <w:jc w:val="center"/>
                    <w:rPr>
                      <w:rFonts w:ascii="宋体" w:hAnsi="宋体" w:cs="微软雅黑"/>
                      <w:szCs w:val="21"/>
                    </w:rPr>
                  </w:pPr>
                  <w:r>
                    <w:rPr>
                      <w:rFonts w:hint="eastAsia" w:ascii="宋体" w:hAnsi="宋体" w:cs="微软雅黑"/>
                      <w:szCs w:val="21"/>
                    </w:rPr>
                    <w:t>柴油机</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CAT3512</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hint="eastAsia" w:ascii="宋体" w:hAnsi="宋体" w:cs="Arial"/>
                      <w:szCs w:val="21"/>
                    </w:rPr>
                    <w:t>6</w:t>
                  </w:r>
                </w:p>
              </w:tc>
              <w:tc>
                <w:tcPr>
                  <w:tcW w:w="1434" w:type="pct"/>
                  <w:vAlign w:val="center"/>
                </w:tcPr>
                <w:p>
                  <w:pPr>
                    <w:widowControl/>
                    <w:spacing w:line="300" w:lineRule="exact"/>
                    <w:jc w:val="center"/>
                    <w:rPr>
                      <w:rFonts w:ascii="宋体" w:hAnsi="宋体" w:cs="微软雅黑"/>
                      <w:szCs w:val="21"/>
                    </w:rPr>
                  </w:pPr>
                  <w:r>
                    <w:rPr>
                      <w:rFonts w:hint="eastAsia" w:ascii="宋体" w:hAnsi="宋体" w:cs="Arial"/>
                      <w:szCs w:val="21"/>
                    </w:rPr>
                    <w:t>发电机</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C15/G12V190ZLD1/G12V190ZLD1</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hint="eastAsia" w:ascii="宋体" w:hAnsi="宋体" w:cs="Arial"/>
                      <w:szCs w:val="21"/>
                    </w:rPr>
                    <w:t>7</w:t>
                  </w:r>
                </w:p>
              </w:tc>
              <w:tc>
                <w:tcPr>
                  <w:tcW w:w="1434" w:type="pct"/>
                  <w:vAlign w:val="center"/>
                </w:tcPr>
                <w:p>
                  <w:pPr>
                    <w:widowControl/>
                    <w:spacing w:line="300" w:lineRule="exact"/>
                    <w:jc w:val="center"/>
                    <w:rPr>
                      <w:rFonts w:ascii="宋体" w:hAnsi="宋体" w:cs="Arial"/>
                      <w:szCs w:val="21"/>
                    </w:rPr>
                  </w:pPr>
                  <w:r>
                    <w:rPr>
                      <w:rFonts w:ascii="宋体" w:hAnsi="宋体" w:cs="Arial"/>
                      <w:szCs w:val="21"/>
                    </w:rPr>
                    <w:t>MCC房</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HH70LDB</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ascii="宋体" w:hAnsi="宋体" w:cs="Arial"/>
                      <w:szCs w:val="21"/>
                    </w:rPr>
                    <w:t>8</w:t>
                  </w:r>
                </w:p>
              </w:tc>
              <w:tc>
                <w:tcPr>
                  <w:tcW w:w="1434" w:type="pct"/>
                  <w:vAlign w:val="center"/>
                </w:tcPr>
                <w:p>
                  <w:pPr>
                    <w:widowControl/>
                    <w:spacing w:line="300" w:lineRule="exact"/>
                    <w:jc w:val="center"/>
                    <w:rPr>
                      <w:rFonts w:ascii="宋体" w:hAnsi="宋体" w:cs="微软雅黑"/>
                      <w:szCs w:val="21"/>
                    </w:rPr>
                  </w:pPr>
                  <w:r>
                    <w:rPr>
                      <w:rFonts w:hint="eastAsia" w:ascii="宋体" w:hAnsi="宋体" w:cs="Arial"/>
                      <w:szCs w:val="21"/>
                    </w:rPr>
                    <w:t>钻井液不落地设备</w:t>
                  </w:r>
                </w:p>
              </w:tc>
              <w:tc>
                <w:tcPr>
                  <w:tcW w:w="2179" w:type="pct"/>
                  <w:vAlign w:val="center"/>
                </w:tcPr>
                <w:p>
                  <w:pPr>
                    <w:widowControl/>
                    <w:spacing w:line="300" w:lineRule="exact"/>
                    <w:jc w:val="center"/>
                    <w:rPr>
                      <w:rFonts w:ascii="宋体" w:hAnsi="宋体" w:cs="Arial"/>
                      <w:szCs w:val="21"/>
                    </w:rPr>
                  </w:pPr>
                  <w:r>
                    <w:rPr>
                      <w:rFonts w:hint="eastAsia" w:ascii="宋体" w:hAnsi="宋体" w:cs="Arial"/>
                      <w:szCs w:val="21"/>
                    </w:rPr>
                    <w:t>/</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Merge w:val="restart"/>
                  <w:vAlign w:val="center"/>
                </w:tcPr>
                <w:p>
                  <w:pPr>
                    <w:widowControl/>
                    <w:spacing w:line="300" w:lineRule="exact"/>
                    <w:jc w:val="center"/>
                    <w:rPr>
                      <w:rFonts w:ascii="宋体" w:hAnsi="宋体" w:cs="Arial"/>
                      <w:szCs w:val="21"/>
                    </w:rPr>
                  </w:pPr>
                  <w:r>
                    <w:rPr>
                      <w:rFonts w:ascii="宋体" w:hAnsi="宋体" w:cs="Arial"/>
                      <w:szCs w:val="21"/>
                    </w:rPr>
                    <w:t>9</w:t>
                  </w:r>
                </w:p>
              </w:tc>
              <w:tc>
                <w:tcPr>
                  <w:tcW w:w="1434" w:type="pct"/>
                  <w:vMerge w:val="restart"/>
                  <w:vAlign w:val="center"/>
                </w:tcPr>
                <w:p>
                  <w:pPr>
                    <w:widowControl/>
                    <w:spacing w:line="300" w:lineRule="exact"/>
                    <w:jc w:val="center"/>
                    <w:rPr>
                      <w:rFonts w:ascii="宋体" w:hAnsi="宋体" w:cs="微软雅黑"/>
                      <w:szCs w:val="21"/>
                    </w:rPr>
                  </w:pPr>
                  <w:r>
                    <w:rPr>
                      <w:rFonts w:hint="eastAsia" w:ascii="宋体" w:hAnsi="宋体" w:cs="Arial"/>
                      <w:szCs w:val="21"/>
                    </w:rPr>
                    <w:t>井控系统</w:t>
                  </w:r>
                </w:p>
              </w:tc>
              <w:tc>
                <w:tcPr>
                  <w:tcW w:w="2179" w:type="pct"/>
                  <w:vAlign w:val="center"/>
                </w:tcPr>
                <w:p>
                  <w:pPr>
                    <w:widowControl/>
                    <w:spacing w:line="300" w:lineRule="exact"/>
                    <w:jc w:val="center"/>
                    <w:rPr>
                      <w:rFonts w:ascii="宋体" w:hAnsi="宋体" w:cs="Arial"/>
                      <w:szCs w:val="21"/>
                    </w:rPr>
                  </w:pPr>
                  <w:r>
                    <w:rPr>
                      <w:rFonts w:hint="eastAsia" w:ascii="宋体" w:hAnsi="宋体" w:cs="Arial"/>
                      <w:szCs w:val="21"/>
                    </w:rPr>
                    <w:t>二开</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484" w:type="pct"/>
                  <w:vMerge w:val="continue"/>
                  <w:vAlign w:val="center"/>
                </w:tcPr>
                <w:p>
                  <w:pPr>
                    <w:widowControl/>
                    <w:spacing w:line="300" w:lineRule="exact"/>
                    <w:jc w:val="center"/>
                    <w:rPr>
                      <w:rFonts w:ascii="宋体" w:hAnsi="宋体" w:cs="Arial"/>
                      <w:szCs w:val="21"/>
                    </w:rPr>
                  </w:pPr>
                </w:p>
              </w:tc>
              <w:tc>
                <w:tcPr>
                  <w:tcW w:w="1434" w:type="pct"/>
                  <w:vMerge w:val="continue"/>
                  <w:vAlign w:val="center"/>
                </w:tcPr>
                <w:p>
                  <w:pPr>
                    <w:widowControl/>
                    <w:spacing w:line="300" w:lineRule="exact"/>
                    <w:jc w:val="center"/>
                    <w:rPr>
                      <w:rFonts w:ascii="宋体" w:hAnsi="宋体" w:cs="Arial"/>
                      <w:szCs w:val="21"/>
                    </w:rPr>
                  </w:pPr>
                </w:p>
              </w:tc>
              <w:tc>
                <w:tcPr>
                  <w:tcW w:w="2179" w:type="pct"/>
                  <w:vAlign w:val="center"/>
                </w:tcPr>
                <w:p>
                  <w:pPr>
                    <w:widowControl/>
                    <w:spacing w:line="300" w:lineRule="exact"/>
                    <w:jc w:val="center"/>
                    <w:rPr>
                      <w:rFonts w:ascii="宋体" w:hAnsi="宋体" w:cs="Arial"/>
                      <w:szCs w:val="21"/>
                    </w:rPr>
                  </w:pPr>
                  <w:r>
                    <w:rPr>
                      <w:rFonts w:hint="eastAsia" w:ascii="宋体" w:hAnsi="宋体" w:cs="Arial"/>
                      <w:szCs w:val="21"/>
                    </w:rPr>
                    <w:t>三开</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Merge w:val="restart"/>
                  <w:vAlign w:val="center"/>
                </w:tcPr>
                <w:p>
                  <w:pPr>
                    <w:widowControl/>
                    <w:spacing w:line="300" w:lineRule="exact"/>
                    <w:jc w:val="center"/>
                    <w:rPr>
                      <w:rFonts w:ascii="宋体" w:hAnsi="宋体" w:cs="Arial"/>
                      <w:szCs w:val="21"/>
                    </w:rPr>
                  </w:pPr>
                  <w:r>
                    <w:rPr>
                      <w:rFonts w:ascii="宋体" w:hAnsi="宋体" w:cs="Arial"/>
                      <w:szCs w:val="21"/>
                    </w:rPr>
                    <w:t>10</w:t>
                  </w:r>
                </w:p>
              </w:tc>
              <w:tc>
                <w:tcPr>
                  <w:tcW w:w="1434" w:type="pct"/>
                  <w:vMerge w:val="restart"/>
                  <w:vAlign w:val="center"/>
                </w:tcPr>
                <w:p>
                  <w:pPr>
                    <w:widowControl/>
                    <w:spacing w:line="300" w:lineRule="exact"/>
                    <w:jc w:val="center"/>
                    <w:rPr>
                      <w:rFonts w:ascii="宋体" w:hAnsi="宋体" w:cs="微软雅黑"/>
                      <w:szCs w:val="21"/>
                    </w:rPr>
                  </w:pPr>
                  <w:r>
                    <w:rPr>
                      <w:rFonts w:hint="eastAsia" w:ascii="宋体" w:hAnsi="宋体" w:cs="Arial"/>
                      <w:szCs w:val="21"/>
                    </w:rPr>
                    <w:t>硫化氢检测仪</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便携式</w:t>
                  </w:r>
                </w:p>
              </w:tc>
              <w:tc>
                <w:tcPr>
                  <w:tcW w:w="902" w:type="pct"/>
                  <w:vAlign w:val="center"/>
                </w:tcPr>
                <w:p>
                  <w:pPr>
                    <w:widowControl/>
                    <w:spacing w:line="300" w:lineRule="exact"/>
                    <w:jc w:val="center"/>
                    <w:rPr>
                      <w:rFonts w:ascii="宋体" w:hAnsi="宋体" w:cs="Arial"/>
                      <w:szCs w:val="21"/>
                    </w:rPr>
                  </w:pPr>
                  <w:r>
                    <w:rPr>
                      <w:rFonts w:ascii="宋体" w:hAnsi="宋体" w:cs="Arial"/>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Merge w:val="continue"/>
                  <w:vAlign w:val="center"/>
                </w:tcPr>
                <w:p>
                  <w:pPr>
                    <w:widowControl/>
                    <w:spacing w:line="300" w:lineRule="exact"/>
                    <w:jc w:val="center"/>
                    <w:rPr>
                      <w:rFonts w:ascii="宋体" w:hAnsi="宋体" w:cs="Arial"/>
                      <w:szCs w:val="21"/>
                    </w:rPr>
                  </w:pPr>
                </w:p>
              </w:tc>
              <w:tc>
                <w:tcPr>
                  <w:tcW w:w="1434" w:type="pct"/>
                  <w:vMerge w:val="continue"/>
                  <w:vAlign w:val="center"/>
                </w:tcPr>
                <w:p>
                  <w:pPr>
                    <w:widowControl/>
                    <w:spacing w:line="300" w:lineRule="exact"/>
                    <w:jc w:val="center"/>
                    <w:rPr>
                      <w:rFonts w:ascii="宋体" w:hAnsi="宋体" w:cs="Arial"/>
                      <w:szCs w:val="21"/>
                    </w:rPr>
                  </w:pPr>
                </w:p>
              </w:tc>
              <w:tc>
                <w:tcPr>
                  <w:tcW w:w="2179" w:type="pct"/>
                  <w:vAlign w:val="center"/>
                </w:tcPr>
                <w:p>
                  <w:pPr>
                    <w:widowControl/>
                    <w:spacing w:line="300" w:lineRule="exact"/>
                    <w:jc w:val="center"/>
                    <w:rPr>
                      <w:rFonts w:ascii="宋体" w:hAnsi="宋体" w:cs="Arial"/>
                      <w:szCs w:val="21"/>
                    </w:rPr>
                  </w:pPr>
                  <w:r>
                    <w:rPr>
                      <w:rFonts w:ascii="宋体" w:hAnsi="宋体" w:cs="Arial"/>
                      <w:szCs w:val="21"/>
                    </w:rPr>
                    <w:t>固定式</w:t>
                  </w:r>
                </w:p>
              </w:tc>
              <w:tc>
                <w:tcPr>
                  <w:tcW w:w="902" w:type="pct"/>
                  <w:vAlign w:val="center"/>
                </w:tcPr>
                <w:p>
                  <w:pPr>
                    <w:widowControl/>
                    <w:spacing w:line="300" w:lineRule="exact"/>
                    <w:jc w:val="center"/>
                    <w:rPr>
                      <w:rFonts w:ascii="宋体" w:hAnsi="宋体" w:cs="Arial"/>
                      <w:szCs w:val="21"/>
                    </w:rPr>
                  </w:pPr>
                  <w:r>
                    <w:rPr>
                      <w:rFonts w:ascii="宋体" w:hAnsi="宋体" w:cs="Arial"/>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ascii="宋体" w:hAnsi="宋体" w:cs="Arial"/>
                      <w:szCs w:val="21"/>
                    </w:rPr>
                    <w:t>11</w:t>
                  </w:r>
                </w:p>
              </w:tc>
              <w:tc>
                <w:tcPr>
                  <w:tcW w:w="1434" w:type="pct"/>
                  <w:vAlign w:val="center"/>
                </w:tcPr>
                <w:p>
                  <w:pPr>
                    <w:widowControl/>
                    <w:spacing w:line="300" w:lineRule="exact"/>
                    <w:jc w:val="center"/>
                    <w:rPr>
                      <w:rFonts w:ascii="宋体" w:hAnsi="宋体" w:cs="微软雅黑"/>
                      <w:szCs w:val="21"/>
                    </w:rPr>
                  </w:pPr>
                  <w:r>
                    <w:rPr>
                      <w:rFonts w:hint="eastAsia" w:ascii="宋体" w:hAnsi="宋体" w:cs="Arial"/>
                      <w:szCs w:val="21"/>
                    </w:rPr>
                    <w:t>液压大钳</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ZQ203/125</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84" w:type="pct"/>
                  <w:vAlign w:val="center"/>
                </w:tcPr>
                <w:p>
                  <w:pPr>
                    <w:widowControl/>
                    <w:spacing w:line="300" w:lineRule="exact"/>
                    <w:jc w:val="center"/>
                    <w:rPr>
                      <w:rFonts w:ascii="宋体" w:hAnsi="宋体" w:cs="Arial"/>
                      <w:szCs w:val="21"/>
                    </w:rPr>
                  </w:pPr>
                  <w:r>
                    <w:rPr>
                      <w:rFonts w:ascii="宋体" w:hAnsi="宋体" w:cs="Arial"/>
                      <w:szCs w:val="21"/>
                    </w:rPr>
                    <w:t>12</w:t>
                  </w:r>
                </w:p>
              </w:tc>
              <w:tc>
                <w:tcPr>
                  <w:tcW w:w="1434" w:type="pct"/>
                  <w:vAlign w:val="center"/>
                </w:tcPr>
                <w:p>
                  <w:pPr>
                    <w:widowControl/>
                    <w:spacing w:line="300" w:lineRule="exact"/>
                    <w:jc w:val="center"/>
                    <w:rPr>
                      <w:rFonts w:ascii="宋体" w:hAnsi="宋体" w:cs="Arial"/>
                      <w:szCs w:val="21"/>
                    </w:rPr>
                  </w:pPr>
                  <w:r>
                    <w:rPr>
                      <w:rFonts w:hint="eastAsia" w:ascii="宋体" w:hAnsi="宋体" w:cs="Arial"/>
                      <w:szCs w:val="21"/>
                    </w:rPr>
                    <w:t>柴油储罐</w:t>
                  </w:r>
                </w:p>
              </w:tc>
              <w:tc>
                <w:tcPr>
                  <w:tcW w:w="2179" w:type="pct"/>
                  <w:vAlign w:val="center"/>
                </w:tcPr>
                <w:p>
                  <w:pPr>
                    <w:widowControl/>
                    <w:spacing w:line="300" w:lineRule="exact"/>
                    <w:jc w:val="center"/>
                    <w:rPr>
                      <w:rFonts w:ascii="宋体" w:hAnsi="宋体" w:cs="Arial"/>
                      <w:szCs w:val="21"/>
                    </w:rPr>
                  </w:pPr>
                  <w:r>
                    <w:rPr>
                      <w:rFonts w:ascii="宋体" w:hAnsi="宋体" w:cs="Arial"/>
                      <w:szCs w:val="21"/>
                    </w:rPr>
                    <w:t>20m</w:t>
                  </w:r>
                  <w:r>
                    <w:rPr>
                      <w:rFonts w:ascii="宋体" w:hAnsi="宋体" w:cs="Arial"/>
                      <w:szCs w:val="21"/>
                      <w:vertAlign w:val="superscript"/>
                    </w:rPr>
                    <w:t>3</w:t>
                  </w:r>
                </w:p>
              </w:tc>
              <w:tc>
                <w:tcPr>
                  <w:tcW w:w="902" w:type="pct"/>
                  <w:vAlign w:val="center"/>
                </w:tcPr>
                <w:p>
                  <w:pPr>
                    <w:widowControl/>
                    <w:spacing w:line="300" w:lineRule="exact"/>
                    <w:jc w:val="center"/>
                    <w:rPr>
                      <w:rFonts w:ascii="宋体" w:hAnsi="宋体" w:cs="Arial"/>
                      <w:szCs w:val="21"/>
                    </w:rPr>
                  </w:pPr>
                  <w:r>
                    <w:rPr>
                      <w:rFonts w:hint="eastAsia" w:ascii="宋体" w:hAnsi="宋体" w:cs="Arial"/>
                      <w:szCs w:val="21"/>
                    </w:rPr>
                    <w:t>1座</w:t>
                  </w:r>
                </w:p>
              </w:tc>
            </w:tr>
          </w:tbl>
          <w:p>
            <w:pPr>
              <w:pStyle w:val="22"/>
              <w:snapToGrid w:val="0"/>
              <w:ind w:firstLine="480"/>
            </w:pPr>
            <w:r>
              <w:rPr>
                <w:rFonts w:hint="eastAsia"/>
              </w:rPr>
              <w:t>④钻井液体系</w:t>
            </w:r>
          </w:p>
          <w:p>
            <w:pPr>
              <w:spacing w:line="500" w:lineRule="exact"/>
              <w:ind w:firstLine="480" w:firstLineChars="200"/>
              <w:rPr>
                <w:rFonts w:ascii="宋体" w:hAnsi="宋体"/>
                <w:kern w:val="0"/>
                <w:sz w:val="24"/>
              </w:rPr>
            </w:pPr>
            <w:bookmarkStart w:id="10" w:name="_Hlk105666820"/>
            <w:r>
              <w:rPr>
                <w:rFonts w:hint="eastAsia" w:ascii="宋体" w:hAnsi="宋体"/>
                <w:kern w:val="0"/>
                <w:sz w:val="24"/>
              </w:rPr>
              <w:t>本次钻井采用非磺化水基钻井液。一开使用坂土-CMC钻井液体系，主要成分为坂土、Na</w:t>
            </w:r>
            <w:r>
              <w:rPr>
                <w:rFonts w:hint="eastAsia" w:ascii="宋体" w:hAnsi="宋体"/>
                <w:kern w:val="0"/>
                <w:sz w:val="24"/>
                <w:vertAlign w:val="subscript"/>
              </w:rPr>
              <w:t>2</w:t>
            </w:r>
            <w:r>
              <w:rPr>
                <w:rFonts w:hint="eastAsia" w:ascii="宋体" w:hAnsi="宋体"/>
                <w:kern w:val="0"/>
                <w:sz w:val="24"/>
              </w:rPr>
              <w:t>CO</w:t>
            </w:r>
            <w:r>
              <w:rPr>
                <w:rFonts w:hint="eastAsia" w:ascii="宋体" w:hAnsi="宋体"/>
                <w:kern w:val="0"/>
                <w:sz w:val="24"/>
                <w:vertAlign w:val="subscript"/>
              </w:rPr>
              <w:t>3</w:t>
            </w:r>
            <w:r>
              <w:rPr>
                <w:rFonts w:hint="eastAsia" w:ascii="宋体" w:hAnsi="宋体"/>
                <w:kern w:val="0"/>
                <w:sz w:val="24"/>
              </w:rPr>
              <w:t>、重晶石、复配胺盐等；二开及三开使用钾钙基聚合物钻井完井液，主要成分为坂土、Na</w:t>
            </w:r>
            <w:r>
              <w:rPr>
                <w:rFonts w:hint="eastAsia" w:ascii="宋体" w:hAnsi="宋体"/>
                <w:kern w:val="0"/>
                <w:sz w:val="24"/>
                <w:vertAlign w:val="subscript"/>
              </w:rPr>
              <w:t>2</w:t>
            </w:r>
            <w:r>
              <w:rPr>
                <w:rFonts w:hint="eastAsia" w:ascii="宋体" w:hAnsi="宋体"/>
                <w:kern w:val="0"/>
                <w:sz w:val="24"/>
              </w:rPr>
              <w:t>CO</w:t>
            </w:r>
            <w:r>
              <w:rPr>
                <w:rFonts w:hint="eastAsia" w:ascii="宋体" w:hAnsi="宋体"/>
                <w:kern w:val="0"/>
                <w:sz w:val="24"/>
                <w:vertAlign w:val="subscript"/>
              </w:rPr>
              <w:t>3</w:t>
            </w:r>
            <w:r>
              <w:rPr>
                <w:rFonts w:hint="eastAsia" w:ascii="宋体" w:hAnsi="宋体"/>
                <w:kern w:val="0"/>
                <w:sz w:val="24"/>
              </w:rPr>
              <w:t>、KCl、液体润滑剂、超细碳酸钙、重晶石等。</w:t>
            </w:r>
            <w:bookmarkEnd w:id="10"/>
            <w:r>
              <w:rPr>
                <w:rFonts w:hint="eastAsia" w:ascii="宋体" w:hAnsi="宋体"/>
                <w:kern w:val="0"/>
                <w:sz w:val="24"/>
              </w:rPr>
              <w:t>钻井液共用</w:t>
            </w:r>
            <w:r>
              <w:rPr>
                <w:rFonts w:ascii="宋体" w:hAnsi="宋体"/>
                <w:kern w:val="0"/>
                <w:sz w:val="24"/>
              </w:rPr>
              <w:t>1372</w:t>
            </w:r>
            <w:r>
              <w:rPr>
                <w:rFonts w:hint="eastAsia" w:ascii="宋体" w:hAnsi="宋体"/>
                <w:kern w:val="0"/>
                <w:sz w:val="24"/>
              </w:rPr>
              <w:t>m</w:t>
            </w:r>
            <w:r>
              <w:rPr>
                <w:rFonts w:hint="eastAsia" w:ascii="宋体" w:hAnsi="宋体"/>
                <w:kern w:val="0"/>
                <w:sz w:val="24"/>
                <w:vertAlign w:val="superscript"/>
              </w:rPr>
              <w:t>3</w:t>
            </w:r>
            <w:r>
              <w:rPr>
                <w:rFonts w:hint="eastAsia" w:ascii="宋体" w:hAnsi="宋体"/>
                <w:kern w:val="0"/>
                <w:sz w:val="24"/>
              </w:rPr>
              <w:t>，钻井液体系及用量见表5。</w:t>
            </w:r>
          </w:p>
          <w:p>
            <w:pPr>
              <w:spacing w:line="500" w:lineRule="exact"/>
              <w:jc w:val="center"/>
              <w:rPr>
                <w:rFonts w:ascii="黑体" w:hAnsi="黑体" w:eastAsia="黑体"/>
                <w:szCs w:val="21"/>
              </w:rPr>
            </w:pPr>
            <w:r>
              <w:rPr>
                <w:rFonts w:hint="eastAsia" w:ascii="黑体" w:hAnsi="黑体" w:eastAsia="黑体"/>
                <w:szCs w:val="21"/>
              </w:rPr>
              <w:t>表5  钻井液用量一览表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02"/>
              <w:gridCol w:w="2184"/>
              <w:gridCol w:w="3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66" w:type="pct"/>
                  <w:vAlign w:val="center"/>
                </w:tcPr>
                <w:p>
                  <w:pPr>
                    <w:adjustRightInd w:val="0"/>
                    <w:snapToGrid w:val="0"/>
                    <w:spacing w:line="240" w:lineRule="exact"/>
                    <w:jc w:val="center"/>
                    <w:rPr>
                      <w:rFonts w:ascii="宋体" w:hAnsi="宋体"/>
                      <w:szCs w:val="21"/>
                    </w:rPr>
                  </w:pPr>
                  <w:r>
                    <w:rPr>
                      <w:rFonts w:hint="eastAsia" w:ascii="宋体" w:hAnsi="宋体"/>
                      <w:szCs w:val="21"/>
                    </w:rPr>
                    <w:t>开钻次序</w:t>
                  </w:r>
                </w:p>
              </w:tc>
              <w:tc>
                <w:tcPr>
                  <w:tcW w:w="1454" w:type="pct"/>
                  <w:vAlign w:val="center"/>
                </w:tcPr>
                <w:p>
                  <w:pPr>
                    <w:adjustRightInd w:val="0"/>
                    <w:snapToGrid w:val="0"/>
                    <w:spacing w:line="240" w:lineRule="exact"/>
                    <w:jc w:val="center"/>
                    <w:rPr>
                      <w:rFonts w:ascii="宋体" w:hAnsi="宋体"/>
                      <w:szCs w:val="21"/>
                    </w:rPr>
                  </w:pPr>
                  <w:r>
                    <w:rPr>
                      <w:rFonts w:hint="eastAsia" w:ascii="宋体" w:hAnsi="宋体"/>
                      <w:kern w:val="0"/>
                      <w:szCs w:val="21"/>
                    </w:rPr>
                    <w:t>水基钻井液体系</w:t>
                  </w:r>
                </w:p>
              </w:tc>
              <w:tc>
                <w:tcPr>
                  <w:tcW w:w="2480" w:type="pct"/>
                  <w:vAlign w:val="center"/>
                </w:tcPr>
                <w:p>
                  <w:pPr>
                    <w:adjustRightInd w:val="0"/>
                    <w:snapToGrid w:val="0"/>
                    <w:spacing w:line="240" w:lineRule="exact"/>
                    <w:jc w:val="center"/>
                    <w:rPr>
                      <w:rFonts w:ascii="宋体" w:hAnsi="宋体"/>
                      <w:szCs w:val="21"/>
                    </w:rPr>
                  </w:pPr>
                  <w:r>
                    <w:rPr>
                      <w:rFonts w:hint="eastAsia" w:ascii="宋体" w:hAnsi="宋体"/>
                      <w:szCs w:val="21"/>
                    </w:rPr>
                    <w:t>钻井液用量（m</w:t>
                  </w:r>
                  <w:r>
                    <w:rPr>
                      <w:rFonts w:hint="eastAsia" w:ascii="宋体" w:hAnsi="宋体"/>
                      <w:szCs w:val="21"/>
                      <w:vertAlign w:val="superscript"/>
                    </w:rPr>
                    <w:t>3</w:t>
                  </w:r>
                  <w:r>
                    <w:rPr>
                      <w:rFonts w:hint="eastAsia" w:ascii="宋体"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66" w:type="pct"/>
                  <w:vAlign w:val="center"/>
                </w:tcPr>
                <w:p>
                  <w:pPr>
                    <w:adjustRightInd w:val="0"/>
                    <w:snapToGrid w:val="0"/>
                    <w:spacing w:line="240" w:lineRule="exact"/>
                    <w:jc w:val="center"/>
                    <w:rPr>
                      <w:rFonts w:ascii="宋体" w:hAnsi="宋体"/>
                      <w:szCs w:val="21"/>
                    </w:rPr>
                  </w:pPr>
                  <w:r>
                    <w:rPr>
                      <w:rFonts w:hint="eastAsia" w:ascii="宋体" w:hAnsi="宋体"/>
                      <w:szCs w:val="21"/>
                    </w:rPr>
                    <w:t>一开</w:t>
                  </w:r>
                </w:p>
              </w:tc>
              <w:tc>
                <w:tcPr>
                  <w:tcW w:w="1454" w:type="pct"/>
                  <w:vAlign w:val="center"/>
                </w:tcPr>
                <w:p>
                  <w:pPr>
                    <w:adjustRightInd w:val="0"/>
                    <w:snapToGrid w:val="0"/>
                    <w:spacing w:line="240" w:lineRule="exact"/>
                    <w:jc w:val="center"/>
                    <w:rPr>
                      <w:rFonts w:ascii="宋体" w:hAnsi="宋体" w:cs="Arial"/>
                      <w:szCs w:val="21"/>
                    </w:rPr>
                  </w:pPr>
                  <w:r>
                    <w:rPr>
                      <w:rFonts w:hint="eastAsia" w:ascii="宋体" w:hAnsi="宋体"/>
                      <w:kern w:val="0"/>
                      <w:szCs w:val="21"/>
                    </w:rPr>
                    <w:t>坂土-聚合物</w:t>
                  </w:r>
                </w:p>
              </w:tc>
              <w:tc>
                <w:tcPr>
                  <w:tcW w:w="2480" w:type="pct"/>
                  <w:vAlign w:val="center"/>
                </w:tcPr>
                <w:p>
                  <w:pPr>
                    <w:adjustRightInd w:val="0"/>
                    <w:snapToGrid w:val="0"/>
                    <w:spacing w:line="240" w:lineRule="exact"/>
                    <w:jc w:val="center"/>
                    <w:rPr>
                      <w:rFonts w:ascii="宋体" w:hAnsi="宋体"/>
                      <w:szCs w:val="21"/>
                    </w:rPr>
                  </w:pPr>
                  <w:r>
                    <w:rPr>
                      <w:rFonts w:ascii="宋体" w:hAnsi="宋体"/>
                      <w:szCs w:val="21"/>
                    </w:rPr>
                    <w:t>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66" w:type="pct"/>
                  <w:vAlign w:val="center"/>
                </w:tcPr>
                <w:p>
                  <w:pPr>
                    <w:adjustRightInd w:val="0"/>
                    <w:snapToGrid w:val="0"/>
                    <w:spacing w:line="240" w:lineRule="exact"/>
                    <w:jc w:val="center"/>
                    <w:rPr>
                      <w:rFonts w:ascii="宋体" w:hAnsi="宋体"/>
                      <w:szCs w:val="21"/>
                    </w:rPr>
                  </w:pPr>
                  <w:r>
                    <w:rPr>
                      <w:rFonts w:hint="eastAsia" w:ascii="宋体" w:hAnsi="宋体"/>
                      <w:szCs w:val="21"/>
                    </w:rPr>
                    <w:t>二开</w:t>
                  </w:r>
                </w:p>
              </w:tc>
              <w:tc>
                <w:tcPr>
                  <w:tcW w:w="1454" w:type="pct"/>
                  <w:vAlign w:val="center"/>
                </w:tcPr>
                <w:p>
                  <w:pPr>
                    <w:adjustRightInd w:val="0"/>
                    <w:snapToGrid w:val="0"/>
                    <w:spacing w:line="240" w:lineRule="exact"/>
                    <w:jc w:val="center"/>
                    <w:rPr>
                      <w:rFonts w:ascii="宋体" w:hAnsi="宋体"/>
                      <w:szCs w:val="21"/>
                    </w:rPr>
                  </w:pPr>
                  <w:r>
                    <w:rPr>
                      <w:rFonts w:hint="eastAsia" w:ascii="宋体" w:hAnsi="宋体"/>
                      <w:szCs w:val="21"/>
                    </w:rPr>
                    <w:t>钾钙基聚合物</w:t>
                  </w:r>
                </w:p>
              </w:tc>
              <w:tc>
                <w:tcPr>
                  <w:tcW w:w="2480" w:type="pct"/>
                  <w:vAlign w:val="center"/>
                </w:tcPr>
                <w:p>
                  <w:pPr>
                    <w:adjustRightInd w:val="0"/>
                    <w:snapToGrid w:val="0"/>
                    <w:spacing w:line="240" w:lineRule="exact"/>
                    <w:jc w:val="center"/>
                    <w:rPr>
                      <w:rFonts w:ascii="宋体" w:hAnsi="宋体"/>
                      <w:szCs w:val="21"/>
                    </w:rPr>
                  </w:pPr>
                  <w:r>
                    <w:rPr>
                      <w:rFonts w:ascii="宋体" w:hAnsi="宋体"/>
                      <w:szCs w:val="21"/>
                    </w:rPr>
                    <w:t>491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66" w:type="pct"/>
                  <w:vAlign w:val="center"/>
                </w:tcPr>
                <w:p>
                  <w:pPr>
                    <w:adjustRightInd w:val="0"/>
                    <w:snapToGrid w:val="0"/>
                    <w:spacing w:line="240" w:lineRule="exact"/>
                    <w:jc w:val="center"/>
                    <w:rPr>
                      <w:rFonts w:ascii="宋体" w:hAnsi="宋体"/>
                      <w:szCs w:val="21"/>
                    </w:rPr>
                  </w:pPr>
                  <w:r>
                    <w:rPr>
                      <w:rFonts w:hint="eastAsia" w:ascii="宋体" w:hAnsi="宋体"/>
                      <w:szCs w:val="21"/>
                    </w:rPr>
                    <w:t>三开</w:t>
                  </w:r>
                </w:p>
              </w:tc>
              <w:tc>
                <w:tcPr>
                  <w:tcW w:w="1454" w:type="pct"/>
                  <w:vAlign w:val="center"/>
                </w:tcPr>
                <w:p>
                  <w:pPr>
                    <w:adjustRightInd w:val="0"/>
                    <w:snapToGrid w:val="0"/>
                    <w:spacing w:line="240" w:lineRule="exact"/>
                    <w:jc w:val="center"/>
                    <w:rPr>
                      <w:rFonts w:ascii="宋体" w:hAnsi="宋体"/>
                      <w:szCs w:val="21"/>
                    </w:rPr>
                  </w:pPr>
                  <w:r>
                    <w:rPr>
                      <w:rFonts w:hint="eastAsia" w:ascii="宋体" w:hAnsi="宋体"/>
                      <w:szCs w:val="21"/>
                    </w:rPr>
                    <w:t>钾钙基聚合物</w:t>
                  </w:r>
                </w:p>
              </w:tc>
              <w:tc>
                <w:tcPr>
                  <w:tcW w:w="2480" w:type="pct"/>
                  <w:vAlign w:val="center"/>
                </w:tcPr>
                <w:p>
                  <w:pPr>
                    <w:adjustRightInd w:val="0"/>
                    <w:snapToGrid w:val="0"/>
                    <w:spacing w:line="240" w:lineRule="exact"/>
                    <w:jc w:val="center"/>
                    <w:rPr>
                      <w:rFonts w:ascii="宋体" w:hAnsi="宋体"/>
                      <w:szCs w:val="21"/>
                    </w:rPr>
                  </w:pPr>
                  <w:r>
                    <w:rPr>
                      <w:rFonts w:ascii="宋体" w:hAnsi="宋体"/>
                      <w:szCs w:val="21"/>
                    </w:rPr>
                    <w:t>603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66" w:type="pct"/>
                  <w:vAlign w:val="center"/>
                </w:tcPr>
                <w:p>
                  <w:pPr>
                    <w:adjustRightInd w:val="0"/>
                    <w:snapToGrid w:val="0"/>
                    <w:spacing w:line="240" w:lineRule="exact"/>
                    <w:jc w:val="center"/>
                    <w:rPr>
                      <w:rFonts w:ascii="宋体" w:hAnsi="宋体"/>
                      <w:szCs w:val="21"/>
                    </w:rPr>
                  </w:pPr>
                  <w:r>
                    <w:rPr>
                      <w:rFonts w:hint="eastAsia" w:ascii="宋体" w:hAnsi="宋体"/>
                      <w:szCs w:val="21"/>
                    </w:rPr>
                    <w:t>合计</w:t>
                  </w:r>
                </w:p>
              </w:tc>
              <w:tc>
                <w:tcPr>
                  <w:tcW w:w="1454" w:type="pct"/>
                  <w:vAlign w:val="center"/>
                </w:tcPr>
                <w:p>
                  <w:pPr>
                    <w:adjustRightInd w:val="0"/>
                    <w:snapToGrid w:val="0"/>
                    <w:spacing w:line="240" w:lineRule="exact"/>
                    <w:jc w:val="center"/>
                    <w:rPr>
                      <w:rFonts w:ascii="宋体" w:hAnsi="宋体"/>
                      <w:szCs w:val="21"/>
                    </w:rPr>
                  </w:pPr>
                  <w:r>
                    <w:rPr>
                      <w:rFonts w:hint="eastAsia" w:ascii="宋体" w:hAnsi="宋体"/>
                      <w:szCs w:val="21"/>
                    </w:rPr>
                    <w:t>/</w:t>
                  </w:r>
                </w:p>
              </w:tc>
              <w:tc>
                <w:tcPr>
                  <w:tcW w:w="2480" w:type="pct"/>
                  <w:vAlign w:val="center"/>
                </w:tcPr>
                <w:p>
                  <w:pPr>
                    <w:adjustRightInd w:val="0"/>
                    <w:snapToGrid w:val="0"/>
                    <w:spacing w:line="240" w:lineRule="exact"/>
                    <w:jc w:val="center"/>
                    <w:rPr>
                      <w:rFonts w:ascii="宋体" w:hAnsi="宋体" w:cs="Arial"/>
                      <w:szCs w:val="21"/>
                    </w:rPr>
                  </w:pPr>
                  <w:r>
                    <w:rPr>
                      <w:rFonts w:ascii="宋体" w:hAnsi="宋体" w:cs="Arial"/>
                      <w:szCs w:val="21"/>
                    </w:rPr>
                    <w:t>1372</w:t>
                  </w:r>
                </w:p>
              </w:tc>
            </w:tr>
          </w:tbl>
          <w:p>
            <w:pPr>
              <w:pStyle w:val="7"/>
              <w:spacing w:before="0" w:after="0" w:line="500" w:lineRule="exact"/>
              <w:ind w:right="0" w:firstLine="482" w:firstLineChars="200"/>
              <w:rPr>
                <w:rFonts w:ascii="宋体" w:hAnsi="宋体" w:cs="宋体"/>
                <w:b/>
                <w:bCs/>
                <w:sz w:val="24"/>
                <w:szCs w:val="24"/>
              </w:rPr>
            </w:pPr>
            <w:r>
              <w:rPr>
                <w:rFonts w:ascii="宋体" w:hAnsi="宋体" w:cs="宋体"/>
                <w:b/>
                <w:bCs/>
                <w:sz w:val="24"/>
                <w:szCs w:val="24"/>
              </w:rPr>
              <w:t>2、试油</w:t>
            </w:r>
            <w:r>
              <w:rPr>
                <w:rFonts w:hint="eastAsia" w:ascii="宋体" w:hAnsi="宋体" w:cs="宋体"/>
                <w:b/>
                <w:bCs/>
                <w:sz w:val="24"/>
                <w:szCs w:val="24"/>
              </w:rPr>
              <w:t>工程</w:t>
            </w:r>
            <w:r>
              <w:rPr>
                <w:rFonts w:ascii="宋体" w:hAnsi="宋体" w:cs="宋体"/>
                <w:b/>
                <w:bCs/>
                <w:sz w:val="24"/>
                <w:szCs w:val="24"/>
              </w:rPr>
              <w:t>施工方案</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在钻井施工完毕后对目的层进行试油作业。</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试油作业</w:t>
            </w:r>
            <w:bookmarkStart w:id="11" w:name="_Ref19641660"/>
            <w:r>
              <w:rPr>
                <w:rFonts w:ascii="宋体" w:hAnsi="宋体" w:cs="宋体"/>
                <w:sz w:val="24"/>
                <w:szCs w:val="24"/>
              </w:rPr>
              <w:t>主要包括通井（用钻杆或油管带通井规下入井内，检查套管是否有影响试油工具通过的弯曲</w:t>
            </w:r>
            <w:r>
              <w:rPr>
                <w:rFonts w:hint="eastAsia" w:ascii="宋体" w:hAnsi="宋体" w:cs="宋体"/>
                <w:sz w:val="24"/>
                <w:szCs w:val="24"/>
              </w:rPr>
              <w:t>和</w:t>
            </w:r>
            <w:r>
              <w:rPr>
                <w:rFonts w:ascii="宋体" w:hAnsi="宋体" w:cs="宋体"/>
                <w:sz w:val="24"/>
                <w:szCs w:val="24"/>
              </w:rPr>
              <w:t>固体物质等）</w:t>
            </w:r>
            <w:bookmarkEnd w:id="11"/>
            <w:r>
              <w:rPr>
                <w:rFonts w:ascii="宋体" w:hAnsi="宋体" w:cs="宋体"/>
                <w:sz w:val="24"/>
                <w:szCs w:val="24"/>
              </w:rPr>
              <w:t>、洗井（使用泵注设备，利用洗井液，通过井内管柱内外循环，清除套管壁杂物等）、试压（用气体或液体介质，对地面流程、井口设备、井下套管等进行耐压程度检验）、射孔（利用专用设备和射孔枪，对套管和井壁进行射孔，建立地层与井筒之间的通道）、压裂（用泵车将压裂液挤入油层，当把油层压出许多裂缝后加入支撑剂（如石英砂等），使其充填进裂缝，可有效提高油气层的渗透能力）等操作，然后在井口安装分离器，对获取的地层油、气、水进行取样。采出液进入地面储罐，伴生气通过地面液气分离器排气管线燃烧放空。</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钻井及试油期总体工艺流程见图1。</w:t>
            </w:r>
          </w:p>
          <w:p>
            <w:pPr>
              <w:widowControl/>
              <w:jc w:val="center"/>
            </w:pPr>
            <w:r>
              <w:rPr>
                <w:rFonts w:ascii="宋体" w:hAnsi="宋体" w:cs="宋体"/>
                <w:kern w:val="0"/>
                <w:sz w:val="24"/>
                <w:lang w:bidi="ar"/>
              </w:rPr>
              <w:drawing>
                <wp:inline distT="0" distB="0" distL="114300" distR="114300">
                  <wp:extent cx="4601210" cy="1145540"/>
                  <wp:effectExtent l="0" t="0" r="1270" b="1270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a:stretch>
                            <a:fillRect/>
                          </a:stretch>
                        </pic:blipFill>
                        <pic:spPr>
                          <a:xfrm>
                            <a:off x="0" y="0"/>
                            <a:ext cx="4601210" cy="1145540"/>
                          </a:xfrm>
                          <a:prstGeom prst="rect">
                            <a:avLst/>
                          </a:prstGeom>
                          <a:noFill/>
                          <a:ln w="9525">
                            <a:noFill/>
                          </a:ln>
                        </pic:spPr>
                      </pic:pic>
                    </a:graphicData>
                  </a:graphic>
                </wp:inline>
              </w:drawing>
            </w:r>
          </w:p>
          <w:p>
            <w:pPr>
              <w:pStyle w:val="7"/>
              <w:spacing w:before="0" w:after="0" w:line="500" w:lineRule="exact"/>
              <w:ind w:right="0"/>
              <w:jc w:val="center"/>
              <w:rPr>
                <w:rFonts w:ascii="黑体" w:hAnsi="黑体" w:eastAsia="黑体" w:cs="黑体"/>
                <w:szCs w:val="21"/>
              </w:rPr>
            </w:pPr>
            <w:r>
              <w:rPr>
                <w:rFonts w:hint="eastAsia" w:ascii="黑体" w:hAnsi="黑体" w:eastAsia="黑体" w:cs="黑体"/>
                <w:szCs w:val="21"/>
              </w:rPr>
              <w:t>图1  钻试期总体工艺流程和产污环节示意图</w:t>
            </w:r>
          </w:p>
          <w:p>
            <w:pPr>
              <w:spacing w:line="500" w:lineRule="exact"/>
              <w:ind w:firstLine="482" w:firstLineChars="200"/>
              <w:rPr>
                <w:rFonts w:ascii="宋体" w:hAnsi="宋体" w:cs="宋体"/>
                <w:b/>
                <w:sz w:val="24"/>
              </w:rPr>
            </w:pPr>
            <w:r>
              <w:rPr>
                <w:rFonts w:hint="eastAsia" w:ascii="宋体" w:hAnsi="宋体" w:cs="宋体"/>
                <w:b/>
                <w:sz w:val="24"/>
              </w:rPr>
              <w:t>3、完井施工方案</w:t>
            </w:r>
          </w:p>
          <w:p>
            <w:pPr>
              <w:widowControl/>
              <w:snapToGrid w:val="0"/>
              <w:spacing w:line="500" w:lineRule="exact"/>
              <w:ind w:firstLine="480" w:firstLineChars="200"/>
              <w:rPr>
                <w:rFonts w:ascii="宋体" w:hAnsi="宋体" w:cs="宋体"/>
                <w:kern w:val="0"/>
                <w:sz w:val="24"/>
              </w:rPr>
            </w:pPr>
            <w:bookmarkStart w:id="12" w:name="_Hlk105515642"/>
            <w:r>
              <w:rPr>
                <w:rFonts w:hint="eastAsia" w:ascii="宋体" w:hAnsi="宋体" w:cs="宋体"/>
                <w:kern w:val="0"/>
                <w:sz w:val="24"/>
              </w:rPr>
              <w:t>试油作业结束后，若油气产量显示该井具备商业开采价值，则对其进行关井，后期根据油田开发要求转为开采井，转产前应开展产能建设工程环境影响评价。如该井不具备开采价值，则对地面设施进行拆除，对井口按照新疆油田公司勘探事业部《勘探废弃井弃置管理规定（试行）》进行封井作业，撤去所有生产设施，清理、平整井场。</w:t>
            </w:r>
            <w:bookmarkEnd w:id="12"/>
          </w:p>
          <w:p>
            <w:pPr>
              <w:widowControl/>
              <w:snapToGrid w:val="0"/>
              <w:spacing w:line="500" w:lineRule="exact"/>
              <w:ind w:firstLine="482" w:firstLineChars="200"/>
              <w:rPr>
                <w:rFonts w:ascii="宋体" w:hAnsi="宋体" w:cs="宋体"/>
                <w:b/>
                <w:bCs/>
                <w:kern w:val="0"/>
                <w:sz w:val="24"/>
              </w:rPr>
            </w:pPr>
            <w:r>
              <w:rPr>
                <w:rFonts w:hint="eastAsia" w:ascii="宋体" w:hAnsi="宋体" w:cs="宋体"/>
                <w:b/>
                <w:bCs/>
                <w:kern w:val="0"/>
                <w:sz w:val="24"/>
              </w:rPr>
              <w:t>4、施工周期</w:t>
            </w:r>
            <w:r>
              <w:rPr>
                <w:rFonts w:ascii="宋体" w:hAnsi="宋体" w:cs="宋体"/>
                <w:b/>
                <w:bCs/>
                <w:kern w:val="0"/>
                <w:sz w:val="24"/>
              </w:rPr>
              <w:t>及组织定员</w:t>
            </w:r>
          </w:p>
          <w:p>
            <w:pPr>
              <w:widowControl/>
              <w:snapToGrid w:val="0"/>
              <w:spacing w:line="500" w:lineRule="exact"/>
              <w:ind w:firstLine="480" w:firstLineChars="200"/>
              <w:rPr>
                <w:rFonts w:ascii="宋体" w:hAnsi="宋体"/>
                <w:b/>
                <w:kern w:val="0"/>
                <w:sz w:val="24"/>
              </w:rPr>
            </w:pPr>
            <w:r>
              <w:rPr>
                <w:rFonts w:hint="eastAsia" w:ascii="宋体" w:hAnsi="宋体" w:cs="宋体"/>
                <w:kern w:val="0"/>
                <w:sz w:val="24"/>
                <w:szCs w:val="18"/>
              </w:rPr>
              <w:t>钻井期93天，施工人数35人，钻井期间设1处生活营地；试油期</w:t>
            </w:r>
            <w:r>
              <w:rPr>
                <w:rFonts w:ascii="宋体" w:hAnsi="宋体" w:cs="宋体"/>
                <w:kern w:val="0"/>
                <w:sz w:val="24"/>
                <w:szCs w:val="18"/>
              </w:rPr>
              <w:t>90</w:t>
            </w:r>
            <w:r>
              <w:rPr>
                <w:rFonts w:hint="eastAsia" w:ascii="宋体" w:hAnsi="宋体" w:cs="宋体"/>
                <w:kern w:val="0"/>
                <w:sz w:val="24"/>
                <w:szCs w:val="18"/>
              </w:rPr>
              <w:t>天，施工人数2人。</w:t>
            </w:r>
          </w:p>
          <w:p>
            <w:pPr>
              <w:widowControl/>
              <w:spacing w:line="500" w:lineRule="exact"/>
              <w:ind w:firstLine="482" w:firstLineChars="200"/>
              <w:rPr>
                <w:rFonts w:ascii="宋体" w:hAnsi="宋体"/>
                <w:b/>
                <w:kern w:val="0"/>
                <w:sz w:val="24"/>
              </w:rPr>
            </w:pPr>
            <w:r>
              <w:rPr>
                <w:rFonts w:ascii="宋体" w:hAnsi="宋体"/>
                <w:b/>
                <w:kern w:val="0"/>
                <w:sz w:val="24"/>
              </w:rPr>
              <w:t>5、能源物料消耗</w:t>
            </w:r>
          </w:p>
          <w:p>
            <w:pPr>
              <w:widowControl/>
              <w:spacing w:line="460" w:lineRule="exact"/>
              <w:ind w:firstLine="480" w:firstLineChars="200"/>
              <w:rPr>
                <w:rFonts w:ascii="宋体" w:hAnsi="宋体"/>
                <w:kern w:val="0"/>
                <w:sz w:val="24"/>
              </w:rPr>
            </w:pPr>
            <w:r>
              <w:rPr>
                <w:rFonts w:ascii="宋体" w:hAnsi="宋体"/>
                <w:kern w:val="0"/>
                <w:sz w:val="24"/>
              </w:rPr>
              <w:t>施工期间消耗</w:t>
            </w:r>
            <w:r>
              <w:rPr>
                <w:rFonts w:hint="eastAsia" w:ascii="宋体" w:hAnsi="宋体"/>
                <w:kern w:val="0"/>
                <w:sz w:val="24"/>
              </w:rPr>
              <w:t>的</w:t>
            </w:r>
            <w:r>
              <w:rPr>
                <w:rFonts w:ascii="宋体" w:hAnsi="宋体"/>
                <w:kern w:val="0"/>
                <w:sz w:val="24"/>
              </w:rPr>
              <w:t>主要物料</w:t>
            </w:r>
            <w:r>
              <w:rPr>
                <w:rFonts w:hint="eastAsia" w:ascii="宋体" w:hAnsi="宋体"/>
                <w:kern w:val="0"/>
                <w:sz w:val="24"/>
              </w:rPr>
              <w:t>及能耗包括：</w:t>
            </w:r>
            <w:r>
              <w:rPr>
                <w:rFonts w:ascii="宋体" w:hAnsi="宋体"/>
                <w:kern w:val="0"/>
                <w:sz w:val="24"/>
              </w:rPr>
              <w:t>钻井液、压裂液、柴油、</w:t>
            </w:r>
            <w:r>
              <w:rPr>
                <w:rFonts w:hint="eastAsia" w:ascii="宋体" w:hAnsi="宋体"/>
                <w:kern w:val="0"/>
                <w:sz w:val="24"/>
              </w:rPr>
              <w:t>新鲜</w:t>
            </w:r>
            <w:r>
              <w:rPr>
                <w:rFonts w:ascii="宋体" w:hAnsi="宋体"/>
                <w:kern w:val="0"/>
                <w:sz w:val="24"/>
              </w:rPr>
              <w:t>水等，消耗情况如</w:t>
            </w:r>
            <w:r>
              <w:rPr>
                <w:rFonts w:hint="eastAsia" w:ascii="宋体" w:hAnsi="宋体"/>
                <w:kern w:val="0"/>
                <w:sz w:val="24"/>
              </w:rPr>
              <w:t>表6</w:t>
            </w:r>
            <w:r>
              <w:rPr>
                <w:rFonts w:ascii="宋体" w:hAnsi="宋体"/>
                <w:kern w:val="0"/>
                <w:sz w:val="24"/>
              </w:rPr>
              <w:t>所示。</w:t>
            </w:r>
            <w:bookmarkStart w:id="13" w:name="_Hlk15400228"/>
            <w:bookmarkEnd w:id="13"/>
          </w:p>
          <w:p>
            <w:pPr>
              <w:pStyle w:val="5"/>
            </w:pPr>
            <w:r>
              <w:rPr>
                <w:rFonts w:hint="eastAsia"/>
              </w:rPr>
              <w:t xml:space="preserve">表6  </w:t>
            </w:r>
            <w:r>
              <w:t>井场主要材料</w:t>
            </w:r>
            <w:r>
              <w:rPr>
                <w:rFonts w:hint="eastAsia"/>
              </w:rPr>
              <w:t>及能源</w:t>
            </w:r>
            <w:r>
              <w:t>用量一览表</w:t>
            </w:r>
          </w:p>
          <w:tbl>
            <w:tblPr>
              <w:tblStyle w:val="16"/>
              <w:tblW w:w="750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57" w:type="dxa"/>
                <w:bottom w:w="0" w:type="dxa"/>
                <w:right w:w="57" w:type="dxa"/>
              </w:tblCellMar>
            </w:tblPr>
            <w:tblGrid>
              <w:gridCol w:w="1383"/>
              <w:gridCol w:w="1017"/>
              <w:gridCol w:w="2098"/>
              <w:gridCol w:w="1245"/>
              <w:gridCol w:w="1766"/>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trPr>
              <w:tc>
                <w:tcPr>
                  <w:tcW w:w="2995" w:type="pct"/>
                  <w:gridSpan w:val="3"/>
                  <w:vAlign w:val="center"/>
                </w:tcPr>
                <w:p>
                  <w:pPr>
                    <w:widowControl/>
                    <w:spacing w:line="260" w:lineRule="exact"/>
                    <w:jc w:val="center"/>
                    <w:rPr>
                      <w:rFonts w:ascii="宋体" w:hAnsi="宋体" w:cs="宋体"/>
                      <w:szCs w:val="21"/>
                    </w:rPr>
                  </w:pPr>
                  <w:r>
                    <w:rPr>
                      <w:rFonts w:hint="eastAsia" w:ascii="宋体" w:hAnsi="宋体" w:cs="宋体"/>
                      <w:szCs w:val="21"/>
                    </w:rPr>
                    <w:t>物料/能源名称</w:t>
                  </w:r>
                </w:p>
              </w:tc>
              <w:tc>
                <w:tcPr>
                  <w:tcW w:w="829" w:type="pct"/>
                  <w:vAlign w:val="center"/>
                </w:tcPr>
                <w:p>
                  <w:pPr>
                    <w:widowControl/>
                    <w:spacing w:line="260" w:lineRule="exact"/>
                    <w:jc w:val="center"/>
                    <w:rPr>
                      <w:rFonts w:ascii="宋体" w:hAnsi="宋体" w:cs="宋体"/>
                      <w:szCs w:val="21"/>
                    </w:rPr>
                  </w:pPr>
                  <w:r>
                    <w:rPr>
                      <w:rFonts w:hint="eastAsia" w:ascii="宋体" w:hAnsi="宋体" w:cs="宋体"/>
                      <w:szCs w:val="21"/>
                    </w:rPr>
                    <w:t>单位</w:t>
                  </w:r>
                </w:p>
              </w:tc>
              <w:tc>
                <w:tcPr>
                  <w:tcW w:w="1176" w:type="pct"/>
                  <w:vAlign w:val="center"/>
                </w:tcPr>
                <w:p>
                  <w:pPr>
                    <w:widowControl/>
                    <w:spacing w:line="260" w:lineRule="exact"/>
                    <w:jc w:val="center"/>
                    <w:rPr>
                      <w:rFonts w:ascii="宋体" w:hAnsi="宋体" w:cs="宋体"/>
                      <w:szCs w:val="21"/>
                    </w:rPr>
                  </w:pPr>
                  <w:r>
                    <w:rPr>
                      <w:rFonts w:hint="eastAsia" w:ascii="宋体" w:hAnsi="宋体" w:cs="宋体"/>
                      <w:szCs w:val="21"/>
                    </w:rPr>
                    <w:t>用量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trPr>
              <w:tc>
                <w:tcPr>
                  <w:tcW w:w="921" w:type="pct"/>
                  <w:vMerge w:val="restart"/>
                  <w:vAlign w:val="center"/>
                </w:tcPr>
                <w:p>
                  <w:pPr>
                    <w:widowControl/>
                    <w:spacing w:line="260" w:lineRule="exact"/>
                    <w:jc w:val="center"/>
                    <w:rPr>
                      <w:rFonts w:ascii="宋体" w:hAnsi="宋体" w:cs="宋体"/>
                      <w:szCs w:val="21"/>
                    </w:rPr>
                  </w:pPr>
                  <w:r>
                    <w:rPr>
                      <w:rFonts w:hint="eastAsia" w:ascii="宋体" w:hAnsi="宋体" w:cs="宋体"/>
                      <w:szCs w:val="21"/>
                    </w:rPr>
                    <w:t>主要材料</w:t>
                  </w:r>
                </w:p>
              </w:tc>
              <w:tc>
                <w:tcPr>
                  <w:tcW w:w="2074" w:type="pct"/>
                  <w:gridSpan w:val="2"/>
                  <w:vAlign w:val="center"/>
                </w:tcPr>
                <w:p>
                  <w:pPr>
                    <w:widowControl/>
                    <w:spacing w:line="260" w:lineRule="exact"/>
                    <w:jc w:val="center"/>
                    <w:rPr>
                      <w:rFonts w:ascii="宋体" w:hAnsi="宋体" w:cs="宋体"/>
                      <w:szCs w:val="21"/>
                    </w:rPr>
                  </w:pPr>
                  <w:r>
                    <w:rPr>
                      <w:rFonts w:hint="eastAsia" w:ascii="宋体" w:hAnsi="宋体" w:cs="宋体"/>
                      <w:szCs w:val="21"/>
                    </w:rPr>
                    <w:t>水基钻井液</w:t>
                  </w:r>
                </w:p>
              </w:tc>
              <w:tc>
                <w:tcPr>
                  <w:tcW w:w="829" w:type="pct"/>
                  <w:vAlign w:val="center"/>
                </w:tcPr>
                <w:p>
                  <w:pPr>
                    <w:widowControl/>
                    <w:spacing w:line="260" w:lineRule="exact"/>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76" w:type="pct"/>
                  <w:shd w:val="clear" w:color="auto" w:fill="auto"/>
                  <w:vAlign w:val="center"/>
                </w:tcPr>
                <w:p>
                  <w:pPr>
                    <w:widowControl/>
                    <w:spacing w:line="260" w:lineRule="exact"/>
                    <w:jc w:val="center"/>
                    <w:rPr>
                      <w:rFonts w:ascii="宋体" w:hAnsi="宋体" w:cs="宋体"/>
                      <w:szCs w:val="21"/>
                    </w:rPr>
                  </w:pPr>
                  <w:r>
                    <w:rPr>
                      <w:rFonts w:ascii="宋体" w:hAnsi="宋体" w:cs="宋体"/>
                      <w:szCs w:val="21"/>
                    </w:rPr>
                    <w:t>1372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trPr>
              <w:tc>
                <w:tcPr>
                  <w:tcW w:w="921" w:type="pct"/>
                  <w:vMerge w:val="continue"/>
                  <w:vAlign w:val="center"/>
                </w:tcPr>
                <w:p>
                  <w:pPr>
                    <w:widowControl/>
                    <w:spacing w:line="260" w:lineRule="exact"/>
                    <w:jc w:val="center"/>
                    <w:rPr>
                      <w:rFonts w:ascii="宋体" w:hAnsi="宋体" w:cs="宋体"/>
                      <w:szCs w:val="21"/>
                    </w:rPr>
                  </w:pPr>
                </w:p>
              </w:tc>
              <w:tc>
                <w:tcPr>
                  <w:tcW w:w="2074" w:type="pct"/>
                  <w:gridSpan w:val="2"/>
                  <w:vAlign w:val="center"/>
                </w:tcPr>
                <w:p>
                  <w:pPr>
                    <w:widowControl/>
                    <w:spacing w:line="260" w:lineRule="exact"/>
                    <w:jc w:val="center"/>
                    <w:rPr>
                      <w:rFonts w:ascii="宋体" w:hAnsi="宋体" w:cs="宋体"/>
                      <w:szCs w:val="21"/>
                    </w:rPr>
                  </w:pPr>
                  <w:r>
                    <w:rPr>
                      <w:rFonts w:hint="eastAsia" w:ascii="宋体" w:hAnsi="宋体" w:cs="宋体"/>
                      <w:szCs w:val="21"/>
                    </w:rPr>
                    <w:t>压裂液</w:t>
                  </w:r>
                </w:p>
              </w:tc>
              <w:tc>
                <w:tcPr>
                  <w:tcW w:w="829" w:type="pct"/>
                  <w:vAlign w:val="center"/>
                </w:tcPr>
                <w:p>
                  <w:pPr>
                    <w:widowControl/>
                    <w:spacing w:line="260" w:lineRule="exact"/>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76" w:type="pct"/>
                  <w:shd w:val="clear" w:color="auto" w:fill="auto"/>
                  <w:vAlign w:val="center"/>
                </w:tcPr>
                <w:p>
                  <w:pPr>
                    <w:widowControl/>
                    <w:spacing w:line="260" w:lineRule="exact"/>
                    <w:jc w:val="center"/>
                    <w:rPr>
                      <w:rFonts w:ascii="宋体" w:hAnsi="宋体" w:cs="宋体"/>
                      <w:szCs w:val="21"/>
                    </w:rPr>
                  </w:pPr>
                  <w:r>
                    <w:rPr>
                      <w:rFonts w:ascii="宋体" w:hAnsi="宋体" w:cs="宋体"/>
                      <w:szCs w:val="21"/>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trPr>
              <w:tc>
                <w:tcPr>
                  <w:tcW w:w="921" w:type="pct"/>
                  <w:vMerge w:val="restart"/>
                  <w:vAlign w:val="center"/>
                </w:tcPr>
                <w:p>
                  <w:pPr>
                    <w:widowControl/>
                    <w:spacing w:line="260" w:lineRule="exact"/>
                    <w:jc w:val="center"/>
                    <w:rPr>
                      <w:rFonts w:ascii="宋体" w:hAnsi="宋体" w:cs="宋体"/>
                      <w:szCs w:val="21"/>
                    </w:rPr>
                  </w:pPr>
                  <w:r>
                    <w:rPr>
                      <w:rFonts w:hint="eastAsia" w:ascii="宋体" w:hAnsi="宋体" w:cs="宋体"/>
                      <w:szCs w:val="21"/>
                    </w:rPr>
                    <w:t>能源</w:t>
                  </w:r>
                </w:p>
              </w:tc>
              <w:tc>
                <w:tcPr>
                  <w:tcW w:w="677" w:type="pct"/>
                  <w:vMerge w:val="restart"/>
                  <w:vAlign w:val="center"/>
                </w:tcPr>
                <w:p>
                  <w:pPr>
                    <w:widowControl/>
                    <w:spacing w:line="260" w:lineRule="exact"/>
                    <w:jc w:val="center"/>
                    <w:rPr>
                      <w:rFonts w:ascii="宋体" w:hAnsi="宋体" w:cs="宋体"/>
                      <w:szCs w:val="21"/>
                    </w:rPr>
                  </w:pPr>
                  <w:r>
                    <w:rPr>
                      <w:rFonts w:hint="eastAsia" w:ascii="宋体" w:hAnsi="宋体" w:cs="宋体"/>
                      <w:szCs w:val="21"/>
                    </w:rPr>
                    <w:t>新鲜水</w:t>
                  </w:r>
                </w:p>
              </w:tc>
              <w:tc>
                <w:tcPr>
                  <w:tcW w:w="1397" w:type="pct"/>
                  <w:vAlign w:val="center"/>
                </w:tcPr>
                <w:p>
                  <w:pPr>
                    <w:widowControl/>
                    <w:spacing w:line="260" w:lineRule="exact"/>
                    <w:jc w:val="center"/>
                    <w:rPr>
                      <w:rFonts w:ascii="宋体" w:hAnsi="宋体" w:cs="宋体"/>
                      <w:szCs w:val="21"/>
                    </w:rPr>
                  </w:pPr>
                  <w:r>
                    <w:rPr>
                      <w:rFonts w:hint="eastAsia" w:ascii="宋体" w:hAnsi="宋体" w:cs="宋体"/>
                      <w:szCs w:val="21"/>
                    </w:rPr>
                    <w:t>洗井用水</w:t>
                  </w:r>
                </w:p>
              </w:tc>
              <w:tc>
                <w:tcPr>
                  <w:tcW w:w="829" w:type="pct"/>
                  <w:shd w:val="clear" w:color="auto" w:fill="auto"/>
                  <w:vAlign w:val="center"/>
                </w:tcPr>
                <w:p>
                  <w:pPr>
                    <w:widowControl/>
                    <w:spacing w:line="260" w:lineRule="exact"/>
                    <w:jc w:val="center"/>
                    <w:rPr>
                      <w:rFonts w:ascii="宋体" w:hAnsi="宋体" w:cs="宋体"/>
                      <w:szCs w:val="21"/>
                    </w:rPr>
                  </w:pPr>
                  <w:r>
                    <w:rPr>
                      <w:rFonts w:ascii="宋体" w:hAnsi="宋体" w:cs="宋体"/>
                      <w:szCs w:val="21"/>
                    </w:rPr>
                    <w:t>m</w:t>
                  </w:r>
                  <w:r>
                    <w:rPr>
                      <w:rFonts w:ascii="宋体" w:hAnsi="宋体" w:cs="宋体"/>
                      <w:szCs w:val="21"/>
                      <w:vertAlign w:val="superscript"/>
                    </w:rPr>
                    <w:t>3</w:t>
                  </w:r>
                </w:p>
              </w:tc>
              <w:tc>
                <w:tcPr>
                  <w:tcW w:w="1176" w:type="pct"/>
                  <w:vAlign w:val="center"/>
                </w:tcPr>
                <w:p>
                  <w:pPr>
                    <w:widowControl/>
                    <w:spacing w:line="260" w:lineRule="exact"/>
                    <w:jc w:val="center"/>
                    <w:rPr>
                      <w:rFonts w:ascii="宋体" w:hAnsi="宋体" w:cs="宋体"/>
                      <w:szCs w:val="21"/>
                    </w:rPr>
                  </w:pPr>
                  <w:r>
                    <w:rPr>
                      <w:rFonts w:ascii="宋体" w:hAnsi="宋体" w:cs="宋体"/>
                      <w:szCs w:val="21"/>
                    </w:rPr>
                    <w:t>2</w:t>
                  </w:r>
                  <w:r>
                    <w:rPr>
                      <w:rFonts w:hint="eastAsia" w:ascii="宋体" w:hAnsi="宋体" w:cs="宋体"/>
                      <w:szCs w:val="21"/>
                    </w:rPr>
                    <w:t>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trPr>
              <w:tc>
                <w:tcPr>
                  <w:tcW w:w="921" w:type="pct"/>
                  <w:vMerge w:val="continue"/>
                  <w:vAlign w:val="center"/>
                </w:tcPr>
                <w:p>
                  <w:pPr>
                    <w:widowControl/>
                    <w:spacing w:line="260" w:lineRule="exact"/>
                    <w:jc w:val="center"/>
                    <w:rPr>
                      <w:rFonts w:ascii="宋体" w:hAnsi="宋体" w:cs="宋体"/>
                      <w:szCs w:val="21"/>
                    </w:rPr>
                  </w:pPr>
                </w:p>
              </w:tc>
              <w:tc>
                <w:tcPr>
                  <w:tcW w:w="677" w:type="pct"/>
                  <w:vMerge w:val="continue"/>
                  <w:vAlign w:val="center"/>
                </w:tcPr>
                <w:p>
                  <w:pPr>
                    <w:widowControl/>
                    <w:spacing w:line="260" w:lineRule="exact"/>
                    <w:jc w:val="center"/>
                    <w:rPr>
                      <w:rFonts w:ascii="宋体" w:hAnsi="宋体" w:cs="宋体"/>
                      <w:szCs w:val="21"/>
                    </w:rPr>
                  </w:pPr>
                </w:p>
              </w:tc>
              <w:tc>
                <w:tcPr>
                  <w:tcW w:w="1397" w:type="pct"/>
                  <w:vAlign w:val="center"/>
                </w:tcPr>
                <w:p>
                  <w:pPr>
                    <w:widowControl/>
                    <w:spacing w:line="260" w:lineRule="exact"/>
                    <w:jc w:val="center"/>
                    <w:rPr>
                      <w:rFonts w:ascii="宋体" w:hAnsi="宋体" w:cs="宋体"/>
                      <w:szCs w:val="21"/>
                    </w:rPr>
                  </w:pPr>
                  <w:r>
                    <w:rPr>
                      <w:rFonts w:hint="eastAsia" w:ascii="宋体" w:hAnsi="宋体" w:cs="宋体"/>
                      <w:szCs w:val="21"/>
                    </w:rPr>
                    <w:t>生活用水</w:t>
                  </w:r>
                </w:p>
              </w:tc>
              <w:tc>
                <w:tcPr>
                  <w:tcW w:w="829" w:type="pct"/>
                  <w:shd w:val="clear" w:color="auto" w:fill="auto"/>
                  <w:vAlign w:val="center"/>
                </w:tcPr>
                <w:p>
                  <w:pPr>
                    <w:widowControl/>
                    <w:spacing w:line="260" w:lineRule="exact"/>
                    <w:jc w:val="center"/>
                    <w:rPr>
                      <w:rFonts w:ascii="宋体" w:hAnsi="宋体" w:cs="宋体"/>
                      <w:szCs w:val="21"/>
                    </w:rPr>
                  </w:pPr>
                  <w:bookmarkStart w:id="14" w:name="_Hlk105598921"/>
                  <w:r>
                    <w:rPr>
                      <w:rFonts w:ascii="宋体" w:hAnsi="宋体" w:cs="宋体"/>
                      <w:szCs w:val="21"/>
                    </w:rPr>
                    <w:t>m</w:t>
                  </w:r>
                  <w:r>
                    <w:rPr>
                      <w:rFonts w:ascii="宋体" w:hAnsi="宋体" w:cs="宋体"/>
                      <w:szCs w:val="21"/>
                      <w:vertAlign w:val="superscript"/>
                    </w:rPr>
                    <w:t>3</w:t>
                  </w:r>
                  <w:bookmarkEnd w:id="14"/>
                </w:p>
              </w:tc>
              <w:tc>
                <w:tcPr>
                  <w:tcW w:w="1176" w:type="pct"/>
                  <w:vAlign w:val="center"/>
                </w:tcPr>
                <w:p>
                  <w:pPr>
                    <w:widowControl/>
                    <w:spacing w:line="260" w:lineRule="exact"/>
                    <w:jc w:val="center"/>
                    <w:rPr>
                      <w:rFonts w:ascii="宋体" w:hAnsi="宋体" w:cs="宋体"/>
                      <w:szCs w:val="21"/>
                    </w:rPr>
                  </w:pPr>
                  <w:r>
                    <w:rPr>
                      <w:rFonts w:hint="eastAsia" w:ascii="宋体" w:hAnsi="宋体" w:cs="宋体"/>
                      <w:szCs w:val="21"/>
                    </w:rPr>
                    <w: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57" w:type="dxa"/>
                  <w:bottom w:w="0" w:type="dxa"/>
                  <w:right w:w="57" w:type="dxa"/>
                </w:tblCellMar>
              </w:tblPrEx>
              <w:trPr>
                <w:trHeight w:val="340" w:hRule="atLeast"/>
              </w:trPr>
              <w:tc>
                <w:tcPr>
                  <w:tcW w:w="921" w:type="pct"/>
                  <w:vMerge w:val="continue"/>
                  <w:vAlign w:val="center"/>
                </w:tcPr>
                <w:p>
                  <w:pPr>
                    <w:widowControl/>
                    <w:spacing w:line="260" w:lineRule="exact"/>
                    <w:jc w:val="center"/>
                    <w:rPr>
                      <w:rFonts w:ascii="宋体" w:hAnsi="宋体" w:cs="宋体"/>
                      <w:szCs w:val="21"/>
                    </w:rPr>
                  </w:pPr>
                </w:p>
              </w:tc>
              <w:tc>
                <w:tcPr>
                  <w:tcW w:w="2074" w:type="pct"/>
                  <w:gridSpan w:val="2"/>
                  <w:vAlign w:val="center"/>
                </w:tcPr>
                <w:p>
                  <w:pPr>
                    <w:widowControl/>
                    <w:spacing w:line="260" w:lineRule="exact"/>
                    <w:jc w:val="center"/>
                    <w:rPr>
                      <w:rFonts w:ascii="宋体" w:hAnsi="宋体" w:cs="宋体"/>
                      <w:szCs w:val="21"/>
                    </w:rPr>
                  </w:pPr>
                  <w:r>
                    <w:rPr>
                      <w:rFonts w:hint="eastAsia" w:ascii="宋体" w:hAnsi="宋体" w:cs="宋体"/>
                      <w:szCs w:val="21"/>
                    </w:rPr>
                    <w:t>柴油</w:t>
                  </w:r>
                </w:p>
              </w:tc>
              <w:tc>
                <w:tcPr>
                  <w:tcW w:w="829" w:type="pct"/>
                  <w:vAlign w:val="center"/>
                </w:tcPr>
                <w:p>
                  <w:pPr>
                    <w:widowControl/>
                    <w:spacing w:line="260" w:lineRule="exact"/>
                    <w:jc w:val="center"/>
                    <w:rPr>
                      <w:rFonts w:ascii="宋体" w:hAnsi="宋体" w:cs="宋体"/>
                      <w:szCs w:val="21"/>
                    </w:rPr>
                  </w:pPr>
                  <w:r>
                    <w:rPr>
                      <w:rFonts w:hint="eastAsia" w:ascii="宋体" w:hAnsi="宋体" w:cs="宋体"/>
                      <w:szCs w:val="21"/>
                    </w:rPr>
                    <w:t>t</w:t>
                  </w:r>
                </w:p>
              </w:tc>
              <w:tc>
                <w:tcPr>
                  <w:tcW w:w="1176" w:type="pct"/>
                  <w:vAlign w:val="center"/>
                </w:tcPr>
                <w:p>
                  <w:pPr>
                    <w:widowControl/>
                    <w:spacing w:line="260" w:lineRule="exact"/>
                    <w:jc w:val="center"/>
                    <w:rPr>
                      <w:rFonts w:ascii="宋体" w:hAnsi="宋体" w:cs="宋体"/>
                      <w:szCs w:val="21"/>
                    </w:rPr>
                  </w:pPr>
                  <w:r>
                    <w:rPr>
                      <w:rFonts w:ascii="宋体" w:hAnsi="宋体" w:cs="宋体"/>
                      <w:szCs w:val="21"/>
                    </w:rPr>
                    <w:t>294</w:t>
                  </w:r>
                </w:p>
              </w:tc>
            </w:tr>
          </w:tbl>
          <w:p>
            <w:pPr>
              <w:pStyle w:val="7"/>
              <w:spacing w:before="0" w:after="0" w:line="500" w:lineRule="exact"/>
              <w:ind w:right="0"/>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vAlign w:val="center"/>
          </w:tcPr>
          <w:p>
            <w:pPr>
              <w:pStyle w:val="7"/>
              <w:spacing w:before="0" w:after="0" w:line="500" w:lineRule="exact"/>
              <w:ind w:right="0"/>
              <w:jc w:val="center"/>
              <w:rPr>
                <w:rFonts w:ascii="宋体" w:hAnsi="宋体" w:cs="宋体"/>
                <w:sz w:val="24"/>
                <w:szCs w:val="24"/>
              </w:rPr>
            </w:pPr>
            <w:r>
              <w:rPr>
                <w:rFonts w:hint="eastAsia" w:ascii="宋体" w:hAnsi="宋体" w:cs="宋体"/>
                <w:sz w:val="24"/>
                <w:szCs w:val="24"/>
              </w:rPr>
              <w:t>其他</w:t>
            </w:r>
          </w:p>
        </w:tc>
        <w:tc>
          <w:tcPr>
            <w:tcW w:w="7728" w:type="dxa"/>
            <w:vAlign w:val="center"/>
          </w:tcPr>
          <w:p>
            <w:pPr>
              <w:pStyle w:val="7"/>
              <w:spacing w:before="0" w:after="0" w:line="500" w:lineRule="exact"/>
              <w:ind w:right="0"/>
              <w:rPr>
                <w:rFonts w:ascii="宋体" w:hAnsi="宋体" w:cs="宋体"/>
                <w:sz w:val="24"/>
                <w:szCs w:val="24"/>
              </w:rPr>
            </w:pPr>
          </w:p>
          <w:p>
            <w:pPr>
              <w:pStyle w:val="7"/>
              <w:spacing w:before="0" w:after="0" w:line="500" w:lineRule="exact"/>
              <w:ind w:right="0"/>
              <w:jc w:val="center"/>
              <w:rPr>
                <w:rFonts w:ascii="宋体" w:hAnsi="宋体" w:cs="宋体"/>
                <w:sz w:val="24"/>
                <w:szCs w:val="24"/>
              </w:rPr>
            </w:pPr>
            <w:r>
              <w:rPr>
                <w:rFonts w:hint="eastAsia" w:ascii="宋体" w:hAnsi="宋体" w:cs="宋体"/>
                <w:sz w:val="24"/>
                <w:szCs w:val="24"/>
              </w:rPr>
              <w:t>无</w:t>
            </w:r>
          </w:p>
          <w:p>
            <w:pPr>
              <w:pStyle w:val="7"/>
              <w:spacing w:before="0" w:after="0" w:line="500" w:lineRule="exact"/>
              <w:ind w:right="0"/>
              <w:rPr>
                <w:rFonts w:ascii="宋体" w:hAnsi="宋体" w:cs="宋体"/>
                <w:sz w:val="24"/>
                <w:szCs w:val="24"/>
              </w:rPr>
            </w:pPr>
          </w:p>
        </w:tc>
      </w:tr>
    </w:tbl>
    <w:p>
      <w:pPr>
        <w:pStyle w:val="7"/>
        <w:rPr>
          <w:rFonts w:ascii="宋体" w:hAnsi="宋体" w:cs="宋体"/>
          <w:sz w:val="24"/>
          <w:szCs w:val="24"/>
        </w:rPr>
      </w:pPr>
    </w:p>
    <w:p>
      <w:pPr>
        <w:pStyle w:val="7"/>
        <w:rPr>
          <w:rFonts w:ascii="宋体" w:hAnsi="宋体" w:cs="宋体"/>
          <w:sz w:val="24"/>
          <w:szCs w:val="24"/>
        </w:rPr>
        <w:sectPr>
          <w:pgSz w:w="11906" w:h="16838"/>
          <w:pgMar w:top="1440" w:right="1800" w:bottom="1440" w:left="1800" w:header="851" w:footer="992" w:gutter="0"/>
          <w:cols w:space="425" w:num="1"/>
          <w:docGrid w:type="lines" w:linePitch="312" w:charSpace="0"/>
        </w:sectPr>
      </w:pPr>
    </w:p>
    <w:p>
      <w:pPr>
        <w:pStyle w:val="4"/>
        <w:snapToGrid w:val="0"/>
        <w:spacing w:before="0" w:after="0" w:line="360" w:lineRule="auto"/>
        <w:jc w:val="center"/>
        <w:rPr>
          <w:rFonts w:ascii="黑体" w:hAnsi="黑体" w:eastAsia="黑体" w:cs="黑体"/>
          <w:b w:val="0"/>
          <w:bCs/>
          <w:sz w:val="30"/>
          <w:szCs w:val="30"/>
        </w:rPr>
      </w:pPr>
      <w:r>
        <w:rPr>
          <w:rFonts w:hint="eastAsia" w:ascii="黑体" w:hAnsi="黑体" w:eastAsia="黑体" w:cs="黑体"/>
          <w:b w:val="0"/>
          <w:bCs/>
          <w:sz w:val="30"/>
          <w:szCs w:val="30"/>
        </w:rPr>
        <w:t>三、生态环境现状、保护目标及评价标准</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639"/>
        <w:gridCol w:w="286"/>
        <w:gridCol w:w="849"/>
        <w:gridCol w:w="646"/>
        <w:gridCol w:w="488"/>
        <w:gridCol w:w="1092"/>
        <w:gridCol w:w="800"/>
        <w:gridCol w:w="801"/>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7"/>
              <w:spacing w:before="0" w:after="0" w:line="300" w:lineRule="exact"/>
              <w:ind w:right="0"/>
              <w:jc w:val="center"/>
              <w:rPr>
                <w:rFonts w:ascii="宋体" w:hAnsi="宋体" w:cs="宋体"/>
                <w:sz w:val="24"/>
                <w:szCs w:val="24"/>
              </w:rPr>
            </w:pPr>
            <w:r>
              <w:rPr>
                <w:rFonts w:hint="eastAsia" w:ascii="宋体" w:hAnsi="宋体" w:cs="宋体"/>
                <w:sz w:val="24"/>
                <w:szCs w:val="24"/>
              </w:rPr>
              <w:t>生态环境现状</w:t>
            </w:r>
          </w:p>
        </w:tc>
        <w:tc>
          <w:tcPr>
            <w:tcW w:w="7523" w:type="dxa"/>
            <w:gridSpan w:val="9"/>
          </w:tcPr>
          <w:p>
            <w:pPr>
              <w:pStyle w:val="7"/>
              <w:spacing w:before="0" w:after="0" w:line="500" w:lineRule="exact"/>
              <w:ind w:right="0" w:firstLine="482" w:firstLineChars="200"/>
              <w:rPr>
                <w:rFonts w:ascii="宋体" w:hAnsi="宋体" w:cs="宋体"/>
                <w:b/>
                <w:bCs/>
                <w:sz w:val="24"/>
                <w:szCs w:val="24"/>
              </w:rPr>
            </w:pPr>
            <w:r>
              <w:rPr>
                <w:rFonts w:hint="eastAsia" w:ascii="宋体" w:hAnsi="宋体" w:cs="宋体"/>
                <w:b/>
                <w:bCs/>
                <w:sz w:val="24"/>
                <w:szCs w:val="24"/>
              </w:rPr>
              <w:t>1、新疆维吾尔自治区主体功能区规划</w:t>
            </w:r>
          </w:p>
          <w:p>
            <w:pPr>
              <w:pStyle w:val="7"/>
              <w:spacing w:before="0" w:after="0" w:line="500" w:lineRule="exact"/>
              <w:ind w:right="0" w:firstLine="480" w:firstLineChars="200"/>
              <w:rPr>
                <w:rFonts w:ascii="宋体" w:hAnsi="宋体" w:cs="宋体"/>
                <w:sz w:val="24"/>
                <w:szCs w:val="24"/>
              </w:rPr>
            </w:pPr>
            <w:r>
              <w:rPr>
                <w:rFonts w:hint="eastAsia" w:ascii="宋体" w:hAnsi="宋体" w:cs="宋体"/>
                <w:bCs/>
                <w:sz w:val="24"/>
              </w:rPr>
              <w:t>昌吉回族自治州阜康市属于《新疆维吾尔自治区主体功能区规划》中的国家重点开发区域。</w:t>
            </w:r>
          </w:p>
          <w:p>
            <w:pPr>
              <w:pStyle w:val="7"/>
              <w:spacing w:before="0" w:after="0" w:line="500" w:lineRule="exact"/>
              <w:ind w:right="0" w:firstLine="482" w:firstLineChars="200"/>
              <w:rPr>
                <w:rFonts w:ascii="宋体" w:hAnsi="宋体" w:cs="宋体"/>
                <w:b/>
                <w:bCs/>
                <w:sz w:val="24"/>
                <w:szCs w:val="24"/>
              </w:rPr>
            </w:pPr>
            <w:r>
              <w:rPr>
                <w:rFonts w:hint="eastAsia" w:ascii="宋体" w:hAnsi="宋体" w:cs="宋体"/>
                <w:b/>
                <w:bCs/>
                <w:sz w:val="24"/>
                <w:szCs w:val="24"/>
              </w:rPr>
              <w:t>2、生态功能区划</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rPr>
              <w:t>根据《新疆生态功能区划简表》，</w:t>
            </w:r>
            <w:r>
              <w:rPr>
                <w:rFonts w:hint="eastAsia" w:ascii="宋体" w:hAnsi="宋体" w:cs="宋体"/>
                <w:sz w:val="24"/>
                <w:szCs w:val="21"/>
              </w:rPr>
              <w:t>项目生态功能区划见表7，区划图见附图7。</w:t>
            </w:r>
          </w:p>
          <w:p>
            <w:pPr>
              <w:pStyle w:val="7"/>
              <w:spacing w:before="0" w:after="0" w:line="500" w:lineRule="exact"/>
              <w:ind w:right="0"/>
              <w:jc w:val="center"/>
              <w:rPr>
                <w:rFonts w:ascii="黑体" w:hAnsi="黑体" w:eastAsia="黑体" w:cs="黑体"/>
                <w:szCs w:val="21"/>
              </w:rPr>
            </w:pPr>
            <w:r>
              <w:rPr>
                <w:rFonts w:hint="eastAsia" w:ascii="黑体" w:hAnsi="黑体" w:eastAsia="黑体" w:cs="黑体"/>
                <w:szCs w:val="21"/>
              </w:rPr>
              <w:t>表7  项目区生态功能区划</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441"/>
              <w:gridCol w:w="52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op w:val="single" w:color="000000" w:sz="12" w:space="0"/>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生态功能分区单元</w:t>
                  </w:r>
                </w:p>
              </w:tc>
              <w:tc>
                <w:tcPr>
                  <w:tcW w:w="985" w:type="pct"/>
                  <w:tcBorders>
                    <w:top w:val="single" w:color="000000" w:sz="12" w:space="0"/>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生态区</w:t>
                  </w:r>
                </w:p>
              </w:tc>
              <w:tc>
                <w:tcPr>
                  <w:tcW w:w="3568" w:type="pct"/>
                  <w:tcBorders>
                    <w:top w:val="single" w:color="000000" w:sz="12" w:space="0"/>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Ⅱ准噶尔盆地温性荒漠与绿洲农业生态区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7"/>
                    <w:adjustRightInd w:val="0"/>
                    <w:spacing w:before="0" w:after="0" w:line="240" w:lineRule="exact"/>
                    <w:ind w:right="0"/>
                    <w:jc w:val="center"/>
                    <w:rPr>
                      <w:rFonts w:ascii="宋体" w:hAnsi="宋体" w:cs="宋体"/>
                      <w:szCs w:val="21"/>
                    </w:rPr>
                  </w:pPr>
                </w:p>
              </w:tc>
              <w:tc>
                <w:tcPr>
                  <w:tcW w:w="985" w:type="pct"/>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生态亚区</w:t>
                  </w:r>
                </w:p>
              </w:tc>
              <w:tc>
                <w:tcPr>
                  <w:tcW w:w="3568" w:type="pct"/>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Ⅱ</w:t>
                  </w:r>
                  <w:r>
                    <w:rPr>
                      <w:rFonts w:ascii="宋体" w:hAnsi="宋体" w:cs="宋体"/>
                      <w:szCs w:val="21"/>
                      <w:vertAlign w:val="subscript"/>
                    </w:rPr>
                    <w:t>5</w:t>
                  </w:r>
                  <w:r>
                    <w:rPr>
                      <w:rFonts w:hint="eastAsia" w:ascii="宋体" w:hAnsi="宋体" w:cs="宋体"/>
                      <w:szCs w:val="21"/>
                    </w:rPr>
                    <w:t>准噶尔盆地南部荒漠绿洲农业生态压区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7"/>
                    <w:adjustRightInd w:val="0"/>
                    <w:spacing w:before="0" w:after="0" w:line="240" w:lineRule="exact"/>
                    <w:ind w:right="0"/>
                    <w:jc w:val="center"/>
                    <w:rPr>
                      <w:rFonts w:ascii="宋体" w:hAnsi="宋体" w:cs="宋体"/>
                      <w:szCs w:val="21"/>
                    </w:rPr>
                  </w:pPr>
                </w:p>
              </w:tc>
              <w:tc>
                <w:tcPr>
                  <w:tcW w:w="985" w:type="pct"/>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生态功能区</w:t>
                  </w:r>
                </w:p>
              </w:tc>
              <w:tc>
                <w:tcPr>
                  <w:tcW w:w="3568" w:type="pct"/>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ascii="宋体" w:hAnsi="宋体" w:cs="宋体"/>
                      <w:szCs w:val="21"/>
                    </w:rPr>
                    <w:t>28</w:t>
                  </w:r>
                  <w:r>
                    <w:rPr>
                      <w:rFonts w:hint="eastAsia" w:ascii="宋体" w:hAnsi="宋体" w:cs="宋体"/>
                      <w:szCs w:val="21"/>
                    </w:rPr>
                    <w:t>.阜康-木垒绿洲农业、荒漠草地保护生态功能区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pct"/>
                  <w:gridSpan w:val="2"/>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主要生态服务功能</w:t>
                  </w:r>
                </w:p>
              </w:tc>
              <w:tc>
                <w:tcPr>
                  <w:tcW w:w="3568" w:type="pct"/>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农牧业产品生产、人居环境、荒漠化控制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pct"/>
                  <w:gridSpan w:val="2"/>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主要生态环境问题</w:t>
                  </w:r>
                </w:p>
              </w:tc>
              <w:tc>
                <w:tcPr>
                  <w:tcW w:w="3568" w:type="pct"/>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地下水超采、荒漠植被退化、沙漠化威胁、局部土壤盐渍化、河流萎缩、滥开荒地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pct"/>
                  <w:gridSpan w:val="2"/>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主要保护目标</w:t>
                  </w:r>
                </w:p>
              </w:tc>
              <w:tc>
                <w:tcPr>
                  <w:tcW w:w="3568" w:type="pct"/>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保护基本农田、保护荒漠植被、保护土壤环境质量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pct"/>
                  <w:gridSpan w:val="2"/>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主要保护措施</w:t>
                  </w:r>
                </w:p>
              </w:tc>
              <w:tc>
                <w:tcPr>
                  <w:tcW w:w="3568" w:type="pct"/>
                  <w:tcBorders>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节水灌溉、草场休牧、对坡耕地和沙化土地实施退耕还林（草），在水源无保障、植被稀少、生态脆弱地带禁止开荒、加强农田投入品的使用管理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pct"/>
                  <w:gridSpan w:val="2"/>
                  <w:tcBorders>
                    <w:bottom w:val="single" w:color="000000" w:sz="12" w:space="0"/>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cs="宋体"/>
                      <w:szCs w:val="21"/>
                    </w:rPr>
                    <w:t>主要发展方向</w:t>
                  </w:r>
                </w:p>
              </w:tc>
              <w:tc>
                <w:tcPr>
                  <w:tcW w:w="3568" w:type="pct"/>
                  <w:tcBorders>
                    <w:bottom w:val="single" w:color="000000" w:sz="12" w:space="0"/>
                    <w:tl2br w:val="nil"/>
                    <w:tr2bl w:val="nil"/>
                  </w:tcBorders>
                  <w:vAlign w:val="center"/>
                </w:tcPr>
                <w:p>
                  <w:pPr>
                    <w:pStyle w:val="7"/>
                    <w:adjustRightInd w:val="0"/>
                    <w:spacing w:before="0" w:after="0" w:line="240" w:lineRule="exact"/>
                    <w:ind w:right="0"/>
                    <w:jc w:val="center"/>
                    <w:rPr>
                      <w:rFonts w:ascii="宋体" w:hAnsi="宋体" w:cs="宋体"/>
                      <w:szCs w:val="21"/>
                    </w:rPr>
                  </w:pPr>
                  <w:r>
                    <w:rPr>
                      <w:rFonts w:hint="eastAsia" w:ascii="宋体" w:hAnsi="宋体"/>
                    </w:rPr>
                    <w:t>农牧结合、发展优质、高效特色农业和畜牧业</w:t>
                  </w:r>
                </w:p>
              </w:tc>
            </w:tr>
          </w:tbl>
          <w:p>
            <w:pPr>
              <w:pStyle w:val="7"/>
              <w:spacing w:before="0" w:after="0" w:line="500" w:lineRule="exact"/>
              <w:ind w:right="0" w:firstLine="482" w:firstLineChars="200"/>
              <w:rPr>
                <w:rFonts w:ascii="宋体" w:hAnsi="宋体" w:cs="宋体"/>
                <w:b/>
                <w:bCs/>
                <w:sz w:val="24"/>
                <w:szCs w:val="24"/>
              </w:rPr>
            </w:pPr>
            <w:r>
              <w:rPr>
                <w:rFonts w:hint="eastAsia" w:ascii="宋体" w:hAnsi="宋体" w:cs="宋体"/>
                <w:b/>
                <w:bCs/>
                <w:sz w:val="24"/>
                <w:szCs w:val="24"/>
              </w:rPr>
              <w:t>3、生态环境现状</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（1）植被现状</w:t>
            </w:r>
          </w:p>
          <w:p>
            <w:pPr>
              <w:pStyle w:val="7"/>
              <w:spacing w:before="0" w:after="0" w:line="500" w:lineRule="exact"/>
              <w:ind w:right="0" w:firstLine="480" w:firstLineChars="200"/>
              <w:rPr>
                <w:rFonts w:ascii="宋体" w:hAnsi="宋体" w:cs="宋体"/>
                <w:color w:val="FF0000"/>
                <w:sz w:val="24"/>
                <w:szCs w:val="24"/>
              </w:rPr>
            </w:pPr>
            <w:r>
              <w:rPr>
                <w:rFonts w:hint="eastAsia" w:ascii="宋体" w:hAnsi="宋体" w:cs="宋体"/>
                <w:sz w:val="24"/>
                <w:szCs w:val="24"/>
              </w:rPr>
              <w:t>项目区域主要植物为沙蒿等灌木，植被覆盖度约为6</w:t>
            </w:r>
            <w:r>
              <w:rPr>
                <w:rFonts w:ascii="宋体" w:hAnsi="宋体" w:cs="宋体"/>
                <w:sz w:val="24"/>
                <w:szCs w:val="24"/>
              </w:rPr>
              <w:t>0</w:t>
            </w:r>
            <w:r>
              <w:rPr>
                <w:rFonts w:hint="eastAsia" w:ascii="宋体" w:hAnsi="宋体" w:cs="宋体"/>
                <w:sz w:val="24"/>
                <w:szCs w:val="24"/>
              </w:rPr>
              <w:t>%。</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（2）野生动物现状</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项目区仅分布有一些啮齿类、爬行类的小型动物，无国家及自治区级保护动物分布。</w:t>
            </w:r>
          </w:p>
          <w:p>
            <w:pPr>
              <w:pStyle w:val="7"/>
              <w:spacing w:before="0" w:after="0" w:line="500" w:lineRule="exact"/>
              <w:ind w:right="0" w:firstLine="480" w:firstLineChars="200"/>
              <w:rPr>
                <w:rFonts w:ascii="宋体" w:hAnsi="宋体" w:cs="宋体"/>
                <w:sz w:val="24"/>
              </w:rPr>
            </w:pPr>
            <w:r>
              <w:rPr>
                <w:rFonts w:hint="eastAsia" w:ascii="宋体" w:hAnsi="宋体" w:cs="宋体"/>
                <w:sz w:val="24"/>
                <w:szCs w:val="24"/>
              </w:rPr>
              <w:t>（3）</w:t>
            </w:r>
            <w:r>
              <w:rPr>
                <w:rFonts w:hint="eastAsia" w:ascii="宋体" w:hAnsi="宋体" w:cs="宋体"/>
                <w:sz w:val="24"/>
              </w:rPr>
              <w:t>土地利用类型</w:t>
            </w:r>
          </w:p>
          <w:p>
            <w:pPr>
              <w:pStyle w:val="7"/>
              <w:spacing w:before="0" w:after="0" w:line="500" w:lineRule="exact"/>
              <w:ind w:right="0" w:firstLine="480" w:firstLineChars="200"/>
              <w:rPr>
                <w:rFonts w:ascii="宋体" w:hAnsi="宋体" w:cs="宋体"/>
                <w:sz w:val="24"/>
              </w:rPr>
            </w:pPr>
            <w:r>
              <w:rPr>
                <w:rFonts w:hint="eastAsia" w:ascii="宋体" w:hAnsi="宋体" w:cs="宋体"/>
                <w:sz w:val="24"/>
              </w:rPr>
              <w:t>临时占地范围内的土地利用类型为灌木林地。</w:t>
            </w:r>
          </w:p>
          <w:p>
            <w:pPr>
              <w:pStyle w:val="7"/>
              <w:spacing w:before="0" w:after="0" w:line="500" w:lineRule="exact"/>
              <w:ind w:right="0" w:firstLine="480" w:firstLineChars="200"/>
              <w:rPr>
                <w:rFonts w:ascii="宋体" w:hAnsi="宋体" w:cs="宋体"/>
                <w:sz w:val="24"/>
              </w:rPr>
            </w:pPr>
            <w:r>
              <w:rPr>
                <w:rFonts w:hint="eastAsia" w:ascii="宋体" w:hAnsi="宋体" w:cs="宋体"/>
                <w:sz w:val="24"/>
              </w:rPr>
              <w:t>（4）土地沙化现状</w:t>
            </w:r>
          </w:p>
          <w:p>
            <w:pPr>
              <w:pStyle w:val="7"/>
              <w:spacing w:before="0" w:after="0" w:line="500" w:lineRule="exact"/>
              <w:ind w:right="0" w:firstLine="480" w:firstLineChars="200"/>
              <w:rPr>
                <w:rFonts w:ascii="宋体" w:hAnsi="宋体" w:cs="宋体"/>
                <w:sz w:val="24"/>
              </w:rPr>
            </w:pPr>
            <w:r>
              <w:rPr>
                <w:rFonts w:ascii="宋体" w:hAnsi="宋体" w:cs="宋体"/>
                <w:sz w:val="24"/>
              </w:rPr>
              <w:t>根据《新疆维吾尔自治区第五次沙化监测沙化土地分布图》（2015年）可知，项目区属于</w:t>
            </w:r>
            <w:r>
              <w:rPr>
                <w:rFonts w:hint="eastAsia" w:ascii="宋体" w:hAnsi="宋体" w:cs="宋体"/>
                <w:sz w:val="24"/>
              </w:rPr>
              <w:t>非沙化土地，具体分布图</w:t>
            </w:r>
            <w:r>
              <w:rPr>
                <w:rFonts w:ascii="宋体" w:hAnsi="宋体" w:cs="宋体"/>
                <w:sz w:val="24"/>
              </w:rPr>
              <w:t>见附图8。</w:t>
            </w:r>
          </w:p>
          <w:p>
            <w:pPr>
              <w:spacing w:line="500" w:lineRule="exact"/>
              <w:ind w:firstLine="466" w:firstLineChars="200"/>
              <w:rPr>
                <w:rFonts w:ascii="宋体" w:hAnsi="宋体" w:cs="宋体"/>
                <w:b/>
                <w:bCs/>
                <w:sz w:val="24"/>
              </w:rPr>
            </w:pPr>
            <w:r>
              <w:rPr>
                <w:rFonts w:hint="eastAsia" w:ascii="宋体" w:hAnsi="宋体" w:cs="宋体"/>
                <w:b/>
                <w:bCs/>
                <w:spacing w:val="-4"/>
                <w:kern w:val="0"/>
                <w:sz w:val="24"/>
              </w:rPr>
              <w:t>4、水土流失现状</w:t>
            </w:r>
          </w:p>
          <w:p>
            <w:pPr>
              <w:widowControl/>
              <w:snapToGrid w:val="0"/>
              <w:spacing w:line="500" w:lineRule="exact"/>
              <w:ind w:firstLine="464" w:firstLineChars="200"/>
              <w:rPr>
                <w:rFonts w:ascii="宋体" w:hAnsi="宋体" w:cs="宋体"/>
                <w:spacing w:val="-4"/>
                <w:kern w:val="0"/>
                <w:sz w:val="24"/>
                <w:lang w:bidi="zh-CN"/>
              </w:rPr>
            </w:pPr>
            <w:r>
              <w:rPr>
                <w:rFonts w:hint="eastAsia" w:ascii="宋体" w:hAnsi="宋体" w:cs="宋体"/>
                <w:spacing w:val="-4"/>
                <w:kern w:val="0"/>
                <w:sz w:val="24"/>
                <w:lang w:bidi="zh-CN"/>
              </w:rPr>
              <w:t>根据《新疆维吾尔自治区水土保持规划（2</w:t>
            </w:r>
            <w:r>
              <w:rPr>
                <w:rFonts w:ascii="宋体" w:hAnsi="宋体" w:cs="宋体"/>
                <w:spacing w:val="-4"/>
                <w:kern w:val="0"/>
                <w:sz w:val="24"/>
                <w:lang w:bidi="zh-CN"/>
              </w:rPr>
              <w:t>018</w:t>
            </w:r>
            <w:r>
              <w:rPr>
                <w:rFonts w:hint="eastAsia" w:ascii="宋体" w:hAnsi="宋体" w:cs="宋体"/>
                <w:spacing w:val="-4"/>
                <w:kern w:val="0"/>
                <w:sz w:val="24"/>
                <w:lang w:bidi="zh-CN"/>
              </w:rPr>
              <w:t>—</w:t>
            </w:r>
            <w:r>
              <w:rPr>
                <w:rFonts w:ascii="宋体" w:hAnsi="宋体" w:cs="宋体"/>
                <w:spacing w:val="-4"/>
                <w:kern w:val="0"/>
                <w:sz w:val="24"/>
                <w:lang w:bidi="zh-CN"/>
              </w:rPr>
              <w:t>2030</w:t>
            </w:r>
            <w:r>
              <w:rPr>
                <w:rFonts w:hint="eastAsia" w:ascii="宋体" w:hAnsi="宋体" w:cs="宋体"/>
                <w:spacing w:val="-4"/>
                <w:kern w:val="0"/>
                <w:sz w:val="24"/>
                <w:lang w:bidi="zh-CN"/>
              </w:rPr>
              <w:t>年）》，</w:t>
            </w:r>
            <w:r>
              <w:rPr>
                <w:rFonts w:ascii="宋体" w:hAnsi="宋体" w:cs="宋体"/>
                <w:spacing w:val="-4"/>
                <w:kern w:val="0"/>
                <w:sz w:val="24"/>
              </w:rPr>
              <w:t>本项目</w:t>
            </w:r>
            <w:r>
              <w:rPr>
                <w:rFonts w:hint="eastAsia" w:ascii="宋体" w:hAnsi="宋体" w:cs="宋体"/>
                <w:spacing w:val="-4"/>
                <w:kern w:val="0"/>
                <w:sz w:val="24"/>
              </w:rPr>
              <w:t>位于新疆维吾尔自治区水土流失重点治理区（Ⅱ）——天山北坡诸小河流域重点治理区（</w:t>
            </w:r>
            <w:r>
              <w:rPr>
                <w:rFonts w:ascii="宋体" w:hAnsi="宋体" w:cs="宋体"/>
                <w:spacing w:val="-4"/>
                <w:kern w:val="0"/>
                <w:sz w:val="24"/>
              </w:rPr>
              <w:t>Ⅱ</w:t>
            </w:r>
            <w:r>
              <w:rPr>
                <w:rFonts w:ascii="宋体" w:hAnsi="宋体" w:cs="宋体"/>
                <w:spacing w:val="-4"/>
                <w:kern w:val="0"/>
                <w:sz w:val="24"/>
                <w:vertAlign w:val="subscript"/>
              </w:rPr>
              <w:t>2</w:t>
            </w:r>
            <w:r>
              <w:rPr>
                <w:rFonts w:hint="eastAsia" w:ascii="宋体" w:hAnsi="宋体" w:cs="宋体"/>
                <w:spacing w:val="-4"/>
                <w:kern w:val="0"/>
                <w:sz w:val="24"/>
              </w:rPr>
              <w:t>）——昌吉回族自治州阜康市。项目区域水土流失类型主要为轻度风力侵蚀。</w:t>
            </w:r>
          </w:p>
          <w:p>
            <w:pPr>
              <w:widowControl/>
              <w:snapToGrid w:val="0"/>
              <w:spacing w:line="500" w:lineRule="exact"/>
              <w:ind w:firstLine="466" w:firstLineChars="200"/>
              <w:rPr>
                <w:rFonts w:ascii="宋体" w:hAnsi="宋体" w:cs="宋体"/>
                <w:b/>
                <w:bCs/>
                <w:spacing w:val="-4"/>
                <w:kern w:val="0"/>
                <w:sz w:val="24"/>
              </w:rPr>
            </w:pPr>
            <w:r>
              <w:rPr>
                <w:rFonts w:ascii="宋体" w:hAnsi="宋体" w:cs="宋体"/>
                <w:b/>
                <w:bCs/>
                <w:spacing w:val="-4"/>
                <w:kern w:val="0"/>
                <w:sz w:val="24"/>
              </w:rPr>
              <w:t>5</w:t>
            </w:r>
            <w:r>
              <w:rPr>
                <w:rFonts w:hint="eastAsia" w:ascii="宋体" w:hAnsi="宋体" w:cs="宋体"/>
                <w:b/>
                <w:bCs/>
                <w:spacing w:val="-4"/>
                <w:kern w:val="0"/>
                <w:sz w:val="24"/>
              </w:rPr>
              <w:t>、区域环境质量现状</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（1）环境空气质量现状调查</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根据生态环境部环境工程评估中心发布的“环境空气质量模型技术支持服务系统”相关数据，2</w:t>
            </w:r>
            <w:r>
              <w:rPr>
                <w:rFonts w:ascii="宋体" w:hAnsi="宋体" w:cs="宋体"/>
                <w:sz w:val="24"/>
                <w:szCs w:val="24"/>
              </w:rPr>
              <w:t>020</w:t>
            </w:r>
            <w:r>
              <w:rPr>
                <w:rFonts w:hint="eastAsia" w:ascii="宋体" w:hAnsi="宋体" w:cs="宋体"/>
                <w:sz w:val="24"/>
                <w:szCs w:val="24"/>
              </w:rPr>
              <w:t>年项目所在区域昌吉回族自治州六项基本污染物中，SO</w:t>
            </w:r>
            <w:r>
              <w:rPr>
                <w:rFonts w:hint="eastAsia" w:ascii="宋体" w:hAnsi="宋体" w:cs="宋体"/>
                <w:sz w:val="24"/>
                <w:szCs w:val="24"/>
                <w:vertAlign w:val="subscript"/>
              </w:rPr>
              <w:t>2</w:t>
            </w:r>
            <w:r>
              <w:rPr>
                <w:rFonts w:hint="eastAsia" w:ascii="宋体" w:hAnsi="宋体" w:cs="宋体"/>
                <w:sz w:val="24"/>
                <w:szCs w:val="24"/>
              </w:rPr>
              <w:t>、NO</w:t>
            </w:r>
            <w:r>
              <w:rPr>
                <w:rFonts w:hint="eastAsia" w:ascii="宋体" w:hAnsi="宋体" w:cs="宋体"/>
                <w:sz w:val="24"/>
                <w:szCs w:val="24"/>
                <w:vertAlign w:val="subscript"/>
              </w:rPr>
              <w:t>2</w:t>
            </w:r>
            <w:r>
              <w:rPr>
                <w:rFonts w:hint="eastAsia" w:ascii="宋体" w:hAnsi="宋体" w:cs="宋体"/>
                <w:sz w:val="24"/>
                <w:szCs w:val="24"/>
              </w:rPr>
              <w:t>、CO、O</w:t>
            </w:r>
            <w:r>
              <w:rPr>
                <w:rFonts w:hint="eastAsia" w:ascii="宋体" w:hAnsi="宋体" w:cs="宋体"/>
                <w:sz w:val="24"/>
                <w:szCs w:val="24"/>
                <w:vertAlign w:val="subscript"/>
              </w:rPr>
              <w:t>3</w:t>
            </w:r>
            <w:r>
              <w:rPr>
                <w:rFonts w:hint="eastAsia" w:ascii="宋体" w:hAnsi="宋体" w:cs="宋体"/>
                <w:sz w:val="24"/>
                <w:szCs w:val="24"/>
              </w:rPr>
              <w:t>的现状浓度均符合《环境空气质量标准》（GB3095—2012）二级标准。PM</w:t>
            </w:r>
            <w:r>
              <w:rPr>
                <w:rFonts w:hint="eastAsia" w:ascii="宋体" w:hAnsi="宋体" w:cs="宋体"/>
                <w:sz w:val="24"/>
                <w:szCs w:val="24"/>
                <w:vertAlign w:val="subscript"/>
              </w:rPr>
              <w:t>2.5</w:t>
            </w:r>
            <w:r>
              <w:rPr>
                <w:rFonts w:hint="eastAsia" w:ascii="宋体" w:hAnsi="宋体" w:cs="宋体"/>
                <w:sz w:val="24"/>
                <w:szCs w:val="24"/>
              </w:rPr>
              <w:t>、PM</w:t>
            </w:r>
            <w:r>
              <w:rPr>
                <w:rFonts w:hint="eastAsia" w:ascii="宋体" w:hAnsi="宋体" w:cs="宋体"/>
                <w:sz w:val="24"/>
                <w:szCs w:val="24"/>
                <w:vertAlign w:val="subscript"/>
              </w:rPr>
              <w:t>10</w:t>
            </w:r>
            <w:r>
              <w:rPr>
                <w:rFonts w:hint="eastAsia" w:ascii="宋体" w:hAnsi="宋体" w:cs="宋体"/>
                <w:sz w:val="24"/>
                <w:szCs w:val="24"/>
              </w:rPr>
              <w:t>的现状浓度超标，超标倍数分别为0.26倍、0.51倍。项目区为环境空气质量不达标区，</w:t>
            </w:r>
            <w:r>
              <w:rPr>
                <w:rFonts w:hint="eastAsia" w:ascii="宋体" w:hAnsi="宋体"/>
                <w:spacing w:val="4"/>
                <w:sz w:val="24"/>
              </w:rPr>
              <w:t>相关数据</w:t>
            </w:r>
            <w:r>
              <w:rPr>
                <w:rFonts w:hint="eastAsia" w:ascii="宋体" w:hAnsi="宋体" w:cs="宋体"/>
                <w:sz w:val="24"/>
                <w:szCs w:val="24"/>
              </w:rPr>
              <w:t>见表8。</w:t>
            </w:r>
          </w:p>
          <w:p>
            <w:pPr>
              <w:pStyle w:val="7"/>
              <w:spacing w:before="0" w:after="0" w:line="500" w:lineRule="exact"/>
              <w:ind w:right="0"/>
              <w:jc w:val="center"/>
              <w:rPr>
                <w:rFonts w:ascii="黑体" w:hAnsi="黑体" w:eastAsia="黑体" w:cs="黑体"/>
                <w:szCs w:val="21"/>
              </w:rPr>
            </w:pPr>
            <w:bookmarkStart w:id="15" w:name="_Ref21430043"/>
            <w:r>
              <w:rPr>
                <w:rFonts w:hint="eastAsia" w:ascii="黑体" w:hAnsi="黑体" w:eastAsia="黑体" w:cs="黑体"/>
                <w:szCs w:val="21"/>
              </w:rPr>
              <w:t>表8  大气质量及评价结果一览表</w:t>
            </w:r>
            <w:bookmarkEnd w:id="15"/>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888"/>
              <w:gridCol w:w="1909"/>
              <w:gridCol w:w="1185"/>
              <w:gridCol w:w="1187"/>
              <w:gridCol w:w="1055"/>
              <w:gridCol w:w="10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tcBorders>
                    <w:top w:val="single" w:color="auto" w:sz="12" w:space="0"/>
                    <w:left w:val="nil"/>
                    <w:bottom w:val="single" w:color="auto" w:sz="6" w:space="0"/>
                    <w:right w:val="single" w:color="auto" w:sz="6" w:space="0"/>
                  </w:tcBorders>
                  <w:vAlign w:val="center"/>
                </w:tcPr>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监测因子</w:t>
                  </w:r>
                </w:p>
              </w:tc>
              <w:tc>
                <w:tcPr>
                  <w:tcW w:w="1306" w:type="pct"/>
                  <w:tcBorders>
                    <w:top w:val="single" w:color="auto" w:sz="12" w:space="0"/>
                    <w:left w:val="single" w:color="auto" w:sz="6" w:space="0"/>
                    <w:bottom w:val="single" w:color="auto" w:sz="6" w:space="0"/>
                    <w:right w:val="single" w:color="auto" w:sz="6" w:space="0"/>
                  </w:tcBorders>
                  <w:vAlign w:val="center"/>
                </w:tcPr>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年评价指标</w:t>
                  </w:r>
                </w:p>
              </w:tc>
              <w:tc>
                <w:tcPr>
                  <w:tcW w:w="811" w:type="pct"/>
                  <w:tcBorders>
                    <w:top w:val="single" w:color="auto" w:sz="12" w:space="0"/>
                    <w:left w:val="single" w:color="auto" w:sz="6" w:space="0"/>
                    <w:bottom w:val="single" w:color="auto" w:sz="6" w:space="0"/>
                    <w:right w:val="single" w:color="auto" w:sz="6" w:space="0"/>
                  </w:tcBorders>
                  <w:vAlign w:val="center"/>
                </w:tcPr>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现状浓度</w:t>
                  </w:r>
                </w:p>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（μg/m</w:t>
                  </w:r>
                  <w:r>
                    <w:rPr>
                      <w:rFonts w:hint="eastAsia" w:ascii="宋体" w:hAnsi="宋体"/>
                      <w:spacing w:val="-4"/>
                      <w:kern w:val="0"/>
                      <w:szCs w:val="21"/>
                      <w:vertAlign w:val="superscript"/>
                    </w:rPr>
                    <w:t>3</w:t>
                  </w:r>
                  <w:r>
                    <w:rPr>
                      <w:rFonts w:hint="eastAsia" w:ascii="宋体" w:hAnsi="宋体"/>
                      <w:spacing w:val="-4"/>
                      <w:kern w:val="0"/>
                      <w:szCs w:val="21"/>
                    </w:rPr>
                    <w:t>）</w:t>
                  </w:r>
                </w:p>
              </w:tc>
              <w:tc>
                <w:tcPr>
                  <w:tcW w:w="812" w:type="pct"/>
                  <w:tcBorders>
                    <w:top w:val="single" w:color="auto" w:sz="12" w:space="0"/>
                    <w:left w:val="single" w:color="auto" w:sz="6" w:space="0"/>
                    <w:bottom w:val="single" w:color="auto" w:sz="6" w:space="0"/>
                    <w:right w:val="single" w:color="auto" w:sz="6" w:space="0"/>
                  </w:tcBorders>
                  <w:vAlign w:val="center"/>
                </w:tcPr>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标准值</w:t>
                  </w:r>
                </w:p>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（μg/m</w:t>
                  </w:r>
                  <w:r>
                    <w:rPr>
                      <w:rFonts w:hint="eastAsia" w:ascii="宋体" w:hAnsi="宋体"/>
                      <w:spacing w:val="-4"/>
                      <w:kern w:val="0"/>
                      <w:szCs w:val="21"/>
                      <w:vertAlign w:val="superscript"/>
                    </w:rPr>
                    <w:t>3</w:t>
                  </w:r>
                  <w:r>
                    <w:rPr>
                      <w:rFonts w:hint="eastAsia" w:ascii="宋体" w:hAnsi="宋体"/>
                      <w:spacing w:val="-4"/>
                      <w:kern w:val="0"/>
                      <w:szCs w:val="21"/>
                    </w:rPr>
                    <w:t>）</w:t>
                  </w:r>
                </w:p>
              </w:tc>
              <w:tc>
                <w:tcPr>
                  <w:tcW w:w="722" w:type="pct"/>
                  <w:tcBorders>
                    <w:top w:val="single" w:color="auto" w:sz="12" w:space="0"/>
                    <w:left w:val="single" w:color="auto" w:sz="6" w:space="0"/>
                    <w:bottom w:val="single" w:color="auto" w:sz="6" w:space="0"/>
                    <w:right w:val="single" w:color="auto" w:sz="6" w:space="0"/>
                  </w:tcBorders>
                  <w:vAlign w:val="center"/>
                </w:tcPr>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占标率</w:t>
                  </w:r>
                </w:p>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w:t>
                  </w:r>
                </w:p>
              </w:tc>
              <w:tc>
                <w:tcPr>
                  <w:tcW w:w="741" w:type="pct"/>
                  <w:tcBorders>
                    <w:top w:val="single" w:color="auto" w:sz="12" w:space="0"/>
                    <w:left w:val="single" w:color="auto" w:sz="6" w:space="0"/>
                    <w:bottom w:val="single" w:color="auto" w:sz="6" w:space="0"/>
                    <w:right w:val="nil"/>
                  </w:tcBorders>
                  <w:vAlign w:val="center"/>
                </w:tcPr>
                <w:p>
                  <w:pPr>
                    <w:widowControl/>
                    <w:snapToGrid w:val="0"/>
                    <w:spacing w:line="300" w:lineRule="exact"/>
                    <w:jc w:val="center"/>
                    <w:rPr>
                      <w:rFonts w:ascii="宋体" w:hAnsi="宋体"/>
                      <w:spacing w:val="-4"/>
                      <w:kern w:val="0"/>
                      <w:szCs w:val="21"/>
                    </w:rPr>
                  </w:pPr>
                  <w:r>
                    <w:rPr>
                      <w:rFonts w:hint="eastAsia" w:ascii="宋体" w:hAnsi="宋体"/>
                      <w:spacing w:val="-4"/>
                      <w:kern w:val="0"/>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tcBorders>
                    <w:top w:val="single" w:color="auto" w:sz="6" w:space="0"/>
                    <w:left w:val="nil"/>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szCs w:val="21"/>
                    </w:rPr>
                    <w:t>SO</w:t>
                  </w:r>
                  <w:r>
                    <w:rPr>
                      <w:rFonts w:hint="eastAsia" w:ascii="宋体" w:hAnsi="宋体"/>
                      <w:szCs w:val="21"/>
                      <w:vertAlign w:val="subscript"/>
                    </w:rPr>
                    <w:t>2</w:t>
                  </w:r>
                </w:p>
              </w:tc>
              <w:tc>
                <w:tcPr>
                  <w:tcW w:w="1306"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szCs w:val="21"/>
                    </w:rPr>
                    <w:t>年平均值</w:t>
                  </w:r>
                </w:p>
              </w:tc>
              <w:tc>
                <w:tcPr>
                  <w:tcW w:w="811"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8</w:t>
                  </w:r>
                </w:p>
              </w:tc>
              <w:tc>
                <w:tcPr>
                  <w:tcW w:w="81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60</w:t>
                  </w:r>
                </w:p>
              </w:tc>
              <w:tc>
                <w:tcPr>
                  <w:tcW w:w="72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13.3</w:t>
                  </w:r>
                </w:p>
              </w:tc>
              <w:tc>
                <w:tcPr>
                  <w:tcW w:w="741" w:type="pct"/>
                  <w:tcBorders>
                    <w:top w:val="single" w:color="auto" w:sz="6" w:space="0"/>
                    <w:left w:val="single" w:color="auto" w:sz="6" w:space="0"/>
                    <w:bottom w:val="single" w:color="auto" w:sz="6" w:space="0"/>
                    <w:right w:val="nil"/>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tcBorders>
                    <w:top w:val="single" w:color="auto" w:sz="6" w:space="0"/>
                    <w:left w:val="nil"/>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NO</w:t>
                  </w:r>
                  <w:r>
                    <w:rPr>
                      <w:rFonts w:hint="eastAsia" w:ascii="宋体" w:hAnsi="宋体"/>
                      <w:kern w:val="0"/>
                      <w:szCs w:val="21"/>
                      <w:vertAlign w:val="subscript"/>
                    </w:rPr>
                    <w:t>2</w:t>
                  </w:r>
                </w:p>
              </w:tc>
              <w:tc>
                <w:tcPr>
                  <w:tcW w:w="1306"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年平均值</w:t>
                  </w:r>
                </w:p>
              </w:tc>
              <w:tc>
                <w:tcPr>
                  <w:tcW w:w="811"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33</w:t>
                  </w:r>
                </w:p>
              </w:tc>
              <w:tc>
                <w:tcPr>
                  <w:tcW w:w="81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40</w:t>
                  </w:r>
                </w:p>
              </w:tc>
              <w:tc>
                <w:tcPr>
                  <w:tcW w:w="72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82.5</w:t>
                  </w:r>
                </w:p>
              </w:tc>
              <w:tc>
                <w:tcPr>
                  <w:tcW w:w="741" w:type="pct"/>
                  <w:tcBorders>
                    <w:top w:val="single" w:color="auto" w:sz="6" w:space="0"/>
                    <w:left w:val="single" w:color="auto" w:sz="6" w:space="0"/>
                    <w:bottom w:val="single" w:color="auto" w:sz="6" w:space="0"/>
                    <w:right w:val="nil"/>
                  </w:tcBorders>
                  <w:vAlign w:val="center"/>
                </w:tcPr>
                <w:p>
                  <w:pPr>
                    <w:widowControl/>
                    <w:overflowPunct w:val="0"/>
                    <w:autoSpaceDE w:val="0"/>
                    <w:autoSpaceDN w:val="0"/>
                    <w:adjustRightInd w:val="0"/>
                    <w:spacing w:line="300" w:lineRule="exact"/>
                    <w:jc w:val="center"/>
                    <w:textAlignment w:val="baseline"/>
                    <w:rPr>
                      <w:rFonts w:ascii="宋体" w:hAnsi="宋体"/>
                      <w:spacing w:val="-4"/>
                      <w:kern w:val="0"/>
                      <w:szCs w:val="21"/>
                    </w:rPr>
                  </w:pPr>
                  <w:r>
                    <w:rPr>
                      <w:rFonts w:hint="eastAsia" w:ascii="宋体" w:hAnsi="宋体"/>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tcBorders>
                    <w:top w:val="single" w:color="auto" w:sz="6" w:space="0"/>
                    <w:left w:val="nil"/>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PM</w:t>
                  </w:r>
                  <w:r>
                    <w:rPr>
                      <w:rFonts w:hint="eastAsia" w:ascii="宋体" w:hAnsi="宋体"/>
                      <w:kern w:val="0"/>
                      <w:szCs w:val="21"/>
                      <w:vertAlign w:val="subscript"/>
                    </w:rPr>
                    <w:t>10</w:t>
                  </w:r>
                </w:p>
              </w:tc>
              <w:tc>
                <w:tcPr>
                  <w:tcW w:w="1306"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年平均值</w:t>
                  </w:r>
                </w:p>
              </w:tc>
              <w:tc>
                <w:tcPr>
                  <w:tcW w:w="811"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88</w:t>
                  </w:r>
                </w:p>
              </w:tc>
              <w:tc>
                <w:tcPr>
                  <w:tcW w:w="81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70</w:t>
                  </w:r>
                </w:p>
              </w:tc>
              <w:tc>
                <w:tcPr>
                  <w:tcW w:w="72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126.0</w:t>
                  </w:r>
                </w:p>
              </w:tc>
              <w:tc>
                <w:tcPr>
                  <w:tcW w:w="741" w:type="pct"/>
                  <w:tcBorders>
                    <w:top w:val="single" w:color="auto" w:sz="6" w:space="0"/>
                    <w:left w:val="single" w:color="auto" w:sz="6" w:space="0"/>
                    <w:bottom w:val="single" w:color="auto" w:sz="6" w:space="0"/>
                    <w:right w:val="nil"/>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超标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tcBorders>
                    <w:top w:val="single" w:color="auto" w:sz="6" w:space="0"/>
                    <w:left w:val="nil"/>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PM</w:t>
                  </w:r>
                  <w:r>
                    <w:rPr>
                      <w:rFonts w:hint="eastAsia" w:ascii="宋体" w:hAnsi="宋体"/>
                      <w:kern w:val="0"/>
                      <w:szCs w:val="21"/>
                      <w:vertAlign w:val="subscript"/>
                    </w:rPr>
                    <w:t>2.5</w:t>
                  </w:r>
                </w:p>
              </w:tc>
              <w:tc>
                <w:tcPr>
                  <w:tcW w:w="1306"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年平均值</w:t>
                  </w:r>
                </w:p>
              </w:tc>
              <w:tc>
                <w:tcPr>
                  <w:tcW w:w="811"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53</w:t>
                  </w:r>
                </w:p>
              </w:tc>
              <w:tc>
                <w:tcPr>
                  <w:tcW w:w="81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35</w:t>
                  </w:r>
                </w:p>
              </w:tc>
              <w:tc>
                <w:tcPr>
                  <w:tcW w:w="72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151.4</w:t>
                  </w:r>
                </w:p>
              </w:tc>
              <w:tc>
                <w:tcPr>
                  <w:tcW w:w="741" w:type="pct"/>
                  <w:tcBorders>
                    <w:top w:val="single" w:color="auto" w:sz="6" w:space="0"/>
                    <w:left w:val="single" w:color="auto" w:sz="6" w:space="0"/>
                    <w:bottom w:val="single" w:color="auto" w:sz="6" w:space="0"/>
                    <w:right w:val="nil"/>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超标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pct"/>
                  <w:tcBorders>
                    <w:top w:val="single" w:color="auto" w:sz="6" w:space="0"/>
                    <w:left w:val="nil"/>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CO</w:t>
                  </w:r>
                </w:p>
              </w:tc>
              <w:tc>
                <w:tcPr>
                  <w:tcW w:w="1306"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24小时平均第95百分位数</w:t>
                  </w:r>
                </w:p>
              </w:tc>
              <w:tc>
                <w:tcPr>
                  <w:tcW w:w="811"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2.5（mg/m</w:t>
                  </w:r>
                  <w:r>
                    <w:rPr>
                      <w:rFonts w:hint="eastAsia" w:ascii="宋体" w:hAnsi="宋体"/>
                      <w:kern w:val="0"/>
                      <w:szCs w:val="21"/>
                      <w:vertAlign w:val="superscript"/>
                    </w:rPr>
                    <w:t>3</w:t>
                  </w:r>
                  <w:r>
                    <w:rPr>
                      <w:rFonts w:hint="eastAsia" w:ascii="宋体" w:hAnsi="宋体"/>
                      <w:kern w:val="0"/>
                      <w:szCs w:val="21"/>
                    </w:rPr>
                    <w:t>）</w:t>
                  </w:r>
                </w:p>
              </w:tc>
              <w:tc>
                <w:tcPr>
                  <w:tcW w:w="81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4（mg/m</w:t>
                  </w:r>
                  <w:r>
                    <w:rPr>
                      <w:rFonts w:hint="eastAsia" w:ascii="宋体" w:hAnsi="宋体"/>
                      <w:kern w:val="0"/>
                      <w:szCs w:val="21"/>
                      <w:vertAlign w:val="superscript"/>
                    </w:rPr>
                    <w:t>3</w:t>
                  </w:r>
                  <w:r>
                    <w:rPr>
                      <w:rFonts w:hint="eastAsia" w:ascii="宋体" w:hAnsi="宋体"/>
                      <w:kern w:val="0"/>
                      <w:szCs w:val="21"/>
                    </w:rPr>
                    <w:t>）</w:t>
                  </w:r>
                </w:p>
              </w:tc>
              <w:tc>
                <w:tcPr>
                  <w:tcW w:w="722" w:type="pct"/>
                  <w:tcBorders>
                    <w:top w:val="single" w:color="auto" w:sz="6" w:space="0"/>
                    <w:left w:val="single" w:color="auto" w:sz="6" w:space="0"/>
                    <w:bottom w:val="single" w:color="auto" w:sz="6"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62.5</w:t>
                  </w:r>
                </w:p>
              </w:tc>
              <w:tc>
                <w:tcPr>
                  <w:tcW w:w="741" w:type="pct"/>
                  <w:tcBorders>
                    <w:top w:val="single" w:color="auto" w:sz="6" w:space="0"/>
                    <w:left w:val="single" w:color="auto" w:sz="6" w:space="0"/>
                    <w:bottom w:val="single" w:color="auto" w:sz="6" w:space="0"/>
                    <w:right w:val="nil"/>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608" w:type="pct"/>
                  <w:tcBorders>
                    <w:top w:val="single" w:color="auto" w:sz="6" w:space="0"/>
                    <w:left w:val="nil"/>
                    <w:bottom w:val="single" w:color="auto" w:sz="12"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O</w:t>
                  </w:r>
                  <w:r>
                    <w:rPr>
                      <w:rFonts w:hint="eastAsia" w:ascii="宋体" w:hAnsi="宋体"/>
                      <w:kern w:val="0"/>
                      <w:szCs w:val="21"/>
                      <w:vertAlign w:val="subscript"/>
                    </w:rPr>
                    <w:t>3</w:t>
                  </w:r>
                </w:p>
              </w:tc>
              <w:tc>
                <w:tcPr>
                  <w:tcW w:w="1306" w:type="pct"/>
                  <w:tcBorders>
                    <w:top w:val="single" w:color="auto" w:sz="6" w:space="0"/>
                    <w:left w:val="single" w:color="auto" w:sz="6" w:space="0"/>
                    <w:bottom w:val="single" w:color="auto" w:sz="12"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最大8小时平均第90百分位数</w:t>
                  </w:r>
                </w:p>
              </w:tc>
              <w:tc>
                <w:tcPr>
                  <w:tcW w:w="811" w:type="pct"/>
                  <w:tcBorders>
                    <w:top w:val="single" w:color="auto" w:sz="6" w:space="0"/>
                    <w:left w:val="single" w:color="auto" w:sz="6" w:space="0"/>
                    <w:bottom w:val="single" w:color="auto" w:sz="12"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131</w:t>
                  </w:r>
                </w:p>
              </w:tc>
              <w:tc>
                <w:tcPr>
                  <w:tcW w:w="812" w:type="pct"/>
                  <w:tcBorders>
                    <w:top w:val="single" w:color="auto" w:sz="6" w:space="0"/>
                    <w:left w:val="single" w:color="auto" w:sz="6" w:space="0"/>
                    <w:bottom w:val="single" w:color="auto" w:sz="12"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160</w:t>
                  </w:r>
                </w:p>
              </w:tc>
              <w:tc>
                <w:tcPr>
                  <w:tcW w:w="722" w:type="pct"/>
                  <w:tcBorders>
                    <w:top w:val="single" w:color="auto" w:sz="6" w:space="0"/>
                    <w:left w:val="single" w:color="auto" w:sz="6" w:space="0"/>
                    <w:bottom w:val="single" w:color="auto" w:sz="12" w:space="0"/>
                    <w:right w:val="single" w:color="auto" w:sz="6" w:space="0"/>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81.9</w:t>
                  </w:r>
                </w:p>
              </w:tc>
              <w:tc>
                <w:tcPr>
                  <w:tcW w:w="741" w:type="pct"/>
                  <w:tcBorders>
                    <w:top w:val="single" w:color="auto" w:sz="6" w:space="0"/>
                    <w:left w:val="single" w:color="auto" w:sz="6" w:space="0"/>
                    <w:bottom w:val="single" w:color="auto" w:sz="12" w:space="0"/>
                    <w:right w:val="nil"/>
                  </w:tcBorders>
                  <w:vAlign w:val="center"/>
                </w:tcPr>
                <w:p>
                  <w:pPr>
                    <w:widowControl/>
                    <w:overflowPunct w:val="0"/>
                    <w:autoSpaceDE w:val="0"/>
                    <w:autoSpaceDN w:val="0"/>
                    <w:adjustRightInd w:val="0"/>
                    <w:spacing w:line="300" w:lineRule="exact"/>
                    <w:jc w:val="center"/>
                    <w:textAlignment w:val="baseline"/>
                    <w:rPr>
                      <w:rFonts w:ascii="宋体" w:hAnsi="宋体"/>
                      <w:kern w:val="0"/>
                      <w:szCs w:val="21"/>
                    </w:rPr>
                  </w:pPr>
                  <w:r>
                    <w:rPr>
                      <w:rFonts w:hint="eastAsia" w:ascii="宋体" w:hAnsi="宋体"/>
                      <w:kern w:val="0"/>
                      <w:szCs w:val="21"/>
                    </w:rPr>
                    <w:t>达标</w:t>
                  </w:r>
                </w:p>
              </w:tc>
            </w:tr>
          </w:tbl>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（2）水环境质量现状调查</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项目周边无地表水分布，生活污水和试油期产生的废水均不外排，与地表水体无任何水力联系，无需对地表水环境质量现状进行评价。</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钻井期间采用钻井液不落地工艺，钻井液循环利用，不会对地下水环境造成污染；参照《环境影响评价技术导则 地下水环境》（HJ 610-2016），本项目为Ⅳ类项目；无需对地下水环境质量现状进行评价。</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（3）声环境质量现状调查</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本项目周边50m范围内无声环境保护目标，参照《建设项目环境影响报告表编制技术指南（污染影响类）》（试行）相关要求，无需对声环境质量现状进行评价。</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（4）土壤环境质量现状调查</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参照《环境影响评价技术导则 土壤环境（试行）》（HJ964-2018），本项目为Ⅳ类，无需对土壤环境质量现状进行评价。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pStyle w:val="7"/>
              <w:spacing w:before="0" w:after="0" w:line="420" w:lineRule="exact"/>
              <w:ind w:right="0"/>
              <w:jc w:val="center"/>
              <w:rPr>
                <w:rFonts w:ascii="宋体" w:hAnsi="宋体" w:cs="宋体"/>
                <w:sz w:val="24"/>
                <w:szCs w:val="24"/>
              </w:rPr>
            </w:pPr>
            <w:r>
              <w:rPr>
                <w:rFonts w:hint="eastAsia" w:ascii="宋体" w:hAnsi="宋体" w:cs="宋体"/>
                <w:sz w:val="24"/>
                <w:szCs w:val="24"/>
              </w:rPr>
              <w:t>与项目有关的原有环境污染和生态破坏问题</w:t>
            </w:r>
          </w:p>
        </w:tc>
        <w:tc>
          <w:tcPr>
            <w:tcW w:w="7523" w:type="dxa"/>
            <w:gridSpan w:val="9"/>
            <w:vAlign w:val="center"/>
          </w:tcPr>
          <w:p>
            <w:pPr>
              <w:pStyle w:val="7"/>
              <w:spacing w:before="0" w:after="0" w:line="480" w:lineRule="exact"/>
              <w:ind w:right="0" w:firstLine="480" w:firstLineChars="200"/>
              <w:rPr>
                <w:rFonts w:ascii="宋体" w:hAnsi="宋体" w:cs="宋体"/>
                <w:sz w:val="24"/>
                <w:szCs w:val="24"/>
              </w:rPr>
            </w:pPr>
            <w:r>
              <w:rPr>
                <w:rFonts w:hint="eastAsia" w:ascii="宋体" w:hAnsi="宋体" w:cs="宋体"/>
                <w:sz w:val="24"/>
                <w:szCs w:val="24"/>
              </w:rPr>
              <w:t>本项目为新建项目，无与本项目有关的原有环境污染和生态破坏问题。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restart"/>
            <w:vAlign w:val="center"/>
          </w:tcPr>
          <w:p>
            <w:pPr>
              <w:pStyle w:val="7"/>
              <w:spacing w:before="0" w:after="0" w:line="420" w:lineRule="exact"/>
              <w:ind w:right="0"/>
              <w:jc w:val="center"/>
              <w:rPr>
                <w:rFonts w:ascii="宋体" w:hAnsi="宋体" w:cs="宋体"/>
                <w:sz w:val="24"/>
                <w:szCs w:val="24"/>
              </w:rPr>
            </w:pPr>
            <w:r>
              <w:rPr>
                <w:rFonts w:hint="eastAsia" w:ascii="宋体" w:hAnsi="宋体" w:cs="宋体"/>
                <w:sz w:val="24"/>
                <w:szCs w:val="24"/>
              </w:rPr>
              <w:t>生态环境保护目标</w:t>
            </w:r>
          </w:p>
        </w:tc>
        <w:tc>
          <w:tcPr>
            <w:tcW w:w="639" w:type="dxa"/>
            <w:vMerge w:val="restart"/>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评价等级</w:t>
            </w:r>
          </w:p>
        </w:tc>
        <w:tc>
          <w:tcPr>
            <w:tcW w:w="1135" w:type="dxa"/>
            <w:gridSpan w:val="2"/>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环境要素</w:t>
            </w:r>
          </w:p>
        </w:tc>
        <w:tc>
          <w:tcPr>
            <w:tcW w:w="3026" w:type="dxa"/>
            <w:gridSpan w:val="4"/>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判定依据</w:t>
            </w:r>
          </w:p>
        </w:tc>
        <w:tc>
          <w:tcPr>
            <w:tcW w:w="801"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评价等级</w:t>
            </w:r>
          </w:p>
        </w:tc>
        <w:tc>
          <w:tcPr>
            <w:tcW w:w="1922"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continue"/>
            <w:vAlign w:val="center"/>
          </w:tcPr>
          <w:p>
            <w:pPr>
              <w:pStyle w:val="7"/>
              <w:spacing w:before="0" w:after="0" w:line="420" w:lineRule="exact"/>
              <w:ind w:right="0"/>
              <w:jc w:val="center"/>
              <w:rPr>
                <w:rFonts w:ascii="宋体" w:hAnsi="宋体" w:cs="宋体"/>
                <w:szCs w:val="21"/>
              </w:rPr>
            </w:pPr>
          </w:p>
        </w:tc>
        <w:tc>
          <w:tcPr>
            <w:tcW w:w="1135" w:type="dxa"/>
            <w:gridSpan w:val="2"/>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生态</w:t>
            </w:r>
          </w:p>
        </w:tc>
        <w:tc>
          <w:tcPr>
            <w:tcW w:w="3026" w:type="dxa"/>
            <w:gridSpan w:val="4"/>
            <w:vAlign w:val="center"/>
          </w:tcPr>
          <w:p>
            <w:pPr>
              <w:adjustRightInd w:val="0"/>
              <w:snapToGrid w:val="0"/>
              <w:spacing w:line="420" w:lineRule="exact"/>
              <w:jc w:val="center"/>
              <w:rPr>
                <w:rFonts w:ascii="宋体" w:hAnsi="宋体" w:cs="宋体"/>
                <w:szCs w:val="21"/>
              </w:rPr>
            </w:pPr>
            <w:r>
              <w:rPr>
                <w:rFonts w:hint="eastAsia" w:ascii="宋体" w:hAnsi="宋体" w:cs="宋体"/>
                <w:spacing w:val="4"/>
                <w:szCs w:val="21"/>
              </w:rPr>
              <w:t>项目占地面积</w:t>
            </w:r>
            <w:r>
              <w:rPr>
                <w:rFonts w:ascii="宋体" w:hAnsi="宋体" w:cs="宋体"/>
                <w:spacing w:val="4"/>
                <w:szCs w:val="21"/>
              </w:rPr>
              <w:t>20490</w:t>
            </w:r>
            <w:r>
              <w:rPr>
                <w:rFonts w:hint="eastAsia" w:ascii="宋体" w:hAnsi="宋体" w:cs="宋体"/>
                <w:spacing w:val="4"/>
                <w:szCs w:val="21"/>
              </w:rPr>
              <w:t>m</w:t>
            </w:r>
            <w:r>
              <w:rPr>
                <w:rFonts w:hint="eastAsia" w:ascii="宋体" w:hAnsi="宋体" w:cs="宋体"/>
                <w:spacing w:val="4"/>
                <w:szCs w:val="21"/>
                <w:vertAlign w:val="superscript"/>
              </w:rPr>
              <w:t>2</w:t>
            </w:r>
            <w:r>
              <w:rPr>
                <w:rFonts w:hint="eastAsia" w:ascii="宋体" w:hAnsi="宋体" w:cs="宋体"/>
                <w:spacing w:val="4"/>
                <w:szCs w:val="21"/>
              </w:rPr>
              <w:t>，</w:t>
            </w:r>
            <w:r>
              <w:rPr>
                <w:rFonts w:hint="eastAsia" w:ascii="宋体" w:hAnsi="宋体" w:cs="宋体"/>
                <w:szCs w:val="21"/>
              </w:rPr>
              <w:t>生态影响主要是占地造成的土壤结构破坏和植被损失</w:t>
            </w:r>
          </w:p>
        </w:tc>
        <w:tc>
          <w:tcPr>
            <w:tcW w:w="801" w:type="dxa"/>
            <w:vAlign w:val="center"/>
          </w:tcPr>
          <w:p>
            <w:pPr>
              <w:adjustRightInd w:val="0"/>
              <w:snapToGrid w:val="0"/>
              <w:spacing w:line="420" w:lineRule="exact"/>
              <w:jc w:val="center"/>
              <w:rPr>
                <w:rFonts w:ascii="宋体" w:hAnsi="宋体" w:cs="宋体"/>
                <w:szCs w:val="21"/>
              </w:rPr>
            </w:pPr>
            <w:r>
              <w:rPr>
                <w:rFonts w:hint="eastAsia" w:ascii="宋体" w:hAnsi="宋体" w:cs="宋体"/>
                <w:spacing w:val="4"/>
                <w:szCs w:val="21"/>
              </w:rPr>
              <w:t>三级</w:t>
            </w:r>
          </w:p>
        </w:tc>
        <w:tc>
          <w:tcPr>
            <w:tcW w:w="1922" w:type="dxa"/>
            <w:vAlign w:val="center"/>
          </w:tcPr>
          <w:p>
            <w:pPr>
              <w:adjustRightInd w:val="0"/>
              <w:snapToGrid w:val="0"/>
              <w:spacing w:line="420" w:lineRule="exact"/>
              <w:jc w:val="center"/>
              <w:rPr>
                <w:rFonts w:ascii="宋体" w:hAnsi="宋体" w:cs="宋体"/>
                <w:szCs w:val="21"/>
              </w:rPr>
            </w:pPr>
            <w:r>
              <w:rPr>
                <w:rFonts w:hint="eastAsia" w:ascii="宋体" w:hAnsi="宋体" w:cs="宋体"/>
                <w:spacing w:val="4"/>
                <w:szCs w:val="21"/>
              </w:rPr>
              <w:t>项目占地范围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continue"/>
            <w:vAlign w:val="center"/>
          </w:tcPr>
          <w:p>
            <w:pPr>
              <w:pStyle w:val="7"/>
              <w:spacing w:before="0" w:after="0" w:line="420" w:lineRule="exact"/>
              <w:ind w:right="0"/>
              <w:jc w:val="center"/>
              <w:rPr>
                <w:rFonts w:ascii="宋体" w:hAnsi="宋体" w:cs="宋体"/>
                <w:szCs w:val="21"/>
              </w:rPr>
            </w:pPr>
          </w:p>
        </w:tc>
        <w:tc>
          <w:tcPr>
            <w:tcW w:w="1135" w:type="dxa"/>
            <w:gridSpan w:val="2"/>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大气</w:t>
            </w:r>
          </w:p>
        </w:tc>
        <w:tc>
          <w:tcPr>
            <w:tcW w:w="3026" w:type="dxa"/>
            <w:gridSpan w:val="4"/>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施工期短暂且无运营期，钻试期结束后大气环境影响随即消失</w:t>
            </w:r>
          </w:p>
        </w:tc>
        <w:tc>
          <w:tcPr>
            <w:tcW w:w="801"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三级</w:t>
            </w:r>
          </w:p>
        </w:tc>
        <w:tc>
          <w:tcPr>
            <w:tcW w:w="1922"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continue"/>
            <w:vAlign w:val="center"/>
          </w:tcPr>
          <w:p>
            <w:pPr>
              <w:pStyle w:val="7"/>
              <w:spacing w:before="0" w:after="0" w:line="420" w:lineRule="exact"/>
              <w:ind w:right="0"/>
              <w:jc w:val="center"/>
              <w:rPr>
                <w:rFonts w:ascii="宋体" w:hAnsi="宋体" w:cs="宋体"/>
                <w:szCs w:val="21"/>
              </w:rPr>
            </w:pPr>
          </w:p>
        </w:tc>
        <w:tc>
          <w:tcPr>
            <w:tcW w:w="1135" w:type="dxa"/>
            <w:gridSpan w:val="2"/>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地表水</w:t>
            </w:r>
          </w:p>
        </w:tc>
        <w:tc>
          <w:tcPr>
            <w:tcW w:w="3026" w:type="dxa"/>
            <w:gridSpan w:val="4"/>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废水间接排放</w:t>
            </w:r>
          </w:p>
        </w:tc>
        <w:tc>
          <w:tcPr>
            <w:tcW w:w="801" w:type="dxa"/>
            <w:vAlign w:val="center"/>
          </w:tcPr>
          <w:p>
            <w:pPr>
              <w:adjustRightInd w:val="0"/>
              <w:snapToGrid w:val="0"/>
              <w:spacing w:line="420" w:lineRule="exact"/>
              <w:jc w:val="center"/>
              <w:rPr>
                <w:rFonts w:ascii="宋体" w:hAnsi="宋体" w:cs="宋体"/>
                <w:szCs w:val="21"/>
              </w:rPr>
            </w:pPr>
            <w:r>
              <w:rPr>
                <w:rFonts w:hint="eastAsia" w:ascii="宋体" w:hAnsi="宋体" w:cs="宋体"/>
                <w:spacing w:val="-4"/>
                <w:szCs w:val="21"/>
              </w:rPr>
              <w:t>三级B</w:t>
            </w:r>
          </w:p>
        </w:tc>
        <w:tc>
          <w:tcPr>
            <w:tcW w:w="1922"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continue"/>
            <w:vAlign w:val="center"/>
          </w:tcPr>
          <w:p>
            <w:pPr>
              <w:pStyle w:val="7"/>
              <w:spacing w:before="0" w:after="0" w:line="420" w:lineRule="exact"/>
              <w:ind w:right="0"/>
              <w:jc w:val="center"/>
              <w:rPr>
                <w:rFonts w:ascii="宋体" w:hAnsi="宋体" w:cs="宋体"/>
                <w:szCs w:val="21"/>
              </w:rPr>
            </w:pPr>
          </w:p>
        </w:tc>
        <w:tc>
          <w:tcPr>
            <w:tcW w:w="1135" w:type="dxa"/>
            <w:gridSpan w:val="2"/>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地下水</w:t>
            </w:r>
          </w:p>
        </w:tc>
        <w:tc>
          <w:tcPr>
            <w:tcW w:w="3026" w:type="dxa"/>
            <w:gridSpan w:val="4"/>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Ⅳ类项目</w:t>
            </w:r>
          </w:p>
        </w:tc>
        <w:tc>
          <w:tcPr>
            <w:tcW w:w="801"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w:t>
            </w:r>
          </w:p>
        </w:tc>
        <w:tc>
          <w:tcPr>
            <w:tcW w:w="1922"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continue"/>
            <w:vAlign w:val="center"/>
          </w:tcPr>
          <w:p>
            <w:pPr>
              <w:pStyle w:val="7"/>
              <w:spacing w:before="0" w:after="0" w:line="420" w:lineRule="exact"/>
              <w:ind w:right="0"/>
              <w:jc w:val="center"/>
              <w:rPr>
                <w:rFonts w:ascii="宋体" w:hAnsi="宋体" w:cs="宋体"/>
                <w:szCs w:val="21"/>
              </w:rPr>
            </w:pPr>
          </w:p>
        </w:tc>
        <w:tc>
          <w:tcPr>
            <w:tcW w:w="1135" w:type="dxa"/>
            <w:gridSpan w:val="2"/>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声环境</w:t>
            </w:r>
          </w:p>
        </w:tc>
        <w:tc>
          <w:tcPr>
            <w:tcW w:w="3026" w:type="dxa"/>
            <w:gridSpan w:val="4"/>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项目所在区域属于2类声环境功能区</w:t>
            </w:r>
          </w:p>
        </w:tc>
        <w:tc>
          <w:tcPr>
            <w:tcW w:w="801"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二级</w:t>
            </w:r>
          </w:p>
        </w:tc>
        <w:tc>
          <w:tcPr>
            <w:tcW w:w="1922"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井场外延200m的范围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continue"/>
            <w:vAlign w:val="center"/>
          </w:tcPr>
          <w:p>
            <w:pPr>
              <w:pStyle w:val="7"/>
              <w:spacing w:before="0" w:after="0" w:line="420" w:lineRule="exact"/>
              <w:ind w:right="0"/>
              <w:jc w:val="center"/>
              <w:rPr>
                <w:rFonts w:ascii="宋体" w:hAnsi="宋体" w:cs="宋体"/>
                <w:szCs w:val="21"/>
              </w:rPr>
            </w:pPr>
          </w:p>
        </w:tc>
        <w:tc>
          <w:tcPr>
            <w:tcW w:w="1135" w:type="dxa"/>
            <w:gridSpan w:val="2"/>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土壤环境</w:t>
            </w:r>
          </w:p>
        </w:tc>
        <w:tc>
          <w:tcPr>
            <w:tcW w:w="3026" w:type="dxa"/>
            <w:gridSpan w:val="4"/>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Ⅳ类建设项目</w:t>
            </w:r>
          </w:p>
        </w:tc>
        <w:tc>
          <w:tcPr>
            <w:tcW w:w="801"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w:t>
            </w:r>
          </w:p>
        </w:tc>
        <w:tc>
          <w:tcPr>
            <w:tcW w:w="1922"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continue"/>
            <w:vAlign w:val="center"/>
          </w:tcPr>
          <w:p>
            <w:pPr>
              <w:pStyle w:val="7"/>
              <w:spacing w:before="0" w:after="0" w:line="420" w:lineRule="exact"/>
              <w:ind w:right="0"/>
              <w:jc w:val="center"/>
              <w:rPr>
                <w:rFonts w:ascii="宋体" w:hAnsi="宋体" w:cs="宋体"/>
                <w:szCs w:val="21"/>
              </w:rPr>
            </w:pPr>
          </w:p>
        </w:tc>
        <w:tc>
          <w:tcPr>
            <w:tcW w:w="1135" w:type="dxa"/>
            <w:gridSpan w:val="2"/>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环境风险</w:t>
            </w:r>
          </w:p>
        </w:tc>
        <w:tc>
          <w:tcPr>
            <w:tcW w:w="3026" w:type="dxa"/>
            <w:gridSpan w:val="4"/>
            <w:vAlign w:val="center"/>
          </w:tcPr>
          <w:p>
            <w:pPr>
              <w:adjustRightInd w:val="0"/>
              <w:snapToGrid w:val="0"/>
              <w:spacing w:line="420" w:lineRule="exact"/>
              <w:jc w:val="center"/>
              <w:rPr>
                <w:rFonts w:ascii="宋体" w:hAnsi="宋体" w:cs="宋体"/>
                <w:szCs w:val="21"/>
              </w:rPr>
            </w:pPr>
            <w:r>
              <w:rPr>
                <w:rFonts w:hint="eastAsia" w:ascii="宋体" w:hAnsi="宋体" w:cs="宋体"/>
              </w:rPr>
              <w:t>项目钻井、试油期Q＜1，风险潜势为Ⅰ</w:t>
            </w:r>
          </w:p>
        </w:tc>
        <w:tc>
          <w:tcPr>
            <w:tcW w:w="801"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简单分析</w:t>
            </w:r>
          </w:p>
        </w:tc>
        <w:tc>
          <w:tcPr>
            <w:tcW w:w="1922" w:type="dxa"/>
            <w:vAlign w:val="center"/>
          </w:tcPr>
          <w:p>
            <w:pPr>
              <w:adjustRightInd w:val="0"/>
              <w:snapToGrid w:val="0"/>
              <w:spacing w:line="420" w:lineRule="exact"/>
              <w:jc w:val="center"/>
              <w:rPr>
                <w:rFonts w:ascii="宋体" w:hAnsi="宋体" w:cs="宋体"/>
                <w:szCs w:val="21"/>
              </w:rPr>
            </w:pPr>
            <w:r>
              <w:rPr>
                <w:rFonts w:hint="eastAsia" w:ascii="宋体" w:hAnsi="宋体" w:cs="宋体"/>
                <w:szCs w:val="21"/>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restart"/>
            <w:vAlign w:val="center"/>
          </w:tcPr>
          <w:p>
            <w:pPr>
              <w:pStyle w:val="7"/>
              <w:spacing w:before="0" w:after="0" w:line="420" w:lineRule="exact"/>
              <w:ind w:right="0"/>
              <w:jc w:val="center"/>
              <w:rPr>
                <w:rFonts w:ascii="宋体" w:hAnsi="宋体" w:cs="宋体"/>
                <w:szCs w:val="21"/>
                <w:highlight w:val="yellow"/>
              </w:rPr>
            </w:pPr>
            <w:r>
              <w:rPr>
                <w:rFonts w:hint="eastAsia" w:ascii="宋体" w:hAnsi="宋体" w:cs="宋体"/>
                <w:szCs w:val="21"/>
              </w:rPr>
              <w:t>保护目标</w:t>
            </w:r>
          </w:p>
        </w:tc>
        <w:tc>
          <w:tcPr>
            <w:tcW w:w="1135"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保护要素</w:t>
            </w:r>
          </w:p>
        </w:tc>
        <w:tc>
          <w:tcPr>
            <w:tcW w:w="1134"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保护对象</w:t>
            </w:r>
          </w:p>
        </w:tc>
        <w:tc>
          <w:tcPr>
            <w:tcW w:w="1092" w:type="dxa"/>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数量规模</w:t>
            </w:r>
          </w:p>
        </w:tc>
        <w:tc>
          <w:tcPr>
            <w:tcW w:w="800" w:type="dxa"/>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距离</w:t>
            </w:r>
          </w:p>
        </w:tc>
        <w:tc>
          <w:tcPr>
            <w:tcW w:w="801" w:type="dxa"/>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方位</w:t>
            </w:r>
          </w:p>
        </w:tc>
        <w:tc>
          <w:tcPr>
            <w:tcW w:w="1922" w:type="dxa"/>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639" w:type="dxa"/>
            <w:vMerge w:val="continue"/>
            <w:vAlign w:val="center"/>
          </w:tcPr>
          <w:p>
            <w:pPr>
              <w:pStyle w:val="7"/>
              <w:spacing w:before="0" w:after="0" w:line="420" w:lineRule="exact"/>
              <w:ind w:right="0"/>
              <w:jc w:val="center"/>
              <w:rPr>
                <w:rFonts w:ascii="宋体" w:hAnsi="宋体" w:cs="宋体"/>
                <w:szCs w:val="21"/>
              </w:rPr>
            </w:pPr>
          </w:p>
        </w:tc>
        <w:tc>
          <w:tcPr>
            <w:tcW w:w="1135"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生态环境</w:t>
            </w:r>
          </w:p>
        </w:tc>
        <w:tc>
          <w:tcPr>
            <w:tcW w:w="1134"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水土流失</w:t>
            </w:r>
          </w:p>
        </w:tc>
        <w:tc>
          <w:tcPr>
            <w:tcW w:w="2693" w:type="dxa"/>
            <w:gridSpan w:val="3"/>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项目临时占地及周边</w:t>
            </w:r>
          </w:p>
        </w:tc>
        <w:tc>
          <w:tcPr>
            <w:tcW w:w="1922" w:type="dxa"/>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新疆维吾尔自治区水土流失重点治理区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restart"/>
            <w:vAlign w:val="center"/>
          </w:tcPr>
          <w:p>
            <w:pPr>
              <w:pStyle w:val="7"/>
              <w:spacing w:before="0" w:after="0" w:line="420" w:lineRule="exact"/>
              <w:ind w:right="0"/>
              <w:jc w:val="center"/>
              <w:rPr>
                <w:rFonts w:ascii="宋体" w:hAnsi="宋体" w:cs="宋体"/>
                <w:sz w:val="24"/>
                <w:szCs w:val="24"/>
              </w:rPr>
            </w:pPr>
            <w:r>
              <w:rPr>
                <w:rFonts w:hint="eastAsia" w:ascii="宋体" w:hAnsi="宋体" w:cs="宋体"/>
                <w:sz w:val="24"/>
                <w:szCs w:val="24"/>
              </w:rPr>
              <w:t>评价标准</w:t>
            </w:r>
          </w:p>
        </w:tc>
        <w:tc>
          <w:tcPr>
            <w:tcW w:w="4800" w:type="dxa"/>
            <w:gridSpan w:val="7"/>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环境要素</w:t>
            </w:r>
          </w:p>
        </w:tc>
        <w:tc>
          <w:tcPr>
            <w:tcW w:w="2723"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925" w:type="dxa"/>
            <w:gridSpan w:val="2"/>
            <w:vMerge w:val="restart"/>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环境质量标准</w:t>
            </w:r>
          </w:p>
        </w:tc>
        <w:tc>
          <w:tcPr>
            <w:tcW w:w="1495"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环境空气</w:t>
            </w:r>
          </w:p>
        </w:tc>
        <w:tc>
          <w:tcPr>
            <w:tcW w:w="2380" w:type="dxa"/>
            <w:gridSpan w:val="3"/>
            <w:vAlign w:val="center"/>
          </w:tcPr>
          <w:p>
            <w:pPr>
              <w:widowControl/>
              <w:snapToGrid w:val="0"/>
              <w:spacing w:line="420" w:lineRule="exact"/>
              <w:jc w:val="center"/>
              <w:rPr>
                <w:rFonts w:ascii="宋体" w:hAnsi="宋体" w:cs="宋体"/>
                <w:szCs w:val="21"/>
              </w:rPr>
            </w:pPr>
            <w:r>
              <w:rPr>
                <w:rFonts w:hint="eastAsia" w:ascii="宋体" w:hAnsi="宋体" w:cs="宋体"/>
                <w:szCs w:val="21"/>
              </w:rPr>
              <w:t>基本污染物</w:t>
            </w:r>
          </w:p>
        </w:tc>
        <w:tc>
          <w:tcPr>
            <w:tcW w:w="2723" w:type="dxa"/>
            <w:gridSpan w:val="2"/>
            <w:vAlign w:val="center"/>
          </w:tcPr>
          <w:p>
            <w:pPr>
              <w:widowControl/>
              <w:snapToGrid w:val="0"/>
              <w:spacing w:line="420" w:lineRule="exact"/>
              <w:jc w:val="center"/>
              <w:rPr>
                <w:rFonts w:ascii="宋体" w:hAnsi="宋体" w:cs="宋体"/>
                <w:szCs w:val="21"/>
              </w:rPr>
            </w:pPr>
            <w:r>
              <w:rPr>
                <w:rFonts w:hint="eastAsia" w:ascii="宋体" w:hAnsi="宋体" w:cs="宋体"/>
              </w:rPr>
              <w:t>《环境空气质量标准》（GB 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925" w:type="dxa"/>
            <w:gridSpan w:val="2"/>
            <w:vMerge w:val="continue"/>
            <w:vAlign w:val="center"/>
          </w:tcPr>
          <w:p>
            <w:pPr>
              <w:pStyle w:val="7"/>
              <w:spacing w:before="0" w:after="0" w:line="420" w:lineRule="exact"/>
              <w:ind w:right="0"/>
              <w:jc w:val="center"/>
              <w:rPr>
                <w:rFonts w:ascii="宋体" w:hAnsi="宋体" w:cs="宋体"/>
                <w:szCs w:val="21"/>
              </w:rPr>
            </w:pPr>
          </w:p>
        </w:tc>
        <w:tc>
          <w:tcPr>
            <w:tcW w:w="1495"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声环境</w:t>
            </w:r>
          </w:p>
        </w:tc>
        <w:tc>
          <w:tcPr>
            <w:tcW w:w="2380" w:type="dxa"/>
            <w:gridSpan w:val="3"/>
            <w:vAlign w:val="center"/>
          </w:tcPr>
          <w:p>
            <w:pPr>
              <w:widowControl/>
              <w:snapToGrid w:val="0"/>
              <w:spacing w:line="420" w:lineRule="exact"/>
              <w:jc w:val="center"/>
              <w:rPr>
                <w:rFonts w:ascii="宋体" w:hAnsi="宋体" w:cs="宋体"/>
                <w:szCs w:val="21"/>
              </w:rPr>
            </w:pPr>
            <w:r>
              <w:rPr>
                <w:rFonts w:hint="eastAsia" w:ascii="宋体" w:hAnsi="宋体" w:cs="宋体"/>
              </w:rPr>
              <w:t>噪声</w:t>
            </w:r>
          </w:p>
        </w:tc>
        <w:tc>
          <w:tcPr>
            <w:tcW w:w="2723" w:type="dxa"/>
            <w:gridSpan w:val="2"/>
            <w:vAlign w:val="center"/>
          </w:tcPr>
          <w:p>
            <w:pPr>
              <w:widowControl/>
              <w:snapToGrid w:val="0"/>
              <w:spacing w:line="420" w:lineRule="exact"/>
              <w:jc w:val="center"/>
              <w:rPr>
                <w:rFonts w:ascii="宋体" w:hAnsi="宋体" w:cs="宋体"/>
                <w:szCs w:val="21"/>
              </w:rPr>
            </w:pPr>
            <w:r>
              <w:rPr>
                <w:rFonts w:hint="eastAsia" w:ascii="宋体" w:hAnsi="宋体" w:cs="宋体"/>
              </w:rPr>
              <w:t>《声环境质量标准》（GB 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925" w:type="dxa"/>
            <w:gridSpan w:val="2"/>
            <w:vMerge w:val="restart"/>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污染物排放标准</w:t>
            </w:r>
          </w:p>
        </w:tc>
        <w:tc>
          <w:tcPr>
            <w:tcW w:w="1495" w:type="dxa"/>
            <w:gridSpan w:val="2"/>
            <w:vMerge w:val="restart"/>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废气</w:t>
            </w:r>
          </w:p>
        </w:tc>
        <w:tc>
          <w:tcPr>
            <w:tcW w:w="2380" w:type="dxa"/>
            <w:gridSpan w:val="3"/>
            <w:vAlign w:val="center"/>
          </w:tcPr>
          <w:p>
            <w:pPr>
              <w:widowControl/>
              <w:snapToGrid w:val="0"/>
              <w:spacing w:line="420" w:lineRule="exact"/>
              <w:jc w:val="center"/>
              <w:rPr>
                <w:rFonts w:ascii="宋体" w:hAnsi="宋体" w:cs="宋体"/>
                <w:szCs w:val="21"/>
              </w:rPr>
            </w:pPr>
            <w:r>
              <w:rPr>
                <w:rFonts w:hint="eastAsia" w:ascii="宋体" w:hAnsi="宋体" w:cs="宋体"/>
              </w:rPr>
              <w:t>施工期柴油机、发电机排放废气</w:t>
            </w:r>
          </w:p>
        </w:tc>
        <w:tc>
          <w:tcPr>
            <w:tcW w:w="2723" w:type="dxa"/>
            <w:gridSpan w:val="2"/>
            <w:vAlign w:val="center"/>
          </w:tcPr>
          <w:p>
            <w:pPr>
              <w:widowControl/>
              <w:snapToGrid w:val="0"/>
              <w:spacing w:line="420" w:lineRule="exact"/>
              <w:jc w:val="center"/>
              <w:rPr>
                <w:rFonts w:ascii="宋体" w:hAnsi="宋体" w:cs="宋体"/>
                <w:szCs w:val="21"/>
              </w:rPr>
            </w:pPr>
            <w:r>
              <w:rPr>
                <w:rFonts w:hint="eastAsia" w:ascii="宋体" w:hAnsi="宋体" w:cs="宋体"/>
              </w:rPr>
              <w:t>《大气污染物综合排放标准》（GB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925" w:type="dxa"/>
            <w:gridSpan w:val="2"/>
            <w:vMerge w:val="continue"/>
            <w:vAlign w:val="center"/>
          </w:tcPr>
          <w:p>
            <w:pPr>
              <w:pStyle w:val="7"/>
              <w:spacing w:before="0" w:after="0" w:line="420" w:lineRule="exact"/>
              <w:ind w:right="0"/>
              <w:jc w:val="center"/>
              <w:rPr>
                <w:rFonts w:ascii="宋体" w:hAnsi="宋体" w:cs="宋体"/>
                <w:szCs w:val="21"/>
              </w:rPr>
            </w:pPr>
          </w:p>
        </w:tc>
        <w:tc>
          <w:tcPr>
            <w:tcW w:w="1495" w:type="dxa"/>
            <w:gridSpan w:val="2"/>
            <w:vMerge w:val="continue"/>
            <w:vAlign w:val="center"/>
          </w:tcPr>
          <w:p>
            <w:pPr>
              <w:pStyle w:val="7"/>
              <w:spacing w:before="0" w:after="0" w:line="420" w:lineRule="exact"/>
              <w:ind w:right="0"/>
              <w:jc w:val="center"/>
              <w:rPr>
                <w:rFonts w:ascii="宋体" w:hAnsi="宋体" w:cs="宋体"/>
                <w:szCs w:val="21"/>
              </w:rPr>
            </w:pPr>
          </w:p>
        </w:tc>
        <w:tc>
          <w:tcPr>
            <w:tcW w:w="2380" w:type="dxa"/>
            <w:gridSpan w:val="3"/>
            <w:vAlign w:val="center"/>
          </w:tcPr>
          <w:p>
            <w:pPr>
              <w:widowControl/>
              <w:snapToGrid w:val="0"/>
              <w:spacing w:line="420" w:lineRule="exact"/>
              <w:jc w:val="center"/>
              <w:rPr>
                <w:rFonts w:ascii="宋体" w:hAnsi="宋体" w:cs="宋体"/>
                <w:szCs w:val="21"/>
              </w:rPr>
            </w:pPr>
            <w:r>
              <w:rPr>
                <w:rFonts w:hint="eastAsia" w:ascii="宋体" w:hAnsi="宋体" w:cs="宋体"/>
              </w:rPr>
              <w:t>试油期非甲烷总烃</w:t>
            </w:r>
          </w:p>
        </w:tc>
        <w:tc>
          <w:tcPr>
            <w:tcW w:w="2723" w:type="dxa"/>
            <w:gridSpan w:val="2"/>
            <w:vAlign w:val="center"/>
          </w:tcPr>
          <w:p>
            <w:pPr>
              <w:widowControl/>
              <w:snapToGrid w:val="0"/>
              <w:spacing w:line="420" w:lineRule="exact"/>
              <w:jc w:val="center"/>
              <w:rPr>
                <w:rFonts w:ascii="宋体" w:hAnsi="宋体" w:cs="宋体"/>
                <w:szCs w:val="21"/>
              </w:rPr>
            </w:pPr>
            <w:r>
              <w:rPr>
                <w:rFonts w:hint="eastAsia" w:ascii="宋体" w:hAnsi="宋体" w:cs="宋体"/>
              </w:rPr>
              <w:t>《陆上石油天然气开采工业大气污染物排放标准》（GB 39728-2020）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925" w:type="dxa"/>
            <w:gridSpan w:val="2"/>
            <w:vMerge w:val="continue"/>
            <w:vAlign w:val="center"/>
          </w:tcPr>
          <w:p>
            <w:pPr>
              <w:pStyle w:val="7"/>
              <w:spacing w:before="0" w:after="0" w:line="420" w:lineRule="exact"/>
              <w:ind w:right="0"/>
              <w:jc w:val="center"/>
              <w:rPr>
                <w:rFonts w:ascii="宋体" w:hAnsi="宋体" w:cs="宋体"/>
                <w:szCs w:val="21"/>
              </w:rPr>
            </w:pPr>
          </w:p>
        </w:tc>
        <w:tc>
          <w:tcPr>
            <w:tcW w:w="1495"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噪声</w:t>
            </w:r>
          </w:p>
        </w:tc>
        <w:tc>
          <w:tcPr>
            <w:tcW w:w="2380" w:type="dxa"/>
            <w:gridSpan w:val="3"/>
            <w:vAlign w:val="center"/>
          </w:tcPr>
          <w:p>
            <w:pPr>
              <w:widowControl/>
              <w:snapToGrid w:val="0"/>
              <w:spacing w:line="420" w:lineRule="exact"/>
              <w:jc w:val="center"/>
              <w:rPr>
                <w:rFonts w:ascii="宋体" w:hAnsi="宋体" w:cs="宋体"/>
                <w:szCs w:val="21"/>
              </w:rPr>
            </w:pPr>
            <w:r>
              <w:rPr>
                <w:rFonts w:hint="eastAsia" w:ascii="宋体" w:hAnsi="宋体" w:cs="宋体"/>
              </w:rPr>
              <w:t>施工期井场噪声</w:t>
            </w:r>
          </w:p>
        </w:tc>
        <w:tc>
          <w:tcPr>
            <w:tcW w:w="2723" w:type="dxa"/>
            <w:gridSpan w:val="2"/>
            <w:vAlign w:val="center"/>
          </w:tcPr>
          <w:p>
            <w:pPr>
              <w:widowControl/>
              <w:snapToGrid w:val="0"/>
              <w:spacing w:line="420" w:lineRule="exact"/>
              <w:jc w:val="center"/>
              <w:rPr>
                <w:rFonts w:ascii="宋体" w:hAnsi="宋体" w:cs="宋体"/>
                <w:szCs w:val="21"/>
              </w:rPr>
            </w:pPr>
            <w:r>
              <w:rPr>
                <w:rFonts w:hint="eastAsia" w:ascii="宋体" w:hAnsi="宋体" w:cs="宋体"/>
              </w:rPr>
              <w:t>《建筑施工场界环境噪声排放标准》（GB 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925" w:type="dxa"/>
            <w:gridSpan w:val="2"/>
            <w:vMerge w:val="restart"/>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污染物控制标准</w:t>
            </w:r>
          </w:p>
        </w:tc>
        <w:tc>
          <w:tcPr>
            <w:tcW w:w="849" w:type="dxa"/>
            <w:vMerge w:val="restart"/>
            <w:tcBorders>
              <w:right w:val="single" w:color="000000" w:sz="4" w:space="0"/>
            </w:tcBorders>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固废</w:t>
            </w:r>
          </w:p>
        </w:tc>
        <w:tc>
          <w:tcPr>
            <w:tcW w:w="646" w:type="dxa"/>
            <w:tcBorders>
              <w:left w:val="single" w:color="000000" w:sz="4" w:space="0"/>
            </w:tcBorders>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一般固废</w:t>
            </w:r>
          </w:p>
        </w:tc>
        <w:tc>
          <w:tcPr>
            <w:tcW w:w="2380" w:type="dxa"/>
            <w:gridSpan w:val="3"/>
            <w:vAlign w:val="center"/>
          </w:tcPr>
          <w:p>
            <w:pPr>
              <w:widowControl/>
              <w:snapToGrid w:val="0"/>
              <w:spacing w:line="420" w:lineRule="exact"/>
              <w:jc w:val="center"/>
              <w:rPr>
                <w:rFonts w:ascii="宋体" w:hAnsi="宋体" w:cs="宋体"/>
                <w:szCs w:val="21"/>
              </w:rPr>
            </w:pPr>
            <w:r>
              <w:rPr>
                <w:rFonts w:hint="eastAsia" w:ascii="宋体" w:hAnsi="宋体" w:cs="宋体"/>
              </w:rPr>
              <w:t>水基钻井岩屑</w:t>
            </w:r>
          </w:p>
        </w:tc>
        <w:tc>
          <w:tcPr>
            <w:tcW w:w="2723" w:type="dxa"/>
            <w:gridSpan w:val="2"/>
            <w:vAlign w:val="center"/>
          </w:tcPr>
          <w:p>
            <w:pPr>
              <w:widowControl/>
              <w:snapToGrid w:val="0"/>
              <w:spacing w:line="420" w:lineRule="exact"/>
              <w:jc w:val="center"/>
              <w:rPr>
                <w:rFonts w:ascii="宋体" w:hAnsi="宋体" w:cs="宋体"/>
                <w:szCs w:val="21"/>
              </w:rPr>
            </w:pPr>
            <w:r>
              <w:rPr>
                <w:rFonts w:hint="eastAsia" w:ascii="宋体" w:hAnsi="宋体" w:cs="宋体"/>
              </w:rPr>
              <w:t>《一般工业固体废物贮存和填埋污染控制标准》（GB 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Merge w:val="continue"/>
            <w:vAlign w:val="center"/>
          </w:tcPr>
          <w:p>
            <w:pPr>
              <w:pStyle w:val="7"/>
              <w:spacing w:before="0" w:after="0" w:line="420" w:lineRule="exact"/>
              <w:ind w:right="0"/>
              <w:jc w:val="center"/>
              <w:rPr>
                <w:rFonts w:ascii="宋体" w:hAnsi="宋体" w:cs="宋体"/>
                <w:sz w:val="24"/>
                <w:szCs w:val="24"/>
              </w:rPr>
            </w:pPr>
          </w:p>
        </w:tc>
        <w:tc>
          <w:tcPr>
            <w:tcW w:w="925" w:type="dxa"/>
            <w:gridSpan w:val="2"/>
            <w:vMerge w:val="continue"/>
            <w:vAlign w:val="center"/>
          </w:tcPr>
          <w:p>
            <w:pPr>
              <w:pStyle w:val="7"/>
              <w:spacing w:before="0" w:after="0" w:line="420" w:lineRule="exact"/>
              <w:ind w:right="0"/>
              <w:jc w:val="center"/>
              <w:rPr>
                <w:rFonts w:ascii="宋体" w:hAnsi="宋体" w:cs="宋体"/>
                <w:szCs w:val="21"/>
              </w:rPr>
            </w:pPr>
          </w:p>
        </w:tc>
        <w:tc>
          <w:tcPr>
            <w:tcW w:w="849" w:type="dxa"/>
            <w:vMerge w:val="continue"/>
            <w:tcBorders>
              <w:right w:val="single" w:color="000000" w:sz="4" w:space="0"/>
            </w:tcBorders>
            <w:vAlign w:val="center"/>
          </w:tcPr>
          <w:p>
            <w:pPr>
              <w:pStyle w:val="7"/>
              <w:spacing w:before="0" w:after="0" w:line="420" w:lineRule="exact"/>
              <w:ind w:right="0"/>
              <w:jc w:val="center"/>
              <w:rPr>
                <w:rFonts w:ascii="宋体" w:hAnsi="宋体" w:cs="宋体"/>
                <w:szCs w:val="21"/>
              </w:rPr>
            </w:pPr>
          </w:p>
        </w:tc>
        <w:tc>
          <w:tcPr>
            <w:tcW w:w="646" w:type="dxa"/>
            <w:tcBorders>
              <w:left w:val="single" w:color="000000" w:sz="4" w:space="0"/>
            </w:tcBorders>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危险废物</w:t>
            </w:r>
          </w:p>
        </w:tc>
        <w:tc>
          <w:tcPr>
            <w:tcW w:w="2380" w:type="dxa"/>
            <w:gridSpan w:val="3"/>
            <w:vAlign w:val="center"/>
          </w:tcPr>
          <w:p>
            <w:pPr>
              <w:pStyle w:val="7"/>
              <w:spacing w:before="0" w:after="0" w:line="420" w:lineRule="exact"/>
              <w:ind w:right="0"/>
              <w:jc w:val="center"/>
              <w:rPr>
                <w:rFonts w:ascii="宋体" w:hAnsi="宋体" w:cs="宋体"/>
                <w:szCs w:val="21"/>
              </w:rPr>
            </w:pPr>
            <w:r>
              <w:rPr>
                <w:rFonts w:hint="eastAsia" w:ascii="宋体" w:hAnsi="宋体" w:cs="宋体"/>
                <w:szCs w:val="21"/>
              </w:rPr>
              <w:t>废防渗材料</w:t>
            </w:r>
          </w:p>
        </w:tc>
        <w:tc>
          <w:tcPr>
            <w:tcW w:w="2723" w:type="dxa"/>
            <w:gridSpan w:val="2"/>
            <w:vAlign w:val="center"/>
          </w:tcPr>
          <w:p>
            <w:pPr>
              <w:pStyle w:val="7"/>
              <w:spacing w:before="0" w:after="0" w:line="420" w:lineRule="exact"/>
              <w:ind w:right="0"/>
              <w:jc w:val="center"/>
              <w:rPr>
                <w:rFonts w:ascii="宋体" w:hAnsi="宋体" w:cs="宋体"/>
                <w:szCs w:val="21"/>
              </w:rPr>
            </w:pPr>
            <w:r>
              <w:rPr>
                <w:rFonts w:hint="eastAsia" w:ascii="宋体" w:hAnsi="宋体" w:cs="宋体"/>
              </w:rPr>
              <w:t>《危险废物贮存污染控制标准》（GB 18597-2001）及修改单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73" w:type="dxa"/>
            <w:vAlign w:val="center"/>
          </w:tcPr>
          <w:p>
            <w:pPr>
              <w:pStyle w:val="7"/>
              <w:spacing w:before="0" w:after="0" w:line="500" w:lineRule="exact"/>
              <w:ind w:right="0"/>
              <w:jc w:val="center"/>
              <w:rPr>
                <w:rFonts w:ascii="宋体" w:hAnsi="宋体" w:cs="宋体"/>
                <w:sz w:val="24"/>
                <w:szCs w:val="24"/>
              </w:rPr>
            </w:pPr>
            <w:r>
              <w:rPr>
                <w:rFonts w:hint="eastAsia" w:ascii="宋体" w:hAnsi="宋体" w:cs="宋体"/>
                <w:sz w:val="24"/>
                <w:szCs w:val="24"/>
              </w:rPr>
              <w:t>其他</w:t>
            </w:r>
          </w:p>
        </w:tc>
        <w:tc>
          <w:tcPr>
            <w:tcW w:w="7523" w:type="dxa"/>
            <w:gridSpan w:val="9"/>
            <w:vAlign w:val="center"/>
          </w:tcPr>
          <w:p>
            <w:pPr>
              <w:widowControl/>
              <w:snapToGrid w:val="0"/>
              <w:spacing w:line="500" w:lineRule="exact"/>
              <w:ind w:firstLine="480" w:firstLineChars="200"/>
              <w:rPr>
                <w:sz w:val="24"/>
              </w:rPr>
            </w:pPr>
            <w:r>
              <w:rPr>
                <w:sz w:val="24"/>
              </w:rPr>
              <w:t>本项目钻试周期短，污染物产生量少，钻试期结束后</w:t>
            </w:r>
            <w:r>
              <w:rPr>
                <w:rFonts w:hint="eastAsia"/>
                <w:sz w:val="24"/>
              </w:rPr>
              <w:t>污染物停止排放</w:t>
            </w:r>
            <w:r>
              <w:rPr>
                <w:sz w:val="24"/>
              </w:rPr>
              <w:t>，故不提出总量控制指标。</w:t>
            </w:r>
          </w:p>
        </w:tc>
      </w:tr>
    </w:tbl>
    <w:p>
      <w:pPr>
        <w:pStyle w:val="7"/>
        <w:rPr>
          <w:rFonts w:ascii="宋体" w:hAnsi="宋体" w:cs="宋体"/>
          <w:sz w:val="24"/>
          <w:szCs w:val="24"/>
        </w:rPr>
        <w:sectPr>
          <w:pgSz w:w="11906" w:h="16838"/>
          <w:pgMar w:top="1440" w:right="1800" w:bottom="1440" w:left="1800" w:header="851" w:footer="992" w:gutter="0"/>
          <w:cols w:space="425" w:num="1"/>
          <w:docGrid w:type="lines" w:linePitch="312" w:charSpace="0"/>
        </w:sectPr>
      </w:pPr>
    </w:p>
    <w:p>
      <w:pPr>
        <w:pStyle w:val="4"/>
        <w:snapToGrid w:val="0"/>
        <w:spacing w:before="0" w:after="0" w:line="360" w:lineRule="auto"/>
        <w:jc w:val="center"/>
        <w:rPr>
          <w:rFonts w:ascii="黑体" w:hAnsi="黑体" w:eastAsia="黑体" w:cs="黑体"/>
          <w:b w:val="0"/>
          <w:bCs/>
          <w:sz w:val="30"/>
          <w:szCs w:val="30"/>
        </w:rPr>
      </w:pPr>
      <w:r>
        <w:rPr>
          <w:rFonts w:hint="eastAsia" w:ascii="黑体" w:hAnsi="黑体" w:eastAsia="黑体" w:cs="黑体"/>
          <w:b w:val="0"/>
          <w:bCs/>
          <w:sz w:val="30"/>
          <w:szCs w:val="30"/>
        </w:rPr>
        <w:t>四、生态环境影响分析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7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pPr>
              <w:pStyle w:val="7"/>
              <w:spacing w:before="0" w:after="0" w:line="500" w:lineRule="exact"/>
              <w:ind w:right="0"/>
              <w:jc w:val="center"/>
              <w:rPr>
                <w:rFonts w:ascii="宋体" w:hAnsi="宋体" w:cs="宋体"/>
                <w:sz w:val="24"/>
                <w:szCs w:val="24"/>
              </w:rPr>
            </w:pPr>
            <w:r>
              <w:rPr>
                <w:rFonts w:hint="eastAsia" w:ascii="宋体" w:hAnsi="宋体" w:cs="宋体"/>
                <w:sz w:val="24"/>
                <w:szCs w:val="24"/>
              </w:rPr>
              <w:t>施工期生态环境影响分析</w:t>
            </w:r>
          </w:p>
        </w:tc>
        <w:tc>
          <w:tcPr>
            <w:tcW w:w="7509" w:type="dxa"/>
          </w:tcPr>
          <w:p>
            <w:pPr>
              <w:pStyle w:val="7"/>
              <w:spacing w:before="0" w:after="0" w:line="500" w:lineRule="exact"/>
              <w:ind w:right="0" w:firstLine="482" w:firstLineChars="200"/>
              <w:rPr>
                <w:rFonts w:ascii="宋体" w:hAnsi="宋体" w:cs="宋体"/>
                <w:b/>
                <w:bCs/>
                <w:sz w:val="24"/>
                <w:szCs w:val="24"/>
              </w:rPr>
            </w:pPr>
            <w:r>
              <w:rPr>
                <w:rFonts w:hint="eastAsia" w:ascii="宋体" w:hAnsi="宋体" w:cs="宋体"/>
                <w:b/>
                <w:bCs/>
                <w:sz w:val="24"/>
                <w:szCs w:val="24"/>
              </w:rPr>
              <w:t>1、生态环境影响分析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（1）工程占地</w:t>
            </w:r>
          </w:p>
          <w:p>
            <w:pPr>
              <w:pStyle w:val="7"/>
              <w:spacing w:before="0" w:after="0" w:line="500" w:lineRule="exact"/>
              <w:ind w:right="0" w:firstLine="480" w:firstLineChars="200"/>
              <w:rPr>
                <w:rFonts w:ascii="宋体" w:hAnsi="宋体" w:cs="宋体"/>
                <w:sz w:val="24"/>
                <w:szCs w:val="24"/>
              </w:rPr>
            </w:pPr>
            <w:bookmarkStart w:id="16" w:name="_Hlk105664491"/>
            <w:r>
              <w:rPr>
                <w:rFonts w:hint="eastAsia" w:ascii="宋体" w:hAnsi="宋体" w:cs="宋体"/>
                <w:sz w:val="24"/>
                <w:szCs w:val="24"/>
              </w:rPr>
              <w:t>康9井占地主要包括探临道路、井场、放喷管线和生活营地等，总占地面积</w:t>
            </w:r>
            <w:r>
              <w:rPr>
                <w:rFonts w:ascii="宋体" w:hAnsi="宋体" w:cs="宋体"/>
                <w:sz w:val="24"/>
                <w:szCs w:val="24"/>
              </w:rPr>
              <w:t>20490</w:t>
            </w:r>
            <w:r>
              <w:rPr>
                <w:rFonts w:hint="eastAsia" w:ascii="宋体" w:hAnsi="宋体" w:cs="宋体"/>
                <w:sz w:val="24"/>
                <w:szCs w:val="24"/>
              </w:rPr>
              <w:t>m</w:t>
            </w:r>
            <w:r>
              <w:rPr>
                <w:rFonts w:hint="eastAsia" w:ascii="宋体" w:hAnsi="宋体" w:cs="宋体"/>
                <w:sz w:val="24"/>
                <w:szCs w:val="24"/>
                <w:vertAlign w:val="superscript"/>
              </w:rPr>
              <w:t>2</w:t>
            </w:r>
            <w:r>
              <w:rPr>
                <w:rFonts w:hint="eastAsia" w:ascii="宋体" w:hAnsi="宋体" w:cs="宋体"/>
                <w:sz w:val="24"/>
                <w:szCs w:val="24"/>
              </w:rPr>
              <w:t>，均为临时占地。项目井场占地情况见表9。</w:t>
            </w:r>
          </w:p>
          <w:p>
            <w:pPr>
              <w:pStyle w:val="25"/>
              <w:ind w:firstLine="420"/>
              <w:jc w:val="center"/>
              <w:rPr>
                <w:rFonts w:ascii="黑体" w:hAnsi="黑体" w:eastAsia="黑体"/>
                <w:szCs w:val="21"/>
              </w:rPr>
            </w:pPr>
            <w:bookmarkStart w:id="17" w:name="_Ref67772631"/>
            <w:r>
              <w:rPr>
                <w:rFonts w:hint="eastAsia" w:ascii="黑体" w:hAnsi="黑体" w:eastAsia="黑体"/>
                <w:szCs w:val="21"/>
              </w:rPr>
              <w:t>表9</w:t>
            </w:r>
            <w:r>
              <w:rPr>
                <w:rFonts w:ascii="黑体" w:hAnsi="黑体" w:eastAsia="黑体"/>
                <w:szCs w:val="21"/>
              </w:rPr>
              <w:t xml:space="preserve">  </w:t>
            </w:r>
            <w:r>
              <w:rPr>
                <w:rFonts w:hint="eastAsia" w:ascii="黑体" w:hAnsi="黑体" w:eastAsia="黑体"/>
                <w:szCs w:val="21"/>
              </w:rPr>
              <w:t>工程占地一览表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437"/>
              <w:gridCol w:w="1779"/>
              <w:gridCol w:w="1475"/>
              <w:gridCol w:w="1345"/>
              <w:gridCol w:w="12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85" w:type="pct"/>
                  <w:vAlign w:val="center"/>
                </w:tcPr>
                <w:p>
                  <w:pPr>
                    <w:pStyle w:val="26"/>
                    <w:spacing w:line="300" w:lineRule="exact"/>
                  </w:pPr>
                  <w:r>
                    <w:rPr>
                      <w:rFonts w:hint="eastAsia"/>
                    </w:rPr>
                    <w:t>施工井场</w:t>
                  </w:r>
                </w:p>
                <w:p>
                  <w:pPr>
                    <w:pStyle w:val="26"/>
                    <w:spacing w:line="300" w:lineRule="exact"/>
                  </w:pPr>
                  <w:r>
                    <w:rPr>
                      <w:rFonts w:hint="eastAsia"/>
                    </w:rPr>
                    <w:t>（m×m）</w:t>
                  </w:r>
                </w:p>
              </w:tc>
              <w:tc>
                <w:tcPr>
                  <w:tcW w:w="1220" w:type="pct"/>
                  <w:vAlign w:val="center"/>
                </w:tcPr>
                <w:p>
                  <w:pPr>
                    <w:pStyle w:val="26"/>
                    <w:spacing w:line="300" w:lineRule="exact"/>
                  </w:pPr>
                  <w:r>
                    <w:rPr>
                      <w:rFonts w:hint="eastAsia"/>
                    </w:rPr>
                    <w:t>放喷管线</w:t>
                  </w:r>
                </w:p>
                <w:p>
                  <w:pPr>
                    <w:pStyle w:val="26"/>
                    <w:spacing w:line="300" w:lineRule="exact"/>
                  </w:pPr>
                  <w:r>
                    <w:rPr>
                      <w:rFonts w:hint="eastAsia"/>
                    </w:rPr>
                    <w:t>（m×m）</w:t>
                  </w:r>
                </w:p>
              </w:tc>
              <w:tc>
                <w:tcPr>
                  <w:tcW w:w="1011" w:type="pct"/>
                  <w:vAlign w:val="center"/>
                </w:tcPr>
                <w:p>
                  <w:pPr>
                    <w:pStyle w:val="26"/>
                    <w:spacing w:line="300" w:lineRule="exact"/>
                  </w:pPr>
                  <w:r>
                    <w:rPr>
                      <w:rFonts w:hint="eastAsia"/>
                    </w:rPr>
                    <w:t>生活营地</w:t>
                  </w:r>
                </w:p>
                <w:p>
                  <w:pPr>
                    <w:pStyle w:val="26"/>
                    <w:spacing w:line="300" w:lineRule="exact"/>
                  </w:pPr>
                  <w:r>
                    <w:rPr>
                      <w:rFonts w:hint="eastAsia"/>
                    </w:rPr>
                    <w:t>（m×m）</w:t>
                  </w:r>
                </w:p>
              </w:tc>
              <w:tc>
                <w:tcPr>
                  <w:tcW w:w="922" w:type="pct"/>
                  <w:vAlign w:val="center"/>
                </w:tcPr>
                <w:p>
                  <w:pPr>
                    <w:pStyle w:val="26"/>
                    <w:spacing w:line="300" w:lineRule="exact"/>
                  </w:pPr>
                  <w:r>
                    <w:rPr>
                      <w:rFonts w:hint="eastAsia"/>
                    </w:rPr>
                    <w:t>探临道路</w:t>
                  </w:r>
                </w:p>
                <w:p>
                  <w:pPr>
                    <w:pStyle w:val="26"/>
                    <w:spacing w:line="300" w:lineRule="exact"/>
                  </w:pPr>
                  <w:r>
                    <w:rPr>
                      <w:rFonts w:hint="eastAsia"/>
                    </w:rPr>
                    <w:t>（m×m）</w:t>
                  </w:r>
                </w:p>
              </w:tc>
              <w:tc>
                <w:tcPr>
                  <w:tcW w:w="862" w:type="pct"/>
                  <w:vAlign w:val="center"/>
                </w:tcPr>
                <w:p>
                  <w:pPr>
                    <w:pStyle w:val="26"/>
                    <w:spacing w:line="300" w:lineRule="exact"/>
                  </w:pPr>
                  <w:r>
                    <w:rPr>
                      <w:rFonts w:hint="eastAsia"/>
                    </w:rPr>
                    <w:t>总占地面积（m</w:t>
                  </w:r>
                  <w:r>
                    <w:rPr>
                      <w:rFonts w:hint="eastAsia"/>
                      <w:vertAlign w:val="superscript"/>
                    </w:rPr>
                    <w:t>2</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985" w:type="pct"/>
                  <w:vAlign w:val="center"/>
                </w:tcPr>
                <w:p>
                  <w:pPr>
                    <w:pStyle w:val="26"/>
                    <w:spacing w:line="300" w:lineRule="exact"/>
                  </w:pPr>
                  <w:r>
                    <w:rPr>
                      <w:kern w:val="0"/>
                    </w:rPr>
                    <w:t>120</w:t>
                  </w:r>
                  <w:r>
                    <w:rPr>
                      <w:rFonts w:hint="eastAsia"/>
                      <w:kern w:val="0"/>
                    </w:rPr>
                    <w:t>×</w:t>
                  </w:r>
                  <w:r>
                    <w:rPr>
                      <w:kern w:val="0"/>
                    </w:rPr>
                    <w:t>130</w:t>
                  </w:r>
                </w:p>
              </w:tc>
              <w:tc>
                <w:tcPr>
                  <w:tcW w:w="1220" w:type="pct"/>
                  <w:vAlign w:val="center"/>
                </w:tcPr>
                <w:p>
                  <w:pPr>
                    <w:pStyle w:val="26"/>
                    <w:spacing w:line="300" w:lineRule="exact"/>
                  </w:pPr>
                  <w:r>
                    <w:rPr>
                      <w:lang w:bidi="zh-CN"/>
                    </w:rPr>
                    <w:t>30×4+30×4</w:t>
                  </w:r>
                </w:p>
              </w:tc>
              <w:tc>
                <w:tcPr>
                  <w:tcW w:w="1011" w:type="pct"/>
                  <w:vAlign w:val="center"/>
                </w:tcPr>
                <w:p>
                  <w:pPr>
                    <w:pStyle w:val="26"/>
                    <w:spacing w:line="300" w:lineRule="exact"/>
                  </w:pPr>
                  <w:r>
                    <w:rPr>
                      <w:rFonts w:cs="宋体"/>
                    </w:rPr>
                    <w:t>55×75</w:t>
                  </w:r>
                </w:p>
              </w:tc>
              <w:tc>
                <w:tcPr>
                  <w:tcW w:w="922" w:type="pct"/>
                  <w:vAlign w:val="center"/>
                </w:tcPr>
                <w:p>
                  <w:pPr>
                    <w:pStyle w:val="26"/>
                    <w:spacing w:line="300" w:lineRule="exact"/>
                  </w:pPr>
                  <w:r>
                    <w:t>100</w:t>
                  </w:r>
                  <w:r>
                    <w:rPr>
                      <w:rFonts w:hint="eastAsia"/>
                    </w:rPr>
                    <w:t>×</w:t>
                  </w:r>
                  <w:r>
                    <w:t>7</w:t>
                  </w:r>
                </w:p>
              </w:tc>
              <w:tc>
                <w:tcPr>
                  <w:tcW w:w="862" w:type="pct"/>
                  <w:vAlign w:val="center"/>
                </w:tcPr>
                <w:p>
                  <w:pPr>
                    <w:pStyle w:val="26"/>
                    <w:spacing w:line="300" w:lineRule="exact"/>
                  </w:pPr>
                  <w:r>
                    <w:t>20490</w:t>
                  </w:r>
                </w:p>
              </w:tc>
            </w:tr>
            <w:bookmarkEnd w:id="16"/>
            <w:bookmarkEnd w:id="17"/>
          </w:tbl>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（2）对植被的影响分析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钻前工程建设及各施工阶段的人类活动是造成植被破坏的主要原因，对植被主要影响形式是施工阶段对土地的占用、清场过程中对地表植被的清理及施工过程中机械、设备的辗压。在完井后的2～3年中，将影响占地范围内的植被初级生产力。钻试结束后及时对临时占地进行清理、平整，被破坏的野生植被主要依靠自然恢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康9井西侧约</w:t>
            </w:r>
            <w:r>
              <w:rPr>
                <w:rFonts w:ascii="宋体" w:hAnsi="宋体" w:cs="宋体"/>
                <w:sz w:val="24"/>
                <w:szCs w:val="24"/>
              </w:rPr>
              <w:t>150m</w:t>
            </w:r>
            <w:r>
              <w:rPr>
                <w:rFonts w:hint="eastAsia" w:ascii="宋体" w:hAnsi="宋体" w:cs="宋体"/>
                <w:sz w:val="24"/>
                <w:szCs w:val="24"/>
              </w:rPr>
              <w:t>为农田，该农田耕作期种植的农作物为棉花，钻井过程中井场建设过程中产生的扬尘，如细小建筑物料（如沙土）的飞扬，以及土壤被扰动后导致的尘土，施工运输车辆排放的少量尾气和运输中产生的扬尘等，会对周围耕地种植的农作物产生一定影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（3）对野生动物的影响分析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项目的实施对野生动物的影响主要表现在植被减少或破坏导致野生动物食物来源减少。但评价区域野生动物数量少，且不是野生动物的唯一栖息地，故项目的实施不会对动物区域性生境产生明显影响。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）土壤环境影响分析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施工过程中不可避免的会对土壤造成人为扰动，产生破坏性影响。井场、探临道路及生活营地等临时占地，施工材料堆积、挖掘、辗压、踩踏等均会改变原有的土壤结构和理化性质，导致土壤紧实度增高，土壤团粒结构破坏等，不利于野生植被的恢复。另外施工过程中，各类机械设备若发生燃油滴漏的情况，也有可能对沿线土壤造成一定的影响。</w:t>
            </w:r>
          </w:p>
          <w:p>
            <w:pPr>
              <w:widowControl/>
              <w:spacing w:line="500" w:lineRule="exact"/>
              <w:ind w:firstLine="482" w:firstLineChars="200"/>
              <w:rPr>
                <w:rFonts w:ascii="宋体" w:hAnsi="宋体" w:cs="宋体"/>
                <w:b/>
                <w:bCs/>
                <w:kern w:val="0"/>
                <w:sz w:val="24"/>
              </w:rPr>
            </w:pPr>
            <w:r>
              <w:rPr>
                <w:rFonts w:hint="eastAsia" w:ascii="宋体" w:hAnsi="宋体" w:cs="宋体"/>
                <w:b/>
                <w:bCs/>
                <w:kern w:val="0"/>
                <w:sz w:val="24"/>
              </w:rPr>
              <w:t>2、水土流失影响分析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项目所在区域属于水土流失重点治理区，施工期会使施工范围内的土体结构遭到破坏、野生植被会受到严重破坏甚至被彻底清除，从而导致风蚀作用加剧；项目钻试结束后，由于井场、探临道路等土壤结构、自然植被的恢复还需要一定时间，区域水土流失还将继续发生。但随着时间的延长、土壤结构的变化以及地表植被的恢复，水土流失的程度会慢慢减轻。</w:t>
            </w:r>
          </w:p>
          <w:p>
            <w:pPr>
              <w:pStyle w:val="7"/>
              <w:spacing w:before="0" w:after="0" w:line="500" w:lineRule="exact"/>
              <w:ind w:right="0" w:firstLine="482" w:firstLineChars="200"/>
              <w:rPr>
                <w:rFonts w:ascii="宋体" w:hAnsi="宋体" w:cs="宋体"/>
                <w:b/>
                <w:bCs/>
                <w:sz w:val="24"/>
                <w:szCs w:val="24"/>
              </w:rPr>
            </w:pPr>
            <w:r>
              <w:rPr>
                <w:rFonts w:ascii="宋体" w:hAnsi="宋体" w:cs="宋体"/>
                <w:b/>
                <w:bCs/>
                <w:sz w:val="24"/>
                <w:szCs w:val="24"/>
              </w:rPr>
              <w:t>3</w:t>
            </w:r>
            <w:r>
              <w:rPr>
                <w:rFonts w:hint="eastAsia" w:ascii="宋体" w:hAnsi="宋体" w:cs="宋体"/>
                <w:b/>
                <w:bCs/>
                <w:sz w:val="24"/>
                <w:szCs w:val="24"/>
              </w:rPr>
              <w:t>、大气环境影响分析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施工期废气主要为车辆尾气、施工扬尘、柴油机、发电机及各类施工机械燃料燃烧烟气、伴生气放空产生的燃烧烟气等。</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（1）车辆尾气、施工扬尘</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车辆</w:t>
            </w:r>
            <w:r>
              <w:rPr>
                <w:rFonts w:hint="eastAsia" w:ascii="宋体" w:hAnsi="宋体" w:cs="宋体"/>
                <w:sz w:val="24"/>
                <w:szCs w:val="24"/>
              </w:rPr>
              <w:t>在</w:t>
            </w:r>
            <w:r>
              <w:rPr>
                <w:rFonts w:ascii="宋体" w:hAnsi="宋体" w:cs="宋体"/>
                <w:sz w:val="24"/>
                <w:szCs w:val="24"/>
              </w:rPr>
              <w:t>行驶过程</w:t>
            </w:r>
            <w:r>
              <w:rPr>
                <w:rFonts w:hint="eastAsia" w:ascii="宋体" w:hAnsi="宋体" w:cs="宋体"/>
                <w:sz w:val="24"/>
                <w:szCs w:val="24"/>
              </w:rPr>
              <w:t>中会排放</w:t>
            </w:r>
            <w:r>
              <w:rPr>
                <w:rFonts w:ascii="宋体" w:hAnsi="宋体" w:cs="宋体"/>
                <w:sz w:val="24"/>
                <w:szCs w:val="24"/>
              </w:rPr>
              <w:t>间断性、不连续的车辆尾气。</w:t>
            </w:r>
            <w:r>
              <w:rPr>
                <w:rFonts w:hint="eastAsia" w:ascii="宋体" w:hAnsi="宋体" w:cs="宋体"/>
                <w:sz w:val="24"/>
                <w:szCs w:val="24"/>
              </w:rPr>
              <w:t>但</w:t>
            </w:r>
            <w:r>
              <w:rPr>
                <w:rFonts w:ascii="宋体" w:hAnsi="宋体" w:cs="宋体"/>
                <w:sz w:val="24"/>
                <w:szCs w:val="24"/>
              </w:rPr>
              <w:t>汽车油料</w:t>
            </w:r>
            <w:r>
              <w:rPr>
                <w:rFonts w:hint="eastAsia" w:ascii="宋体" w:hAnsi="宋体" w:cs="宋体"/>
                <w:sz w:val="24"/>
                <w:szCs w:val="24"/>
              </w:rPr>
              <w:t>均</w:t>
            </w:r>
            <w:r>
              <w:rPr>
                <w:rFonts w:ascii="宋体" w:hAnsi="宋体" w:cs="宋体"/>
                <w:sz w:val="24"/>
                <w:szCs w:val="24"/>
              </w:rPr>
              <w:t>为国家合格产品，其尾气排放的污染物均符合国家标准，</w:t>
            </w:r>
            <w:r>
              <w:rPr>
                <w:rFonts w:hint="eastAsia" w:ascii="宋体" w:hAnsi="宋体" w:cs="宋体"/>
                <w:sz w:val="24"/>
                <w:szCs w:val="24"/>
              </w:rPr>
              <w:t>故其</w:t>
            </w:r>
            <w:r>
              <w:rPr>
                <w:rFonts w:ascii="宋体" w:hAnsi="宋体" w:cs="宋体"/>
                <w:sz w:val="24"/>
                <w:szCs w:val="24"/>
              </w:rPr>
              <w:t>对周围环境的影响较小。</w:t>
            </w:r>
          </w:p>
          <w:p>
            <w:pPr>
              <w:pStyle w:val="7"/>
              <w:spacing w:before="0" w:after="0" w:line="500" w:lineRule="exact"/>
              <w:ind w:right="0" w:firstLine="480" w:firstLineChars="200"/>
              <w:rPr>
                <w:rFonts w:ascii="宋体" w:hAnsi="宋体" w:cs="宋体"/>
                <w:sz w:val="24"/>
                <w:szCs w:val="24"/>
              </w:rPr>
            </w:pPr>
            <w:r>
              <w:rPr>
                <w:rFonts w:ascii="宋体" w:hAnsi="宋体" w:cs="宋体"/>
                <w:sz w:val="24"/>
                <w:szCs w:val="24"/>
              </w:rPr>
              <w:t>施工期</w:t>
            </w:r>
            <w:r>
              <w:rPr>
                <w:rFonts w:hint="eastAsia" w:ascii="宋体" w:hAnsi="宋体" w:cs="宋体"/>
                <w:sz w:val="24"/>
                <w:szCs w:val="24"/>
              </w:rPr>
              <w:t>间</w:t>
            </w:r>
            <w:r>
              <w:rPr>
                <w:rFonts w:ascii="宋体" w:hAnsi="宋体" w:cs="宋体"/>
                <w:sz w:val="24"/>
                <w:szCs w:val="24"/>
              </w:rPr>
              <w:t>土壤被扰动后</w:t>
            </w:r>
            <w:r>
              <w:rPr>
                <w:rFonts w:hint="eastAsia" w:ascii="宋体" w:hAnsi="宋体" w:cs="宋体"/>
                <w:sz w:val="24"/>
                <w:szCs w:val="24"/>
              </w:rPr>
              <w:t>产生</w:t>
            </w:r>
            <w:r>
              <w:rPr>
                <w:rFonts w:ascii="宋体" w:hAnsi="宋体" w:cs="宋体"/>
                <w:sz w:val="24"/>
                <w:szCs w:val="24"/>
              </w:rPr>
              <w:t>的尘土</w:t>
            </w:r>
            <w:r>
              <w:rPr>
                <w:rFonts w:hint="eastAsia" w:ascii="宋体" w:hAnsi="宋体" w:cs="宋体"/>
                <w:sz w:val="24"/>
                <w:szCs w:val="24"/>
              </w:rPr>
              <w:t>和</w:t>
            </w:r>
            <w:r>
              <w:rPr>
                <w:rFonts w:ascii="宋体" w:hAnsi="宋体" w:cs="宋体"/>
                <w:sz w:val="24"/>
                <w:szCs w:val="24"/>
              </w:rPr>
              <w:t>施工运输车辆产生的扬尘，</w:t>
            </w:r>
            <w:r>
              <w:rPr>
                <w:rFonts w:hint="eastAsia" w:ascii="宋体" w:hAnsi="宋体" w:cs="宋体"/>
                <w:sz w:val="24"/>
                <w:szCs w:val="24"/>
              </w:rPr>
              <w:t>均会</w:t>
            </w:r>
            <w:r>
              <w:rPr>
                <w:rFonts w:ascii="宋体" w:hAnsi="宋体" w:cs="宋体"/>
                <w:sz w:val="24"/>
                <w:szCs w:val="24"/>
              </w:rPr>
              <w:t>对环境空气造成一定的影响。但一般施工扬尘易于沉降，其影响将限制在较小的范围内，对周围大气环境影响较小。</w:t>
            </w:r>
          </w:p>
          <w:p>
            <w:pPr>
              <w:pStyle w:val="7"/>
              <w:numPr>
                <w:ilvl w:val="0"/>
                <w:numId w:val="1"/>
              </w:numPr>
              <w:spacing w:before="0" w:after="0" w:line="500" w:lineRule="exact"/>
              <w:ind w:right="0" w:firstLine="480" w:firstLineChars="200"/>
              <w:rPr>
                <w:rFonts w:ascii="宋体" w:hAnsi="宋体" w:cs="宋体"/>
                <w:sz w:val="24"/>
                <w:szCs w:val="24"/>
              </w:rPr>
            </w:pPr>
            <w:r>
              <w:rPr>
                <w:rFonts w:hint="eastAsia" w:ascii="宋体" w:hAnsi="宋体" w:cs="宋体"/>
                <w:sz w:val="24"/>
                <w:szCs w:val="24"/>
              </w:rPr>
              <w:t>柴油燃烧废气</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根据国家环境工程评估中心编制的《社会区域类环境影响评价》一书中提供的资料，柴油燃烧产污系数为SO</w:t>
            </w:r>
            <w:r>
              <w:rPr>
                <w:rFonts w:hint="eastAsia" w:ascii="宋体" w:hAnsi="宋体" w:cs="宋体"/>
                <w:sz w:val="24"/>
                <w:szCs w:val="24"/>
                <w:vertAlign w:val="subscript"/>
              </w:rPr>
              <w:t>2</w:t>
            </w:r>
            <w:r>
              <w:rPr>
                <w:rFonts w:hint="eastAsia" w:ascii="宋体" w:hAnsi="宋体" w:cs="宋体"/>
                <w:sz w:val="24"/>
                <w:szCs w:val="24"/>
              </w:rPr>
              <w:t>：2.24kg/t，NO</w:t>
            </w:r>
            <w:r>
              <w:rPr>
                <w:rFonts w:hint="eastAsia" w:ascii="宋体" w:hAnsi="宋体" w:cs="宋体"/>
                <w:sz w:val="24"/>
                <w:szCs w:val="24"/>
                <w:vertAlign w:val="subscript"/>
              </w:rPr>
              <w:t>X</w:t>
            </w:r>
            <w:r>
              <w:rPr>
                <w:rFonts w:hint="eastAsia" w:ascii="宋体" w:hAnsi="宋体" w:cs="宋体"/>
                <w:sz w:val="24"/>
                <w:szCs w:val="24"/>
              </w:rPr>
              <w:t>：2.92kg/t，总烃：2.13kg/t。本项目柴油消耗量约294t，则钻井期及试油期污染物排放总量约为；SO</w:t>
            </w:r>
            <w:r>
              <w:rPr>
                <w:rFonts w:hint="eastAsia" w:ascii="宋体" w:hAnsi="宋体" w:cs="宋体"/>
                <w:sz w:val="24"/>
                <w:szCs w:val="24"/>
                <w:vertAlign w:val="subscript"/>
              </w:rPr>
              <w:t>2</w:t>
            </w:r>
            <w:r>
              <w:rPr>
                <w:rFonts w:hint="eastAsia" w:ascii="宋体" w:hAnsi="宋体" w:cs="宋体"/>
                <w:sz w:val="24"/>
                <w:szCs w:val="24"/>
              </w:rPr>
              <w:t>：0.66t、NO</w:t>
            </w:r>
            <w:r>
              <w:rPr>
                <w:rFonts w:hint="eastAsia" w:ascii="宋体" w:hAnsi="宋体" w:cs="宋体"/>
                <w:sz w:val="24"/>
                <w:szCs w:val="24"/>
                <w:vertAlign w:val="subscript"/>
              </w:rPr>
              <w:t>x</w:t>
            </w:r>
            <w:r>
              <w:rPr>
                <w:rFonts w:hint="eastAsia" w:ascii="宋体" w:hAnsi="宋体" w:cs="宋体"/>
                <w:sz w:val="24"/>
                <w:szCs w:val="24"/>
              </w:rPr>
              <w:t>：0.86t、总烃：0.63t。</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施工期间，柴油机、发电机等设备的使用时间较短，</w:t>
            </w:r>
            <w:bookmarkStart w:id="18" w:name="_Hlk105511029"/>
            <w:r>
              <w:rPr>
                <w:rFonts w:hint="eastAsia" w:ascii="宋体" w:hAnsi="宋体" w:cs="宋体"/>
                <w:sz w:val="24"/>
                <w:szCs w:val="24"/>
              </w:rPr>
              <w:t>周围扩散条件良好，且废气随施工的结束而停止产生。因此，对项目区的大气环境影响不大。</w:t>
            </w:r>
            <w:bookmarkEnd w:id="18"/>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（3）伴生气燃烧</w:t>
            </w:r>
          </w:p>
          <w:p>
            <w:pPr>
              <w:pStyle w:val="7"/>
              <w:spacing w:before="0" w:after="0" w:line="500" w:lineRule="exact"/>
              <w:ind w:right="0" w:firstLine="480" w:firstLineChars="200"/>
              <w:rPr>
                <w:rFonts w:ascii="宋体" w:hAnsi="宋体" w:cs="宋体"/>
                <w:sz w:val="24"/>
                <w:szCs w:val="24"/>
              </w:rPr>
            </w:pPr>
            <w:bookmarkStart w:id="19" w:name="_Hlk105500356"/>
            <w:r>
              <w:rPr>
                <w:rFonts w:hint="eastAsia" w:ascii="宋体" w:hAnsi="宋体" w:cs="宋体"/>
                <w:sz w:val="24"/>
                <w:szCs w:val="24"/>
              </w:rPr>
              <w:t>钻试过程产生的伴生气量不稳定，不具备回收利用条件，通过液气分离器排气管线充分燃烧后放空，属于阶段性排放，且随着钻试结束而停止产生。</w:t>
            </w:r>
            <w:bookmarkEnd w:id="19"/>
            <w:r>
              <w:rPr>
                <w:rFonts w:hint="eastAsia" w:ascii="宋体" w:hAnsi="宋体" w:cs="宋体"/>
                <w:sz w:val="24"/>
                <w:szCs w:val="24"/>
              </w:rPr>
              <w:t>项目周边无集中居民区，地域空旷、扩散条件良好。</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综上所述，施工期间产生的废气对大气环境影响不大。</w:t>
            </w:r>
          </w:p>
          <w:p>
            <w:pPr>
              <w:pStyle w:val="7"/>
              <w:spacing w:before="0" w:after="0" w:line="500" w:lineRule="exact"/>
              <w:ind w:right="0" w:firstLine="482" w:firstLineChars="200"/>
              <w:rPr>
                <w:rFonts w:ascii="宋体" w:hAnsi="宋体" w:cs="宋体"/>
                <w:b/>
                <w:bCs/>
                <w:sz w:val="24"/>
                <w:szCs w:val="24"/>
              </w:rPr>
            </w:pPr>
            <w:r>
              <w:rPr>
                <w:rFonts w:ascii="宋体" w:hAnsi="宋体" w:cs="宋体"/>
                <w:b/>
                <w:bCs/>
                <w:sz w:val="24"/>
                <w:szCs w:val="24"/>
              </w:rPr>
              <w:t>4</w:t>
            </w:r>
            <w:r>
              <w:rPr>
                <w:rFonts w:hint="eastAsia" w:ascii="宋体" w:hAnsi="宋体" w:cs="宋体"/>
                <w:b/>
                <w:bCs/>
                <w:sz w:val="24"/>
                <w:szCs w:val="24"/>
              </w:rPr>
              <w:t>、</w:t>
            </w:r>
            <w:bookmarkStart w:id="20" w:name="_Hlk105513863"/>
            <w:r>
              <w:rPr>
                <w:rFonts w:hint="eastAsia" w:ascii="宋体" w:hAnsi="宋体" w:cs="宋体"/>
                <w:b/>
                <w:bCs/>
                <w:sz w:val="24"/>
                <w:szCs w:val="24"/>
              </w:rPr>
              <w:t>水环境影响分析</w:t>
            </w:r>
            <w:bookmarkEnd w:id="20"/>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废水主要为生活污水和试油期废水</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（1）生活污水</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施工期设置有生活营地，根据《新疆维吾尔自治区生活用水定额》，单人生活用水量取20L/d，则施工期间生活用水总量约为65m</w:t>
            </w:r>
            <w:r>
              <w:rPr>
                <w:rFonts w:hint="eastAsia" w:ascii="宋体" w:hAnsi="宋体" w:cs="宋体"/>
                <w:sz w:val="24"/>
                <w:szCs w:val="24"/>
                <w:vertAlign w:val="superscript"/>
              </w:rPr>
              <w:t>3</w:t>
            </w:r>
            <w:r>
              <w:rPr>
                <w:rFonts w:hint="eastAsia" w:ascii="宋体" w:hAnsi="宋体" w:cs="宋体"/>
                <w:sz w:val="24"/>
                <w:szCs w:val="24"/>
              </w:rPr>
              <w:t>；排水系数取0.85，则生活污水产生量约为</w:t>
            </w:r>
            <w:r>
              <w:rPr>
                <w:rFonts w:ascii="宋体" w:hAnsi="宋体" w:cs="宋体"/>
                <w:sz w:val="24"/>
                <w:szCs w:val="24"/>
              </w:rPr>
              <w:t>55</w:t>
            </w:r>
            <w:r>
              <w:rPr>
                <w:rFonts w:hint="eastAsia" w:ascii="宋体" w:hAnsi="宋体" w:cs="宋体"/>
                <w:sz w:val="24"/>
                <w:szCs w:val="24"/>
              </w:rPr>
              <w:t>m</w:t>
            </w:r>
            <w:r>
              <w:rPr>
                <w:rFonts w:hint="eastAsia" w:ascii="宋体" w:hAnsi="宋体" w:cs="宋体"/>
                <w:sz w:val="24"/>
                <w:szCs w:val="24"/>
                <w:vertAlign w:val="superscript"/>
              </w:rPr>
              <w:t>3</w:t>
            </w:r>
            <w:r>
              <w:rPr>
                <w:rFonts w:hint="eastAsia" w:ascii="宋体" w:hAnsi="宋体" w:cs="宋体"/>
                <w:sz w:val="24"/>
                <w:szCs w:val="24"/>
              </w:rPr>
              <w:t>。施工工人产生的生活污水水质与居民生活污水相似，主要污染物浓度分别为化学需氧量（COD）350mg/L、氨氮（NH</w:t>
            </w:r>
            <w:r>
              <w:rPr>
                <w:rFonts w:hint="eastAsia" w:ascii="宋体" w:hAnsi="宋体" w:cs="宋体"/>
                <w:sz w:val="24"/>
                <w:szCs w:val="24"/>
                <w:vertAlign w:val="subscript"/>
              </w:rPr>
              <w:t>3</w:t>
            </w:r>
            <w:r>
              <w:rPr>
                <w:rFonts w:hint="eastAsia" w:ascii="宋体" w:hAnsi="宋体" w:cs="宋体"/>
                <w:sz w:val="24"/>
                <w:szCs w:val="24"/>
              </w:rPr>
              <w:t>-N）30mg/L、悬浮物（SS）200mg/L，则污染物产生量COD：0.019t、NH</w:t>
            </w:r>
            <w:r>
              <w:rPr>
                <w:rFonts w:hint="eastAsia" w:ascii="宋体" w:hAnsi="宋体" w:cs="宋体"/>
                <w:sz w:val="24"/>
                <w:szCs w:val="24"/>
                <w:vertAlign w:val="subscript"/>
              </w:rPr>
              <w:t>3</w:t>
            </w:r>
            <w:r>
              <w:rPr>
                <w:rFonts w:hint="eastAsia" w:ascii="宋体" w:hAnsi="宋体" w:cs="宋体"/>
                <w:sz w:val="24"/>
                <w:szCs w:val="24"/>
              </w:rPr>
              <w:t>-N：0.002t、SS：0.011t。</w:t>
            </w:r>
          </w:p>
          <w:p>
            <w:pPr>
              <w:pStyle w:val="7"/>
              <w:spacing w:before="0" w:after="0" w:line="500" w:lineRule="exact"/>
              <w:ind w:right="0" w:firstLine="480" w:firstLineChars="200"/>
              <w:rPr>
                <w:rFonts w:ascii="宋体" w:hAnsi="宋体" w:cs="宋体"/>
                <w:sz w:val="24"/>
                <w:szCs w:val="24"/>
              </w:rPr>
            </w:pPr>
            <w:bookmarkStart w:id="21" w:name="_Hlk105586053"/>
            <w:r>
              <w:rPr>
                <w:rFonts w:hint="eastAsia" w:ascii="宋体" w:hAnsi="宋体" w:cs="宋体"/>
                <w:sz w:val="24"/>
                <w:szCs w:val="24"/>
              </w:rPr>
              <w:t>生活营地内设置1座容积不少于</w:t>
            </w:r>
            <w:r>
              <w:rPr>
                <w:rFonts w:ascii="宋体" w:hAnsi="宋体" w:cs="宋体"/>
                <w:sz w:val="24"/>
                <w:szCs w:val="24"/>
              </w:rPr>
              <w:t>55</w:t>
            </w:r>
            <w:r>
              <w:rPr>
                <w:rFonts w:hint="eastAsia" w:ascii="宋体" w:hAnsi="宋体" w:cs="宋体"/>
                <w:sz w:val="24"/>
                <w:szCs w:val="24"/>
              </w:rPr>
              <w:t>m</w:t>
            </w:r>
            <w:r>
              <w:rPr>
                <w:rFonts w:hint="eastAsia" w:ascii="宋体" w:hAnsi="宋体" w:cs="宋体"/>
                <w:sz w:val="24"/>
                <w:szCs w:val="24"/>
                <w:vertAlign w:val="superscript"/>
              </w:rPr>
              <w:t>3</w:t>
            </w:r>
            <w:r>
              <w:rPr>
                <w:rFonts w:hint="eastAsia" w:ascii="宋体" w:hAnsi="宋体" w:cs="宋体"/>
                <w:sz w:val="24"/>
                <w:szCs w:val="24"/>
              </w:rPr>
              <w:t>的临时防渗收集池，开挖后采用HDPE防渗膜铺垫防渗，其渗透系数不低于1×</w:t>
            </w:r>
            <w:r>
              <w:rPr>
                <w:rFonts w:ascii="宋体" w:hAnsi="宋体" w:cs="宋体"/>
                <w:sz w:val="24"/>
                <w:szCs w:val="24"/>
              </w:rPr>
              <w:t>10</w:t>
            </w:r>
            <w:r>
              <w:rPr>
                <w:rFonts w:hint="eastAsia" w:ascii="宋体" w:hAnsi="宋体" w:cs="宋体"/>
                <w:sz w:val="24"/>
                <w:szCs w:val="24"/>
                <w:vertAlign w:val="superscript"/>
              </w:rPr>
              <w:t>-</w:t>
            </w:r>
            <w:r>
              <w:rPr>
                <w:rFonts w:ascii="宋体" w:hAnsi="宋体" w:cs="宋体"/>
                <w:sz w:val="24"/>
                <w:szCs w:val="24"/>
                <w:vertAlign w:val="superscript"/>
              </w:rPr>
              <w:t>7</w:t>
            </w:r>
            <w:r>
              <w:rPr>
                <w:rFonts w:hint="eastAsia" w:ascii="宋体" w:hAnsi="宋体" w:cs="宋体"/>
                <w:sz w:val="24"/>
                <w:szCs w:val="24"/>
              </w:rPr>
              <w:t>cm</w:t>
            </w:r>
            <w:r>
              <w:rPr>
                <w:rFonts w:ascii="宋体" w:hAnsi="宋体" w:cs="宋体"/>
                <w:sz w:val="24"/>
                <w:szCs w:val="24"/>
              </w:rPr>
              <w:t>/s</w:t>
            </w:r>
            <w:r>
              <w:rPr>
                <w:rFonts w:hint="eastAsia" w:ascii="宋体" w:hAnsi="宋体" w:cs="宋体"/>
                <w:sz w:val="24"/>
                <w:szCs w:val="24"/>
              </w:rPr>
              <w:t>。临时防渗收集池用于收集和暂存生活污水，待施工结束后清运至吉木萨尔县污水处理厂处理，防渗膜回收。</w:t>
            </w:r>
            <w:bookmarkEnd w:id="21"/>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（2）试油废水</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试油期间洗井废水产生量约</w:t>
            </w:r>
            <w:r>
              <w:rPr>
                <w:rFonts w:ascii="宋体" w:hAnsi="宋体" w:cs="宋体"/>
                <w:sz w:val="24"/>
                <w:szCs w:val="24"/>
              </w:rPr>
              <w:t>2</w:t>
            </w:r>
            <w:r>
              <w:rPr>
                <w:rFonts w:hint="eastAsia" w:ascii="宋体" w:hAnsi="宋体" w:cs="宋体"/>
                <w:sz w:val="24"/>
                <w:szCs w:val="24"/>
              </w:rPr>
              <w:t>00m³，压裂返排液产生量约</w:t>
            </w:r>
            <w:r>
              <w:rPr>
                <w:rFonts w:ascii="宋体" w:hAnsi="宋体" w:cs="宋体"/>
                <w:sz w:val="24"/>
                <w:szCs w:val="24"/>
              </w:rPr>
              <w:t>5</w:t>
            </w:r>
            <w:r>
              <w:rPr>
                <w:rFonts w:hint="eastAsia" w:ascii="宋体" w:hAnsi="宋体" w:cs="宋体"/>
                <w:sz w:val="24"/>
                <w:szCs w:val="24"/>
              </w:rPr>
              <w:t>00m</w:t>
            </w:r>
            <w:r>
              <w:rPr>
                <w:rFonts w:hint="eastAsia" w:ascii="宋体" w:hAnsi="宋体" w:cs="宋体"/>
                <w:sz w:val="24"/>
                <w:szCs w:val="24"/>
                <w:vertAlign w:val="superscript"/>
              </w:rPr>
              <w:t>3</w:t>
            </w:r>
            <w:r>
              <w:rPr>
                <w:rFonts w:hint="eastAsia" w:ascii="宋体" w:hAnsi="宋体" w:cs="宋体"/>
                <w:sz w:val="24"/>
                <w:szCs w:val="24"/>
              </w:rPr>
              <w:t>，经专用储罐收集后由罐车拉运至沙南联合站采出水处理系统进行处理，处理达到《碎屑岩油藏注水水质推荐指标及分析方法》（SY/T 5329-2012）的相关标准后全部回注油藏，不外排。综上所述，钻试期产生的废水不会对水环境产生影响。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各井场油罐、废水储罐、发电机、材料堆场和生活污水临时防渗收集池等关键区域均采用防渗膜防渗。本次钻井深度为</w:t>
            </w:r>
            <w:r>
              <w:rPr>
                <w:rFonts w:ascii="宋体" w:hAnsi="宋体" w:cs="宋体"/>
                <w:sz w:val="24"/>
                <w:szCs w:val="24"/>
              </w:rPr>
              <w:t>39</w:t>
            </w:r>
            <w:r>
              <w:rPr>
                <w:rFonts w:hint="eastAsia" w:ascii="宋体" w:hAnsi="宋体" w:cs="宋体"/>
                <w:sz w:val="24"/>
                <w:szCs w:val="24"/>
              </w:rPr>
              <w:t>00m，钻井采用下套管注水泥固井的完井方式进行水泥固井，表层套管的深度为</w:t>
            </w:r>
            <w:r>
              <w:rPr>
                <w:rFonts w:ascii="宋体" w:hAnsi="宋体" w:cs="宋体"/>
                <w:sz w:val="24"/>
                <w:szCs w:val="24"/>
              </w:rPr>
              <w:t>9</w:t>
            </w:r>
            <w:r>
              <w:rPr>
                <w:rFonts w:hint="eastAsia" w:ascii="宋体" w:hAnsi="宋体" w:cs="宋体"/>
                <w:sz w:val="24"/>
                <w:szCs w:val="24"/>
              </w:rPr>
              <w:t>00m，对含水层进行了固封处理，可有效保护地下水层；试油目的层与地下水处于不同层系，在施工过程中确保套管下入指定深度，可有效避免钻试工程对地下水环境的影响。</w:t>
            </w:r>
          </w:p>
          <w:p>
            <w:pPr>
              <w:pStyle w:val="7"/>
              <w:spacing w:before="0" w:after="0" w:line="500" w:lineRule="exact"/>
              <w:ind w:right="0" w:firstLine="482" w:firstLineChars="200"/>
              <w:rPr>
                <w:rFonts w:ascii="宋体" w:hAnsi="宋体" w:cs="宋体"/>
                <w:b/>
                <w:bCs/>
                <w:sz w:val="24"/>
                <w:szCs w:val="24"/>
              </w:rPr>
            </w:pPr>
            <w:r>
              <w:rPr>
                <w:rFonts w:ascii="宋体" w:hAnsi="宋体" w:cs="宋体"/>
                <w:b/>
                <w:bCs/>
                <w:sz w:val="24"/>
                <w:szCs w:val="24"/>
              </w:rPr>
              <w:t>5</w:t>
            </w:r>
            <w:r>
              <w:rPr>
                <w:rFonts w:hint="eastAsia" w:ascii="宋体" w:hAnsi="宋体" w:cs="宋体"/>
                <w:b/>
                <w:bCs/>
                <w:sz w:val="24"/>
                <w:szCs w:val="24"/>
              </w:rPr>
              <w:t>、声环境影响分析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施工期噪声来源于井场、生活营地及道路建设等钻前作业、钻井作业及试油作业等施工活动。噪声源主要包括柴油发电机、柴油机、钻井液循环泵以及各类施工机械，如挖土机、推土机、轮式装载车等。项目周边200m范围内无声环境敏感目标，且施工噪声是暂时的、不连续的，待施工结束后影响将消失。因此，施工噪声对声环境影响很小。</w:t>
            </w:r>
          </w:p>
          <w:p>
            <w:pPr>
              <w:pStyle w:val="7"/>
              <w:spacing w:before="0" w:after="0" w:line="500" w:lineRule="exact"/>
              <w:ind w:right="0" w:firstLine="482" w:firstLineChars="200"/>
              <w:rPr>
                <w:rFonts w:ascii="宋体" w:hAnsi="宋体" w:cs="宋体"/>
                <w:b/>
                <w:bCs/>
                <w:sz w:val="24"/>
                <w:szCs w:val="24"/>
              </w:rPr>
            </w:pPr>
            <w:r>
              <w:rPr>
                <w:rFonts w:ascii="宋体" w:hAnsi="宋体" w:cs="宋体"/>
                <w:b/>
                <w:bCs/>
                <w:sz w:val="24"/>
                <w:szCs w:val="24"/>
              </w:rPr>
              <w:t>6</w:t>
            </w:r>
            <w:r>
              <w:rPr>
                <w:rFonts w:hint="eastAsia" w:ascii="宋体" w:hAnsi="宋体" w:cs="宋体"/>
                <w:b/>
                <w:bCs/>
                <w:sz w:val="24"/>
                <w:szCs w:val="24"/>
              </w:rPr>
              <w:t>、固体废物环境影响分析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本项目固体废物主要为生活垃圾、钻井岩屑和废防渗材料。</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（1）生活垃圾</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施工期生活垃圾产生量按0.8kg/人·d计算，则施工期间生活垃圾产生量约2.6t，生活垃圾由垃圾箱收集，待施工结束后拉运至吉木萨尔县生活垃圾填埋场进行处理。</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（2）钻井岩屑</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钻井过程中，岩石经钻头和钻井液的研磨而破碎成岩屑，随钻井液排出井口，进入钻井液不落地设备处理后岩屑与钻井液分离，液体循环使用，固体（钻井岩屑）拉运处理。岩屑产生量、排放量与井身结构有关，可按下式计算：</w:t>
            </w:r>
          </w:p>
          <w:p>
            <w:pPr>
              <w:pStyle w:val="7"/>
              <w:spacing w:before="0" w:after="0" w:line="500" w:lineRule="exact"/>
              <w:ind w:right="0"/>
              <w:jc w:val="center"/>
              <w:rPr>
                <w:rFonts w:ascii="宋体" w:hAnsi="宋体" w:cs="宋体"/>
                <w:sz w:val="24"/>
                <w:szCs w:val="24"/>
              </w:rPr>
            </w:pPr>
            <w:r>
              <w:rPr>
                <w:rFonts w:hint="eastAsia" w:ascii="宋体" w:hAnsi="宋体" w:cs="宋体"/>
                <w:sz w:val="24"/>
                <w:szCs w:val="24"/>
              </w:rPr>
              <w:t>W=1/4×π×D</w:t>
            </w:r>
            <w:r>
              <w:rPr>
                <w:rFonts w:hint="eastAsia" w:ascii="宋体" w:hAnsi="宋体" w:cs="宋体"/>
                <w:sz w:val="24"/>
                <w:szCs w:val="24"/>
                <w:vertAlign w:val="superscript"/>
              </w:rPr>
              <w:t>2</w:t>
            </w:r>
            <w:r>
              <w:rPr>
                <w:rFonts w:hint="eastAsia" w:ascii="宋体" w:hAnsi="宋体" w:cs="宋体"/>
                <w:sz w:val="24"/>
                <w:szCs w:val="24"/>
              </w:rPr>
              <w:t>×h×P</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式中：W——产生的岩屑量，m</w:t>
            </w:r>
            <w:r>
              <w:rPr>
                <w:rFonts w:hint="eastAsia" w:ascii="宋体" w:hAnsi="宋体" w:cs="宋体"/>
                <w:sz w:val="24"/>
                <w:szCs w:val="24"/>
                <w:vertAlign w:val="superscript"/>
              </w:rPr>
              <w:t>3</w:t>
            </w:r>
            <w:r>
              <w:rPr>
                <w:rFonts w:hint="eastAsia" w:ascii="宋体" w:hAnsi="宋体" w:cs="宋体"/>
                <w:sz w:val="24"/>
                <w:szCs w:val="24"/>
              </w:rPr>
              <w:t>；</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 xml:space="preserve">      D——井眼平均井径，m；</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 xml:space="preserve">      h——裸眼长度，m；</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 xml:space="preserve">      P——膨胀系数，使用水基钻井液体系时取P=1.8</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根据井身结构计算项目岩屑产生量见</w:t>
            </w:r>
            <w:r>
              <w:rPr>
                <w:rFonts w:hint="eastAsia" w:ascii="宋体" w:hAnsi="宋体" w:cs="宋体"/>
                <w:sz w:val="24"/>
                <w:szCs w:val="24"/>
              </w:rPr>
              <w:fldChar w:fldCharType="begin"/>
            </w:r>
            <w:r>
              <w:rPr>
                <w:rFonts w:hint="eastAsia" w:ascii="宋体" w:hAnsi="宋体" w:cs="宋体"/>
                <w:sz w:val="24"/>
                <w:szCs w:val="24"/>
              </w:rPr>
              <w:instrText xml:space="preserve"> REF _Ref19642107 \h  \* MERGEFORMAT </w:instrText>
            </w:r>
            <w:r>
              <w:rPr>
                <w:rFonts w:hint="eastAsia" w:ascii="宋体" w:hAnsi="宋体" w:cs="宋体"/>
                <w:sz w:val="24"/>
                <w:szCs w:val="24"/>
              </w:rPr>
              <w:fldChar w:fldCharType="separate"/>
            </w:r>
            <w:r>
              <w:rPr>
                <w:rFonts w:hint="eastAsia" w:ascii="宋体" w:hAnsi="宋体" w:cs="宋体"/>
                <w:sz w:val="24"/>
                <w:szCs w:val="24"/>
              </w:rPr>
              <w:t>表</w:t>
            </w:r>
            <w:r>
              <w:rPr>
                <w:rFonts w:hint="eastAsia" w:ascii="宋体" w:hAnsi="宋体" w:cs="宋体"/>
                <w:sz w:val="24"/>
                <w:szCs w:val="24"/>
              </w:rPr>
              <w:fldChar w:fldCharType="end"/>
            </w:r>
            <w:r>
              <w:rPr>
                <w:rFonts w:hint="eastAsia" w:ascii="宋体" w:hAnsi="宋体" w:cs="宋体"/>
                <w:sz w:val="24"/>
                <w:szCs w:val="24"/>
              </w:rPr>
              <w:t>10。</w:t>
            </w:r>
          </w:p>
          <w:p>
            <w:pPr>
              <w:pStyle w:val="7"/>
              <w:spacing w:before="0" w:after="0" w:line="500" w:lineRule="exact"/>
              <w:ind w:right="0"/>
              <w:jc w:val="center"/>
              <w:rPr>
                <w:rFonts w:hint="eastAsia" w:ascii="黑体" w:hAnsi="黑体" w:eastAsia="黑体" w:cs="黑体"/>
                <w:szCs w:val="21"/>
              </w:rPr>
            </w:pPr>
            <w:bookmarkStart w:id="22" w:name="_Ref19642107"/>
          </w:p>
          <w:p>
            <w:pPr>
              <w:pStyle w:val="7"/>
              <w:spacing w:before="0" w:after="0" w:line="500" w:lineRule="exact"/>
              <w:ind w:right="0"/>
              <w:jc w:val="center"/>
              <w:rPr>
                <w:rFonts w:ascii="黑体" w:hAnsi="黑体" w:eastAsia="黑体" w:cs="黑体"/>
                <w:szCs w:val="21"/>
              </w:rPr>
            </w:pPr>
            <w:r>
              <w:rPr>
                <w:rFonts w:hint="eastAsia" w:ascii="黑体" w:hAnsi="黑体" w:eastAsia="黑体" w:cs="黑体"/>
                <w:szCs w:val="21"/>
              </w:rPr>
              <w:t>表</w:t>
            </w:r>
            <w:bookmarkEnd w:id="22"/>
            <w:r>
              <w:rPr>
                <w:rFonts w:hint="eastAsia" w:ascii="黑体" w:hAnsi="黑体" w:eastAsia="黑体" w:cs="黑体"/>
                <w:szCs w:val="21"/>
              </w:rPr>
              <w:t>10  钻井岩屑产生情况表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43"/>
              <w:gridCol w:w="2083"/>
              <w:gridCol w:w="2036"/>
              <w:gridCol w:w="19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52" w:type="pct"/>
                  <w:vAlign w:val="center"/>
                </w:tcPr>
                <w:p>
                  <w:pPr>
                    <w:pStyle w:val="7"/>
                    <w:spacing w:before="0" w:after="0" w:line="300" w:lineRule="exact"/>
                    <w:ind w:right="0"/>
                    <w:jc w:val="center"/>
                    <w:rPr>
                      <w:rFonts w:ascii="宋体" w:hAnsi="宋体" w:cs="宋体"/>
                      <w:szCs w:val="21"/>
                    </w:rPr>
                  </w:pPr>
                  <w:r>
                    <w:rPr>
                      <w:rFonts w:hint="eastAsia" w:ascii="宋体" w:hAnsi="宋体" w:cs="宋体"/>
                      <w:szCs w:val="21"/>
                    </w:rPr>
                    <w:t>井段</w:t>
                  </w:r>
                </w:p>
              </w:tc>
              <w:tc>
                <w:tcPr>
                  <w:tcW w:w="1428" w:type="pct"/>
                  <w:vAlign w:val="center"/>
                </w:tcPr>
                <w:p>
                  <w:pPr>
                    <w:widowControl/>
                    <w:jc w:val="center"/>
                    <w:rPr>
                      <w:rFonts w:ascii="宋体" w:hAnsi="宋体" w:cs="宋体"/>
                      <w:kern w:val="0"/>
                      <w:szCs w:val="21"/>
                    </w:rPr>
                  </w:pPr>
                  <w:r>
                    <w:rPr>
                      <w:rFonts w:hint="eastAsia" w:ascii="宋体" w:hAnsi="宋体" w:cs="宋体"/>
                      <w:kern w:val="0"/>
                      <w:szCs w:val="21"/>
                    </w:rPr>
                    <w:t>钻头尺寸 (mm)</w:t>
                  </w:r>
                </w:p>
              </w:tc>
              <w:tc>
                <w:tcPr>
                  <w:tcW w:w="1396" w:type="pct"/>
                  <w:vAlign w:val="center"/>
                </w:tcPr>
                <w:p>
                  <w:pPr>
                    <w:widowControl/>
                    <w:jc w:val="center"/>
                    <w:rPr>
                      <w:rFonts w:ascii="宋体" w:hAnsi="宋体" w:cs="宋体"/>
                      <w:kern w:val="0"/>
                      <w:szCs w:val="21"/>
                    </w:rPr>
                  </w:pPr>
                  <w:r>
                    <w:rPr>
                      <w:rFonts w:hint="eastAsia" w:ascii="宋体" w:hAnsi="宋体" w:cs="宋体"/>
                      <w:kern w:val="0"/>
                      <w:szCs w:val="21"/>
                    </w:rPr>
                    <w:t>井段</w:t>
                  </w:r>
                  <w:r>
                    <w:rPr>
                      <w:rFonts w:hint="eastAsia" w:ascii="宋体" w:hAnsi="宋体" w:cs="宋体"/>
                      <w:kern w:val="0"/>
                      <w:szCs w:val="21"/>
                    </w:rPr>
                    <w:br w:type="textWrapping"/>
                  </w:r>
                  <w:r>
                    <w:rPr>
                      <w:rFonts w:hint="eastAsia" w:ascii="宋体" w:hAnsi="宋体" w:cs="宋体"/>
                      <w:kern w:val="0"/>
                      <w:szCs w:val="21"/>
                    </w:rPr>
                    <w:t>(m)</w:t>
                  </w:r>
                </w:p>
              </w:tc>
              <w:tc>
                <w:tcPr>
                  <w:tcW w:w="1324" w:type="pct"/>
                  <w:vAlign w:val="center"/>
                </w:tcPr>
                <w:p>
                  <w:pPr>
                    <w:pStyle w:val="7"/>
                    <w:spacing w:before="0" w:after="0" w:line="300" w:lineRule="exact"/>
                    <w:ind w:right="0"/>
                    <w:jc w:val="center"/>
                    <w:rPr>
                      <w:rFonts w:ascii="宋体" w:hAnsi="宋体" w:cs="宋体"/>
                      <w:szCs w:val="21"/>
                    </w:rPr>
                  </w:pPr>
                  <w:r>
                    <w:rPr>
                      <w:rFonts w:hint="eastAsia" w:ascii="宋体" w:hAnsi="宋体" w:cs="宋体"/>
                      <w:szCs w:val="21"/>
                    </w:rPr>
                    <w:t>岩屑产生量（m</w:t>
                  </w:r>
                  <w:r>
                    <w:rPr>
                      <w:rFonts w:hint="eastAsia" w:ascii="宋体" w:hAnsi="宋体" w:cs="宋体"/>
                      <w:szCs w:val="21"/>
                      <w:vertAlign w:val="superscript"/>
                    </w:rPr>
                    <w:t>3</w:t>
                  </w:r>
                  <w:r>
                    <w:rPr>
                      <w:rFonts w:hint="eastAsia" w:ascii="宋体" w:hAnsi="宋体" w:cs="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52" w:type="pct"/>
                  <w:vAlign w:val="center"/>
                </w:tcPr>
                <w:p>
                  <w:pPr>
                    <w:pStyle w:val="7"/>
                    <w:spacing w:before="0" w:after="0" w:line="300" w:lineRule="exact"/>
                    <w:ind w:right="0"/>
                    <w:jc w:val="center"/>
                    <w:rPr>
                      <w:rFonts w:ascii="宋体" w:hAnsi="宋体" w:cs="宋体"/>
                      <w:szCs w:val="21"/>
                    </w:rPr>
                  </w:pPr>
                  <w:r>
                    <w:rPr>
                      <w:rFonts w:hint="eastAsia" w:ascii="宋体" w:hAnsi="宋体" w:cs="宋体"/>
                      <w:szCs w:val="21"/>
                    </w:rPr>
                    <w:t>一开</w:t>
                  </w:r>
                </w:p>
              </w:tc>
              <w:tc>
                <w:tcPr>
                  <w:tcW w:w="1428" w:type="pct"/>
                  <w:vAlign w:val="center"/>
                </w:tcPr>
                <w:p>
                  <w:pPr>
                    <w:widowControl/>
                    <w:jc w:val="center"/>
                    <w:rPr>
                      <w:rFonts w:ascii="宋体" w:hAnsi="宋体" w:cs="宋体"/>
                      <w:kern w:val="0"/>
                      <w:szCs w:val="21"/>
                    </w:rPr>
                  </w:pPr>
                  <w:r>
                    <w:rPr>
                      <w:rFonts w:hint="eastAsia" w:ascii="宋体" w:hAnsi="宋体" w:cs="宋体"/>
                      <w:kern w:val="0"/>
                      <w:szCs w:val="21"/>
                    </w:rPr>
                    <w:t>444.5</w:t>
                  </w:r>
                </w:p>
              </w:tc>
              <w:tc>
                <w:tcPr>
                  <w:tcW w:w="1396" w:type="pct"/>
                  <w:vAlign w:val="center"/>
                </w:tcPr>
                <w:p>
                  <w:pPr>
                    <w:widowControl/>
                    <w:jc w:val="center"/>
                    <w:rPr>
                      <w:rFonts w:ascii="宋体" w:hAnsi="宋体" w:cs="宋体"/>
                      <w:kern w:val="0"/>
                      <w:szCs w:val="21"/>
                    </w:rPr>
                  </w:pPr>
                  <w:r>
                    <w:rPr>
                      <w:rFonts w:hint="eastAsia" w:ascii="宋体" w:hAnsi="宋体" w:cs="宋体"/>
                      <w:kern w:val="0"/>
                      <w:szCs w:val="21"/>
                    </w:rPr>
                    <w:t>0-</w:t>
                  </w:r>
                  <w:r>
                    <w:rPr>
                      <w:rFonts w:ascii="宋体" w:hAnsi="宋体" w:cs="宋体"/>
                      <w:kern w:val="0"/>
                      <w:szCs w:val="21"/>
                    </w:rPr>
                    <w:t>900</w:t>
                  </w:r>
                </w:p>
              </w:tc>
              <w:tc>
                <w:tcPr>
                  <w:tcW w:w="1324" w:type="pct"/>
                  <w:vAlign w:val="center"/>
                </w:tcPr>
                <w:p>
                  <w:pPr>
                    <w:pStyle w:val="7"/>
                    <w:spacing w:before="0" w:after="0" w:line="300" w:lineRule="exact"/>
                    <w:ind w:right="0"/>
                    <w:jc w:val="center"/>
                    <w:rPr>
                      <w:rFonts w:ascii="宋体" w:hAnsi="宋体" w:cs="宋体"/>
                      <w:szCs w:val="21"/>
                    </w:rPr>
                  </w:pPr>
                  <w:r>
                    <w:rPr>
                      <w:rFonts w:ascii="宋体" w:hAnsi="宋体" w:cs="宋体"/>
                      <w:szCs w:val="21"/>
                    </w:rPr>
                    <w:t>251.39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52" w:type="pct"/>
                  <w:vAlign w:val="center"/>
                </w:tcPr>
                <w:p>
                  <w:pPr>
                    <w:pStyle w:val="7"/>
                    <w:spacing w:before="0" w:after="0" w:line="300" w:lineRule="exact"/>
                    <w:ind w:right="0"/>
                    <w:jc w:val="center"/>
                    <w:rPr>
                      <w:rFonts w:ascii="宋体" w:hAnsi="宋体" w:cs="宋体"/>
                      <w:szCs w:val="21"/>
                    </w:rPr>
                  </w:pPr>
                  <w:r>
                    <w:rPr>
                      <w:rFonts w:hint="eastAsia" w:ascii="宋体" w:hAnsi="宋体" w:cs="宋体"/>
                      <w:szCs w:val="21"/>
                    </w:rPr>
                    <w:t>二开</w:t>
                  </w:r>
                </w:p>
              </w:tc>
              <w:tc>
                <w:tcPr>
                  <w:tcW w:w="1428" w:type="pct"/>
                  <w:vAlign w:val="center"/>
                </w:tcPr>
                <w:p>
                  <w:pPr>
                    <w:widowControl/>
                    <w:jc w:val="center"/>
                    <w:rPr>
                      <w:rFonts w:ascii="宋体" w:hAnsi="宋体" w:cs="宋体"/>
                      <w:kern w:val="0"/>
                      <w:szCs w:val="21"/>
                    </w:rPr>
                  </w:pPr>
                  <w:r>
                    <w:rPr>
                      <w:rFonts w:hint="eastAsia" w:ascii="宋体" w:hAnsi="宋体" w:cs="宋体"/>
                      <w:kern w:val="0"/>
                      <w:szCs w:val="21"/>
                    </w:rPr>
                    <w:t>311.2</w:t>
                  </w:r>
                </w:p>
              </w:tc>
              <w:tc>
                <w:tcPr>
                  <w:tcW w:w="1396" w:type="pct"/>
                  <w:vAlign w:val="center"/>
                </w:tcPr>
                <w:p>
                  <w:pPr>
                    <w:widowControl/>
                    <w:jc w:val="center"/>
                    <w:rPr>
                      <w:rFonts w:ascii="宋体" w:hAnsi="宋体" w:cs="宋体"/>
                      <w:kern w:val="0"/>
                      <w:szCs w:val="21"/>
                    </w:rPr>
                  </w:pPr>
                  <w:r>
                    <w:rPr>
                      <w:rFonts w:ascii="宋体" w:hAnsi="宋体" w:cs="宋体"/>
                      <w:kern w:val="0"/>
                      <w:szCs w:val="21"/>
                    </w:rPr>
                    <w:t>900</w:t>
                  </w:r>
                  <w:r>
                    <w:rPr>
                      <w:rFonts w:hint="eastAsia" w:ascii="宋体" w:hAnsi="宋体" w:cs="宋体"/>
                      <w:kern w:val="0"/>
                      <w:szCs w:val="21"/>
                    </w:rPr>
                    <w:t>-</w:t>
                  </w:r>
                  <w:r>
                    <w:rPr>
                      <w:rFonts w:ascii="宋体" w:hAnsi="宋体" w:cs="宋体"/>
                      <w:kern w:val="0"/>
                      <w:szCs w:val="21"/>
                    </w:rPr>
                    <w:t>2400</w:t>
                  </w:r>
                </w:p>
              </w:tc>
              <w:tc>
                <w:tcPr>
                  <w:tcW w:w="1324" w:type="pct"/>
                  <w:vAlign w:val="center"/>
                </w:tcPr>
                <w:p>
                  <w:pPr>
                    <w:pStyle w:val="7"/>
                    <w:spacing w:before="0" w:after="0" w:line="300" w:lineRule="exact"/>
                    <w:ind w:right="0"/>
                    <w:jc w:val="center"/>
                    <w:rPr>
                      <w:rFonts w:ascii="宋体" w:hAnsi="宋体" w:cs="宋体"/>
                      <w:szCs w:val="21"/>
                    </w:rPr>
                  </w:pPr>
                  <w:r>
                    <w:rPr>
                      <w:rFonts w:ascii="宋体" w:hAnsi="宋体" w:cs="宋体"/>
                      <w:szCs w:val="21"/>
                    </w:rPr>
                    <w:t>205.37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52" w:type="pct"/>
                  <w:vAlign w:val="center"/>
                </w:tcPr>
                <w:p>
                  <w:pPr>
                    <w:pStyle w:val="7"/>
                    <w:spacing w:before="0" w:after="0" w:line="300" w:lineRule="exact"/>
                    <w:ind w:right="0"/>
                    <w:jc w:val="center"/>
                    <w:rPr>
                      <w:rFonts w:ascii="宋体" w:hAnsi="宋体" w:cs="宋体"/>
                      <w:szCs w:val="21"/>
                    </w:rPr>
                  </w:pPr>
                  <w:r>
                    <w:rPr>
                      <w:rFonts w:hint="eastAsia" w:ascii="宋体" w:hAnsi="宋体" w:cs="宋体"/>
                      <w:szCs w:val="21"/>
                    </w:rPr>
                    <w:t>三开</w:t>
                  </w:r>
                </w:p>
              </w:tc>
              <w:tc>
                <w:tcPr>
                  <w:tcW w:w="1428" w:type="pct"/>
                  <w:vAlign w:val="center"/>
                </w:tcPr>
                <w:p>
                  <w:pPr>
                    <w:widowControl/>
                    <w:jc w:val="center"/>
                    <w:rPr>
                      <w:rFonts w:ascii="宋体" w:hAnsi="宋体" w:cs="宋体"/>
                      <w:kern w:val="0"/>
                      <w:szCs w:val="21"/>
                    </w:rPr>
                  </w:pPr>
                  <w:r>
                    <w:rPr>
                      <w:rFonts w:hint="eastAsia" w:ascii="宋体" w:hAnsi="宋体" w:cs="宋体"/>
                      <w:kern w:val="0"/>
                      <w:szCs w:val="21"/>
                    </w:rPr>
                    <w:t>215.9</w:t>
                  </w:r>
                </w:p>
              </w:tc>
              <w:tc>
                <w:tcPr>
                  <w:tcW w:w="1396" w:type="pct"/>
                  <w:vAlign w:val="center"/>
                </w:tcPr>
                <w:p>
                  <w:pPr>
                    <w:widowControl/>
                    <w:jc w:val="center"/>
                    <w:rPr>
                      <w:rFonts w:ascii="宋体" w:hAnsi="宋体" w:cs="宋体"/>
                      <w:kern w:val="0"/>
                      <w:szCs w:val="21"/>
                    </w:rPr>
                  </w:pPr>
                  <w:r>
                    <w:rPr>
                      <w:rFonts w:ascii="宋体" w:hAnsi="宋体" w:cs="宋体"/>
                      <w:kern w:val="0"/>
                      <w:szCs w:val="21"/>
                    </w:rPr>
                    <w:t>2400</w:t>
                  </w:r>
                  <w:r>
                    <w:rPr>
                      <w:rFonts w:hint="eastAsia" w:ascii="宋体" w:hAnsi="宋体" w:cs="宋体"/>
                      <w:kern w:val="0"/>
                      <w:szCs w:val="21"/>
                    </w:rPr>
                    <w:t>-</w:t>
                  </w:r>
                  <w:r>
                    <w:rPr>
                      <w:rFonts w:ascii="宋体" w:hAnsi="宋体" w:cs="宋体"/>
                      <w:kern w:val="0"/>
                      <w:szCs w:val="21"/>
                    </w:rPr>
                    <w:t>3900</w:t>
                  </w:r>
                </w:p>
              </w:tc>
              <w:tc>
                <w:tcPr>
                  <w:tcW w:w="1324" w:type="pct"/>
                  <w:vAlign w:val="center"/>
                </w:tcPr>
                <w:p>
                  <w:pPr>
                    <w:pStyle w:val="7"/>
                    <w:spacing w:before="0" w:after="0" w:line="300" w:lineRule="exact"/>
                    <w:ind w:right="0"/>
                    <w:jc w:val="center"/>
                    <w:rPr>
                      <w:rFonts w:ascii="宋体" w:hAnsi="宋体" w:cs="宋体"/>
                      <w:szCs w:val="21"/>
                    </w:rPr>
                  </w:pPr>
                  <w:r>
                    <w:rPr>
                      <w:rFonts w:ascii="宋体" w:hAnsi="宋体" w:cs="宋体"/>
                      <w:szCs w:val="21"/>
                    </w:rPr>
                    <w:t>98.85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676" w:type="pct"/>
                  <w:gridSpan w:val="3"/>
                  <w:vAlign w:val="center"/>
                </w:tcPr>
                <w:p>
                  <w:pPr>
                    <w:widowControl/>
                    <w:jc w:val="center"/>
                    <w:rPr>
                      <w:rFonts w:ascii="宋体" w:hAnsi="宋体" w:cs="宋体"/>
                      <w:kern w:val="0"/>
                      <w:szCs w:val="21"/>
                    </w:rPr>
                  </w:pPr>
                  <w:r>
                    <w:rPr>
                      <w:rFonts w:hint="eastAsia" w:ascii="宋体" w:hAnsi="宋体" w:cs="宋体"/>
                      <w:kern w:val="0"/>
                      <w:szCs w:val="21"/>
                    </w:rPr>
                    <w:t>合计</w:t>
                  </w:r>
                </w:p>
              </w:tc>
              <w:tc>
                <w:tcPr>
                  <w:tcW w:w="1324" w:type="pct"/>
                  <w:vAlign w:val="center"/>
                </w:tcPr>
                <w:p>
                  <w:pPr>
                    <w:pStyle w:val="7"/>
                    <w:spacing w:before="0" w:after="0" w:line="300" w:lineRule="exact"/>
                    <w:ind w:right="0"/>
                    <w:jc w:val="center"/>
                    <w:rPr>
                      <w:rFonts w:ascii="宋体" w:hAnsi="宋体" w:cs="宋体"/>
                      <w:szCs w:val="21"/>
                    </w:rPr>
                  </w:pPr>
                  <w:r>
                    <w:rPr>
                      <w:rFonts w:hint="eastAsia" w:ascii="宋体" w:hAnsi="宋体" w:cs="宋体"/>
                      <w:szCs w:val="21"/>
                    </w:rPr>
                    <w:t>5</w:t>
                  </w:r>
                  <w:r>
                    <w:rPr>
                      <w:rFonts w:ascii="宋体" w:hAnsi="宋体" w:cs="宋体"/>
                      <w:szCs w:val="21"/>
                    </w:rPr>
                    <w:t>55.61</w:t>
                  </w:r>
                </w:p>
              </w:tc>
            </w:tr>
          </w:tbl>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本项目产生的水基钻井岩屑共计</w:t>
            </w:r>
            <w:r>
              <w:rPr>
                <w:rFonts w:ascii="宋体" w:hAnsi="宋体" w:cs="宋体"/>
                <w:sz w:val="24"/>
                <w:szCs w:val="24"/>
              </w:rPr>
              <w:t>555.61</w:t>
            </w:r>
            <w:r>
              <w:rPr>
                <w:rFonts w:hint="eastAsia" w:ascii="宋体" w:hAnsi="宋体" w:cs="宋体"/>
                <w:szCs w:val="21"/>
              </w:rPr>
              <w:t>m</w:t>
            </w:r>
            <w:r>
              <w:rPr>
                <w:rFonts w:hint="eastAsia" w:ascii="宋体" w:hAnsi="宋体" w:cs="宋体"/>
                <w:szCs w:val="21"/>
                <w:vertAlign w:val="superscript"/>
              </w:rPr>
              <w:t>3</w:t>
            </w:r>
            <w:r>
              <w:rPr>
                <w:rFonts w:hint="eastAsia" w:ascii="宋体" w:hAnsi="宋体" w:cs="宋体"/>
                <w:sz w:val="24"/>
                <w:szCs w:val="24"/>
              </w:rPr>
              <w:t>。</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井场设钻井液不落地设备，水基钻井岩屑采用一套不落地系统进行固液分离处理。分离出的液相回用于钻井，分离出的水基钻井岩屑进岩屑专用方罐，由岩屑处置单位直接拉运进行处理，满足《油气田钻井固体废弃物综合利用污染物控制要求》（DB65/T3997—2017）相关要求后进行综合利用。</w:t>
            </w:r>
          </w:p>
          <w:p>
            <w:pPr>
              <w:pStyle w:val="7"/>
              <w:spacing w:before="0" w:after="0" w:line="500" w:lineRule="exact"/>
              <w:ind w:left="420" w:leftChars="200" w:right="0"/>
              <w:rPr>
                <w:rFonts w:ascii="宋体" w:hAnsi="宋体" w:cs="宋体"/>
                <w:sz w:val="24"/>
                <w:szCs w:val="24"/>
              </w:rPr>
            </w:pPr>
            <w:r>
              <w:rPr>
                <w:rFonts w:hint="eastAsia" w:ascii="宋体" w:hAnsi="宋体" w:cs="宋体"/>
                <w:sz w:val="24"/>
                <w:szCs w:val="24"/>
              </w:rPr>
              <w:t>（3）废防渗材料</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井场油罐、发电机、岩屑罐区、材料堆场等关键部位及生活污水储集防渗池均采用防渗膜防渗。施工结束后，未沾油的防渗膜由施工单位集中回收利用，沾油防渗膜属于危险废物（HW08类危险废物，废物代码：900-249-08），交由具有相关危险废物处置资质的单位接收、转运以及处置。根据建设单位提供的经验数据，沾油的废防渗材料产生量约0.02t。</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综上所述，本项目产生的固体废物可得到妥善处置，不会对周围环境造成不良影响。</w:t>
            </w:r>
          </w:p>
          <w:p>
            <w:pPr>
              <w:pStyle w:val="7"/>
              <w:spacing w:before="0" w:after="0" w:line="500" w:lineRule="exact"/>
              <w:ind w:right="0" w:firstLine="482" w:firstLineChars="200"/>
              <w:rPr>
                <w:rFonts w:ascii="宋体" w:hAnsi="宋体" w:cs="宋体"/>
                <w:b/>
                <w:bCs/>
                <w:sz w:val="24"/>
                <w:szCs w:val="24"/>
              </w:rPr>
            </w:pPr>
            <w:r>
              <w:rPr>
                <w:rFonts w:ascii="宋体" w:hAnsi="宋体" w:cs="宋体"/>
                <w:b/>
                <w:bCs/>
                <w:sz w:val="24"/>
                <w:szCs w:val="24"/>
              </w:rPr>
              <w:t>7</w:t>
            </w:r>
            <w:r>
              <w:rPr>
                <w:rFonts w:hint="eastAsia" w:ascii="宋体" w:hAnsi="宋体" w:cs="宋体"/>
                <w:b/>
                <w:bCs/>
                <w:sz w:val="24"/>
                <w:szCs w:val="24"/>
              </w:rPr>
              <w:t>、环境风险影响分析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钻井期涉及的危险物质主要为柴油；试油期涉及的危险物质主要为原油、柴油和伴生气（主要成分为天然气）。油类物质（矿物油类、生物柴油等）临界量为2500t，甲烷（天然气主要成分）临界量为10t。</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钻井期柴油在井场的日常最大储量分别为20t，则钻井期油类物质的危险物质数量与临界量比值Q＜1。</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试油期伴生气产生量少且不稳定，其最大存在总量远低于其临界量；柴油在井场的日常储量为20t；试油期井场设置方罐4个，每个方罐容积为20m</w:t>
            </w:r>
            <w:r>
              <w:rPr>
                <w:rFonts w:hint="eastAsia" w:ascii="宋体" w:hAnsi="宋体" w:cs="宋体"/>
                <w:sz w:val="24"/>
                <w:szCs w:val="24"/>
                <w:vertAlign w:val="superscript"/>
              </w:rPr>
              <w:t>3</w:t>
            </w:r>
            <w:r>
              <w:rPr>
                <w:rFonts w:hint="eastAsia" w:ascii="宋体" w:hAnsi="宋体" w:cs="宋体"/>
                <w:sz w:val="24"/>
                <w:szCs w:val="24"/>
              </w:rPr>
              <w:t>，原油平均密度为0.87g/cm</w:t>
            </w:r>
            <w:r>
              <w:rPr>
                <w:rFonts w:hint="eastAsia" w:ascii="宋体" w:hAnsi="宋体" w:cs="宋体"/>
                <w:sz w:val="24"/>
                <w:szCs w:val="24"/>
                <w:vertAlign w:val="superscript"/>
              </w:rPr>
              <w:t>3</w:t>
            </w:r>
            <w:r>
              <w:rPr>
                <w:rFonts w:hint="eastAsia" w:ascii="宋体" w:hAnsi="宋体" w:cs="宋体"/>
                <w:sz w:val="24"/>
                <w:szCs w:val="24"/>
              </w:rPr>
              <w:t>，则采出液中原油最大储存量约69.6t，则试油期油类物质的危险物质数量与临界量比值Q＜1。</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（1）环境敏感目标概况</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项目环境风险敏感目标为农田，位于项目区西侧</w:t>
            </w:r>
            <w:r>
              <w:rPr>
                <w:rFonts w:ascii="宋体" w:hAnsi="宋体" w:cs="宋体"/>
                <w:sz w:val="24"/>
                <w:szCs w:val="24"/>
              </w:rPr>
              <w:t>150</w:t>
            </w:r>
            <w:r>
              <w:rPr>
                <w:rFonts w:hint="eastAsia" w:ascii="宋体" w:hAnsi="宋体" w:cs="宋体"/>
                <w:sz w:val="24"/>
                <w:szCs w:val="24"/>
              </w:rPr>
              <w:t>m处。</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（2）环境风险识别</w:t>
            </w:r>
          </w:p>
          <w:p>
            <w:pPr>
              <w:pStyle w:val="22"/>
              <w:ind w:firstLine="480"/>
              <w:rPr>
                <w:rFonts w:cs="宋体"/>
                <w:bCs/>
                <w:szCs w:val="21"/>
              </w:rPr>
            </w:pPr>
            <w:r>
              <w:rPr>
                <w:rFonts w:hint="eastAsia" w:cs="宋体"/>
              </w:rPr>
              <w:t>①</w:t>
            </w:r>
            <w:r>
              <w:rPr>
                <w:rFonts w:hint="eastAsia" w:cs="宋体"/>
                <w:bCs/>
                <w:szCs w:val="21"/>
              </w:rPr>
              <w:t>危险物质识别</w:t>
            </w:r>
          </w:p>
          <w:p>
            <w:pPr>
              <w:pStyle w:val="22"/>
              <w:ind w:firstLine="480"/>
              <w:rPr>
                <w:rFonts w:ascii="黑体" w:hAnsi="黑体" w:eastAsia="黑体" w:cs="宋体"/>
                <w:sz w:val="21"/>
                <w:szCs w:val="21"/>
                <w:lang w:bidi="zh-CN"/>
              </w:rPr>
            </w:pPr>
            <w:r>
              <w:rPr>
                <w:rFonts w:cs="宋体"/>
                <w:szCs w:val="21"/>
                <w:lang w:bidi="zh-CN"/>
              </w:rPr>
              <w:t>本</w:t>
            </w:r>
            <w:r>
              <w:rPr>
                <w:rFonts w:hint="eastAsia" w:cs="宋体"/>
                <w:szCs w:val="21"/>
                <w:lang w:bidi="zh-CN"/>
              </w:rPr>
              <w:t>项目</w:t>
            </w:r>
            <w:r>
              <w:rPr>
                <w:rFonts w:cs="宋体"/>
                <w:szCs w:val="21"/>
                <w:lang w:bidi="zh-CN"/>
              </w:rPr>
              <w:t>涉及的环境</w:t>
            </w:r>
            <w:r>
              <w:rPr>
                <w:rFonts w:hint="eastAsia" w:cs="宋体"/>
                <w:szCs w:val="21"/>
                <w:lang w:bidi="zh-CN"/>
              </w:rPr>
              <w:t>危险</w:t>
            </w:r>
            <w:r>
              <w:rPr>
                <w:rFonts w:cs="宋体"/>
                <w:szCs w:val="21"/>
                <w:lang w:bidi="zh-CN"/>
              </w:rPr>
              <w:t>物质主要为原油、柴油</w:t>
            </w:r>
            <w:r>
              <w:rPr>
                <w:rFonts w:hint="eastAsia" w:cs="宋体"/>
                <w:szCs w:val="21"/>
                <w:lang w:bidi="zh-CN"/>
              </w:rPr>
              <w:t>和</w:t>
            </w:r>
            <w:r>
              <w:rPr>
                <w:rFonts w:cs="宋体"/>
                <w:szCs w:val="21"/>
                <w:lang w:bidi="zh-CN"/>
              </w:rPr>
              <w:t>天然气</w:t>
            </w:r>
            <w:r>
              <w:rPr>
                <w:rFonts w:hint="eastAsia" w:cs="宋体"/>
                <w:szCs w:val="21"/>
                <w:lang w:bidi="zh-CN"/>
              </w:rPr>
              <w:t>，</w:t>
            </w:r>
            <w:r>
              <w:rPr>
                <w:rFonts w:cs="宋体"/>
                <w:szCs w:val="21"/>
                <w:lang w:bidi="zh-CN"/>
              </w:rPr>
              <w:t>其主要物化、毒理性质、危险等级划分</w:t>
            </w:r>
            <w:r>
              <w:rPr>
                <w:rFonts w:hint="eastAsia" w:cs="宋体"/>
                <w:szCs w:val="21"/>
                <w:lang w:bidi="zh-CN"/>
              </w:rPr>
              <w:t>及影响途径</w:t>
            </w:r>
            <w:r>
              <w:rPr>
                <w:rFonts w:cs="宋体"/>
                <w:szCs w:val="21"/>
                <w:lang w:bidi="zh-CN"/>
              </w:rPr>
              <w:t>见表1</w:t>
            </w:r>
            <w:r>
              <w:rPr>
                <w:rFonts w:hint="eastAsia" w:cs="宋体"/>
                <w:szCs w:val="21"/>
                <w:lang w:bidi="zh-CN"/>
              </w:rPr>
              <w:t>1</w:t>
            </w:r>
            <w:r>
              <w:rPr>
                <w:rFonts w:cs="宋体"/>
                <w:szCs w:val="21"/>
                <w:lang w:bidi="zh-CN"/>
              </w:rPr>
              <w:t>。</w:t>
            </w:r>
          </w:p>
          <w:p>
            <w:pPr>
              <w:pStyle w:val="22"/>
              <w:ind w:firstLine="0" w:firstLineChars="0"/>
              <w:jc w:val="center"/>
              <w:rPr>
                <w:rFonts w:ascii="黑体" w:hAnsi="黑体" w:eastAsia="黑体" w:cs="宋体"/>
                <w:sz w:val="21"/>
                <w:szCs w:val="21"/>
                <w:lang w:bidi="zh-CN"/>
              </w:rPr>
            </w:pPr>
            <w:r>
              <w:rPr>
                <w:rFonts w:hint="eastAsia" w:ascii="黑体" w:hAnsi="黑体" w:eastAsia="黑体" w:cs="宋体"/>
                <w:sz w:val="21"/>
                <w:szCs w:val="21"/>
                <w:lang w:bidi="zh-CN"/>
              </w:rPr>
              <w:t>表11</w:t>
            </w:r>
            <w:r>
              <w:rPr>
                <w:rFonts w:ascii="黑体" w:hAnsi="黑体" w:eastAsia="黑体" w:cs="宋体"/>
                <w:sz w:val="21"/>
                <w:szCs w:val="21"/>
                <w:lang w:bidi="zh-CN"/>
              </w:rPr>
              <w:t xml:space="preserve">  </w:t>
            </w:r>
            <w:r>
              <w:rPr>
                <w:rFonts w:ascii="黑体" w:hAnsi="黑体" w:eastAsia="黑体" w:cs="宋体"/>
                <w:sz w:val="21"/>
                <w:szCs w:val="21"/>
                <w:lang w:val="zh-CN" w:bidi="zh-CN"/>
              </w:rPr>
              <w:t>原油、柴油</w:t>
            </w:r>
            <w:r>
              <w:rPr>
                <w:rFonts w:hint="eastAsia" w:ascii="黑体" w:hAnsi="黑体" w:eastAsia="黑体" w:cs="宋体"/>
                <w:sz w:val="21"/>
                <w:szCs w:val="21"/>
                <w:lang w:val="zh-CN" w:bidi="zh-CN"/>
              </w:rPr>
              <w:t>和</w:t>
            </w:r>
            <w:r>
              <w:rPr>
                <w:rFonts w:ascii="黑体" w:hAnsi="黑体" w:eastAsia="黑体" w:cs="宋体"/>
                <w:sz w:val="21"/>
                <w:szCs w:val="21"/>
                <w:lang w:val="zh-CN" w:bidi="zh-CN"/>
              </w:rPr>
              <w:t>天然气理化性质及危险级别分类</w:t>
            </w:r>
            <w:r>
              <w:rPr>
                <w:rFonts w:hint="eastAsia" w:ascii="黑体" w:hAnsi="黑体" w:eastAsia="黑体" w:cs="宋体"/>
                <w:sz w:val="21"/>
                <w:szCs w:val="21"/>
                <w:lang w:val="zh-CN" w:bidi="zh-CN"/>
              </w:rPr>
              <w:t>等</w:t>
            </w:r>
            <w:r>
              <w:rPr>
                <w:rFonts w:ascii="黑体" w:hAnsi="黑体" w:eastAsia="黑体" w:cs="宋体"/>
                <w:sz w:val="21"/>
                <w:szCs w:val="21"/>
                <w:lang w:val="zh-CN" w:bidi="zh-CN"/>
              </w:rPr>
              <w:t>情况</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438"/>
              <w:gridCol w:w="987"/>
              <w:gridCol w:w="2382"/>
              <w:gridCol w:w="1758"/>
              <w:gridCol w:w="637"/>
              <w:gridCol w:w="6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序号</w:t>
                  </w:r>
                </w:p>
              </w:tc>
              <w:tc>
                <w:tcPr>
                  <w:tcW w:w="300"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名称</w:t>
                  </w:r>
                </w:p>
              </w:tc>
              <w:tc>
                <w:tcPr>
                  <w:tcW w:w="677"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组分</w:t>
                  </w:r>
                </w:p>
              </w:tc>
              <w:tc>
                <w:tcPr>
                  <w:tcW w:w="1633"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危险性</w:t>
                  </w:r>
                </w:p>
              </w:tc>
              <w:tc>
                <w:tcPr>
                  <w:tcW w:w="1205"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燃烧爆炸特性参数</w:t>
                  </w:r>
                </w:p>
              </w:tc>
              <w:tc>
                <w:tcPr>
                  <w:tcW w:w="437"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危险级别</w:t>
                  </w:r>
                </w:p>
              </w:tc>
              <w:tc>
                <w:tcPr>
                  <w:tcW w:w="448"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1</w:t>
                  </w:r>
                </w:p>
              </w:tc>
              <w:tc>
                <w:tcPr>
                  <w:tcW w:w="300"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原油</w:t>
                  </w:r>
                </w:p>
              </w:tc>
              <w:tc>
                <w:tcPr>
                  <w:tcW w:w="677" w:type="pct"/>
                  <w:vAlign w:val="center"/>
                </w:tcPr>
                <w:p>
                  <w:pPr>
                    <w:pStyle w:val="22"/>
                    <w:wordWrap w:val="0"/>
                    <w:spacing w:line="240" w:lineRule="exact"/>
                    <w:ind w:firstLine="0" w:firstLineChars="0"/>
                    <w:jc w:val="center"/>
                    <w:rPr>
                      <w:rFonts w:cs="宋体"/>
                      <w:sz w:val="21"/>
                      <w:szCs w:val="21"/>
                    </w:rPr>
                  </w:pPr>
                  <w:r>
                    <w:rPr>
                      <w:rFonts w:cs="宋体"/>
                      <w:sz w:val="21"/>
                      <w:szCs w:val="21"/>
                      <w:lang w:bidi="zh-CN"/>
                    </w:rPr>
                    <w:t>各种烃类和非烃类化合物所组成的复杂混合物</w:t>
                  </w:r>
                </w:p>
              </w:tc>
              <w:tc>
                <w:tcPr>
                  <w:tcW w:w="1633"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原油本身无明显毒性。遇热分解出有毒烟雾，人体大量吸入可引起危害：有刺激和麻痹作用，急性中毒者有上呼吸道刺激症状。</w:t>
                  </w:r>
                </w:p>
              </w:tc>
              <w:tc>
                <w:tcPr>
                  <w:tcW w:w="1205" w:type="pct"/>
                  <w:vAlign w:val="center"/>
                </w:tcPr>
                <w:p>
                  <w:pPr>
                    <w:wordWrap w:val="0"/>
                    <w:spacing w:line="240" w:lineRule="exact"/>
                    <w:jc w:val="center"/>
                    <w:rPr>
                      <w:rFonts w:ascii="宋体" w:hAnsi="宋体"/>
                    </w:rPr>
                  </w:pPr>
                  <w:r>
                    <w:rPr>
                      <w:rFonts w:hint="eastAsia" w:ascii="宋体" w:hAnsi="宋体"/>
                    </w:rPr>
                    <w:t>热值：41870KJ/kg；沸点：300～325℃；闪点：23.5℃；爆炸极限：1.1～6.4%（v）；自燃燃点：380～530℃</w:t>
                  </w:r>
                </w:p>
              </w:tc>
              <w:tc>
                <w:tcPr>
                  <w:tcW w:w="437" w:type="pct"/>
                  <w:vAlign w:val="center"/>
                </w:tcPr>
                <w:p>
                  <w:pPr>
                    <w:pStyle w:val="22"/>
                    <w:wordWrap w:val="0"/>
                    <w:spacing w:line="240" w:lineRule="exact"/>
                    <w:ind w:firstLine="0" w:firstLineChars="0"/>
                    <w:jc w:val="center"/>
                    <w:rPr>
                      <w:rFonts w:cs="宋体"/>
                      <w:sz w:val="21"/>
                      <w:szCs w:val="21"/>
                    </w:rPr>
                  </w:pPr>
                  <w:r>
                    <w:rPr>
                      <w:rFonts w:cs="宋体"/>
                      <w:sz w:val="21"/>
                      <w:szCs w:val="21"/>
                      <w:lang w:bidi="zh-CN"/>
                    </w:rPr>
                    <w:t>高闪点液体</w:t>
                  </w:r>
                </w:p>
              </w:tc>
              <w:tc>
                <w:tcPr>
                  <w:tcW w:w="448" w:type="pct"/>
                  <w:vAlign w:val="center"/>
                </w:tcPr>
                <w:p>
                  <w:pPr>
                    <w:pStyle w:val="22"/>
                    <w:wordWrap w:val="0"/>
                    <w:spacing w:line="240" w:lineRule="exact"/>
                    <w:ind w:firstLine="0" w:firstLineChars="0"/>
                    <w:jc w:val="center"/>
                    <w:rPr>
                      <w:rFonts w:cs="宋体"/>
                      <w:sz w:val="21"/>
                      <w:szCs w:val="21"/>
                      <w:lang w:bidi="zh-CN"/>
                    </w:rPr>
                  </w:pPr>
                  <w:r>
                    <w:rPr>
                      <w:rFonts w:hint="eastAsia" w:cs="宋体"/>
                      <w:sz w:val="21"/>
                      <w:szCs w:val="21"/>
                      <w:lang w:bidi="zh-CN"/>
                    </w:rPr>
                    <w:t>大气、地下水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2</w:t>
                  </w:r>
                </w:p>
              </w:tc>
              <w:tc>
                <w:tcPr>
                  <w:tcW w:w="300"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天然气</w:t>
                  </w:r>
                </w:p>
              </w:tc>
              <w:tc>
                <w:tcPr>
                  <w:tcW w:w="677" w:type="pct"/>
                  <w:vAlign w:val="center"/>
                </w:tcPr>
                <w:p>
                  <w:pPr>
                    <w:pStyle w:val="22"/>
                    <w:tabs>
                      <w:tab w:val="left" w:pos="630"/>
                    </w:tabs>
                    <w:wordWrap w:val="0"/>
                    <w:spacing w:line="240" w:lineRule="exact"/>
                    <w:ind w:firstLine="0" w:firstLineChars="0"/>
                    <w:jc w:val="center"/>
                    <w:rPr>
                      <w:rFonts w:cs="宋体"/>
                      <w:sz w:val="21"/>
                      <w:szCs w:val="21"/>
                    </w:rPr>
                  </w:pPr>
                  <w:r>
                    <w:rPr>
                      <w:rFonts w:hint="eastAsia" w:cs="宋体"/>
                      <w:sz w:val="21"/>
                      <w:szCs w:val="21"/>
                    </w:rPr>
                    <w:t>主要成分包括甲烷、乙烷等</w:t>
                  </w:r>
                </w:p>
              </w:tc>
              <w:tc>
                <w:tcPr>
                  <w:tcW w:w="1633"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伴生气主要成分为天然气。天然气中含有的甲烷，是一种无毒气体，当空气中大量弥漫这种气体时会使人因氧气不足而呼吸困难，进而失去知觉、昏迷甚至残废。</w:t>
                  </w:r>
                </w:p>
              </w:tc>
              <w:tc>
                <w:tcPr>
                  <w:tcW w:w="1205"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热值：50009KJ/kg；爆炸极限：5～14%（v）；自燃燃点：482～632℃</w:t>
                  </w:r>
                </w:p>
              </w:tc>
              <w:tc>
                <w:tcPr>
                  <w:tcW w:w="437" w:type="pct"/>
                  <w:vAlign w:val="center"/>
                </w:tcPr>
                <w:p>
                  <w:pPr>
                    <w:pStyle w:val="22"/>
                    <w:wordWrap w:val="0"/>
                    <w:spacing w:line="240" w:lineRule="exact"/>
                    <w:ind w:firstLine="0" w:firstLineChars="0"/>
                    <w:jc w:val="center"/>
                    <w:rPr>
                      <w:rFonts w:cs="宋体"/>
                      <w:sz w:val="21"/>
                      <w:szCs w:val="21"/>
                    </w:rPr>
                  </w:pPr>
                  <w:r>
                    <w:rPr>
                      <w:rFonts w:cs="宋体"/>
                      <w:sz w:val="21"/>
                      <w:szCs w:val="21"/>
                      <w:lang w:bidi="zh-CN"/>
                    </w:rPr>
                    <w:t>易燃气体</w:t>
                  </w:r>
                </w:p>
              </w:tc>
              <w:tc>
                <w:tcPr>
                  <w:tcW w:w="448" w:type="pct"/>
                  <w:vAlign w:val="center"/>
                </w:tcPr>
                <w:p>
                  <w:pPr>
                    <w:pStyle w:val="22"/>
                    <w:wordWrap w:val="0"/>
                    <w:spacing w:line="240" w:lineRule="exact"/>
                    <w:ind w:firstLine="0" w:firstLineChars="0"/>
                    <w:jc w:val="center"/>
                    <w:rPr>
                      <w:rFonts w:cs="宋体"/>
                      <w:sz w:val="21"/>
                      <w:szCs w:val="21"/>
                      <w:lang w:bidi="zh-CN"/>
                    </w:rPr>
                  </w:pPr>
                  <w:r>
                    <w:rPr>
                      <w:rFonts w:hint="eastAsia" w:cs="宋体"/>
                      <w:sz w:val="21"/>
                      <w:szCs w:val="21"/>
                      <w:lang w:bidi="zh-CN"/>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3</w:t>
                  </w:r>
                </w:p>
              </w:tc>
              <w:tc>
                <w:tcPr>
                  <w:tcW w:w="300"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柴油</w:t>
                  </w:r>
                </w:p>
              </w:tc>
              <w:tc>
                <w:tcPr>
                  <w:tcW w:w="677" w:type="pct"/>
                  <w:vAlign w:val="center"/>
                </w:tcPr>
                <w:p>
                  <w:pPr>
                    <w:pStyle w:val="22"/>
                    <w:tabs>
                      <w:tab w:val="left" w:pos="630"/>
                    </w:tabs>
                    <w:wordWrap w:val="0"/>
                    <w:spacing w:line="240" w:lineRule="exact"/>
                    <w:ind w:firstLine="0" w:firstLineChars="0"/>
                    <w:jc w:val="center"/>
                    <w:rPr>
                      <w:rFonts w:cs="宋体"/>
                      <w:sz w:val="21"/>
                      <w:szCs w:val="21"/>
                    </w:rPr>
                  </w:pPr>
                  <w:r>
                    <w:rPr>
                      <w:rFonts w:hint="eastAsia" w:cs="宋体"/>
                      <w:sz w:val="21"/>
                      <w:szCs w:val="21"/>
                    </w:rPr>
                    <w:t>复杂烃类(碳原子数约</w:t>
                  </w:r>
                  <w:r>
                    <w:rPr>
                      <w:rFonts w:cs="宋体"/>
                      <w:sz w:val="21"/>
                      <w:szCs w:val="21"/>
                    </w:rPr>
                    <w:t>1</w:t>
                  </w:r>
                  <w:r>
                    <w:rPr>
                      <w:rFonts w:hint="eastAsia" w:cs="宋体"/>
                      <w:sz w:val="21"/>
                      <w:szCs w:val="21"/>
                    </w:rPr>
                    <w:t>0～22)混合物</w:t>
                  </w:r>
                </w:p>
              </w:tc>
              <w:tc>
                <w:tcPr>
                  <w:tcW w:w="1633"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柴油的毒性类似于煤油，但由于添加剂(如硫化酯类)的影响，毒性比煤油略大，主要有麻醉和刺激作用。柴油的雾滴吸入后可致吸入性肺炎，皮肤接触柴油可致接触性皮炎。</w:t>
                  </w:r>
                </w:p>
              </w:tc>
              <w:tc>
                <w:tcPr>
                  <w:tcW w:w="1205" w:type="pct"/>
                  <w:vAlign w:val="center"/>
                </w:tcPr>
                <w:p>
                  <w:pPr>
                    <w:pStyle w:val="22"/>
                    <w:wordWrap w:val="0"/>
                    <w:spacing w:line="240" w:lineRule="exact"/>
                    <w:ind w:firstLine="0" w:firstLineChars="0"/>
                    <w:jc w:val="center"/>
                    <w:rPr>
                      <w:rFonts w:cs="宋体"/>
                      <w:sz w:val="21"/>
                      <w:szCs w:val="21"/>
                    </w:rPr>
                  </w:pPr>
                  <w:r>
                    <w:rPr>
                      <w:rFonts w:hint="eastAsia" w:cs="宋体"/>
                      <w:sz w:val="21"/>
                      <w:szCs w:val="21"/>
                    </w:rPr>
                    <w:t>热值：3.3×10</w:t>
                  </w:r>
                  <w:r>
                    <w:rPr>
                      <w:rFonts w:cs="宋体"/>
                      <w:sz w:val="21"/>
                      <w:szCs w:val="21"/>
                      <w:vertAlign w:val="superscript"/>
                    </w:rPr>
                    <w:t>4</w:t>
                  </w:r>
                  <w:r>
                    <w:rPr>
                      <w:rFonts w:cs="宋体"/>
                      <w:sz w:val="21"/>
                      <w:szCs w:val="21"/>
                    </w:rPr>
                    <w:t>K</w:t>
                  </w:r>
                  <w:r>
                    <w:rPr>
                      <w:rFonts w:hint="eastAsia" w:cs="宋体"/>
                      <w:sz w:val="21"/>
                      <w:szCs w:val="21"/>
                    </w:rPr>
                    <w:t>J/L；沸点范围：180～370℃和350～410℃；两类闪点：</w:t>
                  </w:r>
                  <w:r>
                    <w:rPr>
                      <w:rFonts w:cs="宋体"/>
                      <w:sz w:val="21"/>
                      <w:szCs w:val="21"/>
                    </w:rPr>
                    <w:t>3</w:t>
                  </w:r>
                  <w:r>
                    <w:rPr>
                      <w:rFonts w:hint="eastAsia" w:cs="宋体"/>
                      <w:sz w:val="21"/>
                      <w:szCs w:val="21"/>
                    </w:rPr>
                    <w:t>8℃</w:t>
                  </w:r>
                </w:p>
              </w:tc>
              <w:tc>
                <w:tcPr>
                  <w:tcW w:w="437" w:type="pct"/>
                  <w:vAlign w:val="center"/>
                </w:tcPr>
                <w:p>
                  <w:pPr>
                    <w:pStyle w:val="22"/>
                    <w:wordWrap w:val="0"/>
                    <w:spacing w:line="240" w:lineRule="exact"/>
                    <w:ind w:firstLine="0" w:firstLineChars="0"/>
                    <w:jc w:val="center"/>
                    <w:rPr>
                      <w:rFonts w:cs="宋体"/>
                      <w:sz w:val="21"/>
                      <w:szCs w:val="21"/>
                      <w:lang w:bidi="zh-CN"/>
                    </w:rPr>
                  </w:pPr>
                  <w:r>
                    <w:rPr>
                      <w:rFonts w:cs="宋体"/>
                      <w:sz w:val="21"/>
                      <w:szCs w:val="21"/>
                      <w:lang w:bidi="zh-CN"/>
                    </w:rPr>
                    <w:t>高闪点液体</w:t>
                  </w:r>
                </w:p>
              </w:tc>
              <w:tc>
                <w:tcPr>
                  <w:tcW w:w="448" w:type="pct"/>
                  <w:vAlign w:val="center"/>
                </w:tcPr>
                <w:p>
                  <w:pPr>
                    <w:pStyle w:val="22"/>
                    <w:wordWrap w:val="0"/>
                    <w:spacing w:line="240" w:lineRule="exact"/>
                    <w:ind w:firstLine="0" w:firstLineChars="0"/>
                    <w:jc w:val="center"/>
                    <w:rPr>
                      <w:rFonts w:cs="宋体"/>
                      <w:sz w:val="21"/>
                      <w:szCs w:val="21"/>
                      <w:lang w:bidi="zh-CN"/>
                    </w:rPr>
                  </w:pPr>
                  <w:r>
                    <w:rPr>
                      <w:rFonts w:hint="eastAsia" w:cs="宋体"/>
                      <w:sz w:val="21"/>
                      <w:szCs w:val="21"/>
                      <w:lang w:bidi="zh-CN"/>
                    </w:rPr>
                    <w:t>大气、地下水</w:t>
                  </w:r>
                </w:p>
              </w:tc>
            </w:tr>
          </w:tbl>
          <w:p>
            <w:pPr>
              <w:pStyle w:val="22"/>
              <w:ind w:firstLine="480"/>
              <w:rPr>
                <w:rFonts w:cs="宋体"/>
                <w:szCs w:val="21"/>
              </w:rPr>
            </w:pPr>
            <w:r>
              <w:rPr>
                <w:rFonts w:hint="eastAsia" w:cs="宋体"/>
                <w:bCs/>
                <w:szCs w:val="21"/>
              </w:rPr>
              <w:t>②生产设施风险识别</w:t>
            </w:r>
          </w:p>
          <w:p>
            <w:pPr>
              <w:pStyle w:val="7"/>
              <w:spacing w:before="0" w:after="0" w:line="500" w:lineRule="exact"/>
              <w:ind w:right="0" w:firstLine="420" w:firstLineChars="200"/>
              <w:rPr>
                <w:rFonts w:ascii="宋体" w:hAnsi="宋体" w:cs="宋体"/>
                <w:sz w:val="24"/>
                <w:szCs w:val="24"/>
              </w:rPr>
            </w:pPr>
            <w:r>
              <w:rPr>
                <w:rFonts w:hint="eastAsia"/>
                <w:bCs/>
              </w:rPr>
              <w:t>a</w:t>
            </w:r>
            <w:r>
              <w:rPr>
                <w:bCs/>
              </w:rPr>
              <w:t>.</w:t>
            </w:r>
            <w:r>
              <w:rPr>
                <w:rFonts w:hint="eastAsia" w:ascii="宋体" w:hAnsi="宋体" w:cs="宋体"/>
                <w:sz w:val="24"/>
                <w:szCs w:val="24"/>
              </w:rPr>
              <w:t>井喷事故风险</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若井底压力小于地层压力，地层流体将进入井筒并推动钻井液外溢，即发生井喷。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b.储罐泄漏风险</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钻试期井场设有柴油储罐、废水储罐和采出液储罐等，若储罐因质量、操作运行和管理等方面存在缺陷和失误，可能会发生泄漏，对周围地下水、土壤、大气等环境造成污染。</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试油期废水及其他采出液由罐车拉运至沙南联合站，项目钻试期使用的柴油燃料由罐车拉运至井场，运输过程中若因车辆本身的设计、制造、操作、管理等各环节存在缺陷，则可能发生泄漏事故的风险。事故发生时罐车内液体溢出，对周围环境造成直接污染，泄漏的油气如遇到明火还可能发生火灾、爆炸事故。</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c.井漏事故风险</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钻井施工表层套管下入深度不够或固井质量不好可能引发井漏事故。</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（3）风险源分布情况及可能影响的途径</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本项目危险物质主要为原油、柴油和伴生气（主要成分为天然气）。原油、柴油均储存于井场专用储罐内，储存的油类物质若发生泄漏，则会污染大气环境、土壤和植被；泄漏油类物质有可能通过包气带渗漏进入地下含水层，污染地下水；若遇明火，泄漏的油类物质挥发的气体以及天然气则会发生火灾、爆炸，污染大气环境。</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）环境风险分析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①井喷事故环境影响分析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井场主要发生的风险事故为钻井及井下作业时发生井喷事故。井喷事故一旦发生，可导致大量的油气喷出井口、散落于井场周围，由于项目区人烟稀少，所以井喷对人员的伤害有限，但对项目区及周边土壤环境、大气环境、地下水环境和生态环境会产生一定影响；若及时采取有效措施治理井喷产生的污染，则不会造成地下水污染。</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井喷事故状态下，其形式仅为溢流，影响的面积不大，影响范围主要集中在井口周围200m×200m范围，本项目西距离农田的最近距离约为</w:t>
            </w:r>
            <w:r>
              <w:rPr>
                <w:rFonts w:ascii="宋体" w:hAnsi="宋体" w:cs="宋体"/>
                <w:sz w:val="24"/>
                <w:szCs w:val="24"/>
              </w:rPr>
              <w:t>150</w:t>
            </w:r>
            <w:r>
              <w:rPr>
                <w:rFonts w:hint="eastAsia" w:ascii="宋体" w:hAnsi="宋体" w:cs="宋体"/>
                <w:sz w:val="24"/>
                <w:szCs w:val="24"/>
              </w:rPr>
              <w:t>m，井喷状态下泄漏油品对农田的影响不大。但若泄漏油品进入农田，会使农田中的土壤理化性质发生变化，破坏土壤结构，影响土壤的通透性、降低土壤质量，油污黏在农作物根系上，形成一层黏膜，阻碍植物根系养分和水分的吸收，引起根系腐烂，影响农田中农作物的生长。</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②储罐泄漏环境影响分析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a.对大气环境影响分析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储罐发生泄漏后，油类物质进入环境空气，挥发产生的NMHC可能会对周围环境空气产生影响。若遇明火，可发生火灾、爆炸，且火灾、爆炸产生的伴生、次生污染物也会对环境空气产生一定影响。由于项目区地域空旷、扩散条件较好，发生事故后若能及时采取相应措施，则不会对周围环境空气产生明显影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b.对土壤环境影响分析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泄漏的油类物质可使土壤透气性下降、土壤理化性状发生变化。泄漏情况发生时，相当于向土壤中直接注入油类物质并渗入土壤孔隙，致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本项目柴油储罐、采出液储罐及废水储罐等区域均铺设防渗膜，储罐发生泄漏后应及时回收原油、收集受污染的土壤，然后委托有相应危废处置资质的单位进行回收处置。因此，在采取上述措施后不会对周围土壤环境产生明显影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c.对植被的影响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d.对地下水环境的影响</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柴油储罐、采出液储罐及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项目发生渗漏污染地下水的风险事故可能性很小。</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③井漏环境影响分析</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根据建设方提供资料显示，井漏事故只可能发生在3500m以下层位，上部地层稳定且有两层套管封隔，不存在井漏风险，不会对地下含水层水质造成污染。</w:t>
            </w:r>
          </w:p>
          <w:p>
            <w:pPr>
              <w:pStyle w:val="7"/>
              <w:spacing w:before="0" w:after="0" w:line="500" w:lineRule="exact"/>
              <w:ind w:right="0" w:firstLine="482" w:firstLineChars="200"/>
              <w:rPr>
                <w:rFonts w:ascii="宋体" w:hAnsi="宋体" w:cs="宋体"/>
                <w:b/>
                <w:bCs/>
                <w:sz w:val="24"/>
                <w:szCs w:val="24"/>
              </w:rPr>
            </w:pPr>
            <w:r>
              <w:rPr>
                <w:rFonts w:ascii="宋体" w:hAnsi="宋体" w:cs="宋体"/>
                <w:b/>
                <w:bCs/>
                <w:sz w:val="24"/>
                <w:szCs w:val="24"/>
              </w:rPr>
              <w:t>8</w:t>
            </w:r>
            <w:r>
              <w:rPr>
                <w:rFonts w:hint="eastAsia" w:ascii="宋体" w:hAnsi="宋体" w:cs="宋体"/>
                <w:b/>
                <w:bCs/>
                <w:sz w:val="24"/>
                <w:szCs w:val="24"/>
              </w:rPr>
              <w:t>、其它产出物说明</w:t>
            </w:r>
          </w:p>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试油过程采出物包括伴生气、油类物质和采出液等。其中伴生气在井场通过液气分离器排气管线点燃放空；采出液暂存于地面储罐后拉运至沙南联合站处理。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vAlign w:val="center"/>
          </w:tcPr>
          <w:p>
            <w:pPr>
              <w:snapToGrid w:val="0"/>
              <w:spacing w:line="500" w:lineRule="exact"/>
              <w:jc w:val="center"/>
              <w:rPr>
                <w:sz w:val="24"/>
              </w:rPr>
            </w:pPr>
            <w:r>
              <w:rPr>
                <w:rFonts w:hint="eastAsia"/>
                <w:sz w:val="24"/>
              </w:rPr>
              <w:t>运营期生态环境影响分析</w:t>
            </w:r>
          </w:p>
        </w:tc>
        <w:tc>
          <w:tcPr>
            <w:tcW w:w="7509" w:type="dxa"/>
            <w:vAlign w:val="center"/>
          </w:tcPr>
          <w:p>
            <w:pPr>
              <w:snapToGrid w:val="0"/>
              <w:spacing w:line="500" w:lineRule="exact"/>
              <w:ind w:firstLine="480" w:firstLineChars="200"/>
              <w:rPr>
                <w:sz w:val="24"/>
              </w:rPr>
            </w:pPr>
            <w:r>
              <w:rPr>
                <w:rFonts w:hint="eastAsia"/>
                <w:sz w:val="24"/>
              </w:rPr>
              <w:t>本项目无运营期，钻试活动结束后环境影响随之消失。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vAlign w:val="center"/>
          </w:tcPr>
          <w:p>
            <w:pPr>
              <w:snapToGrid w:val="0"/>
              <w:spacing w:line="500" w:lineRule="exact"/>
              <w:jc w:val="center"/>
              <w:rPr>
                <w:sz w:val="24"/>
              </w:rPr>
            </w:pPr>
            <w:r>
              <w:rPr>
                <w:rFonts w:hint="eastAsia"/>
                <w:sz w:val="24"/>
              </w:rPr>
              <w:t>选址选线环境合理性分析</w:t>
            </w:r>
          </w:p>
        </w:tc>
        <w:tc>
          <w:tcPr>
            <w:tcW w:w="7509" w:type="dxa"/>
            <w:vAlign w:val="center"/>
          </w:tcPr>
          <w:p>
            <w:pPr>
              <w:snapToGrid w:val="0"/>
              <w:spacing w:line="500" w:lineRule="exact"/>
              <w:ind w:firstLine="480" w:firstLineChars="200"/>
              <w:rPr>
                <w:rFonts w:ascii="宋体" w:hAnsi="宋体" w:cs="宋体"/>
                <w:sz w:val="24"/>
              </w:rPr>
            </w:pPr>
            <w:r>
              <w:rPr>
                <w:rFonts w:hint="eastAsia" w:ascii="宋体" w:hAnsi="宋体" w:cs="宋体"/>
                <w:sz w:val="24"/>
              </w:rPr>
              <w:t>本项目探临道路已尽可能避开野生植物生长密集地带和减少占地；井口距离75m范围内无高压线及其它永久性设施，100m范围内无民宅，200m范围内无铁路、高速公路，500m范围内无学校、医院和大型油库等人口密集型、高危性场所。项目选址符合《钻前工程及井场布置技术要求》（SY/T5466-2013）的要求。</w:t>
            </w:r>
          </w:p>
          <w:p>
            <w:pPr>
              <w:snapToGrid w:val="0"/>
              <w:spacing w:line="500" w:lineRule="exact"/>
              <w:ind w:firstLine="480" w:firstLineChars="200"/>
              <w:rPr>
                <w:rFonts w:ascii="宋体" w:hAnsi="宋体" w:cs="宋体"/>
                <w:sz w:val="24"/>
              </w:rPr>
            </w:pPr>
            <w:r>
              <w:rPr>
                <w:rFonts w:hint="eastAsia" w:ascii="宋体" w:hAnsi="宋体" w:cs="宋体"/>
                <w:sz w:val="24"/>
              </w:rPr>
              <w:t>项目所在区域为新疆维吾尔自治区水土流失重点治理区，施工期间及施工结束后严格落实水土流失防治措施，对生态环境恢复可以起到积极的作用，可将水土流失的程度降低到最小限度。</w:t>
            </w:r>
          </w:p>
          <w:p>
            <w:pPr>
              <w:snapToGrid w:val="0"/>
              <w:spacing w:line="500" w:lineRule="exact"/>
              <w:ind w:firstLine="480" w:firstLineChars="200"/>
              <w:rPr>
                <w:rFonts w:ascii="宋体" w:hAnsi="宋体" w:cs="宋体"/>
                <w:sz w:val="24"/>
              </w:rPr>
            </w:pPr>
            <w:r>
              <w:rPr>
                <w:rFonts w:hint="eastAsia" w:ascii="宋体" w:hAnsi="宋体" w:cs="宋体"/>
                <w:sz w:val="24"/>
              </w:rPr>
              <w:t>项目选址不在自然保护区、风景名胜区、饮用水水源保护区等特殊敏感区域和重要生态敏感区域内，周边也无以居住、医疗卫生、文化教育、科研、行政办公等为主要功能的区域，无重大环境制约因素。本项目占地均为临时占地，建设单位应按相关要求及时办理征地补偿协议。钻试工程结束后及时对临时占地进行清理平整，植被自然恢复。</w:t>
            </w:r>
          </w:p>
          <w:p>
            <w:pPr>
              <w:snapToGrid w:val="0"/>
              <w:spacing w:line="500" w:lineRule="exact"/>
              <w:ind w:firstLine="480" w:firstLineChars="200"/>
              <w:rPr>
                <w:rFonts w:ascii="宋体" w:hAnsi="宋体" w:cs="宋体"/>
                <w:sz w:val="24"/>
              </w:rPr>
            </w:pPr>
            <w:r>
              <w:rPr>
                <w:rFonts w:hint="eastAsia" w:ascii="宋体" w:hAnsi="宋体" w:cs="宋体"/>
                <w:sz w:val="24"/>
              </w:rPr>
              <w:t>综上所述，项目选址选线合理。</w:t>
            </w:r>
          </w:p>
        </w:tc>
      </w:tr>
    </w:tbl>
    <w:p>
      <w:pPr>
        <w:pStyle w:val="4"/>
        <w:snapToGrid w:val="0"/>
        <w:spacing w:before="0" w:after="0" w:line="360" w:lineRule="auto"/>
        <w:jc w:val="center"/>
        <w:rPr>
          <w:rFonts w:ascii="黑体" w:hAnsi="黑体" w:eastAsia="黑体" w:cs="黑体"/>
          <w:b w:val="0"/>
          <w:bCs/>
          <w:sz w:val="30"/>
          <w:szCs w:val="30"/>
        </w:rPr>
        <w:sectPr>
          <w:pgSz w:w="11906" w:h="16838"/>
          <w:pgMar w:top="1440" w:right="1800" w:bottom="1440" w:left="1800" w:header="851" w:footer="992" w:gutter="0"/>
          <w:cols w:space="425" w:num="1"/>
          <w:docGrid w:type="lines" w:linePitch="312" w:charSpace="0"/>
        </w:sectPr>
      </w:pPr>
    </w:p>
    <w:p>
      <w:pPr>
        <w:pStyle w:val="4"/>
        <w:snapToGrid w:val="0"/>
        <w:spacing w:before="0" w:after="0" w:line="360" w:lineRule="auto"/>
        <w:jc w:val="center"/>
        <w:rPr>
          <w:rFonts w:ascii="黑体" w:hAnsi="黑体" w:eastAsia="黑体" w:cs="黑体"/>
          <w:b w:val="0"/>
          <w:bCs/>
          <w:sz w:val="30"/>
          <w:szCs w:val="30"/>
        </w:rPr>
      </w:pPr>
      <w:r>
        <w:rPr>
          <w:rFonts w:hint="eastAsia" w:ascii="黑体" w:hAnsi="黑体" w:eastAsia="黑体" w:cs="黑体"/>
          <w:b w:val="0"/>
          <w:bCs/>
          <w:sz w:val="30"/>
          <w:szCs w:val="30"/>
        </w:rPr>
        <w:t>五、主要生态环境保护措施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ascii="宋体" w:hAnsi="宋体" w:cs="宋体"/>
                <w:sz w:val="24"/>
              </w:rPr>
            </w:pPr>
            <w:r>
              <w:rPr>
                <w:rFonts w:hint="eastAsia" w:ascii="宋体" w:hAnsi="宋体" w:cs="宋体"/>
                <w:bCs/>
                <w:sz w:val="24"/>
              </w:rPr>
              <w:t>施工期生态</w:t>
            </w:r>
            <w:bookmarkStart w:id="23" w:name="_Hlk105513841"/>
            <w:r>
              <w:rPr>
                <w:rFonts w:hint="eastAsia" w:ascii="宋体" w:hAnsi="宋体" w:cs="宋体"/>
                <w:bCs/>
                <w:sz w:val="24"/>
              </w:rPr>
              <w:t>环境保护措施</w:t>
            </w:r>
            <w:bookmarkEnd w:id="23"/>
          </w:p>
        </w:tc>
        <w:tc>
          <w:tcPr>
            <w:tcW w:w="7450" w:type="dxa"/>
          </w:tcPr>
          <w:p>
            <w:pPr>
              <w:snapToGrid w:val="0"/>
              <w:spacing w:line="500" w:lineRule="exact"/>
              <w:ind w:firstLine="482" w:firstLineChars="200"/>
              <w:rPr>
                <w:rFonts w:ascii="宋体" w:hAnsi="宋体" w:cs="宋体"/>
                <w:b/>
                <w:bCs/>
                <w:sz w:val="24"/>
              </w:rPr>
            </w:pPr>
            <w:r>
              <w:rPr>
                <w:rFonts w:hint="eastAsia" w:ascii="宋体" w:hAnsi="宋体" w:cs="宋体"/>
                <w:b/>
                <w:bCs/>
                <w:sz w:val="24"/>
              </w:rPr>
              <w:t>1、生态环境保护措施</w:t>
            </w:r>
          </w:p>
          <w:p>
            <w:pPr>
              <w:snapToGrid w:val="0"/>
              <w:spacing w:line="500" w:lineRule="exact"/>
              <w:ind w:firstLine="480" w:firstLineChars="200"/>
              <w:rPr>
                <w:rFonts w:ascii="宋体" w:hAnsi="宋体" w:cs="宋体"/>
                <w:sz w:val="24"/>
              </w:rPr>
            </w:pPr>
            <w:r>
              <w:rPr>
                <w:rFonts w:hint="eastAsia" w:ascii="宋体" w:hAnsi="宋体" w:cs="宋体"/>
                <w:sz w:val="24"/>
              </w:rPr>
              <w:t>建设单位及施工单位应严格执行本次评价提出的生态环境保护措施，并确保各项保护措施与钻试工程同时设计、同时施工、同时使用。</w:t>
            </w:r>
          </w:p>
          <w:p>
            <w:pPr>
              <w:snapToGrid w:val="0"/>
              <w:spacing w:line="500" w:lineRule="exact"/>
              <w:ind w:firstLine="480" w:firstLineChars="200"/>
              <w:rPr>
                <w:rFonts w:ascii="宋体" w:hAnsi="宋体" w:cs="宋体"/>
                <w:sz w:val="24"/>
              </w:rPr>
            </w:pPr>
            <w:bookmarkStart w:id="24" w:name="_Hlk105666645"/>
            <w:r>
              <w:rPr>
                <w:rFonts w:hint="eastAsia" w:ascii="宋体" w:hAnsi="宋体" w:cs="宋体"/>
                <w:sz w:val="24"/>
              </w:rPr>
              <w:t>（1）生态保护措施</w:t>
            </w:r>
          </w:p>
          <w:p>
            <w:pPr>
              <w:snapToGrid w:val="0"/>
              <w:spacing w:line="500" w:lineRule="exact"/>
              <w:ind w:firstLine="480" w:firstLineChars="200"/>
              <w:rPr>
                <w:rFonts w:ascii="宋体" w:hAnsi="宋体" w:cs="宋体"/>
                <w:sz w:val="24"/>
              </w:rPr>
            </w:pPr>
            <w:bookmarkStart w:id="25" w:name="_Hlk105586683"/>
            <w:bookmarkStart w:id="26" w:name="_Hlk105666905"/>
            <w:r>
              <w:rPr>
                <w:rFonts w:hint="eastAsia" w:ascii="宋体" w:hAnsi="宋体" w:cs="宋体"/>
                <w:sz w:val="24"/>
              </w:rPr>
              <w:t>①工程避让措施：应提前踏勘探临道路选线，在满足勘探设计和施工要求的前提下，对井场、生活营地位置及其他占地进行适当调整，尽量避开野生植物生长密集地带以及农田，并减少占地。</w:t>
            </w:r>
          </w:p>
          <w:p>
            <w:pPr>
              <w:snapToGrid w:val="0"/>
              <w:spacing w:line="500" w:lineRule="exact"/>
              <w:ind w:firstLine="480" w:firstLineChars="200"/>
              <w:rPr>
                <w:rFonts w:ascii="宋体" w:hAnsi="宋体" w:cs="宋体"/>
                <w:sz w:val="24"/>
              </w:rPr>
            </w:pPr>
            <w:r>
              <w:rPr>
                <w:rFonts w:hint="eastAsia" w:ascii="宋体" w:hAnsi="宋体" w:cs="宋体"/>
                <w:sz w:val="24"/>
              </w:rPr>
              <w:t>②减缓措施：尽量缩小施工占地，不得随意开辟道路，减少影响范围；确保各环保设施正常运行，避免各类污染物对土壤环境的影响，防止进一步影响其上部生长的野生植被。</w:t>
            </w:r>
          </w:p>
          <w:p>
            <w:pPr>
              <w:snapToGrid w:val="0"/>
              <w:spacing w:line="500" w:lineRule="exact"/>
              <w:ind w:firstLine="480" w:firstLineChars="200"/>
              <w:rPr>
                <w:rFonts w:ascii="宋体" w:hAnsi="宋体" w:cs="宋体"/>
                <w:sz w:val="24"/>
              </w:rPr>
            </w:pPr>
            <w:r>
              <w:rPr>
                <w:rFonts w:hint="eastAsia" w:ascii="宋体" w:hAnsi="宋体" w:cs="宋体"/>
                <w:sz w:val="24"/>
              </w:rPr>
              <w:t>③修复措施：完井后施工机械、设备及时撤离，对占地进行清理平整，废水和固体废物全部妥善处置，禁止现场遗留；尽量利用井场及临时道路施工时产生的表层弃土对临时占地进行覆盖，植被自然恢复。</w:t>
            </w:r>
          </w:p>
          <w:p>
            <w:pPr>
              <w:snapToGrid w:val="0"/>
              <w:spacing w:line="500" w:lineRule="exact"/>
              <w:ind w:firstLine="480" w:firstLineChars="200"/>
              <w:rPr>
                <w:rFonts w:ascii="宋体" w:hAnsi="宋体" w:cs="宋体"/>
                <w:sz w:val="24"/>
              </w:rPr>
            </w:pPr>
            <w:r>
              <w:rPr>
                <w:rFonts w:hint="eastAsia" w:ascii="宋体" w:hAnsi="宋体" w:cs="宋体"/>
                <w:sz w:val="24"/>
              </w:rPr>
              <w:t>④补偿措施：</w:t>
            </w:r>
            <w:bookmarkStart w:id="27" w:name="_Hlk105513054"/>
            <w:r>
              <w:rPr>
                <w:rFonts w:hint="eastAsia" w:ascii="宋体" w:hAnsi="宋体" w:cs="宋体"/>
                <w:sz w:val="24"/>
              </w:rPr>
              <w:t>建设单位应严格按照有关规定办理临时占地经济补偿协议，对因项目施工破坏的野生植被予以经济补偿。</w:t>
            </w:r>
            <w:bookmarkEnd w:id="27"/>
          </w:p>
          <w:p>
            <w:pPr>
              <w:snapToGrid w:val="0"/>
              <w:spacing w:line="500" w:lineRule="exact"/>
              <w:ind w:firstLine="480" w:firstLineChars="200"/>
              <w:rPr>
                <w:rFonts w:ascii="宋体" w:hAnsi="宋体" w:cs="宋体"/>
                <w:sz w:val="24"/>
              </w:rPr>
            </w:pPr>
            <w:r>
              <w:rPr>
                <w:rFonts w:hint="eastAsia" w:ascii="宋体" w:hAnsi="宋体" w:cs="宋体"/>
                <w:sz w:val="24"/>
              </w:rPr>
              <w:t>⑤管理措施：严格遵守油田环境保护规章制度；严格控制井场占地，严格划定车辆行驶路线及临时道路开拓路线，禁止运输车辆乱碾乱轧；严格规定各类工作人员的活动范围，禁止进入附近的农田区域，最大限度减少对农作物和荒漠植物生存环境的踩踏破坏以及对野生动物的栖息地的侵扰。加强环境保护宣传工作，提高施工人员环保意识，特别是注意对野生动物和自然植被的保护。</w:t>
            </w:r>
          </w:p>
          <w:bookmarkEnd w:id="24"/>
          <w:bookmarkEnd w:id="25"/>
          <w:p>
            <w:pPr>
              <w:snapToGrid w:val="0"/>
              <w:spacing w:line="500" w:lineRule="exact"/>
              <w:ind w:firstLine="480" w:firstLineChars="200"/>
              <w:rPr>
                <w:rFonts w:ascii="宋体" w:hAnsi="宋体" w:cs="宋体"/>
                <w:sz w:val="24"/>
              </w:rPr>
            </w:pPr>
            <w:r>
              <w:rPr>
                <w:rFonts w:hint="eastAsia" w:ascii="宋体" w:hAnsi="宋体" w:cs="宋体"/>
                <w:sz w:val="24"/>
              </w:rPr>
              <w:t xml:space="preserve">（2）对野生动物的生态环保措施要求 </w:t>
            </w:r>
          </w:p>
          <w:p>
            <w:pPr>
              <w:snapToGrid w:val="0"/>
              <w:spacing w:line="500" w:lineRule="exact"/>
              <w:ind w:firstLine="480" w:firstLineChars="200"/>
              <w:rPr>
                <w:rFonts w:ascii="宋体" w:hAnsi="宋体" w:cs="宋体"/>
                <w:sz w:val="24"/>
              </w:rPr>
            </w:pPr>
            <w:r>
              <w:rPr>
                <w:rFonts w:hint="eastAsia" w:ascii="宋体" w:hAnsi="宋体" w:cs="宋体"/>
                <w:sz w:val="24"/>
              </w:rPr>
              <w:t>为了更好的保护野生动物，建设单位在项目实施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bookmarkEnd w:id="26"/>
          </w:p>
          <w:p>
            <w:pPr>
              <w:snapToGrid w:val="0"/>
              <w:spacing w:line="500" w:lineRule="exact"/>
              <w:ind w:firstLine="480" w:firstLineChars="200"/>
              <w:rPr>
                <w:rFonts w:ascii="宋体" w:hAnsi="宋体" w:cs="宋体"/>
                <w:sz w:val="24"/>
              </w:rPr>
            </w:pPr>
            <w:r>
              <w:rPr>
                <w:rFonts w:hint="eastAsia" w:ascii="宋体" w:hAnsi="宋体" w:cs="宋体"/>
                <w:sz w:val="24"/>
              </w:rPr>
              <w:t>上述生态环境保护措施均为技术可行、经济合理、稳定可靠、便于实施的成熟措施，在油气田勘探过程中得到广泛应用，且均可有效减少对项目区及周边生态环境的影响，因此</w:t>
            </w:r>
            <w:r>
              <w:rPr>
                <w:rFonts w:hint="eastAsia" w:ascii="宋体" w:hAnsi="宋体"/>
                <w:sz w:val="24"/>
              </w:rPr>
              <w:t>以上措施落实后，</w:t>
            </w:r>
            <w:r>
              <w:rPr>
                <w:rFonts w:hint="eastAsia" w:ascii="宋体" w:hAnsi="宋体" w:cs="宋体"/>
                <w:sz w:val="24"/>
              </w:rPr>
              <w:t>项目施工过程中对周围生态环境的破坏可降低至可接受水平。</w:t>
            </w:r>
          </w:p>
          <w:p>
            <w:pPr>
              <w:keepNext/>
              <w:adjustRightInd w:val="0"/>
              <w:spacing w:line="500" w:lineRule="exact"/>
              <w:ind w:firstLine="482" w:firstLineChars="200"/>
              <w:rPr>
                <w:rFonts w:ascii="宋体" w:hAnsi="宋体" w:cs="宋体"/>
                <w:b/>
                <w:bCs/>
                <w:kern w:val="0"/>
                <w:sz w:val="24"/>
              </w:rPr>
            </w:pPr>
            <w:r>
              <w:rPr>
                <w:rFonts w:hint="eastAsia" w:ascii="宋体" w:hAnsi="宋体" w:cs="宋体"/>
                <w:b/>
                <w:bCs/>
                <w:kern w:val="0"/>
                <w:sz w:val="24"/>
              </w:rPr>
              <w:t>2、水土流失防治措施</w:t>
            </w:r>
          </w:p>
          <w:p>
            <w:pPr>
              <w:snapToGrid w:val="0"/>
              <w:spacing w:line="500" w:lineRule="exact"/>
              <w:ind w:firstLine="480" w:firstLineChars="200"/>
              <w:rPr>
                <w:rFonts w:ascii="宋体" w:hAnsi="宋体"/>
                <w:sz w:val="24"/>
              </w:rPr>
            </w:pPr>
            <w:r>
              <w:rPr>
                <w:rFonts w:hint="eastAsia" w:ascii="宋体" w:hAnsi="宋体"/>
                <w:sz w:val="24"/>
              </w:rPr>
              <w:t>项目区属于水土流失重点治理区，</w:t>
            </w:r>
            <w:r>
              <w:rPr>
                <w:rFonts w:hint="eastAsia" w:ascii="宋体" w:hAnsi="宋体" w:cs="宋体"/>
                <w:spacing w:val="-4"/>
                <w:kern w:val="0"/>
                <w:sz w:val="24"/>
              </w:rPr>
              <w:t>水土流失类型主要为轻度风力侵蚀，</w:t>
            </w:r>
            <w:r>
              <w:rPr>
                <w:rFonts w:hint="eastAsia" w:ascii="宋体" w:hAnsi="宋体"/>
                <w:sz w:val="24"/>
              </w:rPr>
              <w:t>采取防治措施如下：</w:t>
            </w:r>
          </w:p>
          <w:p>
            <w:pPr>
              <w:snapToGrid w:val="0"/>
              <w:spacing w:line="500" w:lineRule="exact"/>
              <w:ind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）严格控制和管理施工期间车辆行驶的范围，避免对占地范围外的地表以及植被造成扰动和破坏，并避免大风时作业。</w:t>
            </w:r>
          </w:p>
          <w:p>
            <w:pPr>
              <w:snapToGrid w:val="0"/>
              <w:spacing w:line="500" w:lineRule="exact"/>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）施工结束后应及时对临时占地进行清理、平整，平整过程中不仅要保证土体再塑，还要稳坡固表，防治水土流失。</w:t>
            </w:r>
          </w:p>
          <w:p>
            <w:pPr>
              <w:snapToGrid w:val="0"/>
              <w:spacing w:line="500" w:lineRule="exact"/>
              <w:ind w:firstLine="480" w:firstLineChars="200"/>
              <w:rPr>
                <w:rFonts w:ascii="宋体" w:hAnsi="宋体"/>
                <w:sz w:val="24"/>
              </w:rPr>
            </w:pPr>
            <w:r>
              <w:rPr>
                <w:rFonts w:hint="eastAsia" w:ascii="宋体" w:hAnsi="宋体"/>
                <w:sz w:val="24"/>
              </w:rPr>
              <w:t>以上措施落实后，对防止风沙流动、促进生态环境的恢复可以起到良好的作用，可将水土流失的程度降低到最小限度。</w:t>
            </w:r>
          </w:p>
          <w:p>
            <w:pPr>
              <w:widowControl/>
              <w:snapToGrid w:val="0"/>
              <w:spacing w:line="500" w:lineRule="exact"/>
              <w:ind w:firstLine="482" w:firstLineChars="200"/>
              <w:rPr>
                <w:rFonts w:ascii="宋体" w:hAnsi="宋体" w:cs="宋体"/>
                <w:b/>
                <w:bCs/>
                <w:sz w:val="24"/>
              </w:rPr>
            </w:pPr>
            <w:r>
              <w:rPr>
                <w:rFonts w:ascii="宋体" w:hAnsi="宋体" w:cs="宋体"/>
                <w:b/>
                <w:bCs/>
                <w:sz w:val="24"/>
              </w:rPr>
              <w:t>3</w:t>
            </w:r>
            <w:r>
              <w:rPr>
                <w:rFonts w:hint="eastAsia" w:ascii="宋体" w:hAnsi="宋体" w:cs="宋体"/>
                <w:b/>
                <w:bCs/>
                <w:sz w:val="24"/>
              </w:rPr>
              <w:t>、大气环境保护措施</w:t>
            </w:r>
          </w:p>
          <w:p>
            <w:pPr>
              <w:widowControl/>
              <w:snapToGrid w:val="0"/>
              <w:spacing w:line="500" w:lineRule="exact"/>
              <w:ind w:firstLine="480" w:firstLineChars="200"/>
              <w:rPr>
                <w:rFonts w:ascii="宋体" w:hAnsi="宋体" w:cs="宋体"/>
                <w:sz w:val="24"/>
              </w:rPr>
            </w:pPr>
            <w:r>
              <w:rPr>
                <w:rFonts w:hint="eastAsia" w:ascii="宋体" w:hAnsi="宋体" w:cs="宋体"/>
                <w:sz w:val="24"/>
              </w:rPr>
              <w:t>钻试过程中需要采取以下大气污染防治措施：</w:t>
            </w:r>
          </w:p>
          <w:p>
            <w:pPr>
              <w:widowControl/>
              <w:snapToGrid w:val="0"/>
              <w:spacing w:line="500" w:lineRule="exact"/>
              <w:ind w:firstLine="480" w:firstLineChars="200"/>
              <w:rPr>
                <w:rFonts w:ascii="宋体" w:hAnsi="宋体" w:cs="宋体"/>
                <w:sz w:val="24"/>
              </w:rPr>
            </w:pPr>
            <w:r>
              <w:rPr>
                <w:rFonts w:hint="eastAsia" w:ascii="宋体" w:hAnsi="宋体" w:cs="宋体"/>
                <w:sz w:val="24"/>
              </w:rPr>
              <w:t>（1）使用符合国家标准的柴油，加强机械、车辆的维护。</w:t>
            </w:r>
          </w:p>
          <w:p>
            <w:pPr>
              <w:widowControl/>
              <w:snapToGrid w:val="0"/>
              <w:spacing w:line="500" w:lineRule="exact"/>
              <w:ind w:firstLine="480" w:firstLineChars="200"/>
              <w:rPr>
                <w:rFonts w:ascii="宋体" w:hAnsi="宋体" w:cs="宋体"/>
                <w:sz w:val="24"/>
              </w:rPr>
            </w:pPr>
            <w:r>
              <w:rPr>
                <w:rFonts w:hint="eastAsia" w:ascii="宋体" w:hAnsi="宋体" w:cs="宋体"/>
                <w:sz w:val="24"/>
              </w:rPr>
              <w:t>（2）施工现场运输车辆应低速慢行、不得超载，并采取密闭或遮盖措施；车辆沿道路行驶，不得随意开设便道。</w:t>
            </w:r>
          </w:p>
          <w:p>
            <w:pPr>
              <w:widowControl/>
              <w:snapToGrid w:val="0"/>
              <w:spacing w:line="500" w:lineRule="exact"/>
              <w:ind w:firstLine="480" w:firstLineChars="200"/>
              <w:rPr>
                <w:rFonts w:ascii="宋体" w:hAnsi="宋体" w:cs="宋体"/>
                <w:sz w:val="24"/>
              </w:rPr>
            </w:pPr>
            <w:r>
              <w:rPr>
                <w:rFonts w:hint="eastAsia" w:ascii="宋体" w:hAnsi="宋体" w:cs="宋体"/>
                <w:sz w:val="24"/>
              </w:rPr>
              <w:t>（3）试油期产生的伴生气量不稳定，不具备回收利用条件，经液气分离器排气管线燃烧后排放。应定期检查伴生气燃烧设备，加强燃烧设备的运营维护，确保伴生气充分燃烧，以减轻燃烧废气对项目所在区域大气环境质量的不良影响。</w:t>
            </w:r>
          </w:p>
          <w:p>
            <w:pPr>
              <w:widowControl/>
              <w:snapToGrid w:val="0"/>
              <w:spacing w:line="500" w:lineRule="exact"/>
              <w:ind w:firstLine="480" w:firstLineChars="200"/>
              <w:rPr>
                <w:rFonts w:ascii="宋体" w:hAnsi="宋体" w:cs="宋体"/>
                <w:sz w:val="24"/>
              </w:rPr>
            </w:pPr>
            <w:r>
              <w:rPr>
                <w:rFonts w:hint="eastAsia" w:ascii="宋体" w:hAnsi="宋体" w:cs="宋体"/>
                <w:sz w:val="24"/>
              </w:rPr>
              <w:t>施工期环境空气污染影响程度和范围均不大，其影响随施工期的结束而停止，不会产生累积的污染影响。以上防治措施简单可行且具有可操作性，施工期废气对周围环境空气的影响较小。</w:t>
            </w:r>
          </w:p>
          <w:p>
            <w:pPr>
              <w:widowControl/>
              <w:snapToGrid w:val="0"/>
              <w:spacing w:line="500" w:lineRule="exact"/>
              <w:ind w:firstLine="482" w:firstLineChars="200"/>
              <w:rPr>
                <w:rFonts w:ascii="宋体" w:hAnsi="宋体" w:cs="宋体"/>
                <w:b/>
                <w:bCs/>
                <w:color w:val="FF0000"/>
                <w:sz w:val="24"/>
              </w:rPr>
            </w:pPr>
            <w:r>
              <w:rPr>
                <w:rFonts w:ascii="宋体" w:hAnsi="宋体" w:cs="宋体"/>
                <w:b/>
                <w:bCs/>
                <w:sz w:val="24"/>
              </w:rPr>
              <w:t>4</w:t>
            </w:r>
            <w:r>
              <w:rPr>
                <w:rFonts w:hint="eastAsia" w:ascii="宋体" w:hAnsi="宋体" w:cs="宋体"/>
                <w:b/>
                <w:bCs/>
                <w:sz w:val="24"/>
              </w:rPr>
              <w:t>、水环境保护措施</w:t>
            </w:r>
          </w:p>
          <w:p>
            <w:pPr>
              <w:widowControl/>
              <w:snapToGrid w:val="0"/>
              <w:spacing w:line="500" w:lineRule="exact"/>
              <w:ind w:firstLine="480" w:firstLineChars="200"/>
              <w:jc w:val="left"/>
              <w:rPr>
                <w:rFonts w:ascii="宋体" w:hAnsi="宋体" w:cs="宋体"/>
                <w:sz w:val="24"/>
              </w:rPr>
            </w:pPr>
            <w:r>
              <w:rPr>
                <w:rFonts w:hint="eastAsia" w:ascii="宋体" w:hAnsi="宋体" w:cs="宋体"/>
                <w:sz w:val="24"/>
              </w:rPr>
              <w:t>（1）废水处理措施</w:t>
            </w:r>
          </w:p>
          <w:p>
            <w:pPr>
              <w:widowControl/>
              <w:snapToGrid w:val="0"/>
              <w:spacing w:line="500" w:lineRule="exact"/>
              <w:ind w:firstLine="480" w:firstLineChars="200"/>
              <w:rPr>
                <w:rFonts w:ascii="宋体" w:hAnsi="宋体" w:cs="宋体"/>
                <w:sz w:val="24"/>
              </w:rPr>
            </w:pPr>
            <w:r>
              <w:rPr>
                <w:rFonts w:hint="eastAsia" w:ascii="宋体" w:hAnsi="宋体" w:cs="宋体"/>
                <w:sz w:val="24"/>
              </w:rPr>
              <w:t>①生活污水</w:t>
            </w:r>
          </w:p>
          <w:p>
            <w:pPr>
              <w:snapToGrid w:val="0"/>
              <w:spacing w:line="500" w:lineRule="exact"/>
              <w:ind w:firstLine="480" w:firstLineChars="200"/>
              <w:rPr>
                <w:rFonts w:ascii="宋体" w:hAnsi="宋体" w:cs="宋体"/>
                <w:sz w:val="24"/>
              </w:rPr>
            </w:pPr>
            <w:bookmarkStart w:id="28" w:name="_Hlk105665000"/>
            <w:r>
              <w:rPr>
                <w:rFonts w:hint="eastAsia" w:ascii="宋体" w:hAnsi="宋体" w:cs="宋体"/>
                <w:sz w:val="24"/>
              </w:rPr>
              <w:t>施工期生活污水产生量约55m</w:t>
            </w:r>
            <w:r>
              <w:rPr>
                <w:rFonts w:hint="eastAsia" w:ascii="宋体" w:hAnsi="宋体" w:cs="宋体"/>
                <w:sz w:val="24"/>
                <w:vertAlign w:val="superscript"/>
              </w:rPr>
              <w:t>3</w:t>
            </w:r>
            <w:r>
              <w:rPr>
                <w:rFonts w:hint="eastAsia" w:ascii="宋体" w:hAnsi="宋体" w:cs="宋体"/>
                <w:sz w:val="24"/>
              </w:rPr>
              <w:t>，</w:t>
            </w:r>
            <w:bookmarkStart w:id="29" w:name="_Hlk105599503"/>
            <w:r>
              <w:rPr>
                <w:rFonts w:hint="eastAsia" w:ascii="宋体" w:hAnsi="宋体" w:cs="宋体"/>
                <w:sz w:val="24"/>
              </w:rPr>
              <w:t>排入生活营地临时防渗收集池暂存后由吸污车抽出后运至吉木萨尔县污水处理厂处理</w:t>
            </w:r>
            <w:bookmarkEnd w:id="29"/>
            <w:r>
              <w:rPr>
                <w:rFonts w:hint="eastAsia" w:ascii="宋体" w:hAnsi="宋体" w:cs="宋体"/>
                <w:sz w:val="24"/>
              </w:rPr>
              <w:t>，每2个月清运一次。生活污水收集池采用HDPE防渗膜防渗。</w:t>
            </w:r>
            <w:bookmarkEnd w:id="28"/>
          </w:p>
          <w:p>
            <w:pPr>
              <w:snapToGrid w:val="0"/>
              <w:spacing w:line="500" w:lineRule="exact"/>
              <w:ind w:firstLine="480" w:firstLineChars="200"/>
              <w:rPr>
                <w:rFonts w:ascii="宋体" w:hAnsi="宋体" w:cs="宋体"/>
                <w:sz w:val="24"/>
              </w:rPr>
            </w:pPr>
            <w:bookmarkStart w:id="30" w:name="_Hlk105600605"/>
            <w:r>
              <w:rPr>
                <w:rFonts w:hint="eastAsia" w:ascii="宋体" w:hAnsi="宋体" w:cs="宋体"/>
                <w:kern w:val="0"/>
                <w:sz w:val="24"/>
              </w:rPr>
              <w:t>吉木萨尔县污水处理厂位于本项目东侧4</w:t>
            </w:r>
            <w:r>
              <w:rPr>
                <w:rFonts w:ascii="宋体" w:hAnsi="宋体" w:cs="宋体"/>
                <w:kern w:val="0"/>
                <w:sz w:val="24"/>
              </w:rPr>
              <w:t>6</w:t>
            </w:r>
            <w:r>
              <w:rPr>
                <w:rFonts w:hint="eastAsia" w:ascii="宋体" w:hAnsi="宋体" w:cs="宋体"/>
                <w:kern w:val="0"/>
                <w:sz w:val="24"/>
              </w:rPr>
              <w:t>km，</w:t>
            </w:r>
            <w:bookmarkEnd w:id="30"/>
            <w:r>
              <w:rPr>
                <w:rFonts w:hint="eastAsia" w:ascii="宋体" w:hAnsi="宋体" w:cs="宋体"/>
                <w:kern w:val="0"/>
                <w:sz w:val="24"/>
              </w:rPr>
              <w:t>该厂环境影响评价报告于2015年6月1日通过原昌吉回族自治州环境保护局审批（昌州环评〔2015〕48号），于2018年9月14日通过了竣工环保验收。污水厂设计污水处理规模为3万m</w:t>
            </w:r>
            <w:r>
              <w:rPr>
                <w:rFonts w:hint="eastAsia" w:ascii="宋体" w:hAnsi="宋体" w:cs="宋体"/>
                <w:kern w:val="0"/>
                <w:sz w:val="24"/>
                <w:vertAlign w:val="superscript"/>
              </w:rPr>
              <w:t>3</w:t>
            </w:r>
            <w:r>
              <w:rPr>
                <w:rFonts w:hint="eastAsia" w:ascii="宋体" w:hAnsi="宋体" w:cs="宋体"/>
                <w:kern w:val="0"/>
                <w:sz w:val="24"/>
              </w:rPr>
              <w:t>/d，实际处理规模为1万m</w:t>
            </w:r>
            <w:r>
              <w:rPr>
                <w:rFonts w:hint="eastAsia" w:ascii="宋体" w:hAnsi="宋体" w:cs="宋体"/>
                <w:kern w:val="0"/>
                <w:sz w:val="24"/>
                <w:vertAlign w:val="superscript"/>
              </w:rPr>
              <w:t>3</w:t>
            </w:r>
            <w:r>
              <w:rPr>
                <w:rFonts w:hint="eastAsia" w:ascii="宋体" w:hAnsi="宋体" w:cs="宋体"/>
                <w:kern w:val="0"/>
                <w:sz w:val="24"/>
              </w:rPr>
              <w:t>/d，采用“强化脱氮改良A</w:t>
            </w:r>
            <w:r>
              <w:rPr>
                <w:rFonts w:hint="eastAsia" w:ascii="宋体" w:hAnsi="宋体" w:cs="宋体"/>
                <w:kern w:val="0"/>
                <w:sz w:val="24"/>
                <w:vertAlign w:val="superscript"/>
              </w:rPr>
              <w:t>2</w:t>
            </w:r>
            <w:r>
              <w:rPr>
                <w:rFonts w:hint="eastAsia" w:ascii="宋体" w:hAnsi="宋体" w:cs="宋体"/>
                <w:kern w:val="0"/>
                <w:sz w:val="24"/>
              </w:rPr>
              <w:t>/O+絮凝沉淀滤布滤池工艺”，目前正常运行，出水符合《城镇污水处理厂污染物排放标准》（GB18918-2002）中的一级A标准的要求。本项目生活污水产生量约</w:t>
            </w:r>
            <w:r>
              <w:rPr>
                <w:rFonts w:ascii="宋体" w:hAnsi="宋体" w:cs="宋体"/>
                <w:kern w:val="0"/>
                <w:sz w:val="24"/>
              </w:rPr>
              <w:t>55</w:t>
            </w:r>
            <w:r>
              <w:rPr>
                <w:rFonts w:hint="eastAsia" w:ascii="宋体" w:hAnsi="宋体" w:cs="宋体"/>
                <w:kern w:val="0"/>
                <w:sz w:val="24"/>
              </w:rPr>
              <w:t>m</w:t>
            </w:r>
            <w:r>
              <w:rPr>
                <w:rFonts w:hint="eastAsia" w:ascii="宋体" w:hAnsi="宋体" w:cs="宋体"/>
                <w:kern w:val="0"/>
                <w:sz w:val="24"/>
                <w:vertAlign w:val="superscript"/>
              </w:rPr>
              <w:t>3</w:t>
            </w:r>
            <w:r>
              <w:rPr>
                <w:rFonts w:hint="eastAsia" w:ascii="宋体" w:hAnsi="宋体" w:cs="宋体"/>
                <w:kern w:val="0"/>
                <w:sz w:val="24"/>
              </w:rPr>
              <w:t>，</w:t>
            </w:r>
            <w:r>
              <w:rPr>
                <w:rFonts w:hint="eastAsia" w:ascii="宋体" w:hAnsi="宋体" w:cs="宋体"/>
                <w:sz w:val="24"/>
              </w:rPr>
              <w:t>该污水处理厂富余处理能力可以满足本项目处理需求，依托可行。</w:t>
            </w:r>
          </w:p>
          <w:p>
            <w:pPr>
              <w:snapToGrid w:val="0"/>
              <w:spacing w:line="500" w:lineRule="exact"/>
              <w:ind w:firstLine="480" w:firstLineChars="200"/>
              <w:rPr>
                <w:rFonts w:ascii="宋体" w:hAnsi="宋体" w:cs="宋体"/>
                <w:sz w:val="24"/>
              </w:rPr>
            </w:pPr>
            <w:r>
              <w:rPr>
                <w:rFonts w:hint="eastAsia" w:ascii="宋体" w:hAnsi="宋体" w:cs="宋体"/>
                <w:sz w:val="24"/>
              </w:rPr>
              <w:t>②试油废水</w:t>
            </w:r>
          </w:p>
          <w:p>
            <w:pPr>
              <w:keepNext/>
              <w:snapToGrid w:val="0"/>
              <w:spacing w:line="500" w:lineRule="exact"/>
              <w:ind w:firstLine="480" w:firstLineChars="200"/>
              <w:rPr>
                <w:rFonts w:ascii="宋体" w:hAnsi="宋体" w:cs="宋体"/>
                <w:bCs/>
                <w:sz w:val="24"/>
              </w:rPr>
            </w:pPr>
            <w:r>
              <w:rPr>
                <w:rFonts w:hint="eastAsia" w:ascii="宋体" w:hAnsi="宋体" w:cs="宋体"/>
                <w:sz w:val="24"/>
              </w:rPr>
              <w:t>钻井过程无废水产生，试油期产生的洗井废水和压裂返排液由专用方罐收集后，拉运至沙南联合站采出水处理系统进行处理，处理达到《碎屑岩油藏注水水质推荐指标及分析方法》（SY/T 5329-2012）的相关标准后全部回注油藏，不外排；</w:t>
            </w:r>
            <w:r>
              <w:rPr>
                <w:rFonts w:hint="eastAsia" w:ascii="宋体" w:hAnsi="宋体" w:cs="宋体"/>
                <w:bCs/>
                <w:sz w:val="24"/>
              </w:rPr>
              <w:t>该处理系统环保手续履行情况详见表</w:t>
            </w:r>
            <w:r>
              <w:rPr>
                <w:rFonts w:ascii="宋体" w:hAnsi="宋体" w:cs="宋体"/>
                <w:bCs/>
                <w:sz w:val="24"/>
              </w:rPr>
              <w:t>12。</w:t>
            </w:r>
          </w:p>
          <w:p>
            <w:pPr>
              <w:keepNext/>
              <w:snapToGrid w:val="0"/>
              <w:spacing w:line="500" w:lineRule="exact"/>
              <w:jc w:val="center"/>
              <w:rPr>
                <w:rFonts w:ascii="黑体" w:hAnsi="黑体" w:eastAsia="黑体" w:cs="宋体"/>
                <w:bCs/>
                <w:szCs w:val="21"/>
              </w:rPr>
            </w:pPr>
            <w:r>
              <w:rPr>
                <w:rFonts w:hint="eastAsia" w:ascii="黑体" w:hAnsi="黑体" w:eastAsia="黑体" w:cs="宋体"/>
                <w:bCs/>
                <w:szCs w:val="21"/>
              </w:rPr>
              <w:t>表</w:t>
            </w:r>
            <w:r>
              <w:rPr>
                <w:rFonts w:ascii="黑体" w:hAnsi="黑体" w:eastAsia="黑体" w:cs="宋体"/>
                <w:bCs/>
                <w:szCs w:val="21"/>
              </w:rPr>
              <w:t xml:space="preserve">12  </w:t>
            </w:r>
            <w:r>
              <w:rPr>
                <w:rFonts w:hint="eastAsia" w:ascii="黑体" w:hAnsi="黑体" w:eastAsia="黑体" w:cs="宋体"/>
                <w:bCs/>
                <w:szCs w:val="21"/>
              </w:rPr>
              <w:t>试油废水处置单位相关环保手续</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2912"/>
              <w:gridCol w:w="2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6" w:type="dxa"/>
                  <w:tcMar>
                    <w:left w:w="0" w:type="dxa"/>
                    <w:right w:w="0" w:type="dxa"/>
                  </w:tcMar>
                  <w:vAlign w:val="center"/>
                </w:tcPr>
                <w:p>
                  <w:pPr>
                    <w:keepNext/>
                    <w:spacing w:line="300" w:lineRule="exact"/>
                    <w:jc w:val="center"/>
                    <w:rPr>
                      <w:rFonts w:ascii="宋体" w:hAnsi="宋体"/>
                      <w:kern w:val="0"/>
                      <w:szCs w:val="21"/>
                    </w:rPr>
                  </w:pPr>
                  <w:bookmarkStart w:id="31" w:name="_Hlk90912437"/>
                  <w:r>
                    <w:rPr>
                      <w:rFonts w:ascii="宋体" w:hAnsi="宋体"/>
                      <w:kern w:val="0"/>
                      <w:szCs w:val="21"/>
                    </w:rPr>
                    <w:t>环评文件</w:t>
                  </w:r>
                </w:p>
              </w:tc>
              <w:tc>
                <w:tcPr>
                  <w:tcW w:w="2962" w:type="dxa"/>
                  <w:tcMar>
                    <w:left w:w="0" w:type="dxa"/>
                    <w:right w:w="0" w:type="dxa"/>
                  </w:tcMar>
                  <w:vAlign w:val="center"/>
                </w:tcPr>
                <w:p>
                  <w:pPr>
                    <w:keepNext/>
                    <w:spacing w:line="300" w:lineRule="exact"/>
                    <w:jc w:val="center"/>
                    <w:rPr>
                      <w:rFonts w:ascii="宋体" w:hAnsi="宋体"/>
                      <w:kern w:val="0"/>
                      <w:szCs w:val="21"/>
                    </w:rPr>
                  </w:pPr>
                  <w:r>
                    <w:rPr>
                      <w:rFonts w:ascii="宋体" w:hAnsi="宋体"/>
                      <w:kern w:val="0"/>
                      <w:szCs w:val="21"/>
                    </w:rPr>
                    <w:t>环评批复</w:t>
                  </w:r>
                  <w:r>
                    <w:rPr>
                      <w:rFonts w:hint="eastAsia" w:ascii="宋体" w:hAnsi="宋体"/>
                      <w:kern w:val="0"/>
                      <w:szCs w:val="21"/>
                    </w:rPr>
                    <w:t>机关及批复</w:t>
                  </w:r>
                  <w:r>
                    <w:rPr>
                      <w:rFonts w:ascii="宋体" w:hAnsi="宋体"/>
                      <w:kern w:val="0"/>
                      <w:szCs w:val="21"/>
                    </w:rPr>
                    <w:t>文号</w:t>
                  </w:r>
                </w:p>
              </w:tc>
              <w:tc>
                <w:tcPr>
                  <w:tcW w:w="2375" w:type="dxa"/>
                  <w:tcMar>
                    <w:left w:w="0" w:type="dxa"/>
                    <w:right w:w="0" w:type="dxa"/>
                  </w:tcMar>
                  <w:vAlign w:val="center"/>
                </w:tcPr>
                <w:p>
                  <w:pPr>
                    <w:keepNext/>
                    <w:spacing w:line="300" w:lineRule="exact"/>
                    <w:jc w:val="center"/>
                    <w:rPr>
                      <w:rFonts w:ascii="宋体" w:hAnsi="宋体"/>
                      <w:kern w:val="0"/>
                      <w:szCs w:val="21"/>
                    </w:rPr>
                  </w:pPr>
                  <w:r>
                    <w:rPr>
                      <w:rFonts w:hint="eastAsia" w:ascii="宋体" w:hAnsi="宋体"/>
                      <w:kern w:val="0"/>
                      <w:szCs w:val="21"/>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6" w:type="dxa"/>
                  <w:tcMar>
                    <w:left w:w="0" w:type="dxa"/>
                    <w:right w:w="0" w:type="dxa"/>
                  </w:tcMar>
                  <w:vAlign w:val="center"/>
                </w:tcPr>
                <w:p>
                  <w:pPr>
                    <w:keepNext/>
                    <w:spacing w:line="300" w:lineRule="exact"/>
                    <w:jc w:val="center"/>
                    <w:rPr>
                      <w:rFonts w:ascii="宋体" w:hAnsi="宋体"/>
                      <w:kern w:val="0"/>
                      <w:szCs w:val="21"/>
                    </w:rPr>
                  </w:pPr>
                  <w:r>
                    <w:rPr>
                      <w:rFonts w:hint="eastAsia" w:ascii="宋体" w:hAnsi="宋体"/>
                      <w:kern w:val="0"/>
                      <w:szCs w:val="21"/>
                    </w:rPr>
                    <w:t>沙联站污水处理系统扩容改造工程</w:t>
                  </w:r>
                </w:p>
              </w:tc>
              <w:tc>
                <w:tcPr>
                  <w:tcW w:w="2962" w:type="dxa"/>
                  <w:tcMar>
                    <w:left w:w="0" w:type="dxa"/>
                    <w:right w:w="0" w:type="dxa"/>
                  </w:tcMar>
                  <w:vAlign w:val="center"/>
                </w:tcPr>
                <w:p>
                  <w:pPr>
                    <w:keepNext/>
                    <w:spacing w:line="300" w:lineRule="exact"/>
                    <w:jc w:val="center"/>
                    <w:rPr>
                      <w:rFonts w:ascii="宋体" w:hAnsi="宋体"/>
                      <w:kern w:val="0"/>
                      <w:szCs w:val="21"/>
                    </w:rPr>
                  </w:pPr>
                  <w:r>
                    <w:rPr>
                      <w:rFonts w:hint="eastAsia" w:ascii="宋体" w:hAnsi="宋体"/>
                      <w:kern w:val="0"/>
                      <w:szCs w:val="21"/>
                    </w:rPr>
                    <w:t>原新疆维吾尔自治区环境保护厅</w:t>
                  </w:r>
                </w:p>
                <w:p>
                  <w:pPr>
                    <w:keepNext/>
                    <w:spacing w:line="300" w:lineRule="exact"/>
                    <w:jc w:val="center"/>
                    <w:rPr>
                      <w:rFonts w:ascii="宋体" w:hAnsi="宋体"/>
                      <w:kern w:val="0"/>
                      <w:szCs w:val="21"/>
                    </w:rPr>
                  </w:pPr>
                  <w:r>
                    <w:rPr>
                      <w:rFonts w:hint="eastAsia" w:ascii="宋体" w:hAnsi="宋体"/>
                      <w:kern w:val="0"/>
                      <w:szCs w:val="21"/>
                    </w:rPr>
                    <w:t>新环函〔2014〕926号</w:t>
                  </w:r>
                </w:p>
              </w:tc>
              <w:tc>
                <w:tcPr>
                  <w:tcW w:w="2375" w:type="dxa"/>
                  <w:tcMar>
                    <w:left w:w="0" w:type="dxa"/>
                    <w:right w:w="0" w:type="dxa"/>
                  </w:tcMar>
                  <w:vAlign w:val="center"/>
                </w:tcPr>
                <w:p>
                  <w:pPr>
                    <w:keepNext/>
                    <w:spacing w:line="300" w:lineRule="exact"/>
                    <w:jc w:val="center"/>
                    <w:rPr>
                      <w:rFonts w:ascii="宋体" w:hAnsi="宋体"/>
                      <w:kern w:val="0"/>
                      <w:szCs w:val="21"/>
                    </w:rPr>
                  </w:pPr>
                  <w:r>
                    <w:rPr>
                      <w:rFonts w:hint="eastAsia" w:ascii="宋体" w:hAnsi="宋体"/>
                      <w:kern w:val="0"/>
                      <w:szCs w:val="21"/>
                    </w:rPr>
                    <w:t>201</w:t>
                  </w:r>
                  <w:r>
                    <w:rPr>
                      <w:rFonts w:ascii="宋体" w:hAnsi="宋体"/>
                      <w:kern w:val="0"/>
                      <w:szCs w:val="21"/>
                    </w:rPr>
                    <w:t>9</w:t>
                  </w:r>
                  <w:r>
                    <w:rPr>
                      <w:rFonts w:hint="eastAsia" w:ascii="宋体" w:hAnsi="宋体"/>
                      <w:kern w:val="0"/>
                      <w:szCs w:val="21"/>
                    </w:rPr>
                    <w:t>年1</w:t>
                  </w:r>
                  <w:r>
                    <w:rPr>
                      <w:rFonts w:ascii="宋体" w:hAnsi="宋体"/>
                      <w:kern w:val="0"/>
                      <w:szCs w:val="21"/>
                    </w:rPr>
                    <w:t>1</w:t>
                  </w:r>
                  <w:r>
                    <w:rPr>
                      <w:rFonts w:hint="eastAsia" w:ascii="宋体" w:hAnsi="宋体"/>
                      <w:kern w:val="0"/>
                      <w:szCs w:val="21"/>
                    </w:rPr>
                    <w:t>月</w:t>
                  </w:r>
                  <w:r>
                    <w:rPr>
                      <w:rFonts w:ascii="宋体" w:hAnsi="宋体"/>
                      <w:kern w:val="0"/>
                      <w:szCs w:val="21"/>
                    </w:rPr>
                    <w:t>3</w:t>
                  </w:r>
                  <w:r>
                    <w:rPr>
                      <w:rFonts w:hint="eastAsia" w:ascii="宋体" w:hAnsi="宋体"/>
                      <w:kern w:val="0"/>
                      <w:szCs w:val="21"/>
                    </w:rPr>
                    <w:t>日完成自主验收</w:t>
                  </w:r>
                </w:p>
              </w:tc>
            </w:tr>
            <w:bookmarkEnd w:id="31"/>
          </w:tbl>
          <w:p>
            <w:pPr>
              <w:keepNext/>
              <w:snapToGrid w:val="0"/>
              <w:spacing w:line="500" w:lineRule="exact"/>
              <w:ind w:firstLine="480" w:firstLineChars="200"/>
              <w:rPr>
                <w:rFonts w:ascii="宋体" w:hAnsi="宋体" w:cs="宋体"/>
                <w:bCs/>
                <w:sz w:val="24"/>
                <w:lang w:bidi="zh-CN"/>
              </w:rPr>
            </w:pPr>
            <w:r>
              <w:rPr>
                <w:rFonts w:hint="eastAsia" w:ascii="宋体" w:hAnsi="宋体" w:cs="宋体"/>
                <w:bCs/>
                <w:sz w:val="24"/>
                <w:lang w:bidi="zh-CN"/>
              </w:rPr>
              <w:t>沙南联合站采出水处理系统现状设计处理能力为3400m</w:t>
            </w:r>
            <w:r>
              <w:rPr>
                <w:rFonts w:hint="eastAsia" w:ascii="宋体" w:hAnsi="宋体" w:cs="宋体"/>
                <w:bCs/>
                <w:sz w:val="24"/>
                <w:vertAlign w:val="superscript"/>
                <w:lang w:bidi="zh-CN"/>
              </w:rPr>
              <w:t>3</w:t>
            </w:r>
            <w:r>
              <w:rPr>
                <w:rFonts w:hint="eastAsia" w:ascii="宋体" w:hAnsi="宋体" w:cs="宋体"/>
                <w:bCs/>
                <w:sz w:val="24"/>
                <w:lang w:bidi="zh-CN"/>
              </w:rPr>
              <w:t>/d，采用“重核—催化强化絮凝净水+双料过滤处理技术+电解盐杀菌”处理工艺。出水水质达到《碎屑岩油藏注水水质指标及分析方法》（SY/T5329—2012）要求后，进入注水系统回注油层。</w:t>
            </w:r>
          </w:p>
          <w:p>
            <w:pPr>
              <w:pStyle w:val="22"/>
              <w:snapToGrid w:val="0"/>
              <w:ind w:firstLine="480"/>
              <w:rPr>
                <w:rFonts w:cs="宋体"/>
              </w:rPr>
            </w:pPr>
            <w:r>
              <w:rPr>
                <w:rFonts w:hint="eastAsia" w:cs="宋体"/>
                <w:bCs/>
                <w:kern w:val="2"/>
                <w:lang w:bidi="zh-CN"/>
              </w:rPr>
              <w:t>目前采出水处理系统实际处理能力为2000m</w:t>
            </w:r>
            <w:r>
              <w:rPr>
                <w:rFonts w:hint="eastAsia" w:cs="宋体"/>
                <w:bCs/>
                <w:kern w:val="2"/>
                <w:vertAlign w:val="superscript"/>
                <w:lang w:bidi="zh-CN"/>
              </w:rPr>
              <w:t>3</w:t>
            </w:r>
            <w:r>
              <w:rPr>
                <w:rFonts w:hint="eastAsia" w:cs="宋体"/>
                <w:bCs/>
                <w:kern w:val="2"/>
                <w:lang w:bidi="zh-CN"/>
              </w:rPr>
              <w:t>/d，富余处理量为1400m</w:t>
            </w:r>
            <w:r>
              <w:rPr>
                <w:rFonts w:hint="eastAsia" w:cs="宋体"/>
                <w:bCs/>
                <w:kern w:val="2"/>
                <w:vertAlign w:val="superscript"/>
                <w:lang w:bidi="zh-CN"/>
              </w:rPr>
              <w:t>3</w:t>
            </w:r>
            <w:r>
              <w:rPr>
                <w:rFonts w:hint="eastAsia" w:cs="宋体"/>
                <w:bCs/>
                <w:kern w:val="2"/>
                <w:lang w:bidi="zh-CN"/>
              </w:rPr>
              <w:t>/d，本项目试油</w:t>
            </w:r>
            <w:r>
              <w:rPr>
                <w:rFonts w:cs="宋体"/>
                <w:bCs/>
                <w:kern w:val="2"/>
                <w:lang w:bidi="zh-CN"/>
              </w:rPr>
              <w:t>期间</w:t>
            </w:r>
            <w:r>
              <w:rPr>
                <w:rFonts w:hint="eastAsia" w:cs="宋体"/>
                <w:bCs/>
                <w:kern w:val="2"/>
                <w:lang w:bidi="zh-CN"/>
              </w:rPr>
              <w:t>试油废水</w:t>
            </w:r>
            <w:r>
              <w:rPr>
                <w:rFonts w:cs="宋体"/>
                <w:bCs/>
                <w:kern w:val="2"/>
                <w:lang w:bidi="zh-CN"/>
              </w:rPr>
              <w:t>量约700m</w:t>
            </w:r>
            <w:r>
              <w:rPr>
                <w:rFonts w:cs="宋体"/>
                <w:bCs/>
                <w:kern w:val="2"/>
                <w:vertAlign w:val="superscript"/>
                <w:lang w:bidi="zh-CN"/>
              </w:rPr>
              <w:t>3</w:t>
            </w:r>
            <w:r>
              <w:rPr>
                <w:rFonts w:hint="eastAsia" w:cs="宋体"/>
                <w:bCs/>
                <w:kern w:val="2"/>
                <w:lang w:bidi="zh-CN"/>
              </w:rPr>
              <w:t>，沙南联合站</w:t>
            </w:r>
            <w:r>
              <w:rPr>
                <w:rFonts w:cs="宋体"/>
                <w:bCs/>
                <w:kern w:val="2"/>
                <w:lang w:bidi="zh-CN"/>
              </w:rPr>
              <w:t>采出水</w:t>
            </w:r>
            <w:r>
              <w:rPr>
                <w:rFonts w:hint="eastAsia" w:cs="宋体"/>
                <w:bCs/>
                <w:kern w:val="2"/>
                <w:lang w:bidi="zh-CN"/>
              </w:rPr>
              <w:t>处理</w:t>
            </w:r>
            <w:r>
              <w:rPr>
                <w:rFonts w:cs="宋体"/>
                <w:bCs/>
                <w:kern w:val="2"/>
                <w:lang w:bidi="zh-CN"/>
              </w:rPr>
              <w:t>系统余量可满足本项目</w:t>
            </w:r>
            <w:r>
              <w:rPr>
                <w:rFonts w:hint="eastAsia" w:cs="宋体"/>
                <w:bCs/>
                <w:kern w:val="2"/>
                <w:lang w:bidi="zh-CN"/>
              </w:rPr>
              <w:t>试油</w:t>
            </w:r>
            <w:r>
              <w:rPr>
                <w:rFonts w:cs="宋体"/>
                <w:bCs/>
                <w:kern w:val="2"/>
                <w:lang w:bidi="zh-CN"/>
              </w:rPr>
              <w:t>废水处理需求</w:t>
            </w:r>
            <w:r>
              <w:rPr>
                <w:rFonts w:hint="eastAsia" w:cs="宋体"/>
                <w:bCs/>
                <w:kern w:val="2"/>
                <w:lang w:bidi="zh-CN"/>
              </w:rPr>
              <w:t>，依托可行</w:t>
            </w:r>
            <w:r>
              <w:rPr>
                <w:rFonts w:cs="宋体"/>
                <w:bCs/>
                <w:kern w:val="2"/>
                <w:lang w:bidi="zh-CN"/>
              </w:rPr>
              <w:t>。</w:t>
            </w:r>
          </w:p>
          <w:p>
            <w:pPr>
              <w:widowControl/>
              <w:tabs>
                <w:tab w:val="left" w:pos="4584"/>
              </w:tabs>
              <w:adjustRightInd w:val="0"/>
              <w:snapToGrid w:val="0"/>
              <w:spacing w:line="500" w:lineRule="exact"/>
              <w:ind w:firstLine="472" w:firstLineChars="200"/>
              <w:jc w:val="left"/>
              <w:rPr>
                <w:rFonts w:ascii="宋体" w:hAnsi="宋体" w:cs="宋体"/>
                <w:spacing w:val="-2"/>
                <w:sz w:val="24"/>
              </w:rPr>
            </w:pPr>
            <w:r>
              <w:rPr>
                <w:rFonts w:hint="eastAsia" w:ascii="宋体" w:hAnsi="宋体" w:cs="宋体"/>
                <w:spacing w:val="-2"/>
                <w:sz w:val="24"/>
              </w:rPr>
              <w:t>（2）地下水防护措施</w:t>
            </w:r>
          </w:p>
          <w:p>
            <w:pPr>
              <w:widowControl/>
              <w:snapToGrid w:val="0"/>
              <w:spacing w:line="500" w:lineRule="exact"/>
              <w:ind w:firstLine="480" w:firstLineChars="200"/>
              <w:rPr>
                <w:rFonts w:ascii="宋体" w:hAnsi="宋体" w:cs="宋体"/>
                <w:bCs/>
                <w:sz w:val="24"/>
              </w:rPr>
            </w:pPr>
            <w:r>
              <w:rPr>
                <w:rFonts w:hint="eastAsia" w:ascii="宋体" w:hAnsi="宋体" w:cs="宋体"/>
                <w:bCs/>
                <w:sz w:val="24"/>
              </w:rPr>
              <w:t>本次钻井过程中采用套管与地层隔离开、并在套管与地层之间注入水泥进行固井，水泥浆返至地面，封隔疏松地层和水层。本项目</w:t>
            </w:r>
            <w:r>
              <w:rPr>
                <w:rFonts w:ascii="宋体" w:hAnsi="宋体" w:cs="宋体"/>
                <w:bCs/>
                <w:sz w:val="24"/>
              </w:rPr>
              <w:t>表层套管的深度</w:t>
            </w:r>
            <w:r>
              <w:rPr>
                <w:rFonts w:hint="eastAsia" w:ascii="宋体" w:hAnsi="宋体" w:cs="宋体"/>
                <w:bCs/>
                <w:sz w:val="24"/>
              </w:rPr>
              <w:t>为</w:t>
            </w:r>
            <w:r>
              <w:rPr>
                <w:rFonts w:ascii="宋体" w:hAnsi="宋体" w:cs="宋体"/>
                <w:bCs/>
                <w:sz w:val="24"/>
              </w:rPr>
              <w:t>900</w:t>
            </w:r>
            <w:r>
              <w:rPr>
                <w:rFonts w:hint="eastAsia" w:ascii="宋体" w:hAnsi="宋体" w:cs="宋体"/>
                <w:bCs/>
                <w:sz w:val="24"/>
              </w:rPr>
              <w:t>m，有效隔断了井身与地下水之间的联系，</w:t>
            </w:r>
            <w:r>
              <w:rPr>
                <w:rFonts w:ascii="宋体" w:hAnsi="宋体" w:cs="宋体"/>
                <w:bCs/>
                <w:sz w:val="24"/>
              </w:rPr>
              <w:t>可保护地下水环境不受污染。</w:t>
            </w:r>
            <w:r>
              <w:rPr>
                <w:rFonts w:hint="eastAsia" w:ascii="宋体" w:hAnsi="宋体" w:cs="宋体"/>
                <w:bCs/>
                <w:sz w:val="24"/>
              </w:rPr>
              <w:t>试油</w:t>
            </w:r>
            <w:r>
              <w:rPr>
                <w:rFonts w:ascii="宋体" w:hAnsi="宋体" w:cs="宋体"/>
                <w:bCs/>
                <w:sz w:val="24"/>
              </w:rPr>
              <w:t>目的层与地下水处于不同层系，在施工过程中</w:t>
            </w:r>
            <w:r>
              <w:rPr>
                <w:rFonts w:hint="eastAsia" w:ascii="宋体" w:hAnsi="宋体" w:cs="宋体"/>
                <w:bCs/>
                <w:sz w:val="24"/>
              </w:rPr>
              <w:t>确保套管下入指定深度，有效避免试油作业</w:t>
            </w:r>
            <w:r>
              <w:rPr>
                <w:rFonts w:ascii="宋体" w:hAnsi="宋体" w:cs="宋体"/>
                <w:bCs/>
                <w:sz w:val="24"/>
              </w:rPr>
              <w:t>对地下水环境的影响。钻井</w:t>
            </w:r>
            <w:r>
              <w:rPr>
                <w:rFonts w:hint="eastAsia" w:ascii="宋体" w:hAnsi="宋体" w:cs="宋体"/>
                <w:bCs/>
                <w:sz w:val="24"/>
              </w:rPr>
              <w:t>时</w:t>
            </w:r>
            <w:r>
              <w:rPr>
                <w:rFonts w:ascii="宋体" w:hAnsi="宋体" w:cs="宋体"/>
                <w:bCs/>
                <w:sz w:val="24"/>
              </w:rPr>
              <w:t>严格</w:t>
            </w:r>
            <w:r>
              <w:rPr>
                <w:rFonts w:hint="eastAsia" w:ascii="宋体" w:hAnsi="宋体" w:cs="宋体"/>
                <w:bCs/>
                <w:sz w:val="24"/>
              </w:rPr>
              <w:t>落实套管下入深度合格和固井质量合格</w:t>
            </w:r>
            <w:r>
              <w:rPr>
                <w:rFonts w:ascii="宋体" w:hAnsi="宋体" w:cs="宋体"/>
                <w:bCs/>
                <w:sz w:val="24"/>
              </w:rPr>
              <w:t>，对产生的废水进行严格管理，基本不会对所在区域地下水产生影响。</w:t>
            </w:r>
          </w:p>
          <w:p>
            <w:pPr>
              <w:pStyle w:val="22"/>
              <w:snapToGrid w:val="0"/>
              <w:ind w:firstLine="480"/>
              <w:rPr>
                <w:rFonts w:cs="宋体"/>
                <w:bCs/>
              </w:rPr>
            </w:pPr>
            <w:r>
              <w:rPr>
                <w:rFonts w:hint="eastAsia" w:cs="宋体"/>
                <w:bCs/>
              </w:rPr>
              <w:t>此外，施工期间井场内的柴油罐、废水储罐、发电机、材料堆场等区域均铺设HDPE防渗膜，其渗透系数≤1×1</w:t>
            </w:r>
            <w:r>
              <w:rPr>
                <w:rFonts w:cs="宋体"/>
                <w:bCs/>
              </w:rPr>
              <w:t>0</w:t>
            </w:r>
            <w:r>
              <w:rPr>
                <w:rFonts w:hint="eastAsia" w:cs="宋体"/>
                <w:bCs/>
                <w:vertAlign w:val="superscript"/>
              </w:rPr>
              <w:t>—</w:t>
            </w:r>
            <w:r>
              <w:rPr>
                <w:rFonts w:cs="宋体"/>
                <w:bCs/>
                <w:vertAlign w:val="superscript"/>
              </w:rPr>
              <w:t>7</w:t>
            </w:r>
            <w:r>
              <w:rPr>
                <w:rFonts w:hint="eastAsia" w:cs="宋体"/>
                <w:bCs/>
              </w:rPr>
              <w:t>cm</w:t>
            </w:r>
            <w:r>
              <w:rPr>
                <w:rFonts w:cs="宋体"/>
                <w:bCs/>
              </w:rPr>
              <w:t>/s</w:t>
            </w:r>
            <w:r>
              <w:rPr>
                <w:rFonts w:hint="eastAsia" w:cs="宋体"/>
                <w:bCs/>
              </w:rPr>
              <w:t>，施工过程中产生的废水能够得到妥善处理</w:t>
            </w:r>
            <w:r>
              <w:rPr>
                <w:rFonts w:cs="宋体"/>
                <w:bCs/>
              </w:rPr>
              <w:t>。</w:t>
            </w:r>
          </w:p>
          <w:p>
            <w:pPr>
              <w:pStyle w:val="22"/>
              <w:snapToGrid w:val="0"/>
              <w:ind w:firstLine="482"/>
              <w:rPr>
                <w:b/>
                <w:bCs/>
              </w:rPr>
            </w:pPr>
            <w:r>
              <w:rPr>
                <w:b/>
                <w:bCs/>
              </w:rPr>
              <w:t>5</w:t>
            </w:r>
            <w:r>
              <w:rPr>
                <w:rFonts w:hint="eastAsia"/>
                <w:b/>
                <w:bCs/>
              </w:rPr>
              <w:t>、声环境保护措施</w:t>
            </w:r>
          </w:p>
          <w:p>
            <w:pPr>
              <w:pStyle w:val="22"/>
              <w:snapToGrid w:val="0"/>
              <w:ind w:firstLine="480"/>
            </w:pPr>
            <w:r>
              <w:rPr>
                <w:rFonts w:hint="eastAsia"/>
              </w:rPr>
              <w:t>施工单位平时应加强设备维护及保养，设备底部采用基础减震措施，从源头控制噪声的产生。</w:t>
            </w:r>
          </w:p>
          <w:p>
            <w:pPr>
              <w:snapToGrid w:val="0"/>
              <w:spacing w:line="500" w:lineRule="exact"/>
              <w:ind w:firstLine="482" w:firstLineChars="200"/>
              <w:rPr>
                <w:rFonts w:ascii="宋体" w:hAnsi="宋体" w:cs="宋体"/>
                <w:b/>
                <w:bCs/>
                <w:sz w:val="24"/>
              </w:rPr>
            </w:pPr>
            <w:r>
              <w:rPr>
                <w:rFonts w:ascii="宋体" w:hAnsi="宋体" w:cs="宋体"/>
                <w:b/>
                <w:bCs/>
                <w:sz w:val="24"/>
              </w:rPr>
              <w:t>6</w:t>
            </w:r>
            <w:r>
              <w:rPr>
                <w:rFonts w:hint="eastAsia" w:ascii="宋体" w:hAnsi="宋体" w:cs="宋体"/>
                <w:b/>
                <w:bCs/>
                <w:sz w:val="24"/>
              </w:rPr>
              <w:t>、固体废物处置措施</w:t>
            </w:r>
          </w:p>
          <w:p>
            <w:pPr>
              <w:snapToGrid w:val="0"/>
              <w:spacing w:line="500" w:lineRule="exact"/>
              <w:ind w:firstLine="480" w:firstLineChars="200"/>
              <w:rPr>
                <w:rFonts w:ascii="宋体" w:hAnsi="宋体" w:cs="宋体"/>
                <w:sz w:val="24"/>
              </w:rPr>
            </w:pPr>
            <w:r>
              <w:rPr>
                <w:rFonts w:hint="eastAsia" w:ascii="宋体" w:hAnsi="宋体" w:cs="宋体"/>
                <w:sz w:val="24"/>
              </w:rPr>
              <w:t>固体废物主要为生活垃圾、水基钻井岩屑、废防渗材料。</w:t>
            </w:r>
          </w:p>
          <w:p>
            <w:pPr>
              <w:snapToGrid w:val="0"/>
              <w:spacing w:line="500" w:lineRule="exact"/>
              <w:ind w:firstLine="480" w:firstLineChars="200"/>
              <w:rPr>
                <w:rFonts w:ascii="宋体" w:hAnsi="宋体" w:cs="宋体"/>
                <w:sz w:val="24"/>
              </w:rPr>
            </w:pPr>
            <w:r>
              <w:rPr>
                <w:rFonts w:hint="eastAsia" w:ascii="宋体" w:hAnsi="宋体" w:cs="宋体"/>
                <w:sz w:val="24"/>
              </w:rPr>
              <w:t>（1）生活垃圾</w:t>
            </w:r>
          </w:p>
          <w:p>
            <w:pPr>
              <w:snapToGrid w:val="0"/>
              <w:spacing w:line="500" w:lineRule="exact"/>
              <w:ind w:firstLine="480" w:firstLineChars="200"/>
              <w:rPr>
                <w:rFonts w:ascii="宋体" w:hAnsi="宋体" w:cs="宋体"/>
                <w:sz w:val="24"/>
              </w:rPr>
            </w:pPr>
            <w:r>
              <w:rPr>
                <w:rFonts w:hint="eastAsia" w:ascii="宋体" w:hAnsi="宋体" w:cs="宋体"/>
                <w:sz w:val="24"/>
              </w:rPr>
              <w:t>井场和生活营地设置生活垃圾收集箱，集中收集后拉运至吉木萨尔县生活垃圾填埋场处置。</w:t>
            </w:r>
          </w:p>
          <w:p>
            <w:pPr>
              <w:snapToGrid w:val="0"/>
              <w:spacing w:line="500" w:lineRule="exact"/>
              <w:ind w:firstLine="480" w:firstLineChars="200"/>
            </w:pPr>
            <w:r>
              <w:rPr>
                <w:rFonts w:hint="eastAsia" w:ascii="宋体" w:hAnsi="宋体" w:cs="宋体"/>
                <w:kern w:val="0"/>
                <w:sz w:val="24"/>
              </w:rPr>
              <w:t>吉木萨尔县生活垃圾填埋场位于吉木萨尔县新地乡，中心地理坐标为东经89°04′15.8″，北纬43°59′10.1″，</w:t>
            </w:r>
            <w:r>
              <w:rPr>
                <w:rFonts w:hint="eastAsia" w:ascii="宋体" w:hAnsi="宋体" w:cs="宋体"/>
                <w:sz w:val="24"/>
              </w:rPr>
              <w:t>已于2008年12月取得原新疆维吾尔自治区环境保护厅《关于吉木萨尔县生活垃圾处理工程环境影响报告书的批复》（新环监函〔2008〕537号）；并于2015年9月29日通过竣工环境保护验收（昌州环函〔2015〕358号）。该垃圾填埋场</w:t>
            </w:r>
            <w:r>
              <w:rPr>
                <w:rFonts w:hint="eastAsia" w:ascii="宋体" w:hAnsi="宋体" w:cs="宋体"/>
                <w:kern w:val="0"/>
                <w:sz w:val="24"/>
              </w:rPr>
              <w:t>近期工程设计规模：生活垃圾清运处理量100t/d，总库容63×10</w:t>
            </w:r>
            <w:r>
              <w:rPr>
                <w:rFonts w:hint="eastAsia" w:ascii="宋体" w:hAnsi="宋体" w:cs="宋体"/>
                <w:kern w:val="0"/>
                <w:sz w:val="24"/>
                <w:vertAlign w:val="superscript"/>
              </w:rPr>
              <w:t>4</w:t>
            </w:r>
            <w:r>
              <w:rPr>
                <w:rFonts w:hint="eastAsia" w:ascii="宋体" w:hAnsi="宋体" w:cs="宋体"/>
                <w:kern w:val="0"/>
                <w:sz w:val="24"/>
              </w:rPr>
              <w:t>m</w:t>
            </w:r>
            <w:r>
              <w:rPr>
                <w:rFonts w:hint="eastAsia" w:ascii="宋体" w:hAnsi="宋体" w:cs="宋体"/>
                <w:kern w:val="0"/>
                <w:sz w:val="24"/>
                <w:vertAlign w:val="superscript"/>
              </w:rPr>
              <w:t>3</w:t>
            </w:r>
            <w:r>
              <w:rPr>
                <w:rFonts w:hint="eastAsia" w:ascii="宋体" w:hAnsi="宋体" w:cs="宋体"/>
                <w:kern w:val="0"/>
                <w:sz w:val="24"/>
              </w:rPr>
              <w:t>，服务年限11年；远期工程设计规模：生活垃圾清运处理量130t/d，总库容94.5×10</w:t>
            </w:r>
            <w:r>
              <w:rPr>
                <w:rFonts w:hint="eastAsia" w:ascii="宋体" w:hAnsi="宋体" w:cs="宋体"/>
                <w:kern w:val="0"/>
                <w:sz w:val="24"/>
                <w:vertAlign w:val="superscript"/>
              </w:rPr>
              <w:t>4</w:t>
            </w:r>
            <w:r>
              <w:rPr>
                <w:rFonts w:hint="eastAsia" w:ascii="宋体" w:hAnsi="宋体" w:cs="宋体"/>
                <w:kern w:val="0"/>
                <w:sz w:val="24"/>
              </w:rPr>
              <w:t>m</w:t>
            </w:r>
            <w:r>
              <w:rPr>
                <w:rFonts w:hint="eastAsia" w:ascii="宋体" w:hAnsi="宋体" w:cs="宋体"/>
                <w:kern w:val="0"/>
                <w:sz w:val="24"/>
                <w:vertAlign w:val="superscript"/>
              </w:rPr>
              <w:t>3</w:t>
            </w:r>
            <w:r>
              <w:rPr>
                <w:rFonts w:hint="eastAsia" w:ascii="宋体" w:hAnsi="宋体" w:cs="宋体"/>
                <w:kern w:val="0"/>
                <w:sz w:val="24"/>
              </w:rPr>
              <w:t>，服务年限12年，</w:t>
            </w:r>
            <w:r>
              <w:rPr>
                <w:rFonts w:hint="eastAsia" w:ascii="宋体" w:hAnsi="宋体" w:cs="宋体"/>
                <w:sz w:val="24"/>
              </w:rPr>
              <w:t>采用卫生填埋工艺，</w:t>
            </w:r>
            <w:r>
              <w:rPr>
                <w:rFonts w:hint="eastAsia" w:ascii="宋体" w:hAnsi="宋体" w:cs="宋体"/>
                <w:kern w:val="0"/>
                <w:sz w:val="24"/>
              </w:rPr>
              <w:t>主要处置城镇生活垃圾，不作为工业固体废物和危险废弃物处置场所。</w:t>
            </w:r>
            <w:r>
              <w:rPr>
                <w:rFonts w:hint="eastAsia" w:ascii="宋体" w:hAnsi="宋体" w:cs="宋体"/>
                <w:sz w:val="24"/>
              </w:rPr>
              <w:t>本项目施工期生活垃圾产生量仅2.6t，目前该垃圾填埋场实际处理能力约40t/d，因此，吉木萨尔县生活垃圾填埋场可以满足本项目垃圾处理的需求，依托可行。</w:t>
            </w:r>
          </w:p>
          <w:p>
            <w:pPr>
              <w:snapToGrid w:val="0"/>
              <w:spacing w:line="500" w:lineRule="exact"/>
              <w:ind w:firstLine="480" w:firstLineChars="200"/>
              <w:rPr>
                <w:rFonts w:ascii="宋体" w:hAnsi="宋体" w:cs="宋体"/>
                <w:sz w:val="24"/>
              </w:rPr>
            </w:pPr>
            <w:r>
              <w:rPr>
                <w:rFonts w:hint="eastAsia" w:ascii="宋体" w:hAnsi="宋体" w:cs="宋体"/>
                <w:sz w:val="24"/>
              </w:rPr>
              <w:t>（2）水基钻井岩屑</w:t>
            </w:r>
          </w:p>
          <w:p>
            <w:pPr>
              <w:snapToGrid w:val="0"/>
              <w:spacing w:line="500" w:lineRule="exact"/>
              <w:ind w:firstLine="480" w:firstLineChars="200"/>
              <w:rPr>
                <w:rFonts w:ascii="宋体" w:hAnsi="宋体" w:cs="宋体"/>
                <w:sz w:val="24"/>
              </w:rPr>
            </w:pPr>
            <w:r>
              <w:rPr>
                <w:rFonts w:hint="eastAsia" w:ascii="宋体" w:hAnsi="宋体" w:cs="宋体"/>
                <w:sz w:val="24"/>
              </w:rPr>
              <w:t>本项目钻井采用水基钻井液，钻井时井筒返排的钻井液及岩屑经不落地设备分离，分离出的液相回用于钻井液配置，分离出的水基钻井液进专用储罐暂存，</w:t>
            </w:r>
            <w:bookmarkStart w:id="32" w:name="_Hlk69139413"/>
            <w:r>
              <w:rPr>
                <w:rFonts w:hint="eastAsia" w:ascii="宋体" w:hAnsi="宋体" w:cs="宋体"/>
                <w:sz w:val="24"/>
              </w:rPr>
              <w:t>委托岩屑处置单位直接拉运</w:t>
            </w:r>
            <w:bookmarkEnd w:id="32"/>
            <w:r>
              <w:rPr>
                <w:rFonts w:hint="eastAsia" w:ascii="宋体" w:hAnsi="宋体" w:cs="宋体"/>
                <w:sz w:val="24"/>
              </w:rPr>
              <w:t>处置。水基钻井岩屑处理工艺流程如图2所示。</w:t>
            </w:r>
          </w:p>
          <w:p>
            <w:pPr>
              <w:pStyle w:val="25"/>
              <w:widowControl/>
              <w:snapToGrid w:val="0"/>
              <w:ind w:firstLine="0" w:firstLineChars="0"/>
              <w:jc w:val="center"/>
              <w:rPr>
                <w:rFonts w:ascii="黑体" w:hAnsi="黑体" w:eastAsia="黑体" w:cs="黑体"/>
                <w:szCs w:val="21"/>
              </w:rPr>
            </w:pPr>
            <w:r>
              <w:rPr>
                <w:rFonts w:hint="eastAsia" w:ascii="黑体" w:hAnsi="黑体" w:eastAsia="黑体" w:cs="黑体"/>
                <w:szCs w:val="21"/>
              </w:rPr>
              <mc:AlternateContent>
                <mc:Choice Requires="wpc">
                  <w:drawing>
                    <wp:anchor distT="0" distB="0" distL="114935" distR="114935" simplePos="0" relativeHeight="251659264" behindDoc="0" locked="0" layoutInCell="1" allowOverlap="1">
                      <wp:simplePos x="0" y="0"/>
                      <wp:positionH relativeFrom="column">
                        <wp:posOffset>219075</wp:posOffset>
                      </wp:positionH>
                      <wp:positionV relativeFrom="paragraph">
                        <wp:posOffset>100330</wp:posOffset>
                      </wp:positionV>
                      <wp:extent cx="4449445" cy="1069975"/>
                      <wp:effectExtent l="0" t="0" r="0" b="0"/>
                      <wp:wrapTopAndBottom/>
                      <wp:docPr id="14" name="画布 14"/>
                      <wp:cNvGraphicFramePr/>
                      <a:graphic xmlns:a="http://schemas.openxmlformats.org/drawingml/2006/main">
                        <a:graphicData uri="http://schemas.microsoft.com/office/word/2010/wordprocessingCanvas">
                          <wpc:wpc>
                            <wpc:bg/>
                            <wpc:whole/>
                            <wps:wsp>
                              <wps:cNvPr id="5" name="矩形 34"/>
                              <wps:cNvSpPr/>
                              <wps:spPr>
                                <a:xfrm>
                                  <a:off x="1539875" y="111760"/>
                                  <a:ext cx="91313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不落地系统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矩形 35"/>
                              <wps:cNvSpPr/>
                              <wps:spPr>
                                <a:xfrm>
                                  <a:off x="3275965" y="24765"/>
                                  <a:ext cx="1023620" cy="47371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方罐暂存后委外拉运处置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直接箭头连接符 37"/>
                              <wps:cNvCnPr>
                                <a:stCxn id="5" idx="3"/>
                              </wps:cNvCnPr>
                              <wps:spPr>
                                <a:xfrm>
                                  <a:off x="2453005" y="243205"/>
                                  <a:ext cx="8229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直接箭头连接符 38"/>
                              <wps:cNvCnPr/>
                              <wps:spPr>
                                <a:xfrm flipV="1">
                                  <a:off x="1188085" y="242570"/>
                                  <a:ext cx="34099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矩形 39"/>
                              <wps:cNvSpPr/>
                              <wps:spPr>
                                <a:xfrm>
                                  <a:off x="1524635" y="734695"/>
                                  <a:ext cx="139700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回用于钻井液配置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箭头连接符 40"/>
                              <wps:cNvCnPr/>
                              <wps:spPr>
                                <a:xfrm flipH="1">
                                  <a:off x="2223135" y="374650"/>
                                  <a:ext cx="635"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矩形 41"/>
                              <wps:cNvSpPr/>
                              <wps:spPr>
                                <a:xfrm>
                                  <a:off x="2148205" y="414020"/>
                                  <a:ext cx="469265" cy="2628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矩形 42"/>
                              <wps:cNvSpPr/>
                              <wps:spPr>
                                <a:xfrm>
                                  <a:off x="2487930" y="0"/>
                                  <a:ext cx="738505" cy="5041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水基钻井岩屑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3"/>
                              <wps:cNvSpPr/>
                              <wps:spPr>
                                <a:xfrm>
                                  <a:off x="128905" y="113665"/>
                                  <a:ext cx="105918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钻井液及岩屑</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17.25pt;margin-top:7.9pt;height:84.25pt;width:350.35pt;mso-wrap-distance-bottom:0pt;mso-wrap-distance-top:0pt;z-index:251659264;mso-width-relative:page;mso-height-relative:page;" coordsize="4449445,1069975" editas="canvas" o:gfxdata="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NxeTvPaAAAACQEAAA8AAAAA&#10;AAAAAQAgAAAAIgAAAGRycy9kb3ducmV2LnhtbFBLAQIUABQAAAAIAIdO4kDjVBEz9wQAANAbAAAO&#10;AAAAAAAAAAEAIAAAACkBAABkcnMvZTJvRG9jLnhtbFBLBQYAAAAABgAGAFkBAACSCAAAAAA=&#10;">
                      <o:lock v:ext="edit" aspectratio="f"/>
                      <v:shape id="_x0000_s1026" o:spid="_x0000_s1026" style="position:absolute;left:0;top:0;height:1069975;width:4449445;" filled="f" stroked="f" coordsize="21600,21600" o:gfxdata="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cXk7z2gAAAAkBAAAPAAAAAAAAAAEAIAAAACIAAABkcnMvZG93bnJldi54bWxQ&#10;SwECFAAUAAAACACHTuJAw3b0hKEEAAAVGwAADgAAAAAAAAABACAAAAApAQAAZHJzL2Uyb0RvYy54&#10;bWxQSwUGAAAAAAYABgBZAQAAPAgAAAAA&#10;">
                        <v:fill on="f" focussize="0,0"/>
                        <v:stroke on="f"/>
                        <v:imagedata o:title=""/>
                        <o:lock v:ext="edit" aspectratio="f"/>
                      </v:shape>
                      <v:rect id="矩形 34" o:spid="_x0000_s1026" o:spt="1" style="position:absolute;left:1539875;top:111760;height:262890;width:91313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dSXrHYAAAACQEAAA8AAAAAAAAAAQAg&#10;AAAAIgAAAGRycy9kb3ducmV2LnhtbFBLAQIUABQAAAAIAIdO4kCp3yM+gAIAAAkFAAAOAAAAAAAA&#10;AAEAIAAAACcBAABkcnMvZTJvRG9jLnhtbFBLBQYAAAAABgAGAFkBAAAZBg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不落地系统</w:t>
                              </w:r>
                            </w:p>
                          </w:txbxContent>
                        </v:textbox>
                      </v:rect>
                      <v:rect id="矩形 35" o:spid="_x0000_s1026" o:spt="1" style="position:absolute;left:3275965;top:24765;height:473710;width:102362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dSXrHYAAAACQEAAA8AAAAAAAAAAQAg&#10;AAAAIgAAAGRycy9kb3ducmV2LnhtbFBLAQIUABQAAAAIAIdO4kAVuViVgAIAAAkFAAAOAAAAAAAA&#10;AAEAIAAAACcBAABkcnMvZTJvRG9jLnhtbFBLBQYAAAAABgAGAFkBAAAZBg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方罐暂存后委外拉运处置</w:t>
                              </w:r>
                            </w:p>
                          </w:txbxContent>
                        </v:textbox>
                      </v:rect>
                      <v:shape id="直接箭头连接符 37" o:spid="_x0000_s1026" o:spt="32" type="#_x0000_t32" style="position:absolute;left:2453005;top:243205;height:0;width:822960;" filled="f" stroked="t" coordsize="21600,21600" o:gfxdata="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JHIt2AAA&#10;AAkBAAAPAAAAAAAAAAEAIAAAACIAAABkcnMvZG93bnJldi54bWxQSwECFAAUAAAACACHTuJAgIoH&#10;Nx4CAAAPBAAADgAAAAAAAAABACAAAAAnAQAAZHJzL2Uyb0RvYy54bWxQSwUGAAAAAAYABgBZAQAA&#10;twUAAAAA&#10;">
                        <v:fill on="f" focussize="0,0"/>
                        <v:stroke weight="0.5pt" color="#000000 [3213]" miterlimit="8" joinstyle="miter" endarrow="open"/>
                        <v:imagedata o:title=""/>
                        <o:lock v:ext="edit" aspectratio="f"/>
                      </v:shape>
                      <v:shape id="直接箭头连接符 38" o:spid="_x0000_s1026" o:spt="32" type="#_x0000_t32" style="position:absolute;left:1188085;top:242570;flip:y;height:2540;width:340995;" filled="f" stroked="t" coordsize="21600,21600" o:gfxdata="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i9DANgAAAAJAQAA&#10;DwAAAAAAAAABACAAAAAiAAAAZHJzL2Rvd25yZXYueG1sUEsBAhQAFAAAAAgAh07iQNiswBQZAgAA&#10;9wMAAA4AAAAAAAAAAQAgAAAAJwEAAGRycy9lMm9Eb2MueG1sUEsFBgAAAAAGAAYAWQEAALIFAAAA&#10;AA==&#10;">
                        <v:fill on="f" focussize="0,0"/>
                        <v:stroke weight="0.5pt" color="#000000 [3213]" miterlimit="8" joinstyle="miter" endarrow="open"/>
                        <v:imagedata o:title=""/>
                        <o:lock v:ext="edit" aspectratio="f"/>
                      </v:shape>
                      <v:rect id="矩形 39" o:spid="_x0000_s1026" o:spt="1" style="position:absolute;left:1524635;top:734695;height:262890;width:139700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1JesdgAAAAJAQAADwAAAAAAAAAB&#10;ACAAAAAiAAAAZHJzL2Rvd25yZXYueG1sUEsBAhQAFAAAAAgAh07iQDCyaBiCAgAACwUAAA4AAAAA&#10;AAAAAQAgAAAAJwEAAGRycy9lMm9Eb2MueG1sUEsFBgAAAAAGAAYAWQEAABsGA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回用于钻井液配置</w:t>
                              </w:r>
                            </w:p>
                          </w:txbxContent>
                        </v:textbox>
                      </v:rect>
                      <v:shape id="直接箭头连接符 40" o:spid="_x0000_s1026" o:spt="32" type="#_x0000_t32" style="position:absolute;left:2223135;top:374650;flip:x;height:360045;width:635;" filled="f" stroked="t" coordsize="21600,21600" o:gfxdata="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i9DANgAAAAJAQAADwAAAAAA&#10;AAABACAAAAAiAAAAZHJzL2Rvd25yZXYueG1sUEsBAhQAFAAAAAgAh07iQJK61ZITAgAA9gMAAA4A&#10;AAAAAAAAAQAgAAAAJwEAAGRycy9lMm9Eb2MueG1sUEsFBgAAAAAGAAYAWQEAAKwFAAAAAA==&#10;">
                        <v:fill on="f" focussize="0,0"/>
                        <v:stroke weight="0.5pt" color="#000000 [3213]" miterlimit="8" joinstyle="miter" endarrow="open"/>
                        <v:imagedata o:title=""/>
                        <o:lock v:ext="edit" aspectratio="f"/>
                      </v:shape>
                      <v:rect id="矩形 41" o:spid="_x0000_s1026" o:spt="1" style="position:absolute;left:2148205;top:414020;height:262890;width:469265;v-text-anchor:middle;" filled="f" stroked="f" coordsize="21600,21600" o:gfxdata="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8Z9kAAAAJAQAADwAAAAAAAAABACAAAAAiAAAAZHJzL2Rvd25yZXYu&#10;eG1sUEsBAhQAFAAAAAgAh07iQJWHBI9sAgAAuAQAAA4AAAAAAAAAAQAgAAAAKAEAAGRycy9lMm9E&#10;b2MueG1sUEsFBgAAAAAGAAYAWQEAAAYGAAAAAA==&#10;">
                        <v:fill on="f" focussize="0,0"/>
                        <v:stroke on="f" weight="0.5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液相</w:t>
                              </w:r>
                            </w:p>
                          </w:txbxContent>
                        </v:textbox>
                      </v:rect>
                      <v:rect id="矩形 42" o:spid="_x0000_s1026" o:spt="1" style="position:absolute;left:2487930;top:0;height:504190;width:738505;v-text-anchor:middle;" filled="f" stroked="f" coordsize="21600,21600" o:gfxdata="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Hxn2QAAAAkBAAAPAAAAAAAAAAEAIAAAACIAAABkcnMvZG93bnJldi54bWxQ&#10;SwECFAAUAAAACACHTuJAQ/bTMWgCAACzBAAADgAAAAAAAAABACAAAAAoAQAAZHJzL2Uyb0RvYy54&#10;bWxQSwUGAAAAAAYABgBZAQAAAgYAAAAA&#10;">
                        <v:fill on="f" focussize="0,0"/>
                        <v:stroke on="f" weight="0.5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水基钻井岩屑</w:t>
                              </w:r>
                            </w:p>
                          </w:txbxContent>
                        </v:textbox>
                      </v:rect>
                      <v:rect id="矩形 3" o:spid="_x0000_s1026" o:spt="1" style="position:absolute;left:128905;top:113665;height:262890;width:105918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1JesdgAAAAJAQAADwAAAAAAAAABACAAAAAi&#10;AAAAZHJzL2Rvd25yZXYueG1sUEsBAhQAFAAAAAgAh07iQOp79f98AgAACQUAAA4AAAAAAAAAAQAg&#10;AAAAJwEAAGRycy9lMm9Eb2MueG1sUEsFBgAAAAAGAAYAWQEAABUGA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钻井液及岩屑</w:t>
                              </w:r>
                            </w:p>
                          </w:txbxContent>
                        </v:textbox>
                      </v:rect>
                      <w10:wrap type="topAndBottom"/>
                    </v:group>
                  </w:pict>
                </mc:Fallback>
              </mc:AlternateContent>
            </w:r>
            <w:r>
              <w:rPr>
                <w:rFonts w:hint="eastAsia" w:ascii="黑体" w:hAnsi="黑体" w:eastAsia="黑体" w:cs="黑体"/>
                <w:szCs w:val="21"/>
              </w:rPr>
              <w:t>图2  水基钻井岩屑处理工艺流程图</w:t>
            </w:r>
          </w:p>
          <w:p>
            <w:pPr>
              <w:pStyle w:val="25"/>
              <w:snapToGrid w:val="0"/>
              <w:ind w:firstLine="480"/>
              <w:rPr>
                <w:rFonts w:cs="宋体"/>
                <w:sz w:val="24"/>
              </w:rPr>
            </w:pPr>
            <w:r>
              <w:rPr>
                <w:rFonts w:hint="eastAsia" w:cs="宋体"/>
                <w:sz w:val="24"/>
              </w:rPr>
              <w:t>（</w:t>
            </w:r>
            <w:r>
              <w:rPr>
                <w:rFonts w:cs="宋体"/>
                <w:sz w:val="24"/>
              </w:rPr>
              <w:t>3</w:t>
            </w:r>
            <w:r>
              <w:rPr>
                <w:rFonts w:hint="eastAsia" w:cs="宋体"/>
                <w:sz w:val="24"/>
              </w:rPr>
              <w:t>）废防渗材料</w:t>
            </w:r>
          </w:p>
          <w:p>
            <w:pPr>
              <w:pStyle w:val="25"/>
              <w:snapToGrid w:val="0"/>
              <w:ind w:firstLine="480"/>
              <w:rPr>
                <w:rFonts w:cs="宋体"/>
                <w:sz w:val="24"/>
              </w:rPr>
            </w:pPr>
            <w:r>
              <w:rPr>
                <w:rFonts w:hint="eastAsia" w:cs="宋体"/>
                <w:sz w:val="24"/>
              </w:rPr>
              <w:t>井场油罐、发电机、岩屑罐区、材料堆场等关键部位及生活污水储集防渗池均采用防渗膜防渗。未沾油的防渗膜为一般固体废物，施工结束后由施工单位集中回收利用；沾油防渗膜属于HW08类危险废物（废物代码：900-249-08），施工结束后交由具有相关危险废物处置资质的单位接收、转运以及处置。</w:t>
            </w:r>
          </w:p>
          <w:p>
            <w:pPr>
              <w:pStyle w:val="25"/>
              <w:snapToGrid w:val="0"/>
              <w:ind w:firstLine="480"/>
              <w:rPr>
                <w:rFonts w:cs="宋体"/>
                <w:sz w:val="24"/>
              </w:rPr>
            </w:pPr>
            <w:r>
              <w:rPr>
                <w:rFonts w:hint="eastAsia" w:cs="宋体"/>
                <w:sz w:val="24"/>
              </w:rPr>
              <w:t>（4）危险废物环境管理要求</w:t>
            </w:r>
          </w:p>
          <w:p>
            <w:pPr>
              <w:pStyle w:val="25"/>
              <w:snapToGrid w:val="0"/>
              <w:ind w:firstLine="480"/>
              <w:rPr>
                <w:rFonts w:cs="宋体"/>
                <w:sz w:val="24"/>
              </w:rPr>
            </w:pPr>
            <w:r>
              <w:rPr>
                <w:rFonts w:hint="eastAsia" w:cs="宋体"/>
                <w:sz w:val="24"/>
              </w:rPr>
              <w:t>施工期间应按照《危险废物环境管理指南  陆上石油天然气开采》中的危险废物环境管理要求：①落实污染环境防治责任制度。②落实危险废物识别标志制度，按照《环境保护图形标志 固体废物贮存（处置）场》（GB 15562.2）等有关规定，对危险废物的容器和收集、贮存、危险废物的场所设置危险废物识别标志。③落实危险废物管理计划制度，按照《危险废物产生单位管理计划制定指南》等有关要求制定危险废物管理计划，并报所在地生态环境主管部门备案。④落实危险废物管理台账及申报制度，建立危险废物管理台账，如实记录有关信息，并通过国家危险废物信息管理系统向所在地生态环境主管部门申报危险废物的种类、产生量、流向、贮存、处置等有关资料。⑤落实危险废物转移联单制度，转移危险废物的，应当按照《危险废物转移管理办法》的有关规定填写、运行危险废物转移联单。</w:t>
            </w:r>
          </w:p>
          <w:p>
            <w:pPr>
              <w:pStyle w:val="25"/>
              <w:snapToGrid w:val="0"/>
              <w:ind w:firstLine="480"/>
              <w:rPr>
                <w:rFonts w:cs="宋体"/>
                <w:sz w:val="24"/>
              </w:rPr>
            </w:pPr>
            <w:r>
              <w:rPr>
                <w:rFonts w:hint="eastAsia" w:cs="宋体"/>
                <w:sz w:val="24"/>
              </w:rPr>
              <w:t>综上所述，本项目产生的固体废物在采取上述措施后，不会对周围环境产生明显影响。</w:t>
            </w:r>
          </w:p>
          <w:p>
            <w:pPr>
              <w:pStyle w:val="22"/>
              <w:snapToGrid w:val="0"/>
              <w:spacing w:line="490" w:lineRule="exact"/>
              <w:ind w:firstLine="482"/>
              <w:rPr>
                <w:b/>
                <w:bCs/>
              </w:rPr>
            </w:pPr>
            <w:r>
              <w:rPr>
                <w:rFonts w:hint="eastAsia"/>
                <w:b/>
                <w:bCs/>
              </w:rPr>
              <w:t>7、环境风险应急措施及应急要求</w:t>
            </w:r>
          </w:p>
          <w:p>
            <w:pPr>
              <w:pStyle w:val="22"/>
              <w:snapToGrid w:val="0"/>
              <w:spacing w:line="490" w:lineRule="exact"/>
              <w:ind w:left="420" w:leftChars="200" w:firstLine="0" w:firstLineChars="0"/>
            </w:pPr>
            <w:r>
              <w:rPr>
                <w:rFonts w:hint="eastAsia"/>
              </w:rPr>
              <w:t>①井喷</w:t>
            </w:r>
          </w:p>
          <w:p>
            <w:pPr>
              <w:pStyle w:val="22"/>
              <w:snapToGrid w:val="0"/>
              <w:spacing w:line="490" w:lineRule="exact"/>
              <w:ind w:firstLine="480"/>
            </w:pPr>
            <w:r>
              <w:rPr>
                <w:rFonts w:hint="eastAsia"/>
              </w:rPr>
              <w:t>a.钻井工程中各岗位必须严格分工，定期对井控装置进行维护、保养、检查，保证井控装置及工具灵活可用、始终处于待命状态；落实溢流监测岗位、关井操作岗位和钻井队干部值班制度。</w:t>
            </w:r>
          </w:p>
          <w:p>
            <w:pPr>
              <w:pStyle w:val="22"/>
              <w:snapToGrid w:val="0"/>
              <w:spacing w:line="490" w:lineRule="exact"/>
              <w:ind w:firstLine="480"/>
            </w:pPr>
            <w:r>
              <w:rPr>
                <w:rFonts w:hint="eastAsia"/>
              </w:rPr>
              <w:t>b.钻开油层后：落实专人坐岗，观察井口和循环池液面变化，发现溢流、井漏及油气显示等异常情况应立即报告司钻；钻开油层后，每次起下钻（活动时间间隔超过5d）对闸板防喷器及手动锁紧装置开关活动一次，定期对井控装置进行试压；起钻杆时每3～5柱向环空灌满泥浆，起钻铤要连续灌浆，作好记录、校核，若灌入泥浆量大于或小于应灌入量，均应停止起钻作业并进行观察。如有溢流应及时关井。如有井漏，应及时采取相应措施。安排专人观察出口管钻井液返出情况，严禁在空井情况下检修设备；钻开油层后，所有车辆应停放在距井口以外30m，必须进入距井口30m以内的车辆，应安装阻火器，车头朝外停放。</w:t>
            </w:r>
          </w:p>
          <w:p>
            <w:pPr>
              <w:pStyle w:val="22"/>
              <w:snapToGrid w:val="0"/>
              <w:spacing w:line="490" w:lineRule="exact"/>
              <w:ind w:firstLine="480"/>
            </w:pPr>
            <w:r>
              <w:rPr>
                <w:rFonts w:hint="eastAsia"/>
              </w:rPr>
              <w:t>c.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p>
          <w:p>
            <w:pPr>
              <w:pStyle w:val="22"/>
              <w:snapToGrid w:val="0"/>
              <w:spacing w:line="490" w:lineRule="exact"/>
              <w:ind w:firstLine="480"/>
            </w:pPr>
            <w:r>
              <w:rPr>
                <w:rFonts w:hint="eastAsia"/>
              </w:rPr>
              <w:t>d.测井、固井、完井等作业时，要严格执行安全操作规程和井控措施，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实行日费制的井，由钻井监督决定）决定何时切断电缆并进行关井作业，测井队专用剪切工具应放置在钻台上，测井中随时处于待命状态，测井队队长负责实施剪断电缆工作。</w:t>
            </w:r>
          </w:p>
          <w:p>
            <w:pPr>
              <w:pStyle w:val="22"/>
              <w:snapToGrid w:val="0"/>
              <w:spacing w:line="490" w:lineRule="exact"/>
              <w:ind w:firstLine="480"/>
            </w:pPr>
            <w:r>
              <w:rPr>
                <w:rFonts w:hint="eastAsia"/>
              </w:rPr>
              <w:t>e.一旦有井喷迹象出现，应立即启动相应的环境突发事件专项应急预案，立即关闭井口切断污染源，建设应急放喷池（20m×10m），控制原油污染面积，对放喷液进行集中收集处理。同时及时通知可能受影响的人员进行疏散；切断一切可能扩大污染范围的环节，严防污染区域的扩大。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评估污染物转移、扩散速率；对污染状况进行跟踪调查，根据监测数据分析，预测污染迁移强度、速度和影响范围，及时调整对策。</w:t>
            </w:r>
          </w:p>
          <w:p>
            <w:pPr>
              <w:pStyle w:val="22"/>
              <w:snapToGrid w:val="0"/>
              <w:spacing w:line="490" w:lineRule="exact"/>
              <w:ind w:firstLine="480"/>
            </w:pPr>
            <w:r>
              <w:rPr>
                <w:rFonts w:hint="eastAsia"/>
              </w:rPr>
              <w:t>f.</w:t>
            </w:r>
            <w:r>
              <w:rPr>
                <w:rFonts w:hint="eastAsia" w:cs="宋体"/>
              </w:rPr>
              <w:t>试油期产生的伴生气量少且不稳定，不具备回收利用条件，经放喷管线燃烧后排放，建设单位应定期检查伴生气燃烧设备，加强燃烧设备的运营维护，确保伴生气充分燃烧，减少污染物的排放。</w:t>
            </w:r>
          </w:p>
          <w:p>
            <w:pPr>
              <w:pStyle w:val="22"/>
              <w:snapToGrid w:val="0"/>
              <w:spacing w:line="490" w:lineRule="exact"/>
              <w:ind w:firstLine="480"/>
            </w:pPr>
            <w:r>
              <w:rPr>
                <w:rFonts w:hint="eastAsia"/>
              </w:rPr>
              <w:t>②储罐泄漏</w:t>
            </w:r>
          </w:p>
          <w:p>
            <w:pPr>
              <w:pStyle w:val="22"/>
              <w:snapToGrid w:val="0"/>
              <w:spacing w:line="490" w:lineRule="exact"/>
              <w:ind w:firstLine="472"/>
              <w:rPr>
                <w:spacing w:val="-2"/>
              </w:rPr>
            </w:pPr>
            <w:r>
              <w:rPr>
                <w:rFonts w:hint="eastAsia"/>
                <w:spacing w:val="-2"/>
              </w:rPr>
              <w:t>a.选用质量、防腐措施合格的储罐。安装过程中焊接要经过100%的探伤，安装时应选择刚性不燃的坚固基础作为罐体基础。储罐在投用前，必须严格按照《压力容器安全技术监察规程》进行强度和气密性试验。</w:t>
            </w:r>
          </w:p>
          <w:p>
            <w:pPr>
              <w:pStyle w:val="22"/>
              <w:snapToGrid w:val="0"/>
              <w:spacing w:line="490" w:lineRule="exact"/>
              <w:ind w:firstLine="480"/>
            </w:pPr>
            <w:r>
              <w:rPr>
                <w:rFonts w:hint="eastAsia"/>
              </w:rPr>
              <w:t>b.储罐区应严格用火管理，采用有效的避雷装置和接地装置等防止雷电的措施。</w:t>
            </w:r>
          </w:p>
          <w:p>
            <w:pPr>
              <w:pStyle w:val="22"/>
              <w:snapToGrid w:val="0"/>
              <w:spacing w:line="490" w:lineRule="exact"/>
              <w:ind w:firstLine="480"/>
            </w:pPr>
            <w:r>
              <w:rPr>
                <w:rFonts w:hint="eastAsia"/>
              </w:rPr>
              <w:t>c.加强储罐和管线接口的检查工作，防止腐蚀穿孔。定期进行壁厚检测，腐蚀余量低于规定的允许值时，要及时进行检修和更换。</w:t>
            </w:r>
          </w:p>
          <w:p>
            <w:pPr>
              <w:pStyle w:val="22"/>
              <w:snapToGrid w:val="0"/>
              <w:spacing w:line="490" w:lineRule="exact"/>
              <w:ind w:firstLine="480"/>
            </w:pPr>
            <w:r>
              <w:rPr>
                <w:rFonts w:hint="eastAsia"/>
              </w:rPr>
              <w:t>d.加强消防安全管理</w:t>
            </w:r>
          </w:p>
          <w:p>
            <w:pPr>
              <w:pStyle w:val="22"/>
              <w:snapToGrid w:val="0"/>
              <w:spacing w:line="490" w:lineRule="exact"/>
              <w:ind w:firstLine="480"/>
            </w:pPr>
            <w:r>
              <w:rPr>
                <w:rFonts w:hint="eastAsia"/>
              </w:rPr>
              <w:t>定期进行消防培训与实战演练，要求岗位工作人员具有较强的消防安全意识，加强巡检，确保无异常情况出现。</w:t>
            </w:r>
          </w:p>
          <w:p>
            <w:pPr>
              <w:pStyle w:val="22"/>
              <w:snapToGrid w:val="0"/>
              <w:spacing w:line="490" w:lineRule="exact"/>
              <w:ind w:firstLine="480"/>
            </w:pPr>
            <w:r>
              <w:t>③</w:t>
            </w:r>
            <w:r>
              <w:rPr>
                <w:rFonts w:hint="eastAsia"/>
              </w:rPr>
              <w:t>井漏</w:t>
            </w:r>
          </w:p>
          <w:p>
            <w:pPr>
              <w:pStyle w:val="22"/>
              <w:snapToGrid w:val="0"/>
              <w:spacing w:line="490" w:lineRule="exact"/>
              <w:ind w:firstLine="480"/>
            </w:pPr>
            <w:r>
              <w:rPr>
                <w:rFonts w:hint="eastAsia" w:cs="宋体"/>
              </w:rPr>
              <w:t>a.建立、健全各项安全管理制度以及配套的工艺、设备安全操作规程并严格执行，</w:t>
            </w:r>
            <w:r>
              <w:t>确保施工质量，防漏、防窜</w:t>
            </w:r>
            <w:r>
              <w:rPr>
                <w:rFonts w:hint="eastAsia"/>
              </w:rPr>
              <w:t>，</w:t>
            </w:r>
            <w:r>
              <w:t>做好防腐工作。</w:t>
            </w:r>
          </w:p>
          <w:p>
            <w:pPr>
              <w:pStyle w:val="22"/>
              <w:snapToGrid w:val="0"/>
              <w:spacing w:line="490" w:lineRule="exact"/>
              <w:ind w:firstLine="480"/>
            </w:pPr>
            <w:r>
              <w:rPr>
                <w:rFonts w:hint="eastAsia"/>
              </w:rPr>
              <w:t>b.</w:t>
            </w:r>
            <w:r>
              <w:t>操作人员</w:t>
            </w:r>
            <w:r>
              <w:rPr>
                <w:rFonts w:hint="eastAsia"/>
              </w:rPr>
              <w:t>应</w:t>
            </w:r>
            <w:r>
              <w:t>密切注意设备运行状况，发现管件破裂刺漏等问题及时处理；作业现场应配备消防设备以备应急救援。</w:t>
            </w:r>
          </w:p>
          <w:p>
            <w:pPr>
              <w:pStyle w:val="22"/>
              <w:snapToGrid w:val="0"/>
              <w:spacing w:line="490" w:lineRule="exact"/>
              <w:ind w:firstLine="480"/>
            </w:pPr>
            <w:r>
              <w:rPr>
                <w:rFonts w:hint="eastAsia"/>
              </w:rPr>
              <w:t>c.</w:t>
            </w:r>
            <w:r>
              <w:t>严格控制使用有毒有害钻井液，同时严格要求套管下入深度、确保固井质量</w:t>
            </w:r>
            <w:r>
              <w:rPr>
                <w:rFonts w:hint="eastAsia"/>
              </w:rPr>
              <w:t>。</w:t>
            </w:r>
          </w:p>
          <w:p>
            <w:pPr>
              <w:pStyle w:val="22"/>
              <w:snapToGrid w:val="0"/>
              <w:spacing w:line="490" w:lineRule="exact"/>
              <w:ind w:firstLine="480"/>
            </w:pPr>
            <w:r>
              <w:rPr>
                <w:rFonts w:hint="eastAsia"/>
              </w:rPr>
              <w:t>d.</w:t>
            </w:r>
            <w:r>
              <w:t>工程施工需具备相应资质，加强对施工现场的安全组织管理和监督。</w:t>
            </w:r>
          </w:p>
          <w:p>
            <w:pPr>
              <w:pStyle w:val="22"/>
              <w:snapToGrid w:val="0"/>
              <w:spacing w:line="490" w:lineRule="exact"/>
              <w:ind w:firstLine="480"/>
            </w:pPr>
            <w:r>
              <w:rPr>
                <w:rFonts w:hint="eastAsia" w:cs="宋体"/>
              </w:rPr>
              <w:t>④硫化</w:t>
            </w:r>
            <w:r>
              <w:rPr>
                <w:rFonts w:hint="eastAsia"/>
              </w:rPr>
              <w:t>氢防范措施</w:t>
            </w:r>
          </w:p>
          <w:p>
            <w:pPr>
              <w:pStyle w:val="22"/>
              <w:snapToGrid w:val="0"/>
              <w:spacing w:line="490" w:lineRule="exact"/>
              <w:ind w:firstLine="480"/>
            </w:pPr>
            <w:r>
              <w:rPr>
                <w:rFonts w:hint="eastAsia"/>
              </w:rPr>
              <w:t>a.在钻井、试油作业过程中配备便携式硫化氢监测仪，做好硫化氢监测预警工作，并制定防硫化氢应急预案。当监测到硫化氢浓度大于75mg/m</w:t>
            </w:r>
            <w:r>
              <w:rPr>
                <w:rFonts w:hint="eastAsia"/>
                <w:vertAlign w:val="superscript"/>
              </w:rPr>
              <w:t>3</w:t>
            </w:r>
            <w:r>
              <w:rPr>
                <w:rFonts w:hint="eastAsia"/>
              </w:rPr>
              <w:t>（50ppm）时，按照含硫油气井作业规程执行。</w:t>
            </w:r>
          </w:p>
          <w:p>
            <w:pPr>
              <w:pStyle w:val="22"/>
              <w:snapToGrid w:val="0"/>
              <w:spacing w:line="490" w:lineRule="exact"/>
              <w:ind w:firstLine="480"/>
            </w:pPr>
            <w:r>
              <w:rPr>
                <w:rFonts w:hint="eastAsia"/>
              </w:rPr>
              <w:t>b.钻井期在作业现场显著位置设置5处风向标；试油期设置2处风向标，并在不同方向上划定2个紧急集合点，并规划撤离路线，发生紧急情况时向上风向撤离。</w:t>
            </w:r>
          </w:p>
          <w:p>
            <w:pPr>
              <w:spacing w:line="500" w:lineRule="exact"/>
              <w:ind w:firstLine="480" w:firstLineChars="200"/>
              <w:rPr>
                <w:rFonts w:ascii="宋体" w:hAnsi="宋体" w:cs="宋体"/>
                <w:sz w:val="24"/>
              </w:rPr>
            </w:pPr>
            <w:r>
              <w:rPr>
                <w:rFonts w:hint="eastAsia" w:ascii="宋体" w:hAnsi="宋体" w:cs="宋体"/>
                <w:sz w:val="24"/>
              </w:rPr>
              <w:t>⑤对农田的风险防范措施</w:t>
            </w:r>
          </w:p>
          <w:p>
            <w:pPr>
              <w:snapToGrid w:val="0"/>
              <w:spacing w:line="500" w:lineRule="exact"/>
              <w:ind w:firstLine="480" w:firstLineChars="200"/>
              <w:rPr>
                <w:rFonts w:ascii="宋体" w:hAnsi="宋体" w:cs="宋体"/>
                <w:sz w:val="24"/>
              </w:rPr>
            </w:pPr>
            <w:r>
              <w:rPr>
                <w:rFonts w:hint="eastAsia" w:ascii="宋体" w:hAnsi="宋体" w:cs="宋体"/>
                <w:sz w:val="24"/>
              </w:rPr>
              <w:t>a.施工期间产生的“三废”均应合理处置，避免各类污染物对附近农田农作物和土壤的污染。</w:t>
            </w:r>
          </w:p>
          <w:p>
            <w:pPr>
              <w:snapToGrid w:val="0"/>
              <w:spacing w:line="500" w:lineRule="exact"/>
              <w:ind w:firstLine="480" w:firstLineChars="200"/>
              <w:rPr>
                <w:rFonts w:ascii="宋体" w:hAnsi="宋体" w:cs="宋体"/>
                <w:sz w:val="24"/>
              </w:rPr>
            </w:pPr>
            <w:r>
              <w:rPr>
                <w:rFonts w:hint="eastAsia" w:ascii="宋体" w:hAnsi="宋体" w:cs="宋体"/>
                <w:sz w:val="24"/>
              </w:rPr>
              <w:t>b.加强施工期管理，严禁油田施工人员和车辆随意进入农田区域，人为破坏农作物。</w:t>
            </w:r>
          </w:p>
          <w:p>
            <w:pPr>
              <w:snapToGrid w:val="0"/>
              <w:spacing w:line="490" w:lineRule="exact"/>
              <w:ind w:firstLine="480" w:firstLineChars="200"/>
              <w:rPr>
                <w:rFonts w:ascii="宋体" w:hAnsi="宋体" w:cs="宋体"/>
                <w:sz w:val="24"/>
              </w:rPr>
            </w:pPr>
            <w:r>
              <w:rPr>
                <w:rFonts w:hint="eastAsia" w:ascii="宋体" w:hAnsi="宋体" w:cs="宋体"/>
                <w:sz w:val="24"/>
              </w:rPr>
              <w:t>⑥环境风险应急预案</w:t>
            </w:r>
          </w:p>
          <w:p>
            <w:pPr>
              <w:snapToGrid w:val="0"/>
              <w:spacing w:line="490" w:lineRule="exact"/>
              <w:ind w:firstLine="480" w:firstLineChars="200"/>
              <w:rPr>
                <w:rFonts w:ascii="宋体" w:hAnsi="宋体" w:cs="宋体"/>
                <w:sz w:val="24"/>
              </w:rPr>
            </w:pPr>
            <w:r>
              <w:rPr>
                <w:rFonts w:hint="eastAsia" w:ascii="宋体" w:hAnsi="宋体" w:cs="宋体"/>
                <w:sz w:val="24"/>
              </w:rPr>
              <w:t>本项目归属中国石油新疆油田分公司勘探事业部管辖，应将项目实施区域纳入《中国石油新疆油田分公司勘探事业部突发环境事件应急预案》。</w:t>
            </w:r>
          </w:p>
          <w:p>
            <w:pPr>
              <w:snapToGrid w:val="0"/>
              <w:spacing w:line="490" w:lineRule="exact"/>
              <w:ind w:firstLine="480" w:firstLineChars="200"/>
              <w:rPr>
                <w:rFonts w:ascii="宋体" w:hAnsi="宋体" w:cs="宋体"/>
                <w:sz w:val="24"/>
              </w:rPr>
            </w:pPr>
            <w:r>
              <w:rPr>
                <w:rFonts w:hint="eastAsia" w:ascii="宋体" w:hAnsi="宋体" w:cs="宋体"/>
                <w:sz w:val="24"/>
              </w:rPr>
              <w:t>⑦结论</w:t>
            </w:r>
          </w:p>
          <w:p>
            <w:pPr>
              <w:snapToGrid w:val="0"/>
              <w:spacing w:line="490" w:lineRule="exact"/>
              <w:ind w:firstLine="480" w:firstLineChars="200"/>
              <w:rPr>
                <w:rFonts w:ascii="宋体" w:hAnsi="宋体" w:cs="宋体"/>
                <w:sz w:val="24"/>
              </w:rPr>
            </w:pPr>
            <w:r>
              <w:rPr>
                <w:rFonts w:hint="eastAsia" w:ascii="宋体" w:hAnsi="宋体" w:cs="宋体"/>
                <w:sz w:val="24"/>
              </w:rPr>
              <w:t>本项目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ascii="宋体" w:hAnsi="宋体" w:cs="宋体"/>
                <w:sz w:val="24"/>
              </w:rPr>
            </w:pPr>
            <w:r>
              <w:rPr>
                <w:rFonts w:hint="eastAsia" w:ascii="宋体" w:hAnsi="宋体" w:cs="宋体"/>
                <w:bCs/>
                <w:spacing w:val="10"/>
                <w:sz w:val="24"/>
              </w:rPr>
              <w:t>运营期生态环境保护措施</w:t>
            </w:r>
          </w:p>
        </w:tc>
        <w:tc>
          <w:tcPr>
            <w:tcW w:w="7450" w:type="dxa"/>
            <w:vAlign w:val="center"/>
          </w:tcPr>
          <w:p>
            <w:pPr>
              <w:pStyle w:val="22"/>
              <w:snapToGrid w:val="0"/>
              <w:ind w:firstLine="464"/>
              <w:rPr>
                <w:spacing w:val="-4"/>
              </w:rPr>
            </w:pPr>
            <w:r>
              <w:rPr>
                <w:rFonts w:hint="eastAsia"/>
                <w:spacing w:val="-4"/>
              </w:rPr>
              <w:t>本项目无运营期，无需提出环境保护措施及环境监测计划。根据试采结果决定新钻井是否转为生产井，若可转为生产井，则应当在产能开发建设前对其开展环境影响评价工作，编制环境影响评价文件；若不具备转产条件，则应封井，封井时要做好以下保护措施：</w:t>
            </w:r>
          </w:p>
          <w:p>
            <w:pPr>
              <w:pStyle w:val="22"/>
              <w:snapToGrid w:val="0"/>
              <w:ind w:firstLine="480"/>
              <w:rPr>
                <w:rFonts w:cs="宋体"/>
              </w:rPr>
            </w:pPr>
            <w:r>
              <w:rPr>
                <w:rFonts w:hint="eastAsia" w:cs="宋体"/>
              </w:rPr>
              <w:t>确保固井质量和封井质量合格；钻试结束后及时清理作业现场，做到“工完、料尽、场地清”，确保采取的封井措施有效可行；及时对临时占地进行平整，根据相关规定对所占征地进行经济补偿。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ascii="宋体" w:hAnsi="宋体" w:cs="宋体"/>
                <w:bCs/>
                <w:spacing w:val="10"/>
                <w:sz w:val="24"/>
              </w:rPr>
            </w:pPr>
            <w:r>
              <w:rPr>
                <w:rFonts w:hint="eastAsia" w:ascii="宋体" w:hAnsi="宋体"/>
                <w:bCs/>
                <w:sz w:val="24"/>
              </w:rPr>
              <w:t>其他</w:t>
            </w:r>
          </w:p>
        </w:tc>
        <w:tc>
          <w:tcPr>
            <w:tcW w:w="7450" w:type="dxa"/>
          </w:tcPr>
          <w:p>
            <w:pPr>
              <w:pStyle w:val="22"/>
              <w:snapToGrid w:val="0"/>
              <w:spacing w:line="480" w:lineRule="exact"/>
              <w:ind w:firstLine="480"/>
            </w:pPr>
            <w:r>
              <w:rPr>
                <w:rFonts w:hint="eastAsia"/>
              </w:rPr>
              <w:t>本项目实施过程中，将根据中国石油新疆油田分公司在环境管理上建立的健康、安全与环境管理体系（HSE管理体系），落实各项环保和安全措施，减少项目开发对周围环境的影响。本报告提出的环境管理主要内容见下表</w:t>
            </w:r>
            <w:r>
              <w:t>1</w:t>
            </w:r>
            <w:r>
              <w:rPr>
                <w:rFonts w:hint="eastAsia"/>
              </w:rPr>
              <w:t>3。</w:t>
            </w:r>
          </w:p>
          <w:p>
            <w:pPr>
              <w:pStyle w:val="5"/>
              <w:snapToGrid w:val="0"/>
              <w:spacing w:line="480" w:lineRule="exact"/>
            </w:pPr>
            <w:r>
              <w:rPr>
                <w:rFonts w:hint="eastAsia"/>
              </w:rPr>
              <w:t>表</w:t>
            </w:r>
            <w:r>
              <w:t>1</w:t>
            </w:r>
            <w:r>
              <w:rPr>
                <w:rFonts w:hint="eastAsia"/>
              </w:rPr>
              <w:t>3</w:t>
            </w:r>
            <w:r>
              <w:rPr>
                <w:rFonts w:hint="eastAsia" w:cs="黑体"/>
              </w:rPr>
              <w:t xml:space="preserve">  施工期环境保护行动计划表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4"/>
              <w:gridCol w:w="1159"/>
              <w:gridCol w:w="55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6" w:type="pct"/>
                  <w:tcMar>
                    <w:left w:w="0" w:type="dxa"/>
                    <w:right w:w="0" w:type="dxa"/>
                  </w:tcMar>
                  <w:vAlign w:val="center"/>
                </w:tcPr>
                <w:p>
                  <w:pPr>
                    <w:pStyle w:val="26"/>
                    <w:widowControl w:val="0"/>
                    <w:snapToGrid w:val="0"/>
                    <w:spacing w:line="240" w:lineRule="auto"/>
                    <w:rPr>
                      <w:rFonts w:cs="宋体"/>
                    </w:rPr>
                  </w:pPr>
                  <w:r>
                    <w:rPr>
                      <w:rFonts w:hint="eastAsia" w:cs="宋体"/>
                    </w:rPr>
                    <w:t>序号</w:t>
                  </w:r>
                </w:p>
              </w:tc>
              <w:tc>
                <w:tcPr>
                  <w:tcW w:w="801" w:type="pct"/>
                  <w:tcMar>
                    <w:left w:w="0" w:type="dxa"/>
                    <w:right w:w="0" w:type="dxa"/>
                  </w:tcMar>
                  <w:vAlign w:val="center"/>
                </w:tcPr>
                <w:p>
                  <w:pPr>
                    <w:pStyle w:val="26"/>
                    <w:widowControl w:val="0"/>
                    <w:snapToGrid w:val="0"/>
                    <w:spacing w:line="240" w:lineRule="auto"/>
                    <w:rPr>
                      <w:rFonts w:cs="宋体"/>
                    </w:rPr>
                  </w:pPr>
                  <w:r>
                    <w:rPr>
                      <w:rFonts w:hint="eastAsia" w:cs="宋体"/>
                    </w:rPr>
                    <w:t>影响因素</w:t>
                  </w:r>
                </w:p>
              </w:tc>
              <w:tc>
                <w:tcPr>
                  <w:tcW w:w="3822" w:type="pct"/>
                  <w:tcMar>
                    <w:left w:w="0" w:type="dxa"/>
                    <w:right w:w="0" w:type="dxa"/>
                  </w:tcMar>
                  <w:vAlign w:val="center"/>
                </w:tcPr>
                <w:p>
                  <w:pPr>
                    <w:pStyle w:val="26"/>
                    <w:widowControl w:val="0"/>
                    <w:snapToGrid w:val="0"/>
                    <w:spacing w:line="240" w:lineRule="auto"/>
                    <w:rPr>
                      <w:rFonts w:cs="宋体"/>
                    </w:rPr>
                  </w:pPr>
                  <w:r>
                    <w:rPr>
                      <w:rFonts w:hint="eastAsia" w:cs="宋体"/>
                    </w:rPr>
                    <w:t>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6" w:type="pct"/>
                  <w:tcMar>
                    <w:left w:w="0" w:type="dxa"/>
                    <w:right w:w="0" w:type="dxa"/>
                  </w:tcMar>
                  <w:vAlign w:val="center"/>
                </w:tcPr>
                <w:p>
                  <w:pPr>
                    <w:pStyle w:val="26"/>
                    <w:widowControl w:val="0"/>
                    <w:snapToGrid w:val="0"/>
                    <w:spacing w:line="240" w:lineRule="auto"/>
                    <w:rPr>
                      <w:rFonts w:cs="宋体"/>
                    </w:rPr>
                  </w:pPr>
                  <w:r>
                    <w:rPr>
                      <w:rFonts w:hint="eastAsia" w:cs="宋体"/>
                    </w:rPr>
                    <w:t>1</w:t>
                  </w:r>
                </w:p>
              </w:tc>
              <w:tc>
                <w:tcPr>
                  <w:tcW w:w="801" w:type="pct"/>
                  <w:tcMar>
                    <w:left w:w="0" w:type="dxa"/>
                    <w:right w:w="0" w:type="dxa"/>
                  </w:tcMar>
                  <w:vAlign w:val="center"/>
                </w:tcPr>
                <w:p>
                  <w:pPr>
                    <w:pStyle w:val="26"/>
                    <w:widowControl w:val="0"/>
                    <w:snapToGrid w:val="0"/>
                    <w:spacing w:line="240" w:lineRule="auto"/>
                    <w:rPr>
                      <w:rFonts w:cs="宋体"/>
                    </w:rPr>
                  </w:pPr>
                  <w:r>
                    <w:rPr>
                      <w:rFonts w:hint="eastAsia" w:cs="宋体"/>
                    </w:rPr>
                    <w:t>大气环境</w:t>
                  </w:r>
                </w:p>
              </w:tc>
              <w:tc>
                <w:tcPr>
                  <w:tcW w:w="3822" w:type="pct"/>
                  <w:tcMar>
                    <w:left w:w="0" w:type="dxa"/>
                    <w:right w:w="0" w:type="dxa"/>
                  </w:tcMar>
                  <w:vAlign w:val="center"/>
                </w:tcPr>
                <w:p>
                  <w:pPr>
                    <w:pStyle w:val="26"/>
                    <w:widowControl w:val="0"/>
                    <w:snapToGrid w:val="0"/>
                    <w:spacing w:line="240" w:lineRule="auto"/>
                    <w:jc w:val="both"/>
                    <w:rPr>
                      <w:rFonts w:cs="宋体"/>
                    </w:rPr>
                  </w:pPr>
                  <w:r>
                    <w:rPr>
                      <w:rFonts w:hint="eastAsia" w:cs="宋体"/>
                    </w:rPr>
                    <w:t>施工单位在钻井时应使用符合国家标准的柴油，并定期对设备进行保养维护。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6" w:type="pct"/>
                  <w:tcMar>
                    <w:left w:w="0" w:type="dxa"/>
                    <w:right w:w="0" w:type="dxa"/>
                  </w:tcMar>
                  <w:vAlign w:val="center"/>
                </w:tcPr>
                <w:p>
                  <w:pPr>
                    <w:pStyle w:val="26"/>
                    <w:widowControl w:val="0"/>
                    <w:snapToGrid w:val="0"/>
                    <w:spacing w:line="240" w:lineRule="auto"/>
                    <w:rPr>
                      <w:rFonts w:cs="宋体"/>
                    </w:rPr>
                  </w:pPr>
                  <w:r>
                    <w:rPr>
                      <w:rFonts w:hint="eastAsia" w:cs="宋体"/>
                    </w:rPr>
                    <w:t>2</w:t>
                  </w:r>
                </w:p>
              </w:tc>
              <w:tc>
                <w:tcPr>
                  <w:tcW w:w="801" w:type="pct"/>
                  <w:tcMar>
                    <w:left w:w="0" w:type="dxa"/>
                    <w:right w:w="0" w:type="dxa"/>
                  </w:tcMar>
                  <w:vAlign w:val="center"/>
                </w:tcPr>
                <w:p>
                  <w:pPr>
                    <w:pStyle w:val="26"/>
                    <w:widowControl w:val="0"/>
                    <w:snapToGrid w:val="0"/>
                    <w:spacing w:line="240" w:lineRule="auto"/>
                    <w:rPr>
                      <w:rFonts w:cs="宋体"/>
                    </w:rPr>
                  </w:pPr>
                  <w:r>
                    <w:rPr>
                      <w:rFonts w:hint="eastAsia" w:cs="宋体"/>
                    </w:rPr>
                    <w:t>声环境</w:t>
                  </w:r>
                </w:p>
              </w:tc>
              <w:tc>
                <w:tcPr>
                  <w:tcW w:w="3822" w:type="pct"/>
                  <w:tcMar>
                    <w:left w:w="0" w:type="dxa"/>
                    <w:right w:w="0" w:type="dxa"/>
                  </w:tcMar>
                  <w:vAlign w:val="center"/>
                </w:tcPr>
                <w:p>
                  <w:pPr>
                    <w:pStyle w:val="26"/>
                    <w:widowControl w:val="0"/>
                    <w:snapToGrid w:val="0"/>
                    <w:spacing w:line="240" w:lineRule="auto"/>
                    <w:jc w:val="both"/>
                    <w:rPr>
                      <w:rFonts w:cs="宋体"/>
                    </w:rPr>
                  </w:pPr>
                  <w:r>
                    <w:rPr>
                      <w:rFonts w:hint="eastAsia" w:cs="宋体"/>
                    </w:rPr>
                    <w:t>施工单位应使用低噪声的施工设备、机械，并定期进行检修和维护，使其处于运行良好的状态。</w:t>
                  </w:r>
                </w:p>
              </w:tc>
            </w:tr>
          </w:tbl>
          <w:p>
            <w:pPr>
              <w:pStyle w:val="5"/>
              <w:snapToGrid w:val="0"/>
              <w:spacing w:line="480" w:lineRule="exact"/>
            </w:pPr>
            <w:r>
              <w:rPr>
                <w:rFonts w:hint="eastAsia"/>
              </w:rPr>
              <w:t>续表</w:t>
            </w:r>
            <w:r>
              <w:t>1</w:t>
            </w:r>
            <w:r>
              <w:rPr>
                <w:rFonts w:hint="eastAsia"/>
              </w:rPr>
              <w:t>3</w:t>
            </w:r>
            <w:r>
              <w:rPr>
                <w:rFonts w:hint="eastAsia" w:cs="黑体"/>
              </w:rPr>
              <w:t xml:space="preserve">  施工期环境保护行动计划表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4"/>
              <w:gridCol w:w="1159"/>
              <w:gridCol w:w="55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6" w:type="pct"/>
                  <w:tcMar>
                    <w:left w:w="0" w:type="dxa"/>
                    <w:right w:w="0" w:type="dxa"/>
                  </w:tcMar>
                  <w:vAlign w:val="center"/>
                </w:tcPr>
                <w:p>
                  <w:pPr>
                    <w:pStyle w:val="26"/>
                    <w:widowControl w:val="0"/>
                    <w:snapToGrid w:val="0"/>
                    <w:spacing w:line="240" w:lineRule="auto"/>
                    <w:rPr>
                      <w:rFonts w:cs="宋体"/>
                    </w:rPr>
                  </w:pPr>
                  <w:r>
                    <w:rPr>
                      <w:rFonts w:hint="eastAsia" w:cs="宋体"/>
                    </w:rPr>
                    <w:t>序号</w:t>
                  </w:r>
                </w:p>
              </w:tc>
              <w:tc>
                <w:tcPr>
                  <w:tcW w:w="801" w:type="pct"/>
                  <w:tcMar>
                    <w:left w:w="0" w:type="dxa"/>
                    <w:right w:w="0" w:type="dxa"/>
                  </w:tcMar>
                  <w:vAlign w:val="center"/>
                </w:tcPr>
                <w:p>
                  <w:pPr>
                    <w:pStyle w:val="26"/>
                    <w:widowControl w:val="0"/>
                    <w:snapToGrid w:val="0"/>
                    <w:spacing w:line="240" w:lineRule="auto"/>
                    <w:rPr>
                      <w:rFonts w:cs="宋体"/>
                    </w:rPr>
                  </w:pPr>
                  <w:r>
                    <w:rPr>
                      <w:rFonts w:hint="eastAsia" w:cs="宋体"/>
                    </w:rPr>
                    <w:t>影响因素</w:t>
                  </w:r>
                </w:p>
              </w:tc>
              <w:tc>
                <w:tcPr>
                  <w:tcW w:w="3823" w:type="pct"/>
                  <w:tcMar>
                    <w:left w:w="0" w:type="dxa"/>
                    <w:right w:w="0" w:type="dxa"/>
                  </w:tcMar>
                  <w:vAlign w:val="center"/>
                </w:tcPr>
                <w:p>
                  <w:pPr>
                    <w:pStyle w:val="26"/>
                    <w:widowControl w:val="0"/>
                    <w:snapToGrid w:val="0"/>
                    <w:spacing w:line="240" w:lineRule="auto"/>
                    <w:rPr>
                      <w:rFonts w:cs="宋体"/>
                    </w:rPr>
                  </w:pPr>
                  <w:r>
                    <w:rPr>
                      <w:rFonts w:hint="eastAsia" w:cs="宋体"/>
                    </w:rPr>
                    <w:t>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4" w:type="dxa"/>
                  <w:tcMar>
                    <w:left w:w="0" w:type="dxa"/>
                    <w:right w:w="0" w:type="dxa"/>
                  </w:tcMar>
                  <w:vAlign w:val="center"/>
                </w:tcPr>
                <w:p>
                  <w:pPr>
                    <w:pStyle w:val="26"/>
                    <w:widowControl w:val="0"/>
                    <w:snapToGrid w:val="0"/>
                    <w:spacing w:line="240" w:lineRule="auto"/>
                    <w:rPr>
                      <w:rFonts w:hint="eastAsia" w:cs="宋体"/>
                    </w:rPr>
                  </w:pPr>
                  <w:r>
                    <w:rPr>
                      <w:rFonts w:hint="eastAsia" w:cs="宋体"/>
                    </w:rPr>
                    <w:t>3</w:t>
                  </w:r>
                </w:p>
              </w:tc>
              <w:tc>
                <w:tcPr>
                  <w:tcW w:w="1159" w:type="dxa"/>
                  <w:tcMar>
                    <w:left w:w="0" w:type="dxa"/>
                    <w:right w:w="0" w:type="dxa"/>
                  </w:tcMar>
                  <w:vAlign w:val="center"/>
                </w:tcPr>
                <w:p>
                  <w:pPr>
                    <w:pStyle w:val="26"/>
                    <w:widowControl w:val="0"/>
                    <w:snapToGrid w:val="0"/>
                    <w:spacing w:line="240" w:lineRule="auto"/>
                    <w:rPr>
                      <w:rFonts w:hint="eastAsia" w:cs="宋体"/>
                    </w:rPr>
                  </w:pPr>
                  <w:r>
                    <w:rPr>
                      <w:rFonts w:hint="eastAsia" w:cs="宋体"/>
                    </w:rPr>
                    <w:t>水环境</w:t>
                  </w:r>
                </w:p>
              </w:tc>
              <w:tc>
                <w:tcPr>
                  <w:tcW w:w="5531" w:type="dxa"/>
                  <w:tcMar>
                    <w:left w:w="0" w:type="dxa"/>
                    <w:right w:w="0" w:type="dxa"/>
                  </w:tcMar>
                  <w:vAlign w:val="center"/>
                </w:tcPr>
                <w:p>
                  <w:pPr>
                    <w:pStyle w:val="26"/>
                    <w:widowControl w:val="0"/>
                    <w:snapToGrid w:val="0"/>
                    <w:spacing w:line="240" w:lineRule="auto"/>
                    <w:jc w:val="both"/>
                    <w:rPr>
                      <w:rFonts w:hint="eastAsia" w:cs="宋体"/>
                    </w:rPr>
                  </w:pPr>
                  <w:r>
                    <w:rPr>
                      <w:rFonts w:hint="eastAsia" w:cs="宋体"/>
                    </w:rPr>
                    <w:t>钻井液采用不落地设备进行处理后回用于钻井液配置，不外排；试油期产生的废水收集至地面储罐后由罐车拉运至沙南联合站处理；生活污水经临时防渗收集池收集暂存，完工后由吸污车抽出后拉运至吉木萨尔县污水处理厂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6" w:type="pct"/>
                  <w:tcMar>
                    <w:left w:w="0" w:type="dxa"/>
                    <w:right w:w="0" w:type="dxa"/>
                  </w:tcMar>
                  <w:vAlign w:val="center"/>
                </w:tcPr>
                <w:p>
                  <w:pPr>
                    <w:pStyle w:val="26"/>
                    <w:widowControl w:val="0"/>
                    <w:snapToGrid w:val="0"/>
                    <w:spacing w:line="240" w:lineRule="auto"/>
                    <w:rPr>
                      <w:rFonts w:cs="宋体"/>
                    </w:rPr>
                  </w:pPr>
                  <w:r>
                    <w:rPr>
                      <w:rFonts w:hint="eastAsia" w:cs="宋体"/>
                    </w:rPr>
                    <w:t>4</w:t>
                  </w:r>
                </w:p>
              </w:tc>
              <w:tc>
                <w:tcPr>
                  <w:tcW w:w="801" w:type="pct"/>
                  <w:tcMar>
                    <w:left w:w="0" w:type="dxa"/>
                    <w:right w:w="0" w:type="dxa"/>
                  </w:tcMar>
                  <w:vAlign w:val="center"/>
                </w:tcPr>
                <w:p>
                  <w:pPr>
                    <w:pStyle w:val="26"/>
                    <w:widowControl w:val="0"/>
                    <w:snapToGrid w:val="0"/>
                    <w:spacing w:line="240" w:lineRule="auto"/>
                    <w:rPr>
                      <w:rFonts w:cs="宋体"/>
                    </w:rPr>
                  </w:pPr>
                  <w:r>
                    <w:rPr>
                      <w:rFonts w:hint="eastAsia" w:cs="宋体"/>
                    </w:rPr>
                    <w:t>固体废物</w:t>
                  </w:r>
                </w:p>
              </w:tc>
              <w:tc>
                <w:tcPr>
                  <w:tcW w:w="3823" w:type="pct"/>
                  <w:tcMar>
                    <w:left w:w="0" w:type="dxa"/>
                    <w:right w:w="0" w:type="dxa"/>
                  </w:tcMar>
                  <w:vAlign w:val="center"/>
                </w:tcPr>
                <w:p>
                  <w:pPr>
                    <w:pStyle w:val="26"/>
                    <w:widowControl w:val="0"/>
                    <w:snapToGrid w:val="0"/>
                    <w:spacing w:line="240" w:lineRule="auto"/>
                    <w:jc w:val="both"/>
                    <w:rPr>
                      <w:rFonts w:cs="宋体"/>
                    </w:rPr>
                  </w:pPr>
                  <w:r>
                    <w:rPr>
                      <w:rFonts w:hint="eastAsia" w:cs="宋体"/>
                    </w:rPr>
                    <w:t>生活垃圾集中收集后清运至</w:t>
                  </w:r>
                  <w:r>
                    <w:rPr>
                      <w:rFonts w:hint="eastAsia"/>
                    </w:rPr>
                    <w:t>吉木萨尔县生活垃圾填埋场</w:t>
                  </w:r>
                  <w:r>
                    <w:rPr>
                      <w:rFonts w:hint="eastAsia" w:cs="宋体"/>
                    </w:rPr>
                    <w:t>处置；钻井期产生的水基钻井岩屑暂存于专用储罐，委托岩屑处置单位处置；未沾油的防渗膜由施工单位集中回收利用，沾油防渗膜属于危险废物，交由具有相关危险废物处置资质的单位接收、转运以及处置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6" w:type="pct"/>
                  <w:tcMar>
                    <w:left w:w="0" w:type="dxa"/>
                    <w:right w:w="0" w:type="dxa"/>
                  </w:tcMar>
                  <w:vAlign w:val="center"/>
                </w:tcPr>
                <w:p>
                  <w:pPr>
                    <w:pStyle w:val="26"/>
                    <w:widowControl w:val="0"/>
                    <w:snapToGrid w:val="0"/>
                    <w:spacing w:line="240" w:lineRule="auto"/>
                    <w:rPr>
                      <w:rFonts w:cs="宋体"/>
                    </w:rPr>
                  </w:pPr>
                  <w:r>
                    <w:rPr>
                      <w:rFonts w:hint="eastAsia" w:cs="宋体"/>
                    </w:rPr>
                    <w:t>5</w:t>
                  </w:r>
                </w:p>
              </w:tc>
              <w:tc>
                <w:tcPr>
                  <w:tcW w:w="801" w:type="pct"/>
                  <w:tcMar>
                    <w:left w:w="0" w:type="dxa"/>
                    <w:right w:w="0" w:type="dxa"/>
                  </w:tcMar>
                  <w:vAlign w:val="center"/>
                </w:tcPr>
                <w:p>
                  <w:pPr>
                    <w:pStyle w:val="26"/>
                    <w:widowControl w:val="0"/>
                    <w:snapToGrid w:val="0"/>
                    <w:spacing w:line="240" w:lineRule="auto"/>
                    <w:rPr>
                      <w:rFonts w:cs="宋体"/>
                    </w:rPr>
                  </w:pPr>
                  <w:r>
                    <w:rPr>
                      <w:rFonts w:hint="eastAsia" w:cs="宋体"/>
                    </w:rPr>
                    <w:t>生态环境</w:t>
                  </w:r>
                </w:p>
              </w:tc>
              <w:tc>
                <w:tcPr>
                  <w:tcW w:w="3823" w:type="pct"/>
                  <w:tcMar>
                    <w:left w:w="0" w:type="dxa"/>
                    <w:right w:w="0" w:type="dxa"/>
                  </w:tcMar>
                  <w:vAlign w:val="center"/>
                </w:tcPr>
                <w:p>
                  <w:pPr>
                    <w:pStyle w:val="26"/>
                    <w:widowControl w:val="0"/>
                    <w:snapToGrid w:val="0"/>
                    <w:spacing w:line="240" w:lineRule="auto"/>
                    <w:jc w:val="both"/>
                    <w:rPr>
                      <w:rFonts w:cs="宋体"/>
                    </w:rPr>
                  </w:pPr>
                  <w:r>
                    <w:rPr>
                      <w:rFonts w:hint="eastAsia" w:cs="宋体"/>
                    </w:rPr>
                    <w:t>用地面积按实际征地面积划定，不得超过规定面积；施工车辆严格按规定路线行驶，严禁随意开道，碾压植被、扰动土壤，严禁破坏植被、捕杀野生动物；施工结束后应对临时占地进行清理、平整，植被自然恢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6" w:type="pct"/>
                  <w:tcMar>
                    <w:left w:w="0" w:type="dxa"/>
                    <w:right w:w="0" w:type="dxa"/>
                  </w:tcMar>
                  <w:vAlign w:val="center"/>
                </w:tcPr>
                <w:p>
                  <w:pPr>
                    <w:pStyle w:val="26"/>
                    <w:widowControl w:val="0"/>
                    <w:snapToGrid w:val="0"/>
                    <w:spacing w:line="240" w:lineRule="auto"/>
                    <w:rPr>
                      <w:rFonts w:cs="宋体"/>
                    </w:rPr>
                  </w:pPr>
                  <w:r>
                    <w:rPr>
                      <w:rFonts w:hint="eastAsia" w:cs="宋体"/>
                    </w:rPr>
                    <w:t>6</w:t>
                  </w:r>
                </w:p>
              </w:tc>
              <w:tc>
                <w:tcPr>
                  <w:tcW w:w="801" w:type="pct"/>
                  <w:tcMar>
                    <w:left w:w="0" w:type="dxa"/>
                    <w:right w:w="0" w:type="dxa"/>
                  </w:tcMar>
                  <w:vAlign w:val="center"/>
                </w:tcPr>
                <w:p>
                  <w:pPr>
                    <w:pStyle w:val="26"/>
                    <w:widowControl w:val="0"/>
                    <w:snapToGrid w:val="0"/>
                    <w:spacing w:line="240" w:lineRule="auto"/>
                    <w:rPr>
                      <w:rFonts w:cs="宋体"/>
                    </w:rPr>
                  </w:pPr>
                  <w:r>
                    <w:rPr>
                      <w:rFonts w:hint="eastAsia" w:cs="宋体"/>
                    </w:rPr>
                    <w:t>环境管理</w:t>
                  </w:r>
                </w:p>
              </w:tc>
              <w:tc>
                <w:tcPr>
                  <w:tcW w:w="3823" w:type="pct"/>
                  <w:tcMar>
                    <w:left w:w="0" w:type="dxa"/>
                    <w:right w:w="0" w:type="dxa"/>
                  </w:tcMar>
                  <w:vAlign w:val="center"/>
                </w:tcPr>
                <w:p>
                  <w:pPr>
                    <w:pStyle w:val="26"/>
                    <w:widowControl w:val="0"/>
                    <w:snapToGrid w:val="0"/>
                    <w:spacing w:line="240" w:lineRule="auto"/>
                    <w:jc w:val="both"/>
                    <w:rPr>
                      <w:rFonts w:cs="宋体"/>
                    </w:rPr>
                  </w:pPr>
                  <w:r>
                    <w:rPr>
                      <w:rFonts w:hint="eastAsia" w:cs="宋体"/>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pPr>
              <w:pStyle w:val="22"/>
              <w:snapToGrid w:val="0"/>
              <w:ind w:firstLine="464"/>
              <w:rPr>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ascii="宋体" w:hAnsi="宋体" w:cs="宋体"/>
                <w:sz w:val="24"/>
              </w:rPr>
            </w:pPr>
            <w:r>
              <w:rPr>
                <w:rFonts w:hint="eastAsia" w:ascii="宋体" w:hAnsi="宋体"/>
                <w:bCs/>
                <w:sz w:val="24"/>
              </w:rPr>
              <w:t>环保投资</w:t>
            </w:r>
          </w:p>
        </w:tc>
        <w:tc>
          <w:tcPr>
            <w:tcW w:w="7450" w:type="dxa"/>
            <w:vAlign w:val="center"/>
          </w:tcPr>
          <w:p>
            <w:pPr>
              <w:pStyle w:val="22"/>
              <w:ind w:firstLine="480"/>
            </w:pPr>
            <w:r>
              <w:rPr>
                <w:rFonts w:hint="eastAsia"/>
              </w:rPr>
              <w:t>本项目总投资为800万元，其中环保投资5</w:t>
            </w:r>
            <w:r>
              <w:t>2</w:t>
            </w:r>
            <w:r>
              <w:rPr>
                <w:rFonts w:hint="eastAsia"/>
              </w:rPr>
              <w:t>万元，占总投资的6.5%，详见</w:t>
            </w:r>
            <w:r>
              <w:t>表</w:t>
            </w:r>
            <w:r>
              <w:rPr>
                <w:rFonts w:hint="eastAsia"/>
              </w:rPr>
              <w:t>14。</w:t>
            </w:r>
          </w:p>
          <w:p>
            <w:pPr>
              <w:pStyle w:val="5"/>
              <w:keepNext/>
            </w:pPr>
            <w:r>
              <w:rPr>
                <w:rFonts w:hint="eastAsia"/>
              </w:rPr>
              <w:t>表</w:t>
            </w:r>
            <w:r>
              <w:t>1</w:t>
            </w:r>
            <w:r>
              <w:rPr>
                <w:rFonts w:hint="eastAsia"/>
              </w:rPr>
              <w:t>4  项目</w:t>
            </w:r>
            <w:r>
              <w:t>环保投资</w:t>
            </w:r>
            <w:r>
              <w:rPr>
                <w:rFonts w:hint="eastAsia"/>
              </w:rPr>
              <w:t>一览</w:t>
            </w:r>
            <w:r>
              <w:t>表</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519"/>
              <w:gridCol w:w="3827"/>
              <w:gridCol w:w="928"/>
              <w:gridCol w:w="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Mar>
                    <w:left w:w="0" w:type="dxa"/>
                    <w:right w:w="0" w:type="dxa"/>
                  </w:tcMar>
                  <w:vAlign w:val="center"/>
                </w:tcPr>
                <w:p>
                  <w:pPr>
                    <w:snapToGrid w:val="0"/>
                    <w:spacing w:line="240" w:lineRule="exact"/>
                    <w:jc w:val="center"/>
                  </w:pPr>
                  <w:bookmarkStart w:id="33" w:name="_Hlk105664957"/>
                  <w:r>
                    <w:rPr>
                      <w:rFonts w:hint="eastAsia"/>
                    </w:rPr>
                    <w:t>工程名称</w:t>
                  </w:r>
                </w:p>
              </w:tc>
              <w:tc>
                <w:tcPr>
                  <w:tcW w:w="2647" w:type="pct"/>
                  <w:tcMar>
                    <w:left w:w="0" w:type="dxa"/>
                    <w:right w:w="0" w:type="dxa"/>
                  </w:tcMar>
                  <w:vAlign w:val="center"/>
                </w:tcPr>
                <w:p>
                  <w:pPr>
                    <w:snapToGrid w:val="0"/>
                    <w:spacing w:line="240" w:lineRule="exact"/>
                    <w:jc w:val="center"/>
                  </w:pPr>
                  <w:r>
                    <w:rPr>
                      <w:rFonts w:hint="eastAsia"/>
                    </w:rPr>
                    <w:t>拟采取的环保措施</w:t>
                  </w:r>
                </w:p>
              </w:tc>
              <w:tc>
                <w:tcPr>
                  <w:tcW w:w="642" w:type="pct"/>
                  <w:tcMar>
                    <w:left w:w="0" w:type="dxa"/>
                    <w:right w:w="0" w:type="dxa"/>
                  </w:tcMar>
                  <w:vAlign w:val="center"/>
                </w:tcPr>
                <w:p>
                  <w:pPr>
                    <w:snapToGrid w:val="0"/>
                    <w:spacing w:line="240" w:lineRule="exact"/>
                    <w:jc w:val="center"/>
                  </w:pPr>
                  <w:r>
                    <w:rPr>
                      <w:rFonts w:hint="eastAsia"/>
                    </w:rPr>
                    <w:t>环保投资</w:t>
                  </w:r>
                </w:p>
                <w:p>
                  <w:pPr>
                    <w:snapToGrid w:val="0"/>
                    <w:spacing w:line="240" w:lineRule="exact"/>
                    <w:jc w:val="center"/>
                  </w:pPr>
                  <w:r>
                    <w:rPr>
                      <w:rFonts w:hint="eastAsia"/>
                    </w:rPr>
                    <w:t>（万元）</w:t>
                  </w:r>
                </w:p>
              </w:tc>
              <w:tc>
                <w:tcPr>
                  <w:tcW w:w="341" w:type="pct"/>
                  <w:tcMar>
                    <w:left w:w="0" w:type="dxa"/>
                    <w:right w:w="0" w:type="dxa"/>
                  </w:tcMar>
                  <w:vAlign w:val="center"/>
                </w:tcPr>
                <w:p>
                  <w:pPr>
                    <w:snapToGrid w:val="0"/>
                    <w:spacing w:line="240" w:lineRule="exact"/>
                    <w:jc w:val="center"/>
                  </w:pPr>
                  <w:r>
                    <w:rPr>
                      <w:rFonts w:hint="eastAsia"/>
                    </w:rPr>
                    <w:t>实施时间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tcMar>
                    <w:left w:w="0" w:type="dxa"/>
                    <w:right w:w="0" w:type="dxa"/>
                  </w:tcMar>
                  <w:vAlign w:val="center"/>
                </w:tcPr>
                <w:p>
                  <w:pPr>
                    <w:snapToGrid w:val="0"/>
                    <w:spacing w:line="240" w:lineRule="exact"/>
                    <w:jc w:val="center"/>
                  </w:pPr>
                  <w:r>
                    <w:rPr>
                      <w:rFonts w:hint="eastAsia"/>
                    </w:rPr>
                    <w:t>废水处理</w:t>
                  </w:r>
                </w:p>
              </w:tc>
              <w:tc>
                <w:tcPr>
                  <w:tcW w:w="1051" w:type="pct"/>
                  <w:tcMar>
                    <w:left w:w="0" w:type="dxa"/>
                    <w:right w:w="0" w:type="dxa"/>
                  </w:tcMar>
                  <w:vAlign w:val="center"/>
                </w:tcPr>
                <w:p>
                  <w:pPr>
                    <w:snapToGrid w:val="0"/>
                    <w:spacing w:line="240" w:lineRule="exact"/>
                    <w:jc w:val="center"/>
                  </w:pPr>
                  <w:r>
                    <w:rPr>
                      <w:rFonts w:hint="eastAsia"/>
                    </w:rPr>
                    <w:t>生活污水</w:t>
                  </w:r>
                </w:p>
              </w:tc>
              <w:tc>
                <w:tcPr>
                  <w:tcW w:w="2647" w:type="pct"/>
                  <w:tcMar>
                    <w:left w:w="0" w:type="dxa"/>
                    <w:right w:w="0" w:type="dxa"/>
                  </w:tcMar>
                  <w:vAlign w:val="center"/>
                </w:tcPr>
                <w:p>
                  <w:pPr>
                    <w:snapToGrid w:val="0"/>
                    <w:spacing w:line="240" w:lineRule="exact"/>
                    <w:jc w:val="center"/>
                  </w:pPr>
                  <w:r>
                    <w:rPr>
                      <w:rFonts w:hint="eastAsia"/>
                    </w:rPr>
                    <w:t>设1座临时防渗收集池收集暂存，完工后由吸污车抽出并拉运至吉木萨尔县污水处理厂处理</w:t>
                  </w:r>
                </w:p>
              </w:tc>
              <w:tc>
                <w:tcPr>
                  <w:tcW w:w="642" w:type="pct"/>
                  <w:vMerge w:val="restart"/>
                  <w:tcMar>
                    <w:left w:w="0" w:type="dxa"/>
                    <w:right w:w="0" w:type="dxa"/>
                  </w:tcMar>
                  <w:vAlign w:val="center"/>
                </w:tcPr>
                <w:p>
                  <w:pPr>
                    <w:snapToGrid w:val="0"/>
                    <w:spacing w:line="240" w:lineRule="exact"/>
                    <w:jc w:val="center"/>
                  </w:pPr>
                  <w:r>
                    <w:rPr>
                      <w:rFonts w:hint="eastAsia"/>
                    </w:rPr>
                    <w:t>2</w:t>
                  </w:r>
                </w:p>
              </w:tc>
              <w:tc>
                <w:tcPr>
                  <w:tcW w:w="341" w:type="pct"/>
                  <w:vMerge w:val="restart"/>
                  <w:tcMar>
                    <w:left w:w="0" w:type="dxa"/>
                    <w:right w:w="0" w:type="dxa"/>
                  </w:tcMar>
                  <w:vAlign w:val="center"/>
                </w:tcPr>
                <w:p>
                  <w:pPr>
                    <w:snapToGrid w:val="0"/>
                    <w:spacing w:line="240" w:lineRule="exact"/>
                    <w:jc w:val="center"/>
                  </w:pPr>
                  <w:r>
                    <w:rPr>
                      <w:rFonts w:hint="eastAsia"/>
                    </w:rPr>
                    <w:t>与钻井、试油期同步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snapToGrid w:val="0"/>
                    <w:spacing w:line="240" w:lineRule="exact"/>
                    <w:jc w:val="center"/>
                  </w:pPr>
                </w:p>
              </w:tc>
              <w:tc>
                <w:tcPr>
                  <w:tcW w:w="1051" w:type="pct"/>
                  <w:tcMar>
                    <w:left w:w="0" w:type="dxa"/>
                    <w:right w:w="0" w:type="dxa"/>
                  </w:tcMar>
                  <w:vAlign w:val="center"/>
                </w:tcPr>
                <w:p>
                  <w:pPr>
                    <w:snapToGrid w:val="0"/>
                    <w:spacing w:line="240" w:lineRule="exact"/>
                    <w:jc w:val="center"/>
                  </w:pPr>
                  <w:r>
                    <w:rPr>
                      <w:rFonts w:hint="eastAsia"/>
                    </w:rPr>
                    <w:t>洗井废水、压裂返排液</w:t>
                  </w:r>
                </w:p>
              </w:tc>
              <w:tc>
                <w:tcPr>
                  <w:tcW w:w="2647" w:type="pct"/>
                  <w:tcMar>
                    <w:left w:w="0" w:type="dxa"/>
                    <w:right w:w="0" w:type="dxa"/>
                  </w:tcMar>
                  <w:vAlign w:val="center"/>
                </w:tcPr>
                <w:p>
                  <w:pPr>
                    <w:snapToGrid w:val="0"/>
                    <w:spacing w:line="240" w:lineRule="exact"/>
                    <w:jc w:val="center"/>
                  </w:pPr>
                  <w:r>
                    <w:rPr>
                      <w:rFonts w:hint="eastAsia"/>
                    </w:rPr>
                    <w:t>由地面储罐收集后，依托沙南联合站处理</w:t>
                  </w:r>
                </w:p>
              </w:tc>
              <w:tc>
                <w:tcPr>
                  <w:tcW w:w="642" w:type="pct"/>
                  <w:vMerge w:val="continue"/>
                  <w:tcMar>
                    <w:left w:w="0" w:type="dxa"/>
                    <w:right w:w="0" w:type="dxa"/>
                  </w:tcMar>
                  <w:vAlign w:val="center"/>
                </w:tcPr>
                <w:p>
                  <w:pPr>
                    <w:snapToGrid w:val="0"/>
                    <w:spacing w:line="240" w:lineRule="exact"/>
                    <w:jc w:val="center"/>
                  </w:pP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tcMar>
                    <w:left w:w="0" w:type="dxa"/>
                    <w:right w:w="0" w:type="dxa"/>
                  </w:tcMar>
                  <w:vAlign w:val="center"/>
                </w:tcPr>
                <w:p>
                  <w:pPr>
                    <w:snapToGrid w:val="0"/>
                    <w:spacing w:line="240" w:lineRule="exact"/>
                    <w:jc w:val="center"/>
                  </w:pPr>
                  <w:r>
                    <w:rPr>
                      <w:rFonts w:hint="eastAsia"/>
                    </w:rPr>
                    <w:t>固废处置</w:t>
                  </w:r>
                </w:p>
              </w:tc>
              <w:tc>
                <w:tcPr>
                  <w:tcW w:w="1051" w:type="pct"/>
                  <w:tcMar>
                    <w:left w:w="0" w:type="dxa"/>
                    <w:right w:w="0" w:type="dxa"/>
                  </w:tcMar>
                  <w:vAlign w:val="center"/>
                </w:tcPr>
                <w:p>
                  <w:pPr>
                    <w:snapToGrid w:val="0"/>
                    <w:spacing w:line="240" w:lineRule="exact"/>
                    <w:jc w:val="center"/>
                  </w:pPr>
                  <w:r>
                    <w:rPr>
                      <w:rFonts w:hint="eastAsia"/>
                    </w:rPr>
                    <w:t>生活垃圾</w:t>
                  </w:r>
                </w:p>
              </w:tc>
              <w:tc>
                <w:tcPr>
                  <w:tcW w:w="2647" w:type="pct"/>
                  <w:tcMar>
                    <w:left w:w="0" w:type="dxa"/>
                    <w:right w:w="0" w:type="dxa"/>
                  </w:tcMar>
                  <w:vAlign w:val="center"/>
                </w:tcPr>
                <w:p>
                  <w:pPr>
                    <w:snapToGrid w:val="0"/>
                    <w:spacing w:line="240" w:lineRule="exact"/>
                    <w:jc w:val="center"/>
                  </w:pPr>
                  <w:r>
                    <w:rPr>
                      <w:rFonts w:hint="eastAsia"/>
                    </w:rPr>
                    <w:t>设有垃圾箱集中收集，施工结束后清运至吉木萨尔县生活垃圾填埋场处置</w:t>
                  </w:r>
                </w:p>
              </w:tc>
              <w:tc>
                <w:tcPr>
                  <w:tcW w:w="642" w:type="pct"/>
                  <w:tcMar>
                    <w:left w:w="0" w:type="dxa"/>
                    <w:right w:w="0" w:type="dxa"/>
                  </w:tcMar>
                  <w:vAlign w:val="center"/>
                </w:tcPr>
                <w:p>
                  <w:pPr>
                    <w:snapToGrid w:val="0"/>
                    <w:spacing w:line="240" w:lineRule="exact"/>
                    <w:jc w:val="center"/>
                  </w:pPr>
                  <w:r>
                    <w:rPr>
                      <w:rFonts w:hint="eastAsia"/>
                    </w:rPr>
                    <w:t>2</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snapToGrid w:val="0"/>
                    <w:spacing w:line="240" w:lineRule="exact"/>
                    <w:jc w:val="center"/>
                  </w:pPr>
                </w:p>
              </w:tc>
              <w:tc>
                <w:tcPr>
                  <w:tcW w:w="1051" w:type="pct"/>
                  <w:tcMar>
                    <w:left w:w="0" w:type="dxa"/>
                    <w:right w:w="0" w:type="dxa"/>
                  </w:tcMar>
                  <w:vAlign w:val="center"/>
                </w:tcPr>
                <w:p>
                  <w:pPr>
                    <w:snapToGrid w:val="0"/>
                    <w:spacing w:line="240" w:lineRule="exact"/>
                    <w:jc w:val="center"/>
                  </w:pPr>
                  <w:r>
                    <w:rPr>
                      <w:rFonts w:hint="eastAsia"/>
                    </w:rPr>
                    <w:t>水基钻井岩屑</w:t>
                  </w:r>
                </w:p>
              </w:tc>
              <w:tc>
                <w:tcPr>
                  <w:tcW w:w="2647" w:type="pct"/>
                  <w:tcMar>
                    <w:left w:w="0" w:type="dxa"/>
                    <w:right w:w="0" w:type="dxa"/>
                  </w:tcMar>
                  <w:vAlign w:val="center"/>
                </w:tcPr>
                <w:p>
                  <w:pPr>
                    <w:snapToGrid w:val="0"/>
                    <w:spacing w:line="240" w:lineRule="exact"/>
                    <w:jc w:val="center"/>
                  </w:pPr>
                  <w:r>
                    <w:rPr>
                      <w:rFonts w:hint="eastAsia"/>
                    </w:rPr>
                    <w:t>井场设1套钻井液不落地设备，水基岩屑暂存于岩屑专用储罐，委托岩屑处置单位定期拉运、处置</w:t>
                  </w:r>
                </w:p>
              </w:tc>
              <w:tc>
                <w:tcPr>
                  <w:tcW w:w="642" w:type="pct"/>
                  <w:tcMar>
                    <w:left w:w="0" w:type="dxa"/>
                    <w:right w:w="0" w:type="dxa"/>
                  </w:tcMar>
                  <w:vAlign w:val="center"/>
                </w:tcPr>
                <w:p>
                  <w:pPr>
                    <w:snapToGrid w:val="0"/>
                    <w:spacing w:line="240" w:lineRule="exact"/>
                    <w:jc w:val="center"/>
                  </w:pPr>
                  <w:r>
                    <w:rPr>
                      <w:rFonts w:hint="eastAsia"/>
                    </w:rPr>
                    <w:t>1</w:t>
                  </w:r>
                  <w:r>
                    <w:t>0</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snapToGrid w:val="0"/>
                    <w:spacing w:line="240" w:lineRule="exact"/>
                    <w:jc w:val="center"/>
                  </w:pPr>
                </w:p>
              </w:tc>
              <w:tc>
                <w:tcPr>
                  <w:tcW w:w="1051" w:type="pct"/>
                  <w:tcMar>
                    <w:left w:w="0" w:type="dxa"/>
                    <w:right w:w="0" w:type="dxa"/>
                  </w:tcMar>
                  <w:vAlign w:val="center"/>
                </w:tcPr>
                <w:p>
                  <w:pPr>
                    <w:snapToGrid w:val="0"/>
                    <w:spacing w:line="240" w:lineRule="exact"/>
                    <w:jc w:val="center"/>
                  </w:pPr>
                  <w:r>
                    <w:rPr>
                      <w:rFonts w:hint="eastAsia"/>
                    </w:rPr>
                    <w:t>废防渗材料</w:t>
                  </w:r>
                </w:p>
              </w:tc>
              <w:tc>
                <w:tcPr>
                  <w:tcW w:w="2647" w:type="pct"/>
                  <w:tcMar>
                    <w:left w:w="0" w:type="dxa"/>
                    <w:right w:w="0" w:type="dxa"/>
                  </w:tcMar>
                  <w:vAlign w:val="center"/>
                </w:tcPr>
                <w:p>
                  <w:pPr>
                    <w:snapToGrid w:val="0"/>
                    <w:spacing w:line="240" w:lineRule="exact"/>
                    <w:jc w:val="center"/>
                  </w:pPr>
                  <w:r>
                    <w:rPr>
                      <w:rFonts w:hint="eastAsia"/>
                    </w:rPr>
                    <w:t>施工结束后将废防渗材料委托具有相应危险废物处置资质的单位进行处置</w:t>
                  </w:r>
                </w:p>
              </w:tc>
              <w:tc>
                <w:tcPr>
                  <w:tcW w:w="642" w:type="pct"/>
                  <w:tcMar>
                    <w:left w:w="0" w:type="dxa"/>
                    <w:right w:w="0" w:type="dxa"/>
                  </w:tcMar>
                  <w:vAlign w:val="center"/>
                </w:tcPr>
                <w:p>
                  <w:pPr>
                    <w:snapToGrid w:val="0"/>
                    <w:spacing w:line="240" w:lineRule="exact"/>
                    <w:jc w:val="center"/>
                  </w:pPr>
                  <w:r>
                    <w:rPr>
                      <w:rFonts w:hint="eastAsia"/>
                    </w:rPr>
                    <w:t>2</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Mar>
                    <w:left w:w="0" w:type="dxa"/>
                    <w:right w:w="0" w:type="dxa"/>
                  </w:tcMar>
                  <w:vAlign w:val="center"/>
                </w:tcPr>
                <w:p>
                  <w:pPr>
                    <w:snapToGrid w:val="0"/>
                    <w:spacing w:line="240" w:lineRule="exact"/>
                    <w:jc w:val="center"/>
                  </w:pPr>
                  <w:r>
                    <w:rPr>
                      <w:rFonts w:hint="eastAsia"/>
                    </w:rPr>
                    <w:t>生态恢复、水土流失</w:t>
                  </w:r>
                </w:p>
              </w:tc>
              <w:tc>
                <w:tcPr>
                  <w:tcW w:w="2647" w:type="pct"/>
                  <w:tcMar>
                    <w:left w:w="0" w:type="dxa"/>
                    <w:right w:w="0" w:type="dxa"/>
                  </w:tcMar>
                  <w:vAlign w:val="center"/>
                </w:tcPr>
                <w:p>
                  <w:pPr>
                    <w:snapToGrid w:val="0"/>
                    <w:spacing w:line="240" w:lineRule="exact"/>
                    <w:jc w:val="center"/>
                  </w:pPr>
                  <w:r>
                    <w:rPr>
                      <w:rFonts w:hint="eastAsia"/>
                    </w:rPr>
                    <w:t>对临时占地进行清理、平整，落实水土流失措施</w:t>
                  </w:r>
                </w:p>
              </w:tc>
              <w:tc>
                <w:tcPr>
                  <w:tcW w:w="642" w:type="pct"/>
                  <w:tcMar>
                    <w:left w:w="0" w:type="dxa"/>
                    <w:right w:w="0" w:type="dxa"/>
                  </w:tcMar>
                  <w:vAlign w:val="center"/>
                </w:tcPr>
                <w:p>
                  <w:pPr>
                    <w:snapToGrid w:val="0"/>
                    <w:spacing w:line="240" w:lineRule="exact"/>
                    <w:jc w:val="center"/>
                  </w:pPr>
                  <w:r>
                    <w:rPr>
                      <w:rFonts w:hint="eastAsia"/>
                    </w:rPr>
                    <w:t>4</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Mar>
                    <w:left w:w="0" w:type="dxa"/>
                    <w:right w:w="0" w:type="dxa"/>
                  </w:tcMar>
                  <w:vAlign w:val="center"/>
                </w:tcPr>
                <w:p>
                  <w:pPr>
                    <w:snapToGrid w:val="0"/>
                    <w:spacing w:line="240" w:lineRule="exact"/>
                    <w:jc w:val="center"/>
                  </w:pPr>
                  <w:r>
                    <w:rPr>
                      <w:rFonts w:hint="eastAsia"/>
                    </w:rPr>
                    <w:t>井控装置</w:t>
                  </w:r>
                </w:p>
              </w:tc>
              <w:tc>
                <w:tcPr>
                  <w:tcW w:w="2647" w:type="pct"/>
                  <w:tcMar>
                    <w:left w:w="0" w:type="dxa"/>
                    <w:right w:w="0" w:type="dxa"/>
                  </w:tcMar>
                  <w:vAlign w:val="center"/>
                </w:tcPr>
                <w:p>
                  <w:pPr>
                    <w:snapToGrid w:val="0"/>
                    <w:spacing w:line="240" w:lineRule="exact"/>
                    <w:jc w:val="center"/>
                  </w:pPr>
                  <w:r>
                    <w:rPr>
                      <w:rFonts w:hint="eastAsia"/>
                    </w:rPr>
                    <w:t>防止井喷</w:t>
                  </w:r>
                </w:p>
              </w:tc>
              <w:tc>
                <w:tcPr>
                  <w:tcW w:w="642" w:type="pct"/>
                  <w:tcMar>
                    <w:left w:w="0" w:type="dxa"/>
                    <w:right w:w="0" w:type="dxa"/>
                  </w:tcMar>
                  <w:vAlign w:val="center"/>
                </w:tcPr>
                <w:p>
                  <w:pPr>
                    <w:snapToGrid w:val="0"/>
                    <w:spacing w:line="240" w:lineRule="exact"/>
                    <w:jc w:val="center"/>
                  </w:pPr>
                  <w:r>
                    <w:rPr>
                      <w:rFonts w:hint="eastAsia"/>
                    </w:rPr>
                    <w:t>30</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Mar>
                    <w:left w:w="0" w:type="dxa"/>
                    <w:right w:w="0" w:type="dxa"/>
                  </w:tcMar>
                  <w:vAlign w:val="center"/>
                </w:tcPr>
                <w:p>
                  <w:pPr>
                    <w:snapToGrid w:val="0"/>
                    <w:spacing w:line="240" w:lineRule="exact"/>
                    <w:jc w:val="center"/>
                  </w:pPr>
                  <w:r>
                    <w:rPr>
                      <w:rFonts w:hint="eastAsia"/>
                    </w:rPr>
                    <w:t>硫化氢监测</w:t>
                  </w:r>
                </w:p>
              </w:tc>
              <w:tc>
                <w:tcPr>
                  <w:tcW w:w="2647" w:type="pct"/>
                  <w:tcMar>
                    <w:left w:w="0" w:type="dxa"/>
                    <w:right w:w="0" w:type="dxa"/>
                  </w:tcMar>
                  <w:vAlign w:val="center"/>
                </w:tcPr>
                <w:p>
                  <w:pPr>
                    <w:snapToGrid w:val="0"/>
                    <w:spacing w:line="240" w:lineRule="exact"/>
                    <w:jc w:val="center"/>
                  </w:pPr>
                  <w:r>
                    <w:rPr>
                      <w:rFonts w:hint="eastAsia"/>
                    </w:rPr>
                    <w:t>对硫化氢气体浓度进行检测</w:t>
                  </w:r>
                </w:p>
              </w:tc>
              <w:tc>
                <w:tcPr>
                  <w:tcW w:w="642" w:type="pct"/>
                  <w:tcMar>
                    <w:left w:w="0" w:type="dxa"/>
                    <w:right w:w="0" w:type="dxa"/>
                  </w:tcMar>
                  <w:vAlign w:val="center"/>
                </w:tcPr>
                <w:p>
                  <w:pPr>
                    <w:snapToGrid w:val="0"/>
                    <w:spacing w:line="240" w:lineRule="exact"/>
                    <w:jc w:val="center"/>
                  </w:pPr>
                  <w:r>
                    <w:rPr>
                      <w:rFonts w:hint="eastAsia"/>
                    </w:rPr>
                    <w:t>2</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7" w:type="pct"/>
                  <w:gridSpan w:val="3"/>
                  <w:tcMar>
                    <w:left w:w="0" w:type="dxa"/>
                    <w:right w:w="0" w:type="dxa"/>
                  </w:tcMar>
                  <w:vAlign w:val="center"/>
                </w:tcPr>
                <w:p>
                  <w:pPr>
                    <w:snapToGrid w:val="0"/>
                    <w:spacing w:line="240" w:lineRule="exact"/>
                    <w:jc w:val="center"/>
                  </w:pPr>
                  <w:r>
                    <w:rPr>
                      <w:rFonts w:hint="eastAsia"/>
                    </w:rPr>
                    <w:t>合计</w:t>
                  </w:r>
                </w:p>
              </w:tc>
              <w:tc>
                <w:tcPr>
                  <w:tcW w:w="642" w:type="pct"/>
                  <w:tcMar>
                    <w:left w:w="0" w:type="dxa"/>
                    <w:right w:w="0" w:type="dxa"/>
                  </w:tcMar>
                  <w:vAlign w:val="center"/>
                </w:tcPr>
                <w:p>
                  <w:pPr>
                    <w:snapToGrid w:val="0"/>
                    <w:spacing w:line="240" w:lineRule="exact"/>
                    <w:jc w:val="center"/>
                  </w:pPr>
                  <w:r>
                    <w:t>5</w:t>
                  </w:r>
                  <w:r>
                    <w:rPr>
                      <w:rFonts w:hint="eastAsia"/>
                    </w:rPr>
                    <w:t>2</w:t>
                  </w:r>
                </w:p>
              </w:tc>
              <w:tc>
                <w:tcPr>
                  <w:tcW w:w="341" w:type="pct"/>
                  <w:tcMar>
                    <w:left w:w="0" w:type="dxa"/>
                    <w:right w:w="0" w:type="dxa"/>
                  </w:tcMar>
                  <w:vAlign w:val="center"/>
                </w:tcPr>
                <w:p>
                  <w:pPr>
                    <w:snapToGrid w:val="0"/>
                    <w:spacing w:line="240" w:lineRule="exact"/>
                    <w:jc w:val="center"/>
                  </w:pPr>
                  <w:r>
                    <w:rPr>
                      <w:rFonts w:hint="eastAsia"/>
                    </w:rPr>
                    <w:t>/</w:t>
                  </w:r>
                </w:p>
              </w:tc>
            </w:tr>
            <w:bookmarkEnd w:id="33"/>
          </w:tbl>
          <w:p/>
          <w:p>
            <w:pPr>
              <w:pStyle w:val="7"/>
            </w:pPr>
          </w:p>
        </w:tc>
      </w:tr>
    </w:tbl>
    <w:p>
      <w:pPr>
        <w:pStyle w:val="4"/>
        <w:snapToGrid w:val="0"/>
        <w:spacing w:before="0" w:after="0" w:line="360" w:lineRule="auto"/>
        <w:jc w:val="center"/>
        <w:rPr>
          <w:rFonts w:ascii="黑体" w:hAnsi="黑体" w:eastAsia="黑体" w:cs="黑体"/>
          <w:b w:val="0"/>
          <w:bCs/>
          <w:sz w:val="30"/>
          <w:szCs w:val="30"/>
        </w:rPr>
        <w:sectPr>
          <w:pgSz w:w="11906" w:h="16838"/>
          <w:pgMar w:top="1440" w:right="1800" w:bottom="1440" w:left="1800" w:header="851" w:footer="992" w:gutter="0"/>
          <w:cols w:space="425" w:num="1"/>
          <w:docGrid w:type="lines" w:linePitch="312" w:charSpace="0"/>
        </w:sectPr>
      </w:pPr>
    </w:p>
    <w:p>
      <w:pPr>
        <w:pStyle w:val="4"/>
        <w:snapToGrid w:val="0"/>
        <w:spacing w:before="0" w:after="0" w:line="360" w:lineRule="auto"/>
        <w:jc w:val="center"/>
        <w:rPr>
          <w:rFonts w:ascii="黑体" w:hAnsi="黑体" w:eastAsia="黑体" w:cs="黑体"/>
          <w:b w:val="0"/>
          <w:bCs/>
          <w:sz w:val="30"/>
          <w:szCs w:val="30"/>
        </w:rPr>
      </w:pPr>
      <w:r>
        <w:rPr>
          <w:rFonts w:hint="eastAsia" w:ascii="黑体" w:hAnsi="黑体" w:eastAsia="黑体" w:cs="黑体"/>
          <w:b w:val="0"/>
          <w:bCs/>
          <w:sz w:val="30"/>
          <w:szCs w:val="30"/>
        </w:rPr>
        <w:t>六、生态环境保护措施监督检查清单</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79" w:type="dxa"/>
          <w:bottom w:w="0" w:type="dxa"/>
          <w:right w:w="79" w:type="dxa"/>
        </w:tblCellMar>
      </w:tblPr>
      <w:tblGrid>
        <w:gridCol w:w="1079"/>
        <w:gridCol w:w="3627"/>
        <w:gridCol w:w="2266"/>
        <w:gridCol w:w="852"/>
        <w:gridCol w:w="6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tblHeader/>
          <w:jc w:val="center"/>
        </w:trPr>
        <w:tc>
          <w:tcPr>
            <w:tcW w:w="638" w:type="pct"/>
            <w:vMerge w:val="restart"/>
            <w:tcBorders>
              <w:tl2br w:val="single" w:color="auto" w:sz="4" w:space="0"/>
            </w:tcBorders>
          </w:tcPr>
          <w:p>
            <w:pPr>
              <w:pStyle w:val="15"/>
              <w:adjustRightInd w:val="0"/>
              <w:snapToGrid w:val="0"/>
              <w:spacing w:before="93" w:beforeLines="30" w:beforeAutospacing="0" w:after="0" w:afterAutospacing="0" w:line="360" w:lineRule="exact"/>
              <w:jc w:val="right"/>
              <w:outlineLvl w:val="0"/>
              <w:rPr>
                <w:rFonts w:ascii="黑体" w:hAnsi="黑体" w:eastAsia="黑体" w:cs="宋体"/>
                <w:kern w:val="2"/>
                <w:sz w:val="21"/>
                <w:szCs w:val="21"/>
              </w:rPr>
            </w:pPr>
            <w:r>
              <w:rPr>
                <w:rFonts w:hint="eastAsia" w:ascii="黑体" w:hAnsi="黑体" w:eastAsia="黑体" w:cs="宋体"/>
                <w:kern w:val="2"/>
                <w:sz w:val="21"/>
                <w:szCs w:val="21"/>
              </w:rPr>
              <w:t>内容</w:t>
            </w:r>
          </w:p>
          <w:p>
            <w:pPr>
              <w:pStyle w:val="15"/>
              <w:adjustRightInd w:val="0"/>
              <w:snapToGrid w:val="0"/>
              <w:spacing w:before="0" w:beforeAutospacing="0" w:after="0" w:afterAutospacing="0" w:line="360" w:lineRule="exact"/>
              <w:outlineLvl w:val="0"/>
              <w:rPr>
                <w:rFonts w:ascii="黑体" w:hAnsi="黑体" w:eastAsia="黑体" w:cs="宋体"/>
                <w:kern w:val="2"/>
                <w:sz w:val="135"/>
                <w:szCs w:val="21"/>
              </w:rPr>
            </w:pPr>
            <w:r>
              <w:rPr>
                <w:rFonts w:hint="eastAsia" w:ascii="黑体" w:hAnsi="黑体" w:eastAsia="黑体" w:cs="宋体"/>
                <w:kern w:val="2"/>
                <w:sz w:val="21"/>
                <w:szCs w:val="21"/>
              </w:rPr>
              <w:t xml:space="preserve"> </w:t>
            </w:r>
            <w:r>
              <w:rPr>
                <w:rFonts w:hint="eastAsia" w:ascii="黑体" w:hAnsi="黑体" w:eastAsia="黑体" w:cs="宋体"/>
                <w:kern w:val="2"/>
                <w:sz w:val="135"/>
                <w:szCs w:val="21"/>
              </w:rPr>
              <w:t xml:space="preserve"> </w:t>
            </w:r>
          </w:p>
          <w:p>
            <w:pPr>
              <w:pStyle w:val="15"/>
              <w:adjustRightInd w:val="0"/>
              <w:snapToGrid w:val="0"/>
              <w:spacing w:before="0" w:beforeAutospacing="0" w:after="0" w:afterAutospacing="0" w:line="360" w:lineRule="exact"/>
              <w:jc w:val="both"/>
              <w:outlineLvl w:val="0"/>
              <w:rPr>
                <w:rFonts w:ascii="黑体" w:hAnsi="黑体" w:eastAsia="黑体" w:cs="宋体"/>
                <w:kern w:val="2"/>
                <w:sz w:val="21"/>
                <w:szCs w:val="21"/>
              </w:rPr>
            </w:pPr>
            <w:r>
              <w:rPr>
                <w:rFonts w:hint="eastAsia" w:ascii="黑体" w:hAnsi="黑体" w:eastAsia="黑体" w:cs="宋体"/>
                <w:kern w:val="2"/>
                <w:sz w:val="21"/>
                <w:szCs w:val="21"/>
              </w:rPr>
              <w:t>要素</w:t>
            </w:r>
          </w:p>
        </w:tc>
        <w:tc>
          <w:tcPr>
            <w:tcW w:w="3480" w:type="pct"/>
            <w:gridSpan w:val="2"/>
            <w:vAlign w:val="center"/>
          </w:tcPr>
          <w:p>
            <w:pPr>
              <w:pStyle w:val="15"/>
              <w:adjustRightInd w:val="0"/>
              <w:snapToGrid w:val="0"/>
              <w:spacing w:before="0" w:beforeAutospacing="0" w:after="0" w:afterAutospacing="0" w:line="360" w:lineRule="exact"/>
              <w:jc w:val="center"/>
              <w:outlineLvl w:val="0"/>
              <w:rPr>
                <w:rFonts w:ascii="黑体" w:hAnsi="黑体" w:eastAsia="黑体" w:cs="宋体"/>
                <w:kern w:val="2"/>
                <w:sz w:val="21"/>
                <w:szCs w:val="21"/>
              </w:rPr>
            </w:pPr>
            <w:r>
              <w:rPr>
                <w:rFonts w:hint="eastAsia" w:ascii="黑体" w:hAnsi="黑体" w:eastAsia="黑体" w:cs="宋体"/>
                <w:kern w:val="2"/>
                <w:sz w:val="21"/>
                <w:szCs w:val="21"/>
              </w:rPr>
              <w:t>施工期</w:t>
            </w:r>
          </w:p>
        </w:tc>
        <w:tc>
          <w:tcPr>
            <w:tcW w:w="881" w:type="pct"/>
            <w:gridSpan w:val="2"/>
            <w:vAlign w:val="center"/>
          </w:tcPr>
          <w:p>
            <w:pPr>
              <w:pStyle w:val="15"/>
              <w:adjustRightInd w:val="0"/>
              <w:snapToGrid w:val="0"/>
              <w:spacing w:before="0" w:beforeAutospacing="0" w:after="0" w:afterAutospacing="0" w:line="360" w:lineRule="exact"/>
              <w:jc w:val="center"/>
              <w:outlineLvl w:val="0"/>
              <w:rPr>
                <w:rFonts w:ascii="黑体" w:hAnsi="黑体" w:eastAsia="黑体" w:cs="宋体"/>
                <w:kern w:val="2"/>
                <w:sz w:val="21"/>
                <w:szCs w:val="21"/>
              </w:rPr>
            </w:pPr>
            <w:r>
              <w:rPr>
                <w:rFonts w:hint="eastAsia" w:ascii="黑体" w:hAnsi="黑体" w:eastAsia="黑体" w:cs="宋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tblHeader/>
          <w:jc w:val="center"/>
        </w:trPr>
        <w:tc>
          <w:tcPr>
            <w:tcW w:w="638" w:type="pct"/>
            <w:vMerge w:val="continue"/>
          </w:tcPr>
          <w:p>
            <w:pPr>
              <w:pStyle w:val="15"/>
              <w:adjustRightInd w:val="0"/>
              <w:snapToGrid w:val="0"/>
              <w:spacing w:before="0" w:beforeAutospacing="0" w:after="0" w:afterAutospacing="0" w:line="360" w:lineRule="exact"/>
              <w:jc w:val="center"/>
              <w:outlineLvl w:val="0"/>
              <w:rPr>
                <w:rFonts w:ascii="黑体" w:hAnsi="黑体" w:eastAsia="黑体" w:cs="宋体"/>
                <w:kern w:val="2"/>
                <w:sz w:val="21"/>
                <w:szCs w:val="21"/>
              </w:rPr>
            </w:pPr>
          </w:p>
        </w:tc>
        <w:tc>
          <w:tcPr>
            <w:tcW w:w="2142" w:type="pct"/>
            <w:vAlign w:val="center"/>
          </w:tcPr>
          <w:p>
            <w:pPr>
              <w:pStyle w:val="15"/>
              <w:adjustRightInd w:val="0"/>
              <w:snapToGrid w:val="0"/>
              <w:spacing w:before="0" w:beforeAutospacing="0" w:after="0" w:afterAutospacing="0" w:line="360" w:lineRule="exact"/>
              <w:jc w:val="center"/>
              <w:outlineLvl w:val="0"/>
              <w:rPr>
                <w:rFonts w:ascii="黑体" w:hAnsi="黑体" w:eastAsia="黑体" w:cs="宋体"/>
                <w:kern w:val="2"/>
                <w:sz w:val="21"/>
                <w:szCs w:val="21"/>
              </w:rPr>
            </w:pPr>
            <w:r>
              <w:rPr>
                <w:rFonts w:hint="eastAsia" w:ascii="黑体" w:hAnsi="黑体" w:eastAsia="黑体" w:cs="宋体"/>
                <w:kern w:val="2"/>
                <w:sz w:val="21"/>
                <w:szCs w:val="21"/>
              </w:rPr>
              <w:t>环境保护措施</w:t>
            </w:r>
          </w:p>
        </w:tc>
        <w:tc>
          <w:tcPr>
            <w:tcW w:w="1338" w:type="pct"/>
            <w:vAlign w:val="center"/>
          </w:tcPr>
          <w:p>
            <w:pPr>
              <w:pStyle w:val="15"/>
              <w:adjustRightInd w:val="0"/>
              <w:snapToGrid w:val="0"/>
              <w:spacing w:before="0" w:beforeAutospacing="0" w:after="0" w:afterAutospacing="0" w:line="360" w:lineRule="exact"/>
              <w:jc w:val="center"/>
              <w:outlineLvl w:val="0"/>
              <w:rPr>
                <w:rFonts w:ascii="黑体" w:hAnsi="黑体" w:eastAsia="黑体" w:cs="宋体"/>
                <w:kern w:val="2"/>
                <w:sz w:val="21"/>
                <w:szCs w:val="21"/>
              </w:rPr>
            </w:pPr>
            <w:r>
              <w:rPr>
                <w:rFonts w:hint="eastAsia" w:ascii="黑体" w:hAnsi="黑体" w:eastAsia="黑体" w:cs="宋体"/>
                <w:kern w:val="2"/>
                <w:sz w:val="21"/>
                <w:szCs w:val="21"/>
              </w:rPr>
              <w:t>验收要求</w:t>
            </w:r>
          </w:p>
        </w:tc>
        <w:tc>
          <w:tcPr>
            <w:tcW w:w="503" w:type="pct"/>
            <w:vAlign w:val="center"/>
          </w:tcPr>
          <w:p>
            <w:pPr>
              <w:pStyle w:val="15"/>
              <w:adjustRightInd w:val="0"/>
              <w:snapToGrid w:val="0"/>
              <w:spacing w:before="0" w:beforeAutospacing="0" w:after="0" w:afterAutospacing="0" w:line="360" w:lineRule="exact"/>
              <w:jc w:val="center"/>
              <w:outlineLvl w:val="0"/>
              <w:rPr>
                <w:rFonts w:ascii="黑体" w:hAnsi="黑体" w:eastAsia="黑体" w:cs="宋体"/>
                <w:kern w:val="2"/>
                <w:sz w:val="21"/>
                <w:szCs w:val="21"/>
              </w:rPr>
            </w:pPr>
            <w:r>
              <w:rPr>
                <w:rFonts w:hint="eastAsia" w:ascii="黑体" w:hAnsi="黑体" w:eastAsia="黑体" w:cs="宋体"/>
                <w:kern w:val="2"/>
                <w:sz w:val="21"/>
                <w:szCs w:val="21"/>
              </w:rPr>
              <w:t>环境保护措施</w:t>
            </w:r>
          </w:p>
        </w:tc>
        <w:tc>
          <w:tcPr>
            <w:tcW w:w="378" w:type="pct"/>
            <w:vAlign w:val="center"/>
          </w:tcPr>
          <w:p>
            <w:pPr>
              <w:pStyle w:val="15"/>
              <w:adjustRightInd w:val="0"/>
              <w:snapToGrid w:val="0"/>
              <w:spacing w:before="0" w:beforeAutospacing="0" w:after="0" w:afterAutospacing="0" w:line="360" w:lineRule="exact"/>
              <w:jc w:val="center"/>
              <w:outlineLvl w:val="0"/>
              <w:rPr>
                <w:rFonts w:ascii="黑体" w:hAnsi="黑体" w:eastAsia="黑体" w:cs="宋体"/>
                <w:kern w:val="2"/>
                <w:sz w:val="21"/>
                <w:szCs w:val="21"/>
              </w:rPr>
            </w:pPr>
            <w:r>
              <w:rPr>
                <w:rFonts w:hint="eastAsia" w:ascii="黑体" w:hAnsi="黑体" w:eastAsia="黑体" w:cs="宋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陆生生态</w:t>
            </w:r>
          </w:p>
        </w:tc>
        <w:tc>
          <w:tcPr>
            <w:tcW w:w="2142" w:type="pct"/>
            <w:vAlign w:val="center"/>
          </w:tcPr>
          <w:p>
            <w:pPr>
              <w:adjustRightInd w:val="0"/>
              <w:snapToGrid w:val="0"/>
              <w:spacing w:line="300" w:lineRule="exact"/>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1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严格划定路线，禁止乱碾乱轧；施工场地尽量避开农田和野生植物密集的地带；确保各环保设施正常运行，避免各种污染物对土壤环境的影响；②严格控制占地，严格规定各类工作人员的活动范围，禁止进入附近农田区域；③完井后施工机械、设备及时撤离，废水和固体废物全部妥善处置，现场禁止遗留，占地应清理平整，尽量利用井场及临时道路施工时产生的表层弃土对临时占地进行覆盖；</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4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④</w:t>
            </w:r>
            <w:r>
              <w:rPr>
                <w:rFonts w:ascii="宋体" w:hAnsi="宋体" w:cs="宋体"/>
                <w:szCs w:val="21"/>
              </w:rPr>
              <w:fldChar w:fldCharType="end"/>
            </w:r>
            <w:r>
              <w:rPr>
                <w:rFonts w:hint="eastAsia" w:ascii="宋体" w:hAnsi="宋体" w:cs="宋体"/>
              </w:rPr>
              <w:t>建设单位按照相关要求办理临时占地经济补偿协议</w:t>
            </w:r>
            <w:r>
              <w:rPr>
                <w:rFonts w:hint="eastAsia" w:ascii="宋体" w:hAnsi="宋体" w:cs="宋体"/>
                <w:szCs w:val="21"/>
              </w:rPr>
              <w:t>。</w:t>
            </w:r>
          </w:p>
        </w:tc>
        <w:tc>
          <w:tcPr>
            <w:tcW w:w="1338" w:type="pct"/>
            <w:vAlign w:val="center"/>
          </w:tcPr>
          <w:p>
            <w:pPr>
              <w:adjustRightInd w:val="0"/>
              <w:snapToGrid w:val="0"/>
              <w:spacing w:line="300" w:lineRule="exact"/>
              <w:jc w:val="center"/>
              <w:rPr>
                <w:rFonts w:ascii="宋体" w:hAnsi="宋体" w:cs="宋体"/>
                <w:szCs w:val="21"/>
              </w:rPr>
            </w:pPr>
            <w:r>
              <w:rPr>
                <w:rFonts w:hint="eastAsia" w:ascii="宋体" w:hAnsi="宋体" w:cs="宋体"/>
                <w:b/>
                <w:bCs/>
                <w:szCs w:val="21"/>
              </w:rPr>
              <w:t>验收内容：</w:t>
            </w:r>
            <w:r>
              <w:rPr>
                <w:rFonts w:hint="eastAsia" w:ascii="宋体" w:hAnsi="宋体" w:cs="宋体"/>
                <w:szCs w:val="21"/>
              </w:rPr>
              <w:t>生态保护措施落实情况；现场无废水和固体废物遗留；井场及周边占地恢复情况。</w:t>
            </w:r>
            <w:r>
              <w:rPr>
                <w:rFonts w:hint="eastAsia" w:ascii="宋体" w:hAnsi="宋体" w:cs="宋体"/>
                <w:b/>
                <w:bCs/>
                <w:szCs w:val="21"/>
              </w:rPr>
              <w:t>验收效果：</w:t>
            </w:r>
            <w:r>
              <w:rPr>
                <w:rFonts w:ascii="宋体" w:hAnsi="宋体" w:cs="宋体"/>
                <w:szCs w:val="21"/>
              </w:rPr>
              <w:t>项目施工结束后清理、平整并压实</w:t>
            </w:r>
            <w:r>
              <w:rPr>
                <w:rFonts w:hint="eastAsia" w:ascii="宋体" w:hAnsi="宋体" w:cs="宋体"/>
                <w:szCs w:val="21"/>
              </w:rPr>
              <w:t>临时占地</w:t>
            </w:r>
            <w:r>
              <w:rPr>
                <w:rFonts w:ascii="宋体" w:hAnsi="宋体" w:cs="宋体"/>
                <w:szCs w:val="21"/>
              </w:rPr>
              <w:t>，以利于土壤、植被自然恢复</w:t>
            </w:r>
            <w:r>
              <w:rPr>
                <w:rFonts w:hint="eastAsia" w:ascii="宋体" w:hAnsi="宋体" w:cs="宋体"/>
                <w:szCs w:val="21"/>
              </w:rPr>
              <w:t>。</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水土保持</w:t>
            </w:r>
          </w:p>
        </w:tc>
        <w:tc>
          <w:tcPr>
            <w:tcW w:w="2142"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①严格划定施工活动范围，严格控制和管理运输车辆及重型机械的运行范围，不另辟施工便道，不得离开运输道路及随意驾驶；②优化施工组织，缩短施工时间；③施工结束后及时对场地进行清理、平整并压实。</w:t>
            </w:r>
          </w:p>
        </w:tc>
        <w:tc>
          <w:tcPr>
            <w:tcW w:w="1338" w:type="pct"/>
            <w:vAlign w:val="center"/>
          </w:tcPr>
          <w:p>
            <w:pPr>
              <w:adjustRightInd w:val="0"/>
              <w:snapToGrid w:val="0"/>
              <w:spacing w:line="300" w:lineRule="exact"/>
              <w:jc w:val="center"/>
              <w:rPr>
                <w:rFonts w:ascii="宋体" w:hAnsi="宋体" w:cs="宋体"/>
                <w:szCs w:val="21"/>
              </w:rPr>
            </w:pPr>
            <w:r>
              <w:rPr>
                <w:rFonts w:hint="eastAsia" w:ascii="宋体" w:hAnsi="宋体" w:cs="宋体"/>
                <w:b/>
                <w:bCs/>
                <w:szCs w:val="21"/>
              </w:rPr>
              <w:t>验收内容：</w:t>
            </w:r>
            <w:r>
              <w:rPr>
                <w:rFonts w:hint="eastAsia" w:ascii="宋体" w:hAnsi="宋体" w:cs="宋体"/>
                <w:szCs w:val="21"/>
              </w:rPr>
              <w:t>水土流失防治措施落实情况；井场及周边占地恢复情况。</w:t>
            </w:r>
            <w:r>
              <w:rPr>
                <w:rFonts w:hint="eastAsia" w:ascii="宋体" w:hAnsi="宋体" w:cs="宋体"/>
                <w:b/>
                <w:bCs/>
                <w:szCs w:val="21"/>
              </w:rPr>
              <w:t>验收效果：</w:t>
            </w:r>
            <w:r>
              <w:rPr>
                <w:rFonts w:ascii="宋体" w:hAnsi="宋体" w:cs="宋体"/>
                <w:szCs w:val="21"/>
              </w:rPr>
              <w:t>项目施工结束后清理、平整</w:t>
            </w:r>
            <w:r>
              <w:rPr>
                <w:rFonts w:hint="eastAsia" w:ascii="宋体" w:hAnsi="宋体" w:cs="宋体"/>
                <w:szCs w:val="21"/>
              </w:rPr>
              <w:t>临时占地。</w:t>
            </w:r>
          </w:p>
        </w:tc>
        <w:tc>
          <w:tcPr>
            <w:tcW w:w="503" w:type="pct"/>
            <w:vAlign w:val="center"/>
          </w:tcPr>
          <w:p>
            <w:pPr>
              <w:adjustRightInd w:val="0"/>
              <w:snapToGrid w:val="0"/>
              <w:spacing w:line="370" w:lineRule="exact"/>
              <w:jc w:val="center"/>
              <w:rPr>
                <w:rFonts w:ascii="宋体" w:hAnsi="宋体" w:cs="宋体"/>
                <w:szCs w:val="21"/>
              </w:rPr>
            </w:pPr>
          </w:p>
        </w:tc>
        <w:tc>
          <w:tcPr>
            <w:tcW w:w="378" w:type="pct"/>
            <w:vAlign w:val="center"/>
          </w:tcPr>
          <w:p>
            <w:pPr>
              <w:adjustRightInd w:val="0"/>
              <w:snapToGrid w:val="0"/>
              <w:spacing w:line="370" w:lineRule="exact"/>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水生生态</w:t>
            </w:r>
          </w:p>
        </w:tc>
        <w:tc>
          <w:tcPr>
            <w:tcW w:w="2142"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13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地表水</w:t>
            </w:r>
          </w:p>
          <w:p>
            <w:pPr>
              <w:adjustRightInd w:val="0"/>
              <w:snapToGrid w:val="0"/>
              <w:spacing w:line="370" w:lineRule="exact"/>
              <w:jc w:val="center"/>
              <w:rPr>
                <w:rFonts w:ascii="宋体" w:hAnsi="宋体" w:cs="宋体"/>
                <w:szCs w:val="21"/>
              </w:rPr>
            </w:pPr>
            <w:r>
              <w:rPr>
                <w:rFonts w:hint="eastAsia" w:ascii="宋体" w:hAnsi="宋体" w:cs="宋体"/>
                <w:szCs w:val="21"/>
              </w:rPr>
              <w:t>环境</w:t>
            </w:r>
          </w:p>
        </w:tc>
        <w:tc>
          <w:tcPr>
            <w:tcW w:w="2142"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13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地下水及土壤环境</w:t>
            </w:r>
          </w:p>
        </w:tc>
        <w:tc>
          <w:tcPr>
            <w:tcW w:w="2142"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①生活污水经临时防渗收集池收集和暂存，完工后由吸污车拉运至吉木萨尔县污水处理厂处理；②洗井废水和压裂返排液收集至专用储罐后由罐车拉运至沙南联合站处理。</w:t>
            </w:r>
          </w:p>
        </w:tc>
        <w:tc>
          <w:tcPr>
            <w:tcW w:w="1338" w:type="pct"/>
            <w:vAlign w:val="center"/>
          </w:tcPr>
          <w:p>
            <w:pPr>
              <w:adjustRightInd w:val="0"/>
              <w:snapToGrid w:val="0"/>
              <w:spacing w:line="300" w:lineRule="exact"/>
              <w:jc w:val="center"/>
              <w:rPr>
                <w:rFonts w:ascii="宋体" w:hAnsi="宋体" w:cs="宋体"/>
                <w:szCs w:val="21"/>
              </w:rPr>
            </w:pPr>
            <w:r>
              <w:rPr>
                <w:rFonts w:hint="eastAsia" w:ascii="宋体" w:hAnsi="宋体"/>
                <w:b/>
                <w:bCs/>
                <w:szCs w:val="21"/>
              </w:rPr>
              <w:t>验收内容：</w:t>
            </w:r>
            <w:r>
              <w:rPr>
                <w:rFonts w:hint="eastAsia" w:ascii="宋体" w:hAnsi="宋体"/>
                <w:szCs w:val="21"/>
              </w:rPr>
              <w:t>①生活污水签订清运协议；</w:t>
            </w:r>
            <w:r>
              <w:rPr>
                <w:rFonts w:hint="eastAsia" w:ascii="宋体" w:hAnsi="宋体" w:cs="宋体"/>
                <w:szCs w:val="21"/>
              </w:rPr>
              <w:t>②洗井废水和压裂返排液现场无遗留。</w:t>
            </w:r>
            <w:r>
              <w:rPr>
                <w:rFonts w:hint="eastAsia" w:ascii="宋体" w:hAnsi="宋体" w:cs="宋体"/>
                <w:b/>
                <w:bCs/>
                <w:szCs w:val="21"/>
              </w:rPr>
              <w:t>验收效果：</w:t>
            </w:r>
            <w:r>
              <w:rPr>
                <w:rFonts w:hint="eastAsia" w:ascii="宋体" w:hAnsi="宋体" w:cs="宋体"/>
                <w:szCs w:val="21"/>
              </w:rPr>
              <w:t>验收时现场无遗留问题。</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声环境</w:t>
            </w:r>
          </w:p>
        </w:tc>
        <w:tc>
          <w:tcPr>
            <w:tcW w:w="2142"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在设备选型上要求采用低噪声的设备，施工设备定期检查维修，对噪声较大的设备采取基础减震措施；加强施工场地管理，合理疏导进入施工区的车辆，禁止运输车辆随意高声鸣笛。</w:t>
            </w:r>
          </w:p>
        </w:tc>
        <w:tc>
          <w:tcPr>
            <w:tcW w:w="13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振动</w:t>
            </w:r>
          </w:p>
        </w:tc>
        <w:tc>
          <w:tcPr>
            <w:tcW w:w="2142"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13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大气环境</w:t>
            </w:r>
          </w:p>
        </w:tc>
        <w:tc>
          <w:tcPr>
            <w:tcW w:w="2142"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①使用达标柴油，加强设备维护；②试油期产生的伴生气量不稳定，不具备回收利用条件，经液气分离器排气管线燃烧后排放；③加强车辆管理，避免大风时作业。</w:t>
            </w:r>
          </w:p>
        </w:tc>
        <w:tc>
          <w:tcPr>
            <w:tcW w:w="1338" w:type="pct"/>
            <w:vAlign w:val="center"/>
          </w:tcPr>
          <w:p>
            <w:pPr>
              <w:adjustRightInd w:val="0"/>
              <w:snapToGrid w:val="0"/>
              <w:spacing w:line="300" w:lineRule="exact"/>
              <w:jc w:val="center"/>
              <w:rPr>
                <w:rFonts w:ascii="宋体" w:hAnsi="宋体" w:cs="宋体"/>
                <w:szCs w:val="21"/>
              </w:rPr>
            </w:pPr>
            <w:r>
              <w:rPr>
                <w:rFonts w:hint="eastAsia" w:ascii="宋体" w:hAnsi="宋体" w:cs="宋体"/>
                <w:b/>
                <w:bCs/>
                <w:szCs w:val="21"/>
              </w:rPr>
              <w:t>验收效果：</w:t>
            </w:r>
            <w:r>
              <w:rPr>
                <w:rFonts w:hint="eastAsia" w:ascii="宋体" w:hAnsi="宋体" w:cs="宋体"/>
                <w:szCs w:val="21"/>
              </w:rPr>
              <w:t>验收时现场无施工遗留问题。</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固体废物</w:t>
            </w:r>
          </w:p>
        </w:tc>
        <w:tc>
          <w:tcPr>
            <w:tcW w:w="2142"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①水基钻井岩屑：</w:t>
            </w:r>
            <w:r>
              <w:rPr>
                <w:rFonts w:hint="eastAsia" w:ascii="宋体" w:hAnsi="宋体" w:cs="宋体"/>
                <w:color w:val="000000"/>
                <w:szCs w:val="21"/>
              </w:rPr>
              <w:t>经钻井液不落地设备处理后进岩屑专用方罐，交由岩屑处置单位处置；②废防渗材料：施工结束后未沾油防渗膜由施工单位集中回收利用，沾油废防渗膜委托具有相应危险废物处置资质的单位处置；③</w:t>
            </w:r>
            <w:r>
              <w:rPr>
                <w:rFonts w:hint="eastAsia" w:ascii="宋体" w:hAnsi="宋体" w:cs="宋体"/>
                <w:szCs w:val="21"/>
              </w:rPr>
              <w:t>生活垃圾：集中收集后清运至</w:t>
            </w:r>
            <w:r>
              <w:rPr>
                <w:rFonts w:hint="eastAsia"/>
              </w:rPr>
              <w:t>吉木萨尔县生活垃圾填埋场</w:t>
            </w:r>
            <w:r>
              <w:rPr>
                <w:rFonts w:hint="eastAsia" w:ascii="宋体" w:hAnsi="宋体" w:cs="宋体"/>
                <w:szCs w:val="21"/>
              </w:rPr>
              <w:t>处置。</w:t>
            </w:r>
          </w:p>
        </w:tc>
        <w:tc>
          <w:tcPr>
            <w:tcW w:w="1338" w:type="pct"/>
            <w:vAlign w:val="center"/>
          </w:tcPr>
          <w:p>
            <w:pPr>
              <w:adjustRightInd w:val="0"/>
              <w:snapToGrid w:val="0"/>
              <w:spacing w:line="300" w:lineRule="exact"/>
              <w:jc w:val="center"/>
              <w:rPr>
                <w:rFonts w:ascii="宋体" w:hAnsi="宋体" w:cs="宋体"/>
                <w:szCs w:val="21"/>
              </w:rPr>
            </w:pPr>
            <w:r>
              <w:rPr>
                <w:rFonts w:hint="eastAsia" w:ascii="宋体" w:hAnsi="宋体" w:cs="宋体"/>
                <w:b/>
                <w:bCs/>
                <w:szCs w:val="21"/>
              </w:rPr>
              <w:t>验收内容：</w:t>
            </w:r>
            <w:r>
              <w:rPr>
                <w:rFonts w:hint="eastAsia" w:ascii="宋体" w:hAnsi="宋体" w:cs="宋体"/>
                <w:szCs w:val="21"/>
              </w:rPr>
              <w:t>①水基钻井岩屑签订处置协议；②危险废物签订处置协议，查阅危险废物台账，检查现场是否有遗留；③生活垃圾签订接收协议。</w:t>
            </w:r>
            <w:r>
              <w:rPr>
                <w:rFonts w:hint="eastAsia" w:ascii="宋体" w:hAnsi="宋体" w:cs="宋体"/>
                <w:b/>
                <w:bCs/>
                <w:szCs w:val="21"/>
              </w:rPr>
              <w:t>验收效果：</w:t>
            </w:r>
            <w:r>
              <w:rPr>
                <w:rFonts w:hint="eastAsia" w:ascii="宋体" w:hAnsi="宋体" w:cs="宋体"/>
                <w:szCs w:val="21"/>
              </w:rPr>
              <w:t>水基钻井岩屑检测</w:t>
            </w:r>
            <w:r>
              <w:rPr>
                <w:rFonts w:ascii="宋体" w:hAnsi="宋体" w:cs="宋体"/>
                <w:szCs w:val="21"/>
              </w:rPr>
              <w:t>结果是否达标</w:t>
            </w:r>
            <w:r>
              <w:rPr>
                <w:rFonts w:hint="eastAsia" w:ascii="宋体" w:hAnsi="宋体" w:cs="宋体"/>
                <w:szCs w:val="21"/>
              </w:rPr>
              <w:t>（</w:t>
            </w:r>
            <w:r>
              <w:rPr>
                <w:rFonts w:ascii="宋体" w:hAnsi="宋体" w:cs="宋体"/>
                <w:szCs w:val="21"/>
              </w:rPr>
              <w:t>岩屑</w:t>
            </w:r>
            <w:r>
              <w:rPr>
                <w:rFonts w:hint="eastAsia" w:ascii="宋体" w:hAnsi="宋体" w:cs="宋体"/>
                <w:szCs w:val="21"/>
              </w:rPr>
              <w:t>处置单位委托监测）；</w:t>
            </w:r>
            <w:r>
              <w:rPr>
                <w:rFonts w:ascii="宋体" w:hAnsi="宋体" w:cs="宋体"/>
                <w:szCs w:val="21"/>
              </w:rPr>
              <w:t>现场</w:t>
            </w:r>
            <w:r>
              <w:rPr>
                <w:rFonts w:hint="eastAsia" w:ascii="宋体" w:hAnsi="宋体" w:cs="宋体"/>
                <w:szCs w:val="21"/>
              </w:rPr>
              <w:t>无固废</w:t>
            </w:r>
            <w:r>
              <w:rPr>
                <w:rFonts w:ascii="宋体" w:hAnsi="宋体" w:cs="宋体"/>
                <w:szCs w:val="21"/>
              </w:rPr>
              <w:t>遗留</w:t>
            </w:r>
            <w:r>
              <w:rPr>
                <w:rFonts w:hint="eastAsia" w:ascii="宋体" w:hAnsi="宋体" w:cs="宋体"/>
                <w:szCs w:val="21"/>
              </w:rPr>
              <w:t>。</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电磁环境</w:t>
            </w:r>
          </w:p>
        </w:tc>
        <w:tc>
          <w:tcPr>
            <w:tcW w:w="2142"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133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503"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7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环境风险</w:t>
            </w:r>
          </w:p>
        </w:tc>
        <w:tc>
          <w:tcPr>
            <w:tcW w:w="2142"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①施工时应严格执行相关风险防范措施和规章制度，严禁违规操作加强设备维修与巡检，避免储罐泄露事故的发生；②在井口安装井控装置，杜绝井喷的发生；</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3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定期检查固井质量，发现固井质量不合格应及时采取措施，保证固井质量合格；</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4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④</w:t>
            </w:r>
            <w:r>
              <w:rPr>
                <w:rFonts w:ascii="宋体" w:hAnsi="宋体" w:cs="宋体"/>
                <w:szCs w:val="21"/>
              </w:rPr>
              <w:fldChar w:fldCharType="end"/>
            </w:r>
            <w:r>
              <w:rPr>
                <w:rFonts w:hint="eastAsia" w:ascii="宋体" w:hAnsi="宋体" w:cs="宋体"/>
                <w:szCs w:val="21"/>
              </w:rPr>
              <w:t>加强各类储罐及放喷管线的日常管理及安全检查；</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5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⑤</w:t>
            </w:r>
            <w:r>
              <w:rPr>
                <w:rFonts w:ascii="宋体" w:hAnsi="宋体" w:cs="宋体"/>
                <w:szCs w:val="21"/>
              </w:rPr>
              <w:fldChar w:fldCharType="end"/>
            </w:r>
            <w:r>
              <w:rPr>
                <w:rFonts w:hint="eastAsia" w:ascii="宋体" w:hAnsi="宋体" w:cs="宋体"/>
                <w:szCs w:val="21"/>
              </w:rPr>
              <w:t>应将本项目纳入《中国石油新疆油田分公司勘探事业部突发环境事件应急预案》。</w:t>
            </w:r>
          </w:p>
        </w:tc>
        <w:tc>
          <w:tcPr>
            <w:tcW w:w="1338"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c>
          <w:tcPr>
            <w:tcW w:w="503"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环境监测</w:t>
            </w:r>
          </w:p>
        </w:tc>
        <w:tc>
          <w:tcPr>
            <w:tcW w:w="2142"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c>
          <w:tcPr>
            <w:tcW w:w="1338"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c>
          <w:tcPr>
            <w:tcW w:w="503"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38"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其他</w:t>
            </w:r>
          </w:p>
        </w:tc>
        <w:tc>
          <w:tcPr>
            <w:tcW w:w="2142" w:type="pct"/>
            <w:vAlign w:val="center"/>
          </w:tcPr>
          <w:p>
            <w:pPr>
              <w:adjustRightInd w:val="0"/>
              <w:snapToGrid w:val="0"/>
              <w:spacing w:line="300" w:lineRule="exact"/>
              <w:jc w:val="center"/>
              <w:rPr>
                <w:rFonts w:ascii="宋体" w:hAnsi="宋体" w:cs="宋体"/>
                <w:szCs w:val="21"/>
              </w:rPr>
            </w:pPr>
            <w:r>
              <w:rPr>
                <w:rFonts w:ascii="宋体" w:hAnsi="宋体" w:cs="宋体"/>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r>
              <w:rPr>
                <w:rFonts w:hint="eastAsia" w:ascii="宋体" w:hAnsi="宋体" w:cs="宋体"/>
                <w:szCs w:val="21"/>
              </w:rPr>
              <w:t>。</w:t>
            </w:r>
          </w:p>
        </w:tc>
        <w:tc>
          <w:tcPr>
            <w:tcW w:w="1338" w:type="pct"/>
            <w:vAlign w:val="center"/>
          </w:tcPr>
          <w:p>
            <w:pPr>
              <w:adjustRightInd w:val="0"/>
              <w:snapToGrid w:val="0"/>
              <w:spacing w:line="300" w:lineRule="exact"/>
              <w:jc w:val="center"/>
              <w:rPr>
                <w:rFonts w:ascii="宋体" w:hAnsi="宋体" w:cs="宋体"/>
                <w:szCs w:val="21"/>
              </w:rPr>
            </w:pPr>
            <w:r>
              <w:rPr>
                <w:rFonts w:hint="eastAsia" w:ascii="宋体" w:hAnsi="宋体" w:cs="宋体"/>
                <w:szCs w:val="21"/>
              </w:rPr>
              <w:t>环境管理制度是否建立并完善，环保机构及人员是否设置到位；是否保留必要的影像资料。</w:t>
            </w:r>
          </w:p>
        </w:tc>
        <w:tc>
          <w:tcPr>
            <w:tcW w:w="503"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c>
          <w:tcPr>
            <w:tcW w:w="378" w:type="pct"/>
            <w:vAlign w:val="center"/>
          </w:tcPr>
          <w:p>
            <w:pPr>
              <w:adjustRightInd w:val="0"/>
              <w:snapToGrid w:val="0"/>
              <w:spacing w:line="360" w:lineRule="exact"/>
              <w:jc w:val="center"/>
              <w:rPr>
                <w:rFonts w:ascii="宋体" w:hAnsi="宋体" w:cs="宋体"/>
                <w:szCs w:val="21"/>
              </w:rPr>
            </w:pPr>
            <w:r>
              <w:rPr>
                <w:rFonts w:hint="eastAsia" w:ascii="宋体" w:hAnsi="宋体" w:cs="宋体"/>
                <w:szCs w:val="21"/>
              </w:rPr>
              <w:t>/</w:t>
            </w:r>
          </w:p>
        </w:tc>
      </w:tr>
    </w:tbl>
    <w:p>
      <w:pPr>
        <w:pStyle w:val="7"/>
        <w:rPr>
          <w:rFonts w:ascii="宋体" w:hAnsi="宋体" w:cs="宋体"/>
          <w:sz w:val="24"/>
          <w:szCs w:val="24"/>
        </w:rPr>
        <w:sectPr>
          <w:pgSz w:w="11906" w:h="16838"/>
          <w:pgMar w:top="1440" w:right="1800" w:bottom="1440" w:left="1800" w:header="851" w:footer="992" w:gutter="0"/>
          <w:cols w:space="425" w:num="1"/>
          <w:docGrid w:type="lines" w:linePitch="312" w:charSpace="0"/>
        </w:sectPr>
      </w:pPr>
    </w:p>
    <w:p>
      <w:pPr>
        <w:pStyle w:val="4"/>
        <w:snapToGrid w:val="0"/>
        <w:spacing w:before="0" w:after="0" w:line="360" w:lineRule="auto"/>
        <w:jc w:val="center"/>
        <w:rPr>
          <w:rFonts w:ascii="黑体" w:hAnsi="黑体" w:eastAsia="黑体" w:cs="黑体"/>
          <w:b w:val="0"/>
          <w:bCs/>
          <w:sz w:val="30"/>
          <w:szCs w:val="30"/>
        </w:rPr>
      </w:pPr>
      <w:r>
        <w:rPr>
          <w:rFonts w:hint="eastAsia" w:ascii="黑体" w:hAnsi="黑体" w:eastAsia="黑体" w:cs="黑体"/>
          <w:b w:val="0"/>
          <w:bCs/>
          <w:sz w:val="30"/>
          <w:szCs w:val="30"/>
        </w:rPr>
        <w:t>七、结论</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pPr>
              <w:pStyle w:val="7"/>
              <w:spacing w:before="0" w:after="0" w:line="500" w:lineRule="exact"/>
              <w:ind w:right="0" w:firstLine="480" w:firstLineChars="200"/>
              <w:rPr>
                <w:rFonts w:ascii="宋体" w:hAnsi="宋体" w:cs="宋体"/>
                <w:sz w:val="24"/>
                <w:szCs w:val="24"/>
              </w:rPr>
            </w:pPr>
            <w:r>
              <w:rPr>
                <w:rFonts w:hint="eastAsia" w:ascii="宋体" w:hAnsi="宋体" w:cs="宋体"/>
                <w:sz w:val="24"/>
                <w:szCs w:val="24"/>
              </w:rPr>
              <w:t>本项目符合国家有关产业政策、“三线一单”和相关规划。在严格执行已有各项环保政策、规定的基础上，认真落实本报告表中提出的环保措施与建议的前提下，从生态环境保护角度分析，该项目的建设可行。</w:t>
            </w: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p>
            <w:pPr>
              <w:pStyle w:val="7"/>
              <w:spacing w:before="0" w:after="0" w:line="500" w:lineRule="exact"/>
              <w:ind w:right="0" w:firstLine="480" w:firstLineChars="200"/>
              <w:rPr>
                <w:rFonts w:ascii="宋体" w:hAnsi="宋体" w:cs="宋体"/>
                <w:sz w:val="24"/>
                <w:szCs w:val="24"/>
              </w:rPr>
            </w:pPr>
          </w:p>
        </w:tc>
      </w:tr>
    </w:tbl>
    <w:p>
      <w:pPr>
        <w:pStyle w:val="7"/>
        <w:rPr>
          <w:rFonts w:ascii="宋体" w:hAnsi="宋体" w:cs="宋体"/>
          <w:sz w:val="24"/>
          <w:szCs w:val="24"/>
        </w:rPr>
        <w:sectPr>
          <w:pgSz w:w="11906" w:h="16838"/>
          <w:pgMar w:top="1440" w:right="1800" w:bottom="1440" w:left="1800" w:header="851" w:footer="992" w:gutter="0"/>
          <w:cols w:space="425" w:num="1"/>
          <w:docGrid w:type="lines" w:linePitch="312" w:charSpace="0"/>
        </w:sectPr>
      </w:pPr>
    </w:p>
    <w:p>
      <w:pPr>
        <w:pStyle w:val="4"/>
        <w:snapToGrid w:val="0"/>
        <w:spacing w:before="0" w:after="0" w:line="360" w:lineRule="auto"/>
        <w:rPr>
          <w:rFonts w:ascii="宋体" w:hAnsi="宋体" w:cs="宋体"/>
          <w:sz w:val="28"/>
          <w:szCs w:val="28"/>
        </w:rPr>
      </w:pPr>
      <w:r>
        <w:rPr>
          <w:rFonts w:ascii="宋体" w:hAnsi="宋体"/>
          <w:b w:val="0"/>
          <w:bCs/>
          <w:kern w:val="0"/>
          <w:sz w:val="24"/>
        </w:rPr>
        <w:drawing>
          <wp:anchor distT="0" distB="0" distL="114300" distR="114300" simplePos="0" relativeHeight="251664384" behindDoc="0" locked="0" layoutInCell="1" allowOverlap="1">
            <wp:simplePos x="0" y="0"/>
            <wp:positionH relativeFrom="column">
              <wp:posOffset>401955</wp:posOffset>
            </wp:positionH>
            <wp:positionV relativeFrom="paragraph">
              <wp:posOffset>316230</wp:posOffset>
            </wp:positionV>
            <wp:extent cx="8109585" cy="5477510"/>
            <wp:effectExtent l="0" t="0" r="5715"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09585" cy="5477510"/>
                    </a:xfrm>
                    <a:prstGeom prst="rect">
                      <a:avLst/>
                    </a:prstGeom>
                  </pic:spPr>
                </pic:pic>
              </a:graphicData>
            </a:graphic>
          </wp:anchor>
        </w:drawing>
      </w:r>
      <w:r>
        <w:rPr>
          <w:rFonts w:hint="eastAsia" w:ascii="宋体" w:hAnsi="宋体" w:cs="宋体"/>
          <w:sz w:val="28"/>
          <w:szCs w:val="28"/>
        </w:rPr>
        <w:t xml:space="preserve">附图1  </w:t>
      </w:r>
      <w:r>
        <w:rPr>
          <w:rFonts w:hint="eastAsia" w:ascii="宋体" w:hAnsi="宋体"/>
          <w:bCs/>
          <w:kern w:val="0"/>
          <w:sz w:val="24"/>
        </w:rPr>
        <w:t>昌吉回族自治州“三线一单”环境管控单元分布图</w:t>
      </w:r>
    </w:p>
    <w:p>
      <w:pPr>
        <w:rPr>
          <w:rFonts w:ascii="宋体" w:hAnsi="宋体" w:cs="宋体"/>
          <w:b/>
          <w:sz w:val="24"/>
        </w:rPr>
      </w:pPr>
    </w:p>
    <w:p>
      <w:pPr>
        <w:rPr>
          <w:rFonts w:ascii="宋体" w:hAnsi="宋体" w:cs="宋体"/>
          <w:b/>
          <w:sz w:val="24"/>
        </w:rPr>
      </w:pPr>
    </w:p>
    <w:p>
      <w:pPr>
        <w:rPr>
          <w:rFonts w:ascii="宋体" w:hAnsi="宋体" w:cs="宋体"/>
          <w:b/>
          <w:sz w:val="24"/>
        </w:rPr>
      </w:pPr>
    </w:p>
    <w:p>
      <w:pPr>
        <w:rPr>
          <w:rFonts w:ascii="宋体" w:hAnsi="宋体" w:cs="宋体"/>
          <w:b/>
          <w:sz w:val="24"/>
        </w:rPr>
      </w:pPr>
    </w:p>
    <w:p>
      <w:pPr>
        <w:rPr>
          <w:rFonts w:ascii="宋体" w:hAnsi="宋体" w:cs="宋体"/>
          <w:b/>
          <w:sz w:val="24"/>
        </w:rPr>
      </w:pPr>
    </w:p>
    <w:p>
      <w:pPr>
        <w:rPr>
          <w:rFonts w:ascii="宋体" w:hAnsi="宋体" w:cs="宋体"/>
          <w:b/>
          <w:sz w:val="24"/>
        </w:rPr>
        <w:sectPr>
          <w:pgSz w:w="16838" w:h="11906" w:orient="landscape"/>
          <w:pgMar w:top="1800" w:right="1440" w:bottom="1800" w:left="1440" w:header="851" w:footer="992" w:gutter="0"/>
          <w:cols w:space="425" w:num="1"/>
          <w:docGrid w:type="lines" w:linePitch="312" w:charSpace="0"/>
        </w:sectPr>
      </w:pPr>
    </w:p>
    <w:p>
      <w:pPr>
        <w:pStyle w:val="4"/>
        <w:snapToGrid w:val="0"/>
        <w:spacing w:before="0" w:after="0" w:line="360" w:lineRule="auto"/>
        <w:rPr>
          <w:rFonts w:ascii="宋体" w:hAnsi="宋体" w:cs="宋体"/>
          <w:sz w:val="28"/>
          <w:szCs w:val="28"/>
        </w:rPr>
      </w:pPr>
      <w:r>
        <w:drawing>
          <wp:anchor distT="0" distB="0" distL="114300" distR="114300" simplePos="0" relativeHeight="251665408" behindDoc="0" locked="0" layoutInCell="1" allowOverlap="1">
            <wp:simplePos x="0" y="0"/>
            <wp:positionH relativeFrom="column">
              <wp:posOffset>372745</wp:posOffset>
            </wp:positionH>
            <wp:positionV relativeFrom="paragraph">
              <wp:posOffset>290830</wp:posOffset>
            </wp:positionV>
            <wp:extent cx="8126730" cy="5365750"/>
            <wp:effectExtent l="0" t="0" r="7620" b="698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126730" cy="5365474"/>
                    </a:xfrm>
                    <a:prstGeom prst="rect">
                      <a:avLst/>
                    </a:prstGeom>
                  </pic:spPr>
                </pic:pic>
              </a:graphicData>
            </a:graphic>
          </wp:anchor>
        </w:drawing>
      </w:r>
      <w:r>
        <w:rPr>
          <w:rFonts w:hint="eastAsia" w:ascii="宋体" w:hAnsi="宋体" w:cs="宋体"/>
          <w:sz w:val="28"/>
          <w:szCs w:val="28"/>
        </w:rPr>
        <w:t>附图2  拟部署井位与“一张图”位置关系</w:t>
      </w:r>
    </w:p>
    <w:p>
      <w:pPr>
        <w:widowControl/>
        <w:jc w:val="left"/>
      </w:pPr>
    </w:p>
    <w:p>
      <w:pPr>
        <w:widowControl/>
        <w:jc w:val="left"/>
      </w:pPr>
    </w:p>
    <w:p/>
    <w:p/>
    <w:p>
      <w:pPr>
        <w:pStyle w:val="14"/>
        <w:ind w:left="0"/>
      </w:pPr>
    </w:p>
    <w:p>
      <w:pPr>
        <w:sectPr>
          <w:pgSz w:w="16838" w:h="11906" w:orient="landscape"/>
          <w:pgMar w:top="1800" w:right="1440" w:bottom="1800" w:left="1440" w:header="851" w:footer="992" w:gutter="0"/>
          <w:cols w:space="425" w:num="1"/>
          <w:docGrid w:type="lines" w:linePitch="312" w:charSpace="0"/>
        </w:sectPr>
      </w:pPr>
    </w:p>
    <w:p>
      <w:pPr>
        <w:pStyle w:val="4"/>
        <w:snapToGrid w:val="0"/>
        <w:spacing w:before="0" w:after="0" w:line="360" w:lineRule="auto"/>
        <w:rPr>
          <w:rFonts w:ascii="宋体" w:hAnsi="宋体" w:cs="宋体"/>
          <w:sz w:val="28"/>
          <w:szCs w:val="28"/>
        </w:rPr>
      </w:pPr>
      <w:r>
        <w:drawing>
          <wp:anchor distT="0" distB="0" distL="114300" distR="114300" simplePos="0" relativeHeight="251671552" behindDoc="0" locked="0" layoutInCell="1" allowOverlap="1">
            <wp:simplePos x="0" y="0"/>
            <wp:positionH relativeFrom="column">
              <wp:posOffset>723900</wp:posOffset>
            </wp:positionH>
            <wp:positionV relativeFrom="paragraph">
              <wp:posOffset>264160</wp:posOffset>
            </wp:positionV>
            <wp:extent cx="7311390" cy="5123180"/>
            <wp:effectExtent l="0" t="0" r="381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311683" cy="5123236"/>
                    </a:xfrm>
                    <a:prstGeom prst="rect">
                      <a:avLst/>
                    </a:prstGeom>
                  </pic:spPr>
                </pic:pic>
              </a:graphicData>
            </a:graphic>
          </wp:anchor>
        </w:drawing>
      </w:r>
      <w:r>
        <w:rPr>
          <w:rFonts w:hint="eastAsia" w:ascii="宋体" w:hAnsi="宋体" w:cs="宋体"/>
          <w:sz w:val="28"/>
          <w:szCs w:val="28"/>
        </w:rPr>
        <w:t>附图3  项目地理位置图</w:t>
      </w:r>
    </w:p>
    <w:p/>
    <w:p>
      <w:pPr>
        <w:widowControl/>
        <w:jc w:val="center"/>
      </w:pPr>
    </w:p>
    <w:p>
      <w:pPr>
        <w:widowControl/>
        <w:jc w:val="center"/>
      </w:pPr>
    </w:p>
    <w:p>
      <w:pPr>
        <w:widowControl/>
        <w:jc w:val="left"/>
      </w:pPr>
    </w:p>
    <w:p>
      <w:pPr>
        <w:widowControl/>
        <w:jc w:val="center"/>
      </w:pPr>
    </w:p>
    <w:p>
      <w:pPr>
        <w:pStyle w:val="14"/>
        <w:ind w:left="0"/>
      </w:pPr>
    </w:p>
    <w:p>
      <w:pPr>
        <w:pStyle w:val="14"/>
      </w:pPr>
    </w:p>
    <w:p>
      <w:pPr>
        <w:pStyle w:val="14"/>
      </w:pPr>
    </w:p>
    <w:p/>
    <w:p>
      <w:pPr>
        <w:pStyle w:val="14"/>
        <w:sectPr>
          <w:pgSz w:w="16838" w:h="11906" w:orient="landscape"/>
          <w:pgMar w:top="1800" w:right="1440" w:bottom="1800" w:left="1440" w:header="851" w:footer="992" w:gutter="0"/>
          <w:cols w:space="425" w:num="1"/>
          <w:docGrid w:type="lines" w:linePitch="312" w:charSpace="0"/>
        </w:sectPr>
      </w:pPr>
    </w:p>
    <w:p>
      <w:pPr>
        <w:pStyle w:val="4"/>
        <w:snapToGrid w:val="0"/>
        <w:spacing w:before="0" w:after="0" w:line="360" w:lineRule="auto"/>
        <w:rPr>
          <w:rFonts w:ascii="宋体" w:hAnsi="宋体" w:cs="宋体"/>
          <w:sz w:val="28"/>
          <w:szCs w:val="28"/>
        </w:rPr>
      </w:pPr>
      <w:r>
        <w:rPr>
          <w:rFonts w:hint="eastAsia" w:ascii="宋体" w:hAnsi="宋体" w:cs="宋体"/>
          <w:sz w:val="28"/>
          <w:szCs w:val="28"/>
        </w:rPr>
        <w:t>附图4  钻井期井场平面布置图</w:t>
      </w:r>
    </w:p>
    <w:p/>
    <w:p>
      <w:pPr>
        <w:pStyle w:val="14"/>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51660288" behindDoc="0" locked="0" layoutInCell="1" allowOverlap="1">
            <wp:simplePos x="0" y="0"/>
            <wp:positionH relativeFrom="column">
              <wp:posOffset>1295400</wp:posOffset>
            </wp:positionH>
            <wp:positionV relativeFrom="paragraph">
              <wp:posOffset>-202565</wp:posOffset>
            </wp:positionV>
            <wp:extent cx="6384925" cy="4612005"/>
            <wp:effectExtent l="0" t="0" r="15875" b="17145"/>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384925" cy="4612005"/>
                    </a:xfrm>
                    <a:prstGeom prst="rect">
                      <a:avLst/>
                    </a:prstGeom>
                    <a:noFill/>
                    <a:ln>
                      <a:noFill/>
                    </a:ln>
                  </pic:spPr>
                </pic:pic>
              </a:graphicData>
            </a:graphic>
          </wp:anchor>
        </w:drawing>
      </w:r>
    </w:p>
    <w:p>
      <w:pPr>
        <w:pStyle w:val="4"/>
        <w:snapToGrid w:val="0"/>
        <w:spacing w:before="0" w:after="0" w:line="360" w:lineRule="auto"/>
        <w:rPr>
          <w:rFonts w:ascii="宋体" w:hAnsi="宋体" w:cs="宋体"/>
          <w:sz w:val="28"/>
          <w:szCs w:val="28"/>
        </w:rPr>
      </w:pPr>
      <w:r>
        <w:rPr>
          <w:rFonts w:hint="eastAsia" w:ascii="宋体" w:hAnsi="宋体" w:cs="宋体"/>
          <w:sz w:val="28"/>
          <w:szCs w:val="28"/>
        </w:rPr>
        <w:t>附图5  试油期平面布置图</w:t>
      </w:r>
    </w:p>
    <w:p>
      <w:pPr>
        <w:jc w:val="center"/>
      </w:pPr>
      <w:r>
        <w:drawing>
          <wp:inline distT="0" distB="0" distL="114300" distR="114300">
            <wp:extent cx="7524750" cy="4299585"/>
            <wp:effectExtent l="0" t="0" r="0" b="571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16"/>
                    <a:stretch>
                      <a:fillRect/>
                    </a:stretch>
                  </pic:blipFill>
                  <pic:spPr>
                    <a:xfrm>
                      <a:off x="0" y="0"/>
                      <a:ext cx="7524750" cy="4299585"/>
                    </a:xfrm>
                    <a:prstGeom prst="rect">
                      <a:avLst/>
                    </a:prstGeom>
                    <a:noFill/>
                    <a:ln>
                      <a:noFill/>
                    </a:ln>
                  </pic:spPr>
                </pic:pic>
              </a:graphicData>
            </a:graphic>
          </wp:inline>
        </w:drawing>
      </w:r>
    </w:p>
    <w:p>
      <w:pPr>
        <w:pStyle w:val="14"/>
        <w:jc w:val="center"/>
        <w:sectPr>
          <w:pgSz w:w="16838" w:h="11906" w:orient="landscape"/>
          <w:pgMar w:top="1800" w:right="1440" w:bottom="1800" w:left="1440" w:header="851" w:footer="992" w:gutter="0"/>
          <w:cols w:space="425" w:num="1"/>
          <w:docGrid w:type="lines" w:linePitch="312" w:charSpace="0"/>
        </w:sectPr>
      </w:pPr>
    </w:p>
    <w:p>
      <w:pPr>
        <w:pStyle w:val="4"/>
        <w:snapToGrid w:val="0"/>
        <w:spacing w:before="0" w:after="0" w:line="360" w:lineRule="auto"/>
        <w:rPr>
          <w:rFonts w:ascii="宋体" w:hAnsi="宋体" w:cs="宋体"/>
          <w:sz w:val="28"/>
          <w:szCs w:val="28"/>
        </w:rPr>
      </w:pPr>
      <w:r>
        <w:rPr>
          <w:rFonts w:hint="eastAsia" w:ascii="宋体" w:hAnsi="宋体" w:cs="宋体"/>
          <w:sz w:val="28"/>
          <w:szCs w:val="28"/>
        </w:rPr>
        <w:t>附图6  井身结构示意图</w:t>
      </w:r>
    </w:p>
    <w:p>
      <w:pPr>
        <w:widowControl/>
        <w:jc w:val="center"/>
      </w:pPr>
      <w: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543550" cy="7102475"/>
            <wp:effectExtent l="0" t="0" r="0" b="317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43550" cy="7102475"/>
                    </a:xfrm>
                    <a:prstGeom prst="rect">
                      <a:avLst/>
                    </a:prstGeom>
                  </pic:spPr>
                </pic:pic>
              </a:graphicData>
            </a:graphic>
          </wp:anchor>
        </w:drawing>
      </w:r>
    </w:p>
    <w:p>
      <w:pPr>
        <w:widowControl/>
        <w:jc w:val="center"/>
        <w:rPr>
          <w:rFonts w:ascii="宋体" w:hAnsi="宋体" w:cs="宋体"/>
          <w:kern w:val="0"/>
          <w:sz w:val="24"/>
          <w:lang w:bidi="ar"/>
        </w:rPr>
      </w:pPr>
    </w:p>
    <w:p>
      <w:pPr>
        <w:pStyle w:val="14"/>
        <w:rPr>
          <w:rFonts w:ascii="宋体" w:hAnsi="宋体" w:cs="宋体"/>
          <w:kern w:val="0"/>
          <w:sz w:val="24"/>
          <w:lang w:bidi="ar"/>
        </w:rPr>
        <w:sectPr>
          <w:pgSz w:w="11906" w:h="16838"/>
          <w:pgMar w:top="1440" w:right="1800" w:bottom="1440" w:left="1800" w:header="851" w:footer="992" w:gutter="0"/>
          <w:cols w:space="425" w:num="1"/>
          <w:docGrid w:type="lines" w:linePitch="312" w:charSpace="0"/>
        </w:sectPr>
      </w:pPr>
    </w:p>
    <w:p>
      <w:pPr>
        <w:pStyle w:val="4"/>
        <w:snapToGrid w:val="0"/>
        <w:spacing w:before="0" w:after="0" w:line="360" w:lineRule="auto"/>
        <w:rPr>
          <w:rFonts w:ascii="宋体" w:hAnsi="宋体" w:cs="宋体"/>
          <w:sz w:val="28"/>
          <w:szCs w:val="28"/>
        </w:rPr>
      </w:pPr>
      <w:r>
        <w:rPr>
          <w:rFonts w:hint="eastAsia" w:ascii="宋体" w:hAnsi="宋体" w:cs="宋体"/>
          <w:sz w:val="28"/>
          <w:szCs w:val="28"/>
        </w:rPr>
        <w:t>附图7  新疆生态功能区划图</w:t>
      </w:r>
    </w:p>
    <w:p>
      <w:pPr>
        <w:pStyle w:val="7"/>
      </w:pPr>
      <w:r>
        <mc:AlternateContent>
          <mc:Choice Requires="wps">
            <w:drawing>
              <wp:anchor distT="0" distB="0" distL="114300" distR="114300" simplePos="0" relativeHeight="251662336" behindDoc="0" locked="0" layoutInCell="1" allowOverlap="1">
                <wp:simplePos x="0" y="0"/>
                <wp:positionH relativeFrom="column">
                  <wp:posOffset>4532630</wp:posOffset>
                </wp:positionH>
                <wp:positionV relativeFrom="paragraph">
                  <wp:posOffset>1574165</wp:posOffset>
                </wp:positionV>
                <wp:extent cx="1047115" cy="307975"/>
                <wp:effectExtent l="209550" t="0" r="19685" b="187325"/>
                <wp:wrapNone/>
                <wp:docPr id="17" name="圆角矩形标注 17"/>
                <wp:cNvGraphicFramePr/>
                <a:graphic xmlns:a="http://schemas.openxmlformats.org/drawingml/2006/main">
                  <a:graphicData uri="http://schemas.microsoft.com/office/word/2010/wordprocessingShape">
                    <wps:wsp>
                      <wps:cNvSpPr/>
                      <wps:spPr>
                        <a:xfrm>
                          <a:off x="0" y="0"/>
                          <a:ext cx="1047115" cy="307975"/>
                        </a:xfrm>
                        <a:prstGeom prst="wedgeRoundRectCallout">
                          <a:avLst>
                            <a:gd name="adj1" fmla="val -66200"/>
                            <a:gd name="adj2" fmla="val 9915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项目井位位置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6.9pt;margin-top:123.95pt;height:24.25pt;width:82.45pt;z-index:251662336;v-text-anchor:middle;mso-width-relative:page;mso-height-relative:page;" fillcolor="#FFFFFF [3212]" filled="t" stroked="t" coordsize="21600,21600" o:gfxdata="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DLCtebYAAAA&#10;CwEAAA8AAAAAAAAAAQAgAAAAIgAAAGRycy9kb3ducmV2LnhtbFBLAQIUABQAAAAIAIdO4kBuy2CL&#10;yAIAAJQFAAAOAAAAAAAAAAEAIAAAACcBAABkcnMvZTJvRG9jLnhtbFBLBQYAAAAABgAGAFkBAABh&#10;BgAAAAA=&#10;" adj="-3499,32217,14400">
                <v:fill on="t" focussize="0,0"/>
                <v:stroke weight="1pt" color="#FF0000 [3204]" miterlimit="8" joinstyle="miter"/>
                <v:imagedata o:title=""/>
                <o:lock v:ext="edit" aspectratio="f"/>
                <v:textbox>
                  <w:txbxContent>
                    <w:p>
                      <w:pPr>
                        <w:jc w:val="center"/>
                        <w:rPr>
                          <w:b/>
                          <w:bCs/>
                          <w:color w:val="FF0000"/>
                        </w:rPr>
                      </w:pPr>
                      <w:r>
                        <w:rPr>
                          <w:rFonts w:hint="eastAsia"/>
                          <w:b/>
                          <w:bCs/>
                          <w:color w:val="FF0000"/>
                        </w:rPr>
                        <w:t>项目井位位置</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4289425</wp:posOffset>
                </wp:positionH>
                <wp:positionV relativeFrom="paragraph">
                  <wp:posOffset>1991360</wp:posOffset>
                </wp:positionV>
                <wp:extent cx="80645" cy="81280"/>
                <wp:effectExtent l="38100" t="19050" r="41275" b="33020"/>
                <wp:wrapNone/>
                <wp:docPr id="15" name="五角星 15"/>
                <wp:cNvGraphicFramePr/>
                <a:graphic xmlns:a="http://schemas.openxmlformats.org/drawingml/2006/main">
                  <a:graphicData uri="http://schemas.microsoft.com/office/word/2010/wordprocessingShape">
                    <wps:wsp>
                      <wps:cNvSpPr/>
                      <wps:spPr>
                        <a:xfrm>
                          <a:off x="0" y="0"/>
                          <a:ext cx="80645" cy="8128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7.75pt;margin-top:156.8pt;height:6.4pt;width:6.35pt;z-index:251663360;v-text-anchor:middle;mso-width-relative:page;mso-height-relative:page;" fillcolor="#FF0000" filled="t" stroked="t" coordsize="80645,81280" o:gfxdata="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&#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1vQB9oAAAALAQAADwAAAAAAAAABACAAAAAiAAAA&#10;ZHJzL2Rvd25yZXYueG1sUEsBAhQAFAAAAAgAh07iQCgTjZd3AgAAAgUAAA4AAAAAAAAAAQAgAAAA&#10;KQEAAGRycy9lMm9Eb2MueG1sUEsFBgAAAAAGAAYAWQEAABIGAAAAAA==&#10;" path="m0,31046l30803,31046,40322,0,49841,31046,80644,31046,55724,50233,65243,81279,40322,62091,15401,81279,24920,50233xe">
                <v:path textboxrect="0,0,80645,81280" o:connectlocs="40322,0;0,31046;15401,81279;65243,81279;80644,31046" o:connectangles="247,164,82,82,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宋体" w:hAnsi="宋体" w:cs="宋体"/>
          <w:sz w:val="28"/>
          <w:szCs w:val="28"/>
          <w:lang w:val="zh-CN"/>
        </w:rPr>
        <w:drawing>
          <wp:anchor distT="0" distB="0" distL="114300" distR="114300" simplePos="0" relativeHeight="251661312" behindDoc="0" locked="0" layoutInCell="1" allowOverlap="1">
            <wp:simplePos x="0" y="0"/>
            <wp:positionH relativeFrom="column">
              <wp:posOffset>423545</wp:posOffset>
            </wp:positionH>
            <wp:positionV relativeFrom="paragraph">
              <wp:posOffset>179705</wp:posOffset>
            </wp:positionV>
            <wp:extent cx="7042785" cy="4980305"/>
            <wp:effectExtent l="0" t="0" r="5715" b="0"/>
            <wp:wrapNone/>
            <wp:docPr id="12" name="图片 12" descr="C:/Users/Administrator/AppData/Local/Temp/picturecompress_202111181729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picturecompress_20211118172920/output_1.jpgoutput_1"/>
                    <pic:cNvPicPr>
                      <a:picLocks noChangeAspect="1"/>
                    </pic:cNvPicPr>
                  </pic:nvPicPr>
                  <pic:blipFill>
                    <a:blip r:embed="rId18"/>
                    <a:stretch>
                      <a:fillRect/>
                    </a:stretch>
                  </pic:blipFill>
                  <pic:spPr>
                    <a:xfrm>
                      <a:off x="0" y="0"/>
                      <a:ext cx="7042785" cy="4980305"/>
                    </a:xfrm>
                    <a:prstGeom prst="rect">
                      <a:avLst/>
                    </a:prstGeom>
                  </pic:spPr>
                </pic:pic>
              </a:graphicData>
            </a:graphic>
          </wp:anchor>
        </w:drawing>
      </w:r>
    </w:p>
    <w:p>
      <w:pPr>
        <w:pStyle w:val="7"/>
        <w:sectPr>
          <w:pgSz w:w="16838" w:h="11906" w:orient="landscape"/>
          <w:pgMar w:top="1800" w:right="1440" w:bottom="1800" w:left="1440" w:header="851" w:footer="992" w:gutter="0"/>
          <w:cols w:space="425" w:num="1"/>
          <w:docGrid w:type="lines" w:linePitch="312" w:charSpace="0"/>
        </w:sectPr>
      </w:pPr>
    </w:p>
    <w:p>
      <w:pPr>
        <w:pStyle w:val="4"/>
        <w:snapToGrid w:val="0"/>
        <w:spacing w:before="0" w:after="0" w:line="360" w:lineRule="auto"/>
        <w:rPr>
          <w:rFonts w:ascii="宋体" w:hAnsi="宋体" w:cs="宋体"/>
          <w:sz w:val="28"/>
          <w:szCs w:val="28"/>
        </w:rPr>
      </w:pPr>
      <w:r>
        <w:drawing>
          <wp:anchor distT="0" distB="0" distL="114300" distR="114300" simplePos="0" relativeHeight="251667456" behindDoc="1" locked="0" layoutInCell="1" allowOverlap="1">
            <wp:simplePos x="0" y="0"/>
            <wp:positionH relativeFrom="column">
              <wp:posOffset>461010</wp:posOffset>
            </wp:positionH>
            <wp:positionV relativeFrom="paragraph">
              <wp:posOffset>302895</wp:posOffset>
            </wp:positionV>
            <wp:extent cx="7597775" cy="5489575"/>
            <wp:effectExtent l="0" t="0" r="317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98080" cy="5489890"/>
                    </a:xfrm>
                    <a:prstGeom prst="rect">
                      <a:avLst/>
                    </a:prstGeom>
                  </pic:spPr>
                </pic:pic>
              </a:graphicData>
            </a:graphic>
          </wp:anchor>
        </w:drawing>
      </w:r>
      <w:r>
        <w:rPr>
          <w:rFonts w:hint="eastAsia" w:ascii="宋体" w:hAnsi="宋体" w:cs="宋体"/>
          <w:sz w:val="28"/>
          <w:szCs w:val="28"/>
        </w:rPr>
        <w:t>附图8  项目所在地沙化现状</w:t>
      </w:r>
    </w:p>
    <w:p>
      <w:pPr>
        <w:widowControl/>
        <w:jc w:val="left"/>
      </w:pPr>
    </w:p>
    <w:p>
      <w:pPr>
        <w:pStyle w:val="14"/>
        <w:sectPr>
          <w:pgSz w:w="16838" w:h="11906" w:orient="landscape"/>
          <w:pgMar w:top="1800" w:right="1440" w:bottom="1800" w:left="1440" w:header="851" w:footer="992" w:gutter="0"/>
          <w:cols w:space="425" w:num="1"/>
          <w:docGrid w:type="lines" w:linePitch="312" w:charSpace="0"/>
        </w:sectPr>
      </w:pPr>
    </w:p>
    <w:p>
      <w:pPr>
        <w:pStyle w:val="4"/>
        <w:snapToGrid w:val="0"/>
        <w:spacing w:before="0" w:after="0" w:line="360" w:lineRule="auto"/>
        <w:rPr>
          <w:rFonts w:ascii="宋体" w:hAnsi="宋体" w:cs="宋体"/>
          <w:sz w:val="28"/>
          <w:szCs w:val="28"/>
        </w:rPr>
      </w:pPr>
      <w:r>
        <w:rPr>
          <w:rFonts w:hint="eastAsia" w:ascii="宋体" w:hAnsi="宋体" w:cs="宋体"/>
          <w:sz w:val="28"/>
          <w:szCs w:val="28"/>
        </w:rPr>
        <w:t>附图9  现场踏勘照片</w:t>
      </w:r>
    </w:p>
    <w:p>
      <w:pPr>
        <w:rPr>
          <w:rFonts w:ascii="黑体" w:hAnsi="黑体" w:eastAsia="黑体"/>
          <w:szCs w:val="21"/>
        </w:rPr>
      </w:pPr>
      <w:r>
        <w:drawing>
          <wp:anchor distT="0" distB="0" distL="114300" distR="114300" simplePos="0" relativeHeight="251668480" behindDoc="0" locked="0" layoutInCell="1" allowOverlap="1">
            <wp:simplePos x="0" y="0"/>
            <wp:positionH relativeFrom="column">
              <wp:posOffset>927735</wp:posOffset>
            </wp:positionH>
            <wp:positionV relativeFrom="paragraph">
              <wp:posOffset>27305</wp:posOffset>
            </wp:positionV>
            <wp:extent cx="3992880" cy="3033395"/>
            <wp:effectExtent l="0" t="0" r="762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extLst>
                        <a:ext uri="{28A0092B-C50C-407E-A947-70E740481C1C}">
                          <a14:useLocalDpi xmlns:a14="http://schemas.microsoft.com/office/drawing/2010/main" val="0"/>
                        </a:ext>
                      </a:extLst>
                    </a:blip>
                    <a:srcRect t="5037"/>
                    <a:stretch>
                      <a:fillRect/>
                    </a:stretch>
                  </pic:blipFill>
                  <pic:spPr>
                    <a:xfrm>
                      <a:off x="0" y="0"/>
                      <a:ext cx="3992880" cy="3033395"/>
                    </a:xfrm>
                    <a:prstGeom prst="rect">
                      <a:avLst/>
                    </a:prstGeom>
                    <a:ln>
                      <a:noFill/>
                    </a:ln>
                  </pic:spPr>
                </pic:pic>
              </a:graphicData>
            </a:graphic>
          </wp:anchor>
        </w:drawing>
      </w:r>
    </w:p>
    <w:p>
      <w:pPr>
        <w:widowControl/>
        <w:jc w:val="left"/>
      </w:pPr>
      <w:bookmarkStart w:id="34" w:name="_Hlk103259144"/>
    </w:p>
    <w:p/>
    <w:p/>
    <w:p/>
    <w:p/>
    <w:p/>
    <w:p/>
    <w:p/>
    <w:p/>
    <w:p/>
    <w:p/>
    <w:p/>
    <w:p/>
    <w:p>
      <w:pPr>
        <w:tabs>
          <w:tab w:val="left" w:pos="3120"/>
          <w:tab w:val="center" w:pos="6831"/>
          <w:tab w:val="left" w:pos="8370"/>
        </w:tabs>
        <w:jc w:val="left"/>
      </w:pPr>
      <w:r>
        <w:tab/>
      </w:r>
      <w:r>
        <w:tab/>
      </w:r>
      <w:r>
        <w:tab/>
      </w:r>
    </w:p>
    <w:p>
      <w:pPr>
        <w:tabs>
          <w:tab w:val="left" w:pos="3120"/>
        </w:tabs>
      </w:pPr>
    </w:p>
    <w:p/>
    <w:p/>
    <w:p/>
    <w:p/>
    <w:p>
      <w:pPr>
        <w:jc w:val="center"/>
        <w:rPr>
          <w:rFonts w:ascii="黑体" w:hAnsi="黑体" w:eastAsia="黑体"/>
        </w:rPr>
      </w:pPr>
      <w:r>
        <w:rPr>
          <w:rFonts w:hint="eastAsia" w:ascii="黑体" w:hAnsi="黑体" w:eastAsia="黑体"/>
        </w:rPr>
        <w:t>康9井位</w:t>
      </w:r>
    </w:p>
    <w:p>
      <w:r>
        <w:drawing>
          <wp:anchor distT="0" distB="0" distL="114300" distR="114300" simplePos="0" relativeHeight="251669504" behindDoc="0" locked="0" layoutInCell="1" allowOverlap="1">
            <wp:simplePos x="0" y="0"/>
            <wp:positionH relativeFrom="column">
              <wp:posOffset>928370</wp:posOffset>
            </wp:positionH>
            <wp:positionV relativeFrom="paragraph">
              <wp:posOffset>45085</wp:posOffset>
            </wp:positionV>
            <wp:extent cx="3992880" cy="2939415"/>
            <wp:effectExtent l="0" t="0" r="762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92880" cy="2939415"/>
                    </a:xfrm>
                    <a:prstGeom prst="rect">
                      <a:avLst/>
                    </a:prstGeom>
                  </pic:spPr>
                </pic:pic>
              </a:graphicData>
            </a:graphic>
          </wp:anchor>
        </w:drawing>
      </w:r>
    </w:p>
    <w:p/>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黑体" w:hAnsi="黑体" w:eastAsia="黑体"/>
        </w:rPr>
      </w:pPr>
      <w:r>
        <w:rPr>
          <w:rFonts w:hint="eastAsia" w:ascii="黑体" w:hAnsi="黑体" w:eastAsia="黑体"/>
        </w:rPr>
        <w:t>康9井周边环境</w:t>
      </w:r>
    </w:p>
    <w:p>
      <w:pPr>
        <w:tabs>
          <w:tab w:val="left" w:pos="3585"/>
        </w:tabs>
      </w:pPr>
      <w:r>
        <w:tab/>
      </w:r>
      <w:bookmarkEnd w:id="34"/>
    </w:p>
    <w:p>
      <w:pPr>
        <w:sectPr>
          <w:pgSz w:w="11906" w:h="16838"/>
          <w:pgMar w:top="1588" w:right="1418" w:bottom="1588" w:left="1418" w:header="1021" w:footer="1021" w:gutter="0"/>
          <w:cols w:space="720" w:num="1"/>
          <w:docGrid w:linePitch="312" w:charSpace="0"/>
        </w:sectPr>
      </w:pPr>
    </w:p>
    <w:p>
      <w:pPr>
        <w:pStyle w:val="4"/>
        <w:snapToGrid w:val="0"/>
        <w:spacing w:before="0" w:after="0" w:line="360" w:lineRule="auto"/>
        <w:rPr>
          <w:rFonts w:ascii="宋体" w:hAnsi="宋体" w:cs="宋体"/>
          <w:sz w:val="28"/>
          <w:szCs w:val="28"/>
        </w:rPr>
      </w:pPr>
      <w:r>
        <w:rPr>
          <w:b w:val="0"/>
          <w:bCs/>
        </w:rPr>
        <w:drawing>
          <wp:anchor distT="0" distB="0" distL="114300" distR="114300" simplePos="0" relativeHeight="251670528" behindDoc="0" locked="0" layoutInCell="1" allowOverlap="1">
            <wp:simplePos x="0" y="0"/>
            <wp:positionH relativeFrom="column">
              <wp:posOffset>-121285</wp:posOffset>
            </wp:positionH>
            <wp:positionV relativeFrom="paragraph">
              <wp:posOffset>264795</wp:posOffset>
            </wp:positionV>
            <wp:extent cx="5543550" cy="785241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3550" cy="7852410"/>
                    </a:xfrm>
                    <a:prstGeom prst="rect">
                      <a:avLst/>
                    </a:prstGeom>
                  </pic:spPr>
                </pic:pic>
              </a:graphicData>
            </a:graphic>
          </wp:anchor>
        </w:drawing>
      </w:r>
      <w:r>
        <w:rPr>
          <w:rFonts w:hint="eastAsia" w:ascii="宋体" w:hAnsi="宋体" w:cs="宋体"/>
          <w:sz w:val="28"/>
          <w:szCs w:val="28"/>
        </w:rPr>
        <w:t>附件  委托书</w:t>
      </w:r>
    </w:p>
    <w:p>
      <w:pPr>
        <w:pStyle w:val="14"/>
        <w:ind w:left="0"/>
        <w:sectPr>
          <w:pgSz w:w="11906" w:h="16838"/>
          <w:pgMar w:top="1440" w:right="1800" w:bottom="1440" w:left="1800" w:header="851" w:footer="992" w:gutter="0"/>
          <w:cols w:space="425" w:num="1"/>
          <w:docGrid w:type="lines" w:linePitch="312" w:charSpace="0"/>
        </w:sectPr>
      </w:pPr>
    </w:p>
    <w:p>
      <w:pPr>
        <w:snapToGrid w:val="0"/>
        <w:spacing w:before="249" w:beforeLines="80" w:line="500" w:lineRule="exact"/>
        <w:jc w:val="center"/>
        <w:rPr>
          <w:rFonts w:ascii="宋体" w:hAnsi="宋体"/>
          <w:b/>
          <w:bCs/>
          <w:spacing w:val="-8"/>
          <w:sz w:val="32"/>
          <w:szCs w:val="32"/>
        </w:rPr>
      </w:pPr>
      <w:r>
        <w:rPr>
          <w:rFonts w:hint="eastAsia" w:ascii="宋体" w:hAnsi="宋体"/>
          <w:b/>
          <w:bCs/>
          <w:spacing w:val="-8"/>
          <w:sz w:val="32"/>
          <w:szCs w:val="32"/>
        </w:rPr>
        <w:t>康9井勘探钻探项目</w:t>
      </w:r>
    </w:p>
    <w:p>
      <w:pPr>
        <w:spacing w:line="1120" w:lineRule="exact"/>
        <w:jc w:val="center"/>
        <w:rPr>
          <w:rFonts w:ascii="宋体" w:hAnsi="宋体"/>
          <w:b/>
          <w:bCs/>
          <w:sz w:val="84"/>
          <w:szCs w:val="84"/>
        </w:rPr>
      </w:pPr>
      <w:r>
        <w:rPr>
          <w:rFonts w:hint="eastAsia" w:ascii="宋体" w:hAnsi="宋体"/>
          <w:b/>
          <w:bCs/>
          <w:sz w:val="84"/>
          <w:szCs w:val="84"/>
        </w:rPr>
        <w:t>环</w:t>
      </w:r>
      <w:r>
        <w:rPr>
          <w:rFonts w:hint="eastAsia" w:ascii="宋体" w:hAnsi="宋体"/>
          <w:b/>
          <w:bCs/>
          <w:sz w:val="52"/>
          <w:szCs w:val="52"/>
        </w:rPr>
        <w:t xml:space="preserve"> </w:t>
      </w:r>
      <w:r>
        <w:rPr>
          <w:rFonts w:hint="eastAsia" w:ascii="宋体" w:hAnsi="宋体"/>
          <w:b/>
          <w:bCs/>
          <w:sz w:val="84"/>
          <w:szCs w:val="84"/>
        </w:rPr>
        <w:t>境</w:t>
      </w:r>
      <w:r>
        <w:rPr>
          <w:rFonts w:hint="eastAsia" w:ascii="宋体" w:hAnsi="宋体"/>
          <w:b/>
          <w:bCs/>
          <w:sz w:val="52"/>
          <w:szCs w:val="52"/>
        </w:rPr>
        <w:t xml:space="preserve"> </w:t>
      </w:r>
      <w:r>
        <w:rPr>
          <w:rFonts w:hint="eastAsia" w:ascii="宋体" w:hAnsi="宋体"/>
          <w:b/>
          <w:bCs/>
          <w:sz w:val="84"/>
          <w:szCs w:val="84"/>
        </w:rPr>
        <w:t>影</w:t>
      </w:r>
      <w:r>
        <w:rPr>
          <w:rFonts w:hint="eastAsia" w:ascii="宋体" w:hAnsi="宋体"/>
          <w:b/>
          <w:bCs/>
          <w:sz w:val="52"/>
          <w:szCs w:val="52"/>
        </w:rPr>
        <w:t xml:space="preserve"> </w:t>
      </w:r>
      <w:r>
        <w:rPr>
          <w:rFonts w:hint="eastAsia" w:ascii="宋体" w:hAnsi="宋体"/>
          <w:b/>
          <w:bCs/>
          <w:sz w:val="84"/>
          <w:szCs w:val="84"/>
        </w:rPr>
        <w:t>响</w:t>
      </w:r>
      <w:r>
        <w:rPr>
          <w:rFonts w:hint="eastAsia" w:ascii="宋体" w:hAnsi="宋体"/>
          <w:b/>
          <w:bCs/>
          <w:sz w:val="52"/>
          <w:szCs w:val="52"/>
        </w:rPr>
        <w:t xml:space="preserve"> </w:t>
      </w:r>
      <w:r>
        <w:rPr>
          <w:rFonts w:hint="eastAsia" w:ascii="宋体" w:hAnsi="宋体"/>
          <w:b/>
          <w:bCs/>
          <w:sz w:val="84"/>
          <w:szCs w:val="84"/>
        </w:rPr>
        <w:t>报</w:t>
      </w:r>
      <w:r>
        <w:rPr>
          <w:rFonts w:hint="eastAsia" w:ascii="宋体" w:hAnsi="宋体"/>
          <w:b/>
          <w:bCs/>
          <w:sz w:val="52"/>
          <w:szCs w:val="52"/>
        </w:rPr>
        <w:t xml:space="preserve"> </w:t>
      </w:r>
      <w:r>
        <w:rPr>
          <w:rFonts w:hint="eastAsia" w:ascii="宋体" w:hAnsi="宋体"/>
          <w:b/>
          <w:bCs/>
          <w:sz w:val="84"/>
          <w:szCs w:val="84"/>
        </w:rPr>
        <w:t>告</w:t>
      </w:r>
      <w:r>
        <w:rPr>
          <w:rFonts w:hint="eastAsia" w:ascii="宋体" w:hAnsi="宋体"/>
          <w:b/>
          <w:bCs/>
          <w:sz w:val="52"/>
          <w:szCs w:val="52"/>
        </w:rPr>
        <w:t xml:space="preserve"> </w:t>
      </w:r>
      <w:r>
        <w:rPr>
          <w:rFonts w:hint="eastAsia" w:ascii="宋体" w:hAnsi="宋体"/>
          <w:b/>
          <w:bCs/>
          <w:sz w:val="84"/>
          <w:szCs w:val="84"/>
        </w:rPr>
        <w:t>表</w:t>
      </w:r>
    </w:p>
    <w:p>
      <w:pPr>
        <w:snapToGrid w:val="0"/>
        <w:spacing w:line="360" w:lineRule="auto"/>
        <w:jc w:val="center"/>
        <w:outlineLvl w:val="0"/>
        <w:rPr>
          <w:rFonts w:ascii="宋体" w:hAnsi="宋体" w:cs="Calibri"/>
          <w:b/>
          <w:bCs/>
          <w:sz w:val="32"/>
          <w:szCs w:val="32"/>
        </w:rPr>
      </w:pPr>
      <w:r>
        <w:rPr>
          <w:rFonts w:hint="eastAsia" w:ascii="宋体" w:hAnsi="宋体" w:cs="Calibri"/>
          <w:b/>
          <w:bCs/>
          <w:sz w:val="32"/>
          <w:szCs w:val="32"/>
        </w:rPr>
        <w:t>专家函审意见</w:t>
      </w:r>
    </w:p>
    <w:p>
      <w:pPr>
        <w:snapToGrid w:val="0"/>
        <w:spacing w:line="360" w:lineRule="auto"/>
        <w:ind w:firstLine="44" w:firstLineChars="10"/>
        <w:jc w:val="center"/>
        <w:rPr>
          <w:rFonts w:ascii="宋体" w:hAnsi="宋体"/>
          <w:b/>
          <w:bCs/>
          <w:sz w:val="44"/>
          <w:szCs w:val="44"/>
        </w:rPr>
      </w:pPr>
      <w:r>
        <w:rPr>
          <w:rFonts w:hint="eastAsia" w:ascii="宋体" w:hAnsi="宋体"/>
          <w:b/>
          <w:bCs/>
          <w:sz w:val="44"/>
          <w:szCs w:val="44"/>
        </w:rPr>
        <w:t>修</w:t>
      </w:r>
    </w:p>
    <w:p>
      <w:pPr>
        <w:snapToGrid w:val="0"/>
        <w:spacing w:line="360" w:lineRule="auto"/>
        <w:ind w:firstLine="44" w:firstLineChars="10"/>
        <w:jc w:val="center"/>
        <w:rPr>
          <w:rFonts w:ascii="宋体" w:hAnsi="宋体"/>
          <w:b/>
          <w:bCs/>
          <w:sz w:val="44"/>
          <w:szCs w:val="44"/>
        </w:rPr>
      </w:pPr>
      <w:r>
        <w:rPr>
          <w:rFonts w:hint="eastAsia" w:ascii="宋体" w:hAnsi="宋体"/>
          <w:b/>
          <w:bCs/>
          <w:sz w:val="44"/>
          <w:szCs w:val="44"/>
        </w:rPr>
        <w:t>改</w:t>
      </w:r>
    </w:p>
    <w:p>
      <w:pPr>
        <w:snapToGrid w:val="0"/>
        <w:spacing w:line="360" w:lineRule="auto"/>
        <w:ind w:firstLine="44" w:firstLineChars="10"/>
        <w:jc w:val="center"/>
        <w:rPr>
          <w:rFonts w:ascii="宋体" w:hAnsi="宋体"/>
          <w:b/>
          <w:bCs/>
          <w:sz w:val="44"/>
          <w:szCs w:val="44"/>
        </w:rPr>
      </w:pPr>
      <w:r>
        <w:rPr>
          <w:rFonts w:hint="eastAsia" w:ascii="宋体" w:hAnsi="宋体"/>
          <w:b/>
          <w:bCs/>
          <w:sz w:val="44"/>
          <w:szCs w:val="44"/>
        </w:rPr>
        <w:t>说</w:t>
      </w:r>
    </w:p>
    <w:p>
      <w:pPr>
        <w:snapToGrid w:val="0"/>
        <w:spacing w:line="360" w:lineRule="auto"/>
        <w:ind w:firstLine="44" w:firstLineChars="10"/>
        <w:jc w:val="center"/>
        <w:rPr>
          <w:rFonts w:ascii="宋体" w:hAnsi="宋体" w:cs="Calibri"/>
          <w:b/>
          <w:bCs/>
          <w:sz w:val="44"/>
          <w:szCs w:val="44"/>
        </w:rPr>
      </w:pPr>
      <w:r>
        <w:rPr>
          <w:rFonts w:hint="eastAsia" w:ascii="宋体" w:hAnsi="宋体"/>
          <w:b/>
          <w:bCs/>
          <w:sz w:val="44"/>
          <w:szCs w:val="44"/>
        </w:rPr>
        <w:t>明</w:t>
      </w:r>
    </w:p>
    <w:p>
      <w:pPr>
        <w:jc w:val="center"/>
        <w:rPr>
          <w:rFonts w:ascii="宋体" w:hAnsi="宋体"/>
          <w:b/>
          <w:bCs/>
          <w:sz w:val="28"/>
          <w:szCs w:val="28"/>
        </w:rPr>
      </w:pPr>
      <w:r>
        <w:rPr>
          <w:rFonts w:hint="eastAsia" w:ascii="宋体" w:hAnsi="宋体"/>
          <w:b/>
          <w:bCs/>
          <w:sz w:val="28"/>
          <w:szCs w:val="28"/>
        </w:rPr>
        <w:t xml:space="preserve"> </w:t>
      </w:r>
    </w:p>
    <w:p>
      <w:pPr>
        <w:jc w:val="center"/>
        <w:rPr>
          <w:rFonts w:ascii="宋体" w:hAnsi="宋体"/>
          <w:b/>
          <w:bCs/>
          <w:sz w:val="28"/>
          <w:szCs w:val="28"/>
        </w:rPr>
      </w:pPr>
    </w:p>
    <w:p>
      <w:pPr>
        <w:jc w:val="center"/>
        <w:rPr>
          <w:rFonts w:ascii="宋体" w:hAnsi="宋体"/>
          <w:b/>
          <w:bCs/>
          <w:sz w:val="28"/>
          <w:szCs w:val="28"/>
        </w:rPr>
      </w:pPr>
      <w:r>
        <w:rPr>
          <w:rFonts w:hint="eastAsia" w:ascii="宋体" w:hAnsi="宋体"/>
          <w:b/>
          <w:bCs/>
          <w:sz w:val="28"/>
          <w:szCs w:val="28"/>
        </w:rPr>
        <w:t xml:space="preserve"> </w:t>
      </w:r>
    </w:p>
    <w:p>
      <w:pPr>
        <w:spacing w:line="360" w:lineRule="auto"/>
        <w:ind w:firstLine="643" w:firstLineChars="200"/>
        <w:rPr>
          <w:rFonts w:ascii="宋体" w:hAnsi="宋体"/>
          <w:b/>
          <w:bCs/>
          <w:sz w:val="32"/>
          <w:szCs w:val="32"/>
        </w:rPr>
      </w:pPr>
      <w:r>
        <w:rPr>
          <w:rFonts w:hint="eastAsia" w:ascii="宋体" w:hAnsi="宋体"/>
          <w:b/>
          <w:bCs/>
          <w:sz w:val="32"/>
          <w:szCs w:val="32"/>
        </w:rPr>
        <w:t>建设单位：中国石油新疆油田分公司勘探事业部</w:t>
      </w:r>
    </w:p>
    <w:p>
      <w:pPr>
        <w:spacing w:line="360" w:lineRule="auto"/>
        <w:ind w:firstLine="643" w:firstLineChars="200"/>
        <w:rPr>
          <w:rFonts w:ascii="宋体" w:hAnsi="宋体"/>
          <w:b/>
          <w:bCs/>
          <w:sz w:val="32"/>
          <w:szCs w:val="32"/>
        </w:rPr>
      </w:pPr>
      <w:r>
        <w:rPr>
          <w:rFonts w:hint="eastAsia" w:ascii="宋体" w:hAnsi="宋体"/>
          <w:b/>
          <w:bCs/>
          <w:sz w:val="32"/>
          <w:szCs w:val="32"/>
        </w:rPr>
        <w:t>编制单位：中勘冶金勘察设计研究院有限责任公司</w:t>
      </w:r>
    </w:p>
    <w:p>
      <w:pPr>
        <w:spacing w:line="360" w:lineRule="auto"/>
        <w:ind w:firstLine="643" w:firstLineChars="200"/>
        <w:rPr>
          <w:rFonts w:ascii="宋体" w:hAnsi="宋体"/>
          <w:b/>
          <w:bCs/>
          <w:sz w:val="32"/>
          <w:szCs w:val="32"/>
        </w:rPr>
      </w:pPr>
      <w:r>
        <w:rPr>
          <w:rFonts w:hint="eastAsia" w:ascii="宋体" w:hAnsi="宋体"/>
          <w:b/>
          <w:bCs/>
          <w:sz w:val="32"/>
          <w:szCs w:val="32"/>
        </w:rPr>
        <w:t>编制时间：二〇二二年六月</w:t>
      </w:r>
    </w:p>
    <w:p>
      <w:pPr>
        <w:spacing w:line="360" w:lineRule="auto"/>
        <w:ind w:firstLine="964" w:firstLineChars="300"/>
        <w:rPr>
          <w:rFonts w:ascii="宋体" w:hAnsi="宋体"/>
          <w:b/>
          <w:bCs/>
          <w:sz w:val="32"/>
          <w:szCs w:val="32"/>
        </w:rPr>
      </w:pPr>
    </w:p>
    <w:p>
      <w:pPr>
        <w:widowControl/>
        <w:jc w:val="left"/>
        <w:rPr>
          <w:rFonts w:ascii="宋体" w:hAnsi="宋体"/>
          <w:b/>
          <w:bCs/>
          <w:kern w:val="0"/>
          <w:sz w:val="24"/>
        </w:rPr>
      </w:pPr>
    </w:p>
    <w:p>
      <w:pPr>
        <w:spacing w:line="440" w:lineRule="exact"/>
        <w:rPr>
          <w:rFonts w:ascii="黑体" w:hAnsi="黑体" w:eastAsia="黑体"/>
          <w:kern w:val="0"/>
          <w:sz w:val="28"/>
          <w:szCs w:val="28"/>
        </w:rPr>
        <w:sectPr>
          <w:footerReference r:id="rId7" w:type="default"/>
          <w:pgSz w:w="11906" w:h="16838"/>
          <w:pgMar w:top="1440" w:right="1800" w:bottom="1440" w:left="1800" w:header="851" w:footer="992" w:gutter="0"/>
          <w:cols w:space="720" w:num="1"/>
          <w:docGrid w:type="lines" w:linePitch="312" w:charSpace="0"/>
        </w:sectPr>
      </w:pPr>
    </w:p>
    <w:p>
      <w:pPr>
        <w:spacing w:line="440" w:lineRule="exact"/>
        <w:rPr>
          <w:rFonts w:ascii="黑体" w:hAnsi="黑体" w:eastAsia="黑体"/>
          <w:kern w:val="0"/>
          <w:sz w:val="28"/>
          <w:szCs w:val="28"/>
        </w:rPr>
      </w:pPr>
      <w:r>
        <w:rPr>
          <w:rFonts w:hint="eastAsia" w:ascii="黑体" w:hAnsi="黑体" w:eastAsia="黑体"/>
          <w:kern w:val="0"/>
          <w:sz w:val="28"/>
          <w:szCs w:val="28"/>
        </w:rPr>
        <w:t>昌吉回族自治州生态环境局：</w:t>
      </w:r>
    </w:p>
    <w:p>
      <w:pPr>
        <w:spacing w:line="500" w:lineRule="exact"/>
        <w:ind w:firstLine="480" w:firstLineChars="200"/>
        <w:contextualSpacing/>
        <w:rPr>
          <w:rFonts w:ascii="宋体" w:hAnsi="宋体"/>
          <w:kern w:val="0"/>
          <w:sz w:val="24"/>
        </w:rPr>
      </w:pPr>
      <w:r>
        <w:rPr>
          <w:rFonts w:hint="eastAsia" w:ascii="宋体" w:hAnsi="宋体"/>
          <w:kern w:val="0"/>
          <w:sz w:val="24"/>
        </w:rPr>
        <w:t>我单位按照专家提出的宝贵意见对报告表相关内容进行了补充、修改、完善，具体内容如下：</w:t>
      </w:r>
    </w:p>
    <w:p>
      <w:pPr>
        <w:spacing w:line="500" w:lineRule="exact"/>
        <w:rPr>
          <w:rFonts w:ascii="宋体" w:hAnsi="宋体"/>
          <w:b/>
          <w:sz w:val="24"/>
        </w:rPr>
      </w:pPr>
      <w:r>
        <w:rPr>
          <w:rFonts w:hint="eastAsia" w:ascii="宋体" w:hAnsi="宋体"/>
          <w:b/>
          <w:sz w:val="24"/>
        </w:rPr>
        <w:t>1、杨永虎专家意见：</w:t>
      </w:r>
    </w:p>
    <w:p>
      <w:pPr>
        <w:spacing w:line="500" w:lineRule="exact"/>
        <w:rPr>
          <w:rFonts w:ascii="宋体" w:hAnsi="宋体"/>
          <w:b/>
          <w:sz w:val="24"/>
        </w:rPr>
      </w:pPr>
      <w:r>
        <w:rPr>
          <w:rFonts w:hint="eastAsia" w:ascii="宋体" w:hAnsi="宋体"/>
          <w:b/>
          <w:sz w:val="24"/>
        </w:rPr>
        <w:t>（1）</w:t>
      </w:r>
      <w:r>
        <w:rPr>
          <w:rFonts w:ascii="宋体" w:hAnsi="宋体"/>
          <w:b/>
          <w:sz w:val="24"/>
        </w:rPr>
        <w:t>目前《新疆维吾尔自治区矿产资源总体规划（2021-2025年）》已经编制，建议评价分析与该规划的符合性，报告给出的是“十三五”规划，已经不适用；</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《新疆维吾尔自治区矿产资源总体规划（2021-2025年）》文本目前还未公开发布，因此目前根据《新疆维吾尔自治区矿产资源总体规划（2016—2020年）》分析符合性。</w:t>
      </w:r>
    </w:p>
    <w:p>
      <w:pPr>
        <w:spacing w:line="500" w:lineRule="exact"/>
        <w:rPr>
          <w:rFonts w:ascii="宋体" w:hAnsi="宋体"/>
          <w:b/>
          <w:sz w:val="24"/>
        </w:rPr>
      </w:pPr>
      <w:r>
        <w:rPr>
          <w:rFonts w:hint="eastAsia" w:ascii="宋体" w:hAnsi="宋体"/>
          <w:b/>
          <w:sz w:val="24"/>
        </w:rPr>
        <w:t>（2）</w:t>
      </w:r>
      <w:r>
        <w:rPr>
          <w:rFonts w:ascii="宋体" w:hAnsi="宋体"/>
          <w:b/>
          <w:sz w:val="24"/>
        </w:rPr>
        <w:t>完善项目建设与《昌吉回族自治州“三线一单”生态环境分区管控方案及生态环境准入清单》、《关于进一步加强石油天然气行业环境影响评价管理的通知》、《昌吉州生态环境保护“十四五”规划》的符合性分析；</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完善项目建设与《昌吉回族自治州“三线一单”生态环境分区管控方案及生态环境准入清单》、《关于进一步加强石油天然气行业环境影响评价管理的通知》、《昌吉州生态环境保护“十四五”规划》的符合性分析，具体见报告P3“相关环保政策”。</w:t>
      </w:r>
    </w:p>
    <w:p>
      <w:pPr>
        <w:snapToGrid w:val="0"/>
        <w:spacing w:line="500" w:lineRule="exact"/>
        <w:ind w:firstLine="482" w:firstLineChars="200"/>
        <w:rPr>
          <w:rFonts w:ascii="宋体" w:hAnsi="宋体"/>
          <w:bCs/>
          <w:sz w:val="24"/>
        </w:rPr>
      </w:pPr>
      <w:r>
        <w:rPr>
          <w:rFonts w:hint="eastAsia" w:ascii="宋体" w:hAnsi="宋体"/>
          <w:b/>
          <w:sz w:val="24"/>
        </w:rPr>
        <w:t>具体内容：</w:t>
      </w:r>
      <w:r>
        <w:rPr>
          <w:rFonts w:hint="eastAsia" w:ascii="宋体" w:hAnsi="宋体"/>
          <w:bCs/>
          <w:sz w:val="24"/>
        </w:rPr>
        <w:t>康</w:t>
      </w:r>
      <w:r>
        <w:rPr>
          <w:rFonts w:ascii="宋体" w:hAnsi="宋体"/>
          <w:bCs/>
          <w:sz w:val="24"/>
        </w:rPr>
        <w:t>9</w:t>
      </w:r>
      <w:r>
        <w:rPr>
          <w:rFonts w:hint="eastAsia" w:ascii="宋体" w:hAnsi="宋体"/>
          <w:bCs/>
          <w:sz w:val="24"/>
        </w:rPr>
        <w:t>井在新疆油田“一张图”区块范围外（见附图2），属于未确定产能建设规模的陆地石油天然气开采新区块的勘探；不属于“高污染、高环境风险产品”的工业项目；项目不涉及生态敏感区，不涉及生态保护红线，“三废”及噪声对区域环境质量影响小，不会突破区域环境质量底线；新鲜水和柴油消耗不会突破区域资源利用上线，符合昌吉回族自治州生态环境准入清单的要求。阜康市为新疆维吾尔自治区水土流失重点治理区，已提出了相应的水土保持措施，可将项目引起的水土流失的程度降低到最小限度。</w:t>
      </w:r>
    </w:p>
    <w:p>
      <w:pPr>
        <w:snapToGrid w:val="0"/>
        <w:spacing w:line="500" w:lineRule="exact"/>
        <w:ind w:firstLine="480" w:firstLineChars="200"/>
        <w:rPr>
          <w:rFonts w:ascii="宋体" w:hAnsi="宋体"/>
          <w:bCs/>
          <w:sz w:val="24"/>
        </w:rPr>
      </w:pPr>
      <w:r>
        <w:rPr>
          <w:rFonts w:hint="eastAsia" w:ascii="宋体" w:hAnsi="宋体"/>
          <w:bCs/>
          <w:sz w:val="24"/>
        </w:rPr>
        <w:t>井场设钻井液不落地设备，一开钻井采用水基钻井液，二开、三开采用油基钻井液，钻井液全部回用，岩屑实现无害化处置；施工结束后未沾油防渗膜由施工单位集中回收利用，沾油废防渗膜委托具有相应危险废物处置资质的单位处置，生活垃圾清运至吉木萨尔县生活垃圾填埋场；生活污水送至吉木萨尔县污水处理厂，洗井废水和压裂返排液运至沙南联合站；试油期产生的伴生气的气量少且不稳定，经放散管点燃后放空；施工期产生的污染物随施工期的结束而停止产生，不会对周围环境产生明显影响；钻井过程中使用水泥固井，用套管将含水层与井筒分隔开；井场采取了符合规范的防渗措施；无运营期，无需对环境现状质量进行监测。</w:t>
      </w:r>
    </w:p>
    <w:p>
      <w:pPr>
        <w:snapToGrid w:val="0"/>
        <w:spacing w:line="500" w:lineRule="exact"/>
        <w:ind w:firstLine="480" w:firstLineChars="200"/>
        <w:rPr>
          <w:rFonts w:ascii="宋体" w:hAnsi="宋体"/>
          <w:bCs/>
          <w:sz w:val="24"/>
        </w:rPr>
      </w:pPr>
      <w:r>
        <w:rPr>
          <w:rFonts w:hint="eastAsia" w:ascii="宋体" w:hAnsi="宋体"/>
          <w:bCs/>
          <w:sz w:val="24"/>
        </w:rPr>
        <w:t>环境风险防范执行《中国石油新疆油田分公司勘探事业部突发环境事件应急预案》，同时落实中国石油新疆油田分公司已建立的健康、安全与环境（HSE）管理体系。以上措施均符合《石油天然气开采业污染防治技术政策》、《新疆维吾尔自治区煤炭石油天然气开发环境保护条例》、《关于进一步加强石油天然气行业环境影响评价管理的通知》、《新疆生态环境保护“十四五”规划》和《昌吉州生态环境保护“十四五”规划》的相关要求。</w:t>
      </w:r>
    </w:p>
    <w:p>
      <w:pPr>
        <w:spacing w:line="500" w:lineRule="exact"/>
        <w:rPr>
          <w:rFonts w:ascii="宋体" w:hAnsi="宋体"/>
          <w:b/>
          <w:sz w:val="24"/>
        </w:rPr>
      </w:pPr>
      <w:r>
        <w:rPr>
          <w:rFonts w:hint="eastAsia" w:ascii="宋体" w:hAnsi="宋体"/>
          <w:b/>
          <w:sz w:val="24"/>
        </w:rPr>
        <w:t>（3）</w:t>
      </w:r>
      <w:r>
        <w:rPr>
          <w:rFonts w:ascii="宋体" w:hAnsi="宋体"/>
          <w:b/>
          <w:sz w:val="24"/>
        </w:rPr>
        <w:t>核实项目占地面积，根据报告介绍，本次评价给出的占地面积全部为临时占地面积，一般情况下勘探井完成钻探后根据油气资源情况确定后续是否进行开发，若无利用价值则永久封井，因此建议评价结合勘探完成后的利用价值，核实项目是否设置永久占地，针对项目临时占地建议给出临时占地征用时间，说明目前临时占地是否办理了征地手续；</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已和建设单位核实项目占地面积，具体见报告P1</w:t>
      </w:r>
      <w:r>
        <w:rPr>
          <w:rFonts w:ascii="宋体" w:hAnsi="宋体"/>
          <w:bCs/>
          <w:sz w:val="24"/>
        </w:rPr>
        <w:t>4</w:t>
      </w:r>
      <w:r>
        <w:rPr>
          <w:rFonts w:hint="eastAsia" w:ascii="宋体" w:hAnsi="宋体"/>
          <w:bCs/>
          <w:sz w:val="24"/>
        </w:rPr>
        <w:t>“（1）工程占地”。本项目占地均为临时占地，目前建设单位正在办理征地手续；根据钻井期和试油期计划的施工进度，建议临时占地征用时间大于18</w:t>
      </w:r>
      <w:r>
        <w:rPr>
          <w:rFonts w:ascii="宋体" w:hAnsi="宋体"/>
          <w:bCs/>
          <w:sz w:val="24"/>
        </w:rPr>
        <w:t>3</w:t>
      </w:r>
      <w:r>
        <w:rPr>
          <w:rFonts w:hint="eastAsia" w:ascii="宋体" w:hAnsi="宋体"/>
          <w:bCs/>
          <w:sz w:val="24"/>
        </w:rPr>
        <w:t>天。</w:t>
      </w:r>
    </w:p>
    <w:p>
      <w:pPr>
        <w:snapToGrid w:val="0"/>
        <w:spacing w:line="500" w:lineRule="exact"/>
        <w:ind w:firstLine="480" w:firstLineChars="200"/>
        <w:rPr>
          <w:rFonts w:ascii="宋体" w:hAnsi="宋体"/>
          <w:bCs/>
          <w:sz w:val="24"/>
        </w:rPr>
      </w:pPr>
      <w:r>
        <w:rPr>
          <w:rFonts w:hint="eastAsia" w:ascii="宋体" w:hAnsi="宋体"/>
          <w:bCs/>
          <w:sz w:val="24"/>
        </w:rPr>
        <w:t>试油作业结束后，若油气产量显示该井具备商业开采价值，则对其进行关井，后期根据油田开发要求转为开采井，转产前应开展产能建设工程环境影响评价并设置永久占地；如该井不具备开采价值，则对地面设施进行拆除，对井口按照新疆油田公司勘探事业部《勘探废弃井弃置管理规定（试行）》进行封井作业，撤去所有生产设施，清理、平整井场。</w:t>
      </w:r>
    </w:p>
    <w:p>
      <w:pPr>
        <w:widowControl/>
        <w:snapToGrid w:val="0"/>
        <w:spacing w:line="500" w:lineRule="exact"/>
        <w:ind w:firstLine="482" w:firstLineChars="200"/>
        <w:rPr>
          <w:rFonts w:ascii="宋体" w:hAnsi="宋体"/>
          <w:b/>
          <w:kern w:val="0"/>
          <w:sz w:val="24"/>
          <w:szCs w:val="18"/>
        </w:rPr>
      </w:pPr>
      <w:r>
        <w:rPr>
          <w:rFonts w:hint="eastAsia" w:ascii="宋体" w:hAnsi="宋体"/>
          <w:b/>
          <w:kern w:val="0"/>
          <w:sz w:val="24"/>
          <w:szCs w:val="18"/>
        </w:rPr>
        <w:t>具体内容：</w:t>
      </w:r>
    </w:p>
    <w:p>
      <w:pPr>
        <w:widowControl/>
        <w:snapToGrid w:val="0"/>
        <w:spacing w:line="500" w:lineRule="exact"/>
        <w:ind w:firstLine="480" w:firstLineChars="200"/>
        <w:rPr>
          <w:rFonts w:ascii="宋体" w:hAnsi="宋体" w:cs="宋体"/>
          <w:kern w:val="0"/>
          <w:sz w:val="24"/>
        </w:rPr>
      </w:pPr>
      <w:r>
        <w:rPr>
          <w:rFonts w:hint="eastAsia" w:ascii="宋体" w:hAnsi="宋体" w:cs="宋体"/>
          <w:kern w:val="0"/>
          <w:sz w:val="24"/>
        </w:rPr>
        <w:t>康9井占地主要包括探临道路、井场、放喷管线和生活营地等，总占地面积</w:t>
      </w:r>
      <w:r>
        <w:rPr>
          <w:rFonts w:ascii="宋体" w:hAnsi="宋体" w:cs="宋体"/>
          <w:kern w:val="0"/>
          <w:sz w:val="24"/>
        </w:rPr>
        <w:t>20490</w:t>
      </w:r>
      <w:r>
        <w:rPr>
          <w:rFonts w:hint="eastAsia" w:ascii="宋体" w:hAnsi="宋体" w:cs="宋体"/>
          <w:kern w:val="0"/>
          <w:sz w:val="24"/>
        </w:rPr>
        <w:t>m</w:t>
      </w:r>
      <w:r>
        <w:rPr>
          <w:rFonts w:hint="eastAsia" w:ascii="宋体" w:hAnsi="宋体" w:cs="宋体"/>
          <w:kern w:val="0"/>
          <w:sz w:val="24"/>
          <w:vertAlign w:val="superscript"/>
        </w:rPr>
        <w:t>2</w:t>
      </w:r>
      <w:r>
        <w:rPr>
          <w:rFonts w:hint="eastAsia" w:ascii="宋体" w:hAnsi="宋体" w:cs="宋体"/>
          <w:kern w:val="0"/>
          <w:sz w:val="24"/>
        </w:rPr>
        <w:t>，均为临时占地。项目井场占地情况见表9。</w:t>
      </w:r>
    </w:p>
    <w:p>
      <w:pPr>
        <w:spacing w:line="500" w:lineRule="exact"/>
        <w:ind w:firstLine="420" w:firstLineChars="200"/>
        <w:jc w:val="center"/>
        <w:rPr>
          <w:rFonts w:ascii="黑体" w:hAnsi="黑体" w:eastAsia="黑体"/>
          <w:szCs w:val="21"/>
        </w:rPr>
      </w:pPr>
    </w:p>
    <w:p>
      <w:pPr>
        <w:spacing w:line="500" w:lineRule="exact"/>
        <w:ind w:firstLine="420" w:firstLineChars="200"/>
        <w:jc w:val="center"/>
        <w:rPr>
          <w:rFonts w:ascii="黑体" w:hAnsi="黑体" w:eastAsia="黑体"/>
          <w:szCs w:val="21"/>
        </w:rPr>
      </w:pPr>
      <w:r>
        <w:rPr>
          <w:rFonts w:hint="eastAsia" w:ascii="黑体" w:hAnsi="黑体" w:eastAsia="黑体"/>
          <w:szCs w:val="21"/>
        </w:rPr>
        <w:t>表9</w:t>
      </w:r>
      <w:r>
        <w:rPr>
          <w:rFonts w:ascii="黑体" w:hAnsi="黑体" w:eastAsia="黑体"/>
          <w:szCs w:val="21"/>
        </w:rPr>
        <w:t xml:space="preserve">  </w:t>
      </w:r>
      <w:r>
        <w:rPr>
          <w:rFonts w:hint="eastAsia" w:ascii="黑体" w:hAnsi="黑体" w:eastAsia="黑体"/>
          <w:szCs w:val="21"/>
        </w:rPr>
        <w:t>工程占地一览表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658"/>
        <w:gridCol w:w="2054"/>
        <w:gridCol w:w="1703"/>
        <w:gridCol w:w="1553"/>
        <w:gridCol w:w="14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85" w:type="pct"/>
            <w:vAlign w:val="center"/>
          </w:tcPr>
          <w:p>
            <w:pPr>
              <w:widowControl/>
              <w:spacing w:line="300" w:lineRule="exact"/>
              <w:jc w:val="center"/>
              <w:rPr>
                <w:rFonts w:ascii="宋体" w:hAnsi="宋体" w:cs="Arial"/>
                <w:szCs w:val="21"/>
              </w:rPr>
            </w:pPr>
            <w:r>
              <w:rPr>
                <w:rFonts w:hint="eastAsia" w:ascii="宋体" w:hAnsi="宋体" w:cs="Arial"/>
                <w:szCs w:val="21"/>
              </w:rPr>
              <w:t>施工井场</w:t>
            </w:r>
          </w:p>
          <w:p>
            <w:pPr>
              <w:widowControl/>
              <w:spacing w:line="300" w:lineRule="exact"/>
              <w:jc w:val="center"/>
              <w:rPr>
                <w:rFonts w:ascii="宋体" w:hAnsi="宋体" w:cs="Arial"/>
                <w:szCs w:val="21"/>
              </w:rPr>
            </w:pPr>
            <w:r>
              <w:rPr>
                <w:rFonts w:hint="eastAsia" w:ascii="宋体" w:hAnsi="宋体" w:cs="Arial"/>
                <w:szCs w:val="21"/>
              </w:rPr>
              <w:t>（m×m）</w:t>
            </w:r>
          </w:p>
        </w:tc>
        <w:tc>
          <w:tcPr>
            <w:tcW w:w="1220" w:type="pct"/>
            <w:vAlign w:val="center"/>
          </w:tcPr>
          <w:p>
            <w:pPr>
              <w:widowControl/>
              <w:spacing w:line="300" w:lineRule="exact"/>
              <w:jc w:val="center"/>
              <w:rPr>
                <w:rFonts w:ascii="宋体" w:hAnsi="宋体" w:cs="Arial"/>
                <w:szCs w:val="21"/>
              </w:rPr>
            </w:pPr>
            <w:r>
              <w:rPr>
                <w:rFonts w:hint="eastAsia" w:ascii="宋体" w:hAnsi="宋体" w:cs="Arial"/>
                <w:szCs w:val="21"/>
              </w:rPr>
              <w:t>放喷管线</w:t>
            </w:r>
          </w:p>
          <w:p>
            <w:pPr>
              <w:widowControl/>
              <w:spacing w:line="300" w:lineRule="exact"/>
              <w:jc w:val="center"/>
              <w:rPr>
                <w:rFonts w:ascii="宋体" w:hAnsi="宋体" w:cs="Arial"/>
                <w:szCs w:val="21"/>
              </w:rPr>
            </w:pPr>
            <w:r>
              <w:rPr>
                <w:rFonts w:hint="eastAsia" w:ascii="宋体" w:hAnsi="宋体" w:cs="Arial"/>
                <w:szCs w:val="21"/>
              </w:rPr>
              <w:t>（m×m）</w:t>
            </w:r>
          </w:p>
        </w:tc>
        <w:tc>
          <w:tcPr>
            <w:tcW w:w="1011" w:type="pct"/>
            <w:vAlign w:val="center"/>
          </w:tcPr>
          <w:p>
            <w:pPr>
              <w:widowControl/>
              <w:spacing w:line="300" w:lineRule="exact"/>
              <w:jc w:val="center"/>
              <w:rPr>
                <w:rFonts w:ascii="宋体" w:hAnsi="宋体" w:cs="Arial"/>
                <w:szCs w:val="21"/>
              </w:rPr>
            </w:pPr>
            <w:r>
              <w:rPr>
                <w:rFonts w:hint="eastAsia" w:ascii="宋体" w:hAnsi="宋体" w:cs="Arial"/>
                <w:szCs w:val="21"/>
              </w:rPr>
              <w:t>生活营地</w:t>
            </w:r>
          </w:p>
          <w:p>
            <w:pPr>
              <w:widowControl/>
              <w:spacing w:line="300" w:lineRule="exact"/>
              <w:jc w:val="center"/>
              <w:rPr>
                <w:rFonts w:ascii="宋体" w:hAnsi="宋体" w:cs="Arial"/>
                <w:szCs w:val="21"/>
              </w:rPr>
            </w:pPr>
            <w:r>
              <w:rPr>
                <w:rFonts w:hint="eastAsia" w:ascii="宋体" w:hAnsi="宋体" w:cs="Arial"/>
                <w:szCs w:val="21"/>
              </w:rPr>
              <w:t>（m×m）</w:t>
            </w:r>
          </w:p>
        </w:tc>
        <w:tc>
          <w:tcPr>
            <w:tcW w:w="922" w:type="pct"/>
            <w:vAlign w:val="center"/>
          </w:tcPr>
          <w:p>
            <w:pPr>
              <w:widowControl/>
              <w:spacing w:line="300" w:lineRule="exact"/>
              <w:jc w:val="center"/>
              <w:rPr>
                <w:rFonts w:ascii="宋体" w:hAnsi="宋体" w:cs="Arial"/>
                <w:szCs w:val="21"/>
              </w:rPr>
            </w:pPr>
            <w:r>
              <w:rPr>
                <w:rFonts w:hint="eastAsia" w:ascii="宋体" w:hAnsi="宋体" w:cs="Arial"/>
                <w:szCs w:val="21"/>
              </w:rPr>
              <w:t>探临道路</w:t>
            </w:r>
          </w:p>
          <w:p>
            <w:pPr>
              <w:widowControl/>
              <w:spacing w:line="300" w:lineRule="exact"/>
              <w:jc w:val="center"/>
              <w:rPr>
                <w:rFonts w:ascii="宋体" w:hAnsi="宋体" w:cs="Arial"/>
                <w:szCs w:val="21"/>
              </w:rPr>
            </w:pPr>
            <w:r>
              <w:rPr>
                <w:rFonts w:hint="eastAsia" w:ascii="宋体" w:hAnsi="宋体" w:cs="Arial"/>
                <w:szCs w:val="21"/>
              </w:rPr>
              <w:t>（m×m）</w:t>
            </w:r>
          </w:p>
        </w:tc>
        <w:tc>
          <w:tcPr>
            <w:tcW w:w="862" w:type="pct"/>
            <w:vAlign w:val="center"/>
          </w:tcPr>
          <w:p>
            <w:pPr>
              <w:widowControl/>
              <w:spacing w:line="300" w:lineRule="exact"/>
              <w:jc w:val="center"/>
              <w:rPr>
                <w:rFonts w:ascii="宋体" w:hAnsi="宋体" w:cs="Arial"/>
                <w:szCs w:val="21"/>
              </w:rPr>
            </w:pPr>
            <w:r>
              <w:rPr>
                <w:rFonts w:hint="eastAsia" w:ascii="宋体" w:hAnsi="宋体" w:cs="Arial"/>
                <w:szCs w:val="21"/>
              </w:rPr>
              <w:t>总占地面积（m</w:t>
            </w:r>
            <w:r>
              <w:rPr>
                <w:rFonts w:hint="eastAsia" w:ascii="宋体" w:hAnsi="宋体" w:cs="Arial"/>
                <w:szCs w:val="21"/>
                <w:vertAlign w:val="superscript"/>
              </w:rPr>
              <w:t>2</w:t>
            </w:r>
            <w:r>
              <w:rPr>
                <w:rFonts w:hint="eastAsia" w:ascii="宋体" w:hAnsi="宋体" w:cs="Arial"/>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985" w:type="pct"/>
            <w:vAlign w:val="center"/>
          </w:tcPr>
          <w:p>
            <w:pPr>
              <w:widowControl/>
              <w:spacing w:line="300" w:lineRule="exact"/>
              <w:jc w:val="center"/>
              <w:rPr>
                <w:rFonts w:ascii="宋体" w:hAnsi="宋体" w:cs="Arial"/>
                <w:szCs w:val="21"/>
              </w:rPr>
            </w:pPr>
            <w:r>
              <w:rPr>
                <w:rFonts w:ascii="宋体" w:hAnsi="宋体" w:cs="Arial"/>
                <w:kern w:val="0"/>
                <w:szCs w:val="21"/>
              </w:rPr>
              <w:t>120</w:t>
            </w:r>
            <w:r>
              <w:rPr>
                <w:rFonts w:hint="eastAsia" w:ascii="宋体" w:hAnsi="宋体" w:cs="Arial"/>
                <w:kern w:val="0"/>
                <w:szCs w:val="21"/>
              </w:rPr>
              <w:t>×</w:t>
            </w:r>
            <w:r>
              <w:rPr>
                <w:rFonts w:ascii="宋体" w:hAnsi="宋体" w:cs="Arial"/>
                <w:kern w:val="0"/>
                <w:szCs w:val="21"/>
              </w:rPr>
              <w:t>130</w:t>
            </w:r>
          </w:p>
        </w:tc>
        <w:tc>
          <w:tcPr>
            <w:tcW w:w="1220" w:type="pct"/>
            <w:vAlign w:val="center"/>
          </w:tcPr>
          <w:p>
            <w:pPr>
              <w:widowControl/>
              <w:spacing w:line="300" w:lineRule="exact"/>
              <w:jc w:val="center"/>
              <w:rPr>
                <w:rFonts w:ascii="宋体" w:hAnsi="宋体" w:cs="Arial"/>
                <w:szCs w:val="21"/>
              </w:rPr>
            </w:pPr>
            <w:r>
              <w:rPr>
                <w:rFonts w:ascii="宋体" w:hAnsi="宋体" w:cs="Arial"/>
                <w:szCs w:val="21"/>
                <w:lang w:bidi="zh-CN"/>
              </w:rPr>
              <w:t>30×4+30×4</w:t>
            </w:r>
          </w:p>
        </w:tc>
        <w:tc>
          <w:tcPr>
            <w:tcW w:w="1011" w:type="pct"/>
            <w:vAlign w:val="center"/>
          </w:tcPr>
          <w:p>
            <w:pPr>
              <w:widowControl/>
              <w:spacing w:line="300" w:lineRule="exact"/>
              <w:jc w:val="center"/>
              <w:rPr>
                <w:rFonts w:ascii="宋体" w:hAnsi="宋体" w:cs="Arial"/>
                <w:szCs w:val="21"/>
              </w:rPr>
            </w:pPr>
            <w:r>
              <w:rPr>
                <w:rFonts w:ascii="宋体" w:hAnsi="宋体" w:cs="宋体"/>
                <w:szCs w:val="21"/>
              </w:rPr>
              <w:t>55×75</w:t>
            </w:r>
          </w:p>
        </w:tc>
        <w:tc>
          <w:tcPr>
            <w:tcW w:w="922" w:type="pct"/>
            <w:vAlign w:val="center"/>
          </w:tcPr>
          <w:p>
            <w:pPr>
              <w:widowControl/>
              <w:spacing w:line="300" w:lineRule="exact"/>
              <w:jc w:val="center"/>
              <w:rPr>
                <w:rFonts w:ascii="宋体" w:hAnsi="宋体" w:cs="Arial"/>
                <w:szCs w:val="21"/>
              </w:rPr>
            </w:pPr>
            <w:r>
              <w:rPr>
                <w:rFonts w:ascii="宋体" w:hAnsi="宋体" w:cs="Arial"/>
                <w:szCs w:val="21"/>
              </w:rPr>
              <w:t>100</w:t>
            </w:r>
            <w:r>
              <w:rPr>
                <w:rFonts w:hint="eastAsia" w:ascii="宋体" w:hAnsi="宋体" w:cs="Arial"/>
                <w:szCs w:val="21"/>
              </w:rPr>
              <w:t>×</w:t>
            </w:r>
            <w:r>
              <w:rPr>
                <w:rFonts w:ascii="宋体" w:hAnsi="宋体" w:cs="Arial"/>
                <w:szCs w:val="21"/>
              </w:rPr>
              <w:t>7</w:t>
            </w:r>
          </w:p>
        </w:tc>
        <w:tc>
          <w:tcPr>
            <w:tcW w:w="862" w:type="pct"/>
            <w:vAlign w:val="center"/>
          </w:tcPr>
          <w:p>
            <w:pPr>
              <w:widowControl/>
              <w:spacing w:line="300" w:lineRule="exact"/>
              <w:jc w:val="center"/>
              <w:rPr>
                <w:rFonts w:ascii="宋体" w:hAnsi="宋体" w:cs="Arial"/>
                <w:szCs w:val="21"/>
              </w:rPr>
            </w:pPr>
            <w:r>
              <w:rPr>
                <w:rFonts w:ascii="宋体" w:hAnsi="宋体" w:cs="Arial"/>
                <w:szCs w:val="21"/>
              </w:rPr>
              <w:t>20490</w:t>
            </w:r>
          </w:p>
        </w:tc>
      </w:tr>
    </w:tbl>
    <w:p>
      <w:pPr>
        <w:snapToGrid w:val="0"/>
        <w:spacing w:line="500" w:lineRule="exact"/>
        <w:ind w:firstLine="482" w:firstLineChars="200"/>
        <w:rPr>
          <w:rFonts w:ascii="宋体" w:hAnsi="宋体" w:cs="宋体"/>
          <w:b/>
          <w:sz w:val="24"/>
        </w:rPr>
      </w:pPr>
      <w:r>
        <w:rPr>
          <w:rFonts w:hint="eastAsia" w:ascii="宋体" w:hAnsi="宋体" w:cs="宋体"/>
          <w:b/>
          <w:sz w:val="24"/>
        </w:rPr>
        <w:t>（4）核实项目钻井期间及试油期间用水量，核实生活污水收集方式及处置去向；项目区距离吉木萨尔县城较远，其排水依托县城，应从运输距离上分析其可行性，能否就近拉运处置？</w:t>
      </w:r>
    </w:p>
    <w:p>
      <w:pPr>
        <w:snapToGrid w:val="0"/>
        <w:spacing w:line="500" w:lineRule="exact"/>
        <w:ind w:firstLine="482" w:firstLineChars="200"/>
        <w:rPr>
          <w:rFonts w:ascii="宋体" w:hAnsi="宋体" w:cs="宋体"/>
          <w:bCs/>
          <w:sz w:val="24"/>
        </w:rPr>
      </w:pPr>
      <w:r>
        <w:rPr>
          <w:rFonts w:hint="eastAsia" w:ascii="宋体" w:hAnsi="宋体" w:cs="宋体"/>
          <w:b/>
          <w:sz w:val="24"/>
        </w:rPr>
        <w:t>修改说明：</w:t>
      </w:r>
      <w:r>
        <w:rPr>
          <w:rFonts w:hint="eastAsia" w:ascii="宋体" w:hAnsi="宋体" w:cs="宋体"/>
          <w:bCs/>
          <w:sz w:val="24"/>
        </w:rPr>
        <w:t>本项目钻井期间及试油期间用水量约为265m3，已和建设单位核实生活污水收集方式及处置去向。本项目生活污水先排入生活营地临时防渗收集池暂存后由吸污车抽出后运至吉木萨尔县污水处理厂处理，吉木萨尔县污水处理厂位于本项目东侧46km，为项目区附近较近的生活污水处理厂。</w:t>
      </w:r>
    </w:p>
    <w:p>
      <w:pPr>
        <w:spacing w:line="500" w:lineRule="exact"/>
        <w:rPr>
          <w:rFonts w:ascii="宋体" w:hAnsi="宋体"/>
          <w:b/>
          <w:sz w:val="24"/>
        </w:rPr>
      </w:pPr>
      <w:r>
        <w:rPr>
          <w:rFonts w:hint="eastAsia" w:ascii="宋体" w:hAnsi="宋体"/>
          <w:b/>
          <w:sz w:val="24"/>
        </w:rPr>
        <w:t>（5）</w:t>
      </w:r>
      <w:r>
        <w:rPr>
          <w:rFonts w:ascii="宋体" w:hAnsi="宋体"/>
          <w:b/>
          <w:sz w:val="24"/>
        </w:rPr>
        <w:t>核实试油过程中伴生气排放量，一般情况下试油过程均会连续排放伴生气，本次评价给出的伴生气为偶尔排放，需要核实，完善本项目试油过程中伴生气燃烧污染物排放情况分析；</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本项目为矿产资源地质勘探项目，目的是为了获取地层油气藏参数，以期新的油气藏发现。勘探井试油结束后才能获取相关油气成分及伴生气产量等数据，因此钻试过程产生的伴生气量不稳定，伴生气产量无法估算，且不具备回收利用条件，伴生气通过液气分离器排气管线充分燃烧后放空，属于阶段性排放，且随着钻试结束而停止产生。</w:t>
      </w:r>
    </w:p>
    <w:p>
      <w:pPr>
        <w:spacing w:line="500" w:lineRule="exact"/>
        <w:rPr>
          <w:rFonts w:ascii="宋体" w:hAnsi="宋体"/>
          <w:b/>
          <w:sz w:val="24"/>
        </w:rPr>
      </w:pPr>
      <w:r>
        <w:rPr>
          <w:rFonts w:hint="eastAsia" w:ascii="宋体" w:hAnsi="宋体"/>
          <w:b/>
          <w:sz w:val="24"/>
        </w:rPr>
        <w:t>（6）</w:t>
      </w:r>
      <w:r>
        <w:rPr>
          <w:rFonts w:ascii="宋体" w:hAnsi="宋体"/>
          <w:b/>
          <w:sz w:val="24"/>
        </w:rPr>
        <w:t>补充项目钻井泥浆产生量，评价应参照《排放源统计调查产排污核算方法和系数手册》（公告2021年第24号）中与石油和天然气开采有关的服务活动产排污系数计算泥浆（废弃钻井液）的产生量，说明泥浆处置去向；</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本项目钻井岩屑根据建设单位给出的经验公式进行核算，与实际钻井岩屑产生量为更为接近，本项目共产生水基岩屑555.61m3，水基岩屑由岩屑处置单位直接拉运进行处理，满足《油气田钻井固体废弃物综合利用污染物控制要求》（DB65/T3997—2017）相关要求后进行综合利用。</w:t>
      </w:r>
    </w:p>
    <w:p>
      <w:pPr>
        <w:spacing w:line="500" w:lineRule="exact"/>
        <w:rPr>
          <w:rFonts w:ascii="宋体" w:hAnsi="宋体"/>
          <w:b/>
          <w:sz w:val="24"/>
        </w:rPr>
      </w:pPr>
      <w:r>
        <w:rPr>
          <w:rFonts w:hint="eastAsia" w:ascii="宋体" w:hAnsi="宋体"/>
          <w:b/>
          <w:sz w:val="24"/>
        </w:rPr>
        <w:t>（7）</w:t>
      </w:r>
      <w:r>
        <w:rPr>
          <w:rFonts w:ascii="宋体" w:hAnsi="宋体"/>
          <w:b/>
          <w:sz w:val="24"/>
        </w:rPr>
        <w:t>结合区域生态环境现状，完善施工结束后项目区临时占地恢复措施；完善环境监测计划，其钻井区域建议补充施工结束后土壤监测内容，核实废气、废水监测因子及监测频次；建议明确生态恢复目标；</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已结合区域生态环境现状，在报告中完善施工结束后项目区临时占地恢复措施、明确生态恢复目标，具体见报告P2</w:t>
      </w:r>
      <w:r>
        <w:rPr>
          <w:rFonts w:ascii="宋体" w:hAnsi="宋体"/>
          <w:bCs/>
          <w:sz w:val="24"/>
        </w:rPr>
        <w:t>4</w:t>
      </w:r>
      <w:r>
        <w:rPr>
          <w:rFonts w:hint="eastAsia" w:ascii="宋体" w:hAnsi="宋体"/>
          <w:bCs/>
          <w:sz w:val="24"/>
        </w:rPr>
        <w:t>“（1）生态避让及保护措施”；本项目为</w:t>
      </w:r>
      <w:r>
        <w:rPr>
          <w:rFonts w:hint="eastAsia" w:ascii="宋体" w:hAnsi="宋体" w:cs="宋体"/>
          <w:bCs/>
          <w:sz w:val="24"/>
        </w:rPr>
        <w:t>陆地石油勘探项目</w:t>
      </w:r>
      <w:r>
        <w:rPr>
          <w:rFonts w:hint="eastAsia" w:ascii="宋体" w:hAnsi="宋体"/>
          <w:bCs/>
          <w:sz w:val="24"/>
        </w:rPr>
        <w:t>，施工期短且无运营期，不涉及环境监测计划。</w:t>
      </w:r>
    </w:p>
    <w:p>
      <w:pPr>
        <w:snapToGrid w:val="0"/>
        <w:spacing w:line="500" w:lineRule="exact"/>
        <w:ind w:firstLine="482" w:firstLineChars="200"/>
        <w:rPr>
          <w:rFonts w:ascii="宋体" w:hAnsi="宋体"/>
          <w:bCs/>
          <w:sz w:val="24"/>
        </w:rPr>
      </w:pPr>
      <w:r>
        <w:rPr>
          <w:rFonts w:hint="eastAsia" w:ascii="宋体" w:hAnsi="宋体"/>
          <w:b/>
          <w:sz w:val="24"/>
        </w:rPr>
        <w:t>具体内容：</w:t>
      </w:r>
      <w:r>
        <w:rPr>
          <w:rFonts w:hint="eastAsia" w:ascii="宋体" w:hAnsi="宋体"/>
          <w:bCs/>
          <w:sz w:val="24"/>
        </w:rPr>
        <w:t>修复措施：完井后施工机械、设备及时撤离，对占地进行清理平整，废水和固体废物全部妥善处置，禁止现场遗留；尽量利用井场及临时道路施工时产生的表层弃土对临时占地进行覆盖，植被自然恢复。</w:t>
      </w:r>
    </w:p>
    <w:p>
      <w:pPr>
        <w:spacing w:line="500" w:lineRule="exact"/>
        <w:rPr>
          <w:rFonts w:ascii="宋体" w:hAnsi="宋体"/>
          <w:b/>
          <w:sz w:val="24"/>
        </w:rPr>
      </w:pPr>
      <w:r>
        <w:rPr>
          <w:rFonts w:hint="eastAsia" w:ascii="宋体" w:hAnsi="宋体"/>
          <w:b/>
          <w:sz w:val="24"/>
        </w:rPr>
        <w:t>（8）</w:t>
      </w:r>
      <w:r>
        <w:rPr>
          <w:rFonts w:ascii="宋体" w:hAnsi="宋体"/>
          <w:b/>
          <w:sz w:val="24"/>
        </w:rPr>
        <w:t>核实环保投资，规范报告附图；校核报告前后不一致内容。</w:t>
      </w:r>
    </w:p>
    <w:p>
      <w:pPr>
        <w:snapToGrid w:val="0"/>
        <w:spacing w:line="500" w:lineRule="exact"/>
        <w:ind w:firstLine="482" w:firstLineChars="200"/>
        <w:rPr>
          <w:rFonts w:ascii="宋体" w:hAnsi="宋体"/>
          <w:bCs/>
          <w:sz w:val="24"/>
        </w:rPr>
      </w:pPr>
      <w:r>
        <w:rPr>
          <w:rFonts w:hint="eastAsia" w:ascii="宋体" w:hAnsi="宋体"/>
          <w:b/>
          <w:sz w:val="24"/>
        </w:rPr>
        <w:t>修改说明：已</w:t>
      </w:r>
      <w:r>
        <w:rPr>
          <w:rFonts w:ascii="宋体" w:hAnsi="宋体"/>
          <w:b/>
          <w:sz w:val="24"/>
        </w:rPr>
        <w:t>核实环保投资，规范报告附图；</w:t>
      </w:r>
      <w:r>
        <w:rPr>
          <w:rFonts w:hint="eastAsia" w:ascii="宋体" w:hAnsi="宋体"/>
          <w:b/>
          <w:sz w:val="24"/>
        </w:rPr>
        <w:t>已</w:t>
      </w:r>
      <w:r>
        <w:rPr>
          <w:rFonts w:ascii="宋体" w:hAnsi="宋体"/>
          <w:b/>
          <w:sz w:val="24"/>
        </w:rPr>
        <w:t>校核报告前后不一致内容。</w:t>
      </w:r>
    </w:p>
    <w:p>
      <w:pPr>
        <w:snapToGrid w:val="0"/>
        <w:spacing w:line="500" w:lineRule="exact"/>
        <w:ind w:firstLine="482" w:firstLineChars="200"/>
        <w:rPr>
          <w:rFonts w:ascii="宋体" w:hAnsi="宋体"/>
          <w:bCs/>
          <w:sz w:val="24"/>
        </w:rPr>
      </w:pPr>
      <w:r>
        <w:rPr>
          <w:rFonts w:hint="eastAsia" w:ascii="宋体" w:hAnsi="宋体"/>
          <w:b/>
          <w:sz w:val="24"/>
        </w:rPr>
        <w:t>具体内容：</w:t>
      </w:r>
    </w:p>
    <w:p>
      <w:pPr>
        <w:keepNext/>
        <w:spacing w:line="500" w:lineRule="exact"/>
        <w:jc w:val="center"/>
        <w:rPr>
          <w:rFonts w:ascii="黑体" w:hAnsi="黑体" w:eastAsia="黑体"/>
          <w:szCs w:val="20"/>
        </w:rPr>
      </w:pPr>
      <w:r>
        <w:rPr>
          <w:rFonts w:hint="eastAsia" w:ascii="黑体" w:hAnsi="黑体" w:eastAsia="黑体"/>
          <w:szCs w:val="20"/>
        </w:rPr>
        <w:t>表</w:t>
      </w:r>
      <w:r>
        <w:rPr>
          <w:rFonts w:ascii="黑体" w:hAnsi="黑体" w:eastAsia="黑体"/>
          <w:szCs w:val="20"/>
        </w:rPr>
        <w:t>1</w:t>
      </w:r>
      <w:r>
        <w:rPr>
          <w:rFonts w:hint="eastAsia" w:ascii="黑体" w:hAnsi="黑体" w:eastAsia="黑体"/>
          <w:szCs w:val="20"/>
        </w:rPr>
        <w:t>4  项目</w:t>
      </w:r>
      <w:r>
        <w:rPr>
          <w:rFonts w:ascii="黑体" w:hAnsi="黑体" w:eastAsia="黑体"/>
          <w:szCs w:val="20"/>
        </w:rPr>
        <w:t>环保投资</w:t>
      </w:r>
      <w:r>
        <w:rPr>
          <w:rFonts w:hint="eastAsia" w:ascii="黑体" w:hAnsi="黑体" w:eastAsia="黑体"/>
          <w:szCs w:val="20"/>
        </w:rPr>
        <w:t>一览</w:t>
      </w:r>
      <w:r>
        <w:rPr>
          <w:rFonts w:ascii="黑体" w:hAnsi="黑体" w:eastAsia="黑体"/>
          <w:szCs w:val="20"/>
        </w:rPr>
        <w:t>表</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744"/>
        <w:gridCol w:w="4393"/>
        <w:gridCol w:w="1066"/>
        <w:gridCol w:w="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Mar>
              <w:left w:w="0" w:type="dxa"/>
              <w:right w:w="0" w:type="dxa"/>
            </w:tcMar>
            <w:vAlign w:val="center"/>
          </w:tcPr>
          <w:p>
            <w:pPr>
              <w:snapToGrid w:val="0"/>
              <w:spacing w:line="240" w:lineRule="exact"/>
              <w:jc w:val="center"/>
            </w:pPr>
            <w:r>
              <w:rPr>
                <w:rFonts w:hint="eastAsia"/>
              </w:rPr>
              <w:t>工程名称</w:t>
            </w:r>
          </w:p>
        </w:tc>
        <w:tc>
          <w:tcPr>
            <w:tcW w:w="2647" w:type="pct"/>
            <w:tcMar>
              <w:left w:w="0" w:type="dxa"/>
              <w:right w:w="0" w:type="dxa"/>
            </w:tcMar>
            <w:vAlign w:val="center"/>
          </w:tcPr>
          <w:p>
            <w:pPr>
              <w:snapToGrid w:val="0"/>
              <w:spacing w:line="240" w:lineRule="exact"/>
              <w:jc w:val="center"/>
            </w:pPr>
            <w:r>
              <w:rPr>
                <w:rFonts w:hint="eastAsia"/>
              </w:rPr>
              <w:t>拟采取的环保措施</w:t>
            </w:r>
          </w:p>
        </w:tc>
        <w:tc>
          <w:tcPr>
            <w:tcW w:w="642" w:type="pct"/>
            <w:tcMar>
              <w:left w:w="0" w:type="dxa"/>
              <w:right w:w="0" w:type="dxa"/>
            </w:tcMar>
            <w:vAlign w:val="center"/>
          </w:tcPr>
          <w:p>
            <w:pPr>
              <w:snapToGrid w:val="0"/>
              <w:spacing w:line="240" w:lineRule="exact"/>
              <w:jc w:val="center"/>
            </w:pPr>
            <w:r>
              <w:rPr>
                <w:rFonts w:hint="eastAsia"/>
              </w:rPr>
              <w:t>环保投资</w:t>
            </w:r>
          </w:p>
          <w:p>
            <w:pPr>
              <w:snapToGrid w:val="0"/>
              <w:spacing w:line="240" w:lineRule="exact"/>
              <w:jc w:val="center"/>
            </w:pPr>
            <w:r>
              <w:rPr>
                <w:rFonts w:hint="eastAsia"/>
              </w:rPr>
              <w:t>（万元）</w:t>
            </w:r>
          </w:p>
        </w:tc>
        <w:tc>
          <w:tcPr>
            <w:tcW w:w="341" w:type="pct"/>
            <w:tcMar>
              <w:left w:w="0" w:type="dxa"/>
              <w:right w:w="0" w:type="dxa"/>
            </w:tcMar>
            <w:vAlign w:val="center"/>
          </w:tcPr>
          <w:p>
            <w:pPr>
              <w:snapToGrid w:val="0"/>
              <w:spacing w:line="240" w:lineRule="exact"/>
              <w:jc w:val="center"/>
            </w:pPr>
            <w:r>
              <w:rPr>
                <w:rFonts w:hint="eastAsia"/>
              </w:rPr>
              <w:t>实施时间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tcMar>
              <w:left w:w="0" w:type="dxa"/>
              <w:right w:w="0" w:type="dxa"/>
            </w:tcMar>
            <w:vAlign w:val="center"/>
          </w:tcPr>
          <w:p>
            <w:pPr>
              <w:snapToGrid w:val="0"/>
              <w:spacing w:line="240" w:lineRule="exact"/>
              <w:jc w:val="center"/>
            </w:pPr>
            <w:r>
              <w:rPr>
                <w:rFonts w:hint="eastAsia"/>
              </w:rPr>
              <w:t>废水处理</w:t>
            </w:r>
          </w:p>
        </w:tc>
        <w:tc>
          <w:tcPr>
            <w:tcW w:w="1051" w:type="pct"/>
            <w:tcMar>
              <w:left w:w="0" w:type="dxa"/>
              <w:right w:w="0" w:type="dxa"/>
            </w:tcMar>
            <w:vAlign w:val="center"/>
          </w:tcPr>
          <w:p>
            <w:pPr>
              <w:snapToGrid w:val="0"/>
              <w:spacing w:line="240" w:lineRule="exact"/>
              <w:jc w:val="center"/>
            </w:pPr>
            <w:r>
              <w:rPr>
                <w:rFonts w:hint="eastAsia"/>
              </w:rPr>
              <w:t>生活污水</w:t>
            </w:r>
          </w:p>
        </w:tc>
        <w:tc>
          <w:tcPr>
            <w:tcW w:w="2647" w:type="pct"/>
            <w:tcMar>
              <w:left w:w="0" w:type="dxa"/>
              <w:right w:w="0" w:type="dxa"/>
            </w:tcMar>
            <w:vAlign w:val="center"/>
          </w:tcPr>
          <w:p>
            <w:pPr>
              <w:snapToGrid w:val="0"/>
              <w:spacing w:line="240" w:lineRule="exact"/>
              <w:jc w:val="center"/>
            </w:pPr>
            <w:r>
              <w:rPr>
                <w:rFonts w:hint="eastAsia"/>
              </w:rPr>
              <w:t>设1座临时防渗收集池收集暂存，完工后由吸污车抽出并拉运至吉木萨尔县污水处理厂处理</w:t>
            </w:r>
          </w:p>
        </w:tc>
        <w:tc>
          <w:tcPr>
            <w:tcW w:w="642" w:type="pct"/>
            <w:vMerge w:val="restart"/>
            <w:tcMar>
              <w:left w:w="0" w:type="dxa"/>
              <w:right w:w="0" w:type="dxa"/>
            </w:tcMar>
            <w:vAlign w:val="center"/>
          </w:tcPr>
          <w:p>
            <w:pPr>
              <w:snapToGrid w:val="0"/>
              <w:spacing w:line="240" w:lineRule="exact"/>
              <w:jc w:val="center"/>
            </w:pPr>
            <w:r>
              <w:rPr>
                <w:rFonts w:hint="eastAsia"/>
              </w:rPr>
              <w:t>2</w:t>
            </w:r>
          </w:p>
        </w:tc>
        <w:tc>
          <w:tcPr>
            <w:tcW w:w="341" w:type="pct"/>
            <w:vMerge w:val="restart"/>
            <w:tcMar>
              <w:left w:w="0" w:type="dxa"/>
              <w:right w:w="0" w:type="dxa"/>
            </w:tcMar>
            <w:vAlign w:val="center"/>
          </w:tcPr>
          <w:p>
            <w:pPr>
              <w:snapToGrid w:val="0"/>
              <w:spacing w:line="240" w:lineRule="exact"/>
              <w:jc w:val="center"/>
            </w:pPr>
            <w:r>
              <w:rPr>
                <w:rFonts w:hint="eastAsia"/>
              </w:rPr>
              <w:t>与钻井、试油期同步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snapToGrid w:val="0"/>
              <w:spacing w:line="240" w:lineRule="exact"/>
              <w:jc w:val="center"/>
            </w:pPr>
          </w:p>
        </w:tc>
        <w:tc>
          <w:tcPr>
            <w:tcW w:w="1051" w:type="pct"/>
            <w:tcMar>
              <w:left w:w="0" w:type="dxa"/>
              <w:right w:w="0" w:type="dxa"/>
            </w:tcMar>
            <w:vAlign w:val="center"/>
          </w:tcPr>
          <w:p>
            <w:pPr>
              <w:snapToGrid w:val="0"/>
              <w:spacing w:line="240" w:lineRule="exact"/>
              <w:jc w:val="center"/>
            </w:pPr>
            <w:r>
              <w:rPr>
                <w:rFonts w:hint="eastAsia"/>
              </w:rPr>
              <w:t>洗井废水、压裂返排液</w:t>
            </w:r>
          </w:p>
        </w:tc>
        <w:tc>
          <w:tcPr>
            <w:tcW w:w="2647" w:type="pct"/>
            <w:tcMar>
              <w:left w:w="0" w:type="dxa"/>
              <w:right w:w="0" w:type="dxa"/>
            </w:tcMar>
            <w:vAlign w:val="center"/>
          </w:tcPr>
          <w:p>
            <w:pPr>
              <w:snapToGrid w:val="0"/>
              <w:spacing w:line="240" w:lineRule="exact"/>
              <w:jc w:val="center"/>
            </w:pPr>
            <w:r>
              <w:rPr>
                <w:rFonts w:hint="eastAsia"/>
              </w:rPr>
              <w:t>由地面储罐收集后，依托沙南联合站处理</w:t>
            </w:r>
          </w:p>
        </w:tc>
        <w:tc>
          <w:tcPr>
            <w:tcW w:w="642" w:type="pct"/>
            <w:vMerge w:val="continue"/>
            <w:tcMar>
              <w:left w:w="0" w:type="dxa"/>
              <w:right w:w="0" w:type="dxa"/>
            </w:tcMar>
            <w:vAlign w:val="center"/>
          </w:tcPr>
          <w:p>
            <w:pPr>
              <w:snapToGrid w:val="0"/>
              <w:spacing w:line="240" w:lineRule="exact"/>
              <w:jc w:val="center"/>
            </w:pP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tcMar>
              <w:left w:w="0" w:type="dxa"/>
              <w:right w:w="0" w:type="dxa"/>
            </w:tcMar>
            <w:vAlign w:val="center"/>
          </w:tcPr>
          <w:p>
            <w:pPr>
              <w:snapToGrid w:val="0"/>
              <w:spacing w:line="240" w:lineRule="exact"/>
              <w:jc w:val="center"/>
            </w:pPr>
            <w:r>
              <w:rPr>
                <w:rFonts w:hint="eastAsia"/>
              </w:rPr>
              <w:t>固废处置</w:t>
            </w:r>
          </w:p>
        </w:tc>
        <w:tc>
          <w:tcPr>
            <w:tcW w:w="1051" w:type="pct"/>
            <w:tcMar>
              <w:left w:w="0" w:type="dxa"/>
              <w:right w:w="0" w:type="dxa"/>
            </w:tcMar>
            <w:vAlign w:val="center"/>
          </w:tcPr>
          <w:p>
            <w:pPr>
              <w:snapToGrid w:val="0"/>
              <w:spacing w:line="240" w:lineRule="exact"/>
              <w:jc w:val="center"/>
            </w:pPr>
            <w:r>
              <w:rPr>
                <w:rFonts w:hint="eastAsia"/>
              </w:rPr>
              <w:t>生活垃圾</w:t>
            </w:r>
          </w:p>
        </w:tc>
        <w:tc>
          <w:tcPr>
            <w:tcW w:w="2647" w:type="pct"/>
            <w:tcMar>
              <w:left w:w="0" w:type="dxa"/>
              <w:right w:w="0" w:type="dxa"/>
            </w:tcMar>
            <w:vAlign w:val="center"/>
          </w:tcPr>
          <w:p>
            <w:pPr>
              <w:snapToGrid w:val="0"/>
              <w:spacing w:line="240" w:lineRule="exact"/>
              <w:jc w:val="center"/>
            </w:pPr>
            <w:r>
              <w:rPr>
                <w:rFonts w:hint="eastAsia"/>
              </w:rPr>
              <w:t>设有垃圾箱集中收集，施工结束后清运至吉木萨尔县生活垃圾填埋场处置</w:t>
            </w:r>
          </w:p>
        </w:tc>
        <w:tc>
          <w:tcPr>
            <w:tcW w:w="642" w:type="pct"/>
            <w:tcMar>
              <w:left w:w="0" w:type="dxa"/>
              <w:right w:w="0" w:type="dxa"/>
            </w:tcMar>
            <w:vAlign w:val="center"/>
          </w:tcPr>
          <w:p>
            <w:pPr>
              <w:snapToGrid w:val="0"/>
              <w:spacing w:line="240" w:lineRule="exact"/>
              <w:jc w:val="center"/>
            </w:pPr>
            <w:r>
              <w:rPr>
                <w:rFonts w:hint="eastAsia"/>
              </w:rPr>
              <w:t>2</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snapToGrid w:val="0"/>
              <w:spacing w:line="240" w:lineRule="exact"/>
              <w:jc w:val="center"/>
            </w:pPr>
          </w:p>
        </w:tc>
        <w:tc>
          <w:tcPr>
            <w:tcW w:w="1051" w:type="pct"/>
            <w:tcMar>
              <w:left w:w="0" w:type="dxa"/>
              <w:right w:w="0" w:type="dxa"/>
            </w:tcMar>
            <w:vAlign w:val="center"/>
          </w:tcPr>
          <w:p>
            <w:pPr>
              <w:snapToGrid w:val="0"/>
              <w:spacing w:line="240" w:lineRule="exact"/>
              <w:jc w:val="center"/>
            </w:pPr>
            <w:r>
              <w:rPr>
                <w:rFonts w:hint="eastAsia"/>
              </w:rPr>
              <w:t>水基钻井岩屑</w:t>
            </w:r>
          </w:p>
        </w:tc>
        <w:tc>
          <w:tcPr>
            <w:tcW w:w="2647" w:type="pct"/>
            <w:tcMar>
              <w:left w:w="0" w:type="dxa"/>
              <w:right w:w="0" w:type="dxa"/>
            </w:tcMar>
            <w:vAlign w:val="center"/>
          </w:tcPr>
          <w:p>
            <w:pPr>
              <w:snapToGrid w:val="0"/>
              <w:spacing w:line="240" w:lineRule="exact"/>
              <w:jc w:val="center"/>
            </w:pPr>
            <w:r>
              <w:rPr>
                <w:rFonts w:hint="eastAsia"/>
              </w:rPr>
              <w:t>井场设1套钻井液不落地设备，水基岩屑暂存于岩屑专用储罐，委托岩屑处置单位定期拉运、处置</w:t>
            </w:r>
          </w:p>
        </w:tc>
        <w:tc>
          <w:tcPr>
            <w:tcW w:w="642" w:type="pct"/>
            <w:tcMar>
              <w:left w:w="0" w:type="dxa"/>
              <w:right w:w="0" w:type="dxa"/>
            </w:tcMar>
            <w:vAlign w:val="center"/>
          </w:tcPr>
          <w:p>
            <w:pPr>
              <w:snapToGrid w:val="0"/>
              <w:spacing w:line="240" w:lineRule="exact"/>
              <w:jc w:val="center"/>
            </w:pPr>
            <w:r>
              <w:rPr>
                <w:rFonts w:hint="eastAsia"/>
              </w:rPr>
              <w:t>1</w:t>
            </w:r>
            <w:r>
              <w:t>0</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snapToGrid w:val="0"/>
              <w:spacing w:line="240" w:lineRule="exact"/>
              <w:jc w:val="center"/>
            </w:pPr>
          </w:p>
        </w:tc>
        <w:tc>
          <w:tcPr>
            <w:tcW w:w="1051" w:type="pct"/>
            <w:tcMar>
              <w:left w:w="0" w:type="dxa"/>
              <w:right w:w="0" w:type="dxa"/>
            </w:tcMar>
            <w:vAlign w:val="center"/>
          </w:tcPr>
          <w:p>
            <w:pPr>
              <w:snapToGrid w:val="0"/>
              <w:spacing w:line="240" w:lineRule="exact"/>
              <w:jc w:val="center"/>
            </w:pPr>
            <w:r>
              <w:rPr>
                <w:rFonts w:hint="eastAsia"/>
              </w:rPr>
              <w:t>废防渗材料</w:t>
            </w:r>
          </w:p>
        </w:tc>
        <w:tc>
          <w:tcPr>
            <w:tcW w:w="2647" w:type="pct"/>
            <w:tcMar>
              <w:left w:w="0" w:type="dxa"/>
              <w:right w:w="0" w:type="dxa"/>
            </w:tcMar>
            <w:vAlign w:val="center"/>
          </w:tcPr>
          <w:p>
            <w:pPr>
              <w:snapToGrid w:val="0"/>
              <w:spacing w:line="240" w:lineRule="exact"/>
              <w:jc w:val="center"/>
            </w:pPr>
            <w:r>
              <w:rPr>
                <w:rFonts w:hint="eastAsia"/>
              </w:rPr>
              <w:t>施工结束后将废防渗材料委托具有相应危险废物处置资质的单位进行处置</w:t>
            </w:r>
          </w:p>
        </w:tc>
        <w:tc>
          <w:tcPr>
            <w:tcW w:w="642" w:type="pct"/>
            <w:tcMar>
              <w:left w:w="0" w:type="dxa"/>
              <w:right w:w="0" w:type="dxa"/>
            </w:tcMar>
            <w:vAlign w:val="center"/>
          </w:tcPr>
          <w:p>
            <w:pPr>
              <w:snapToGrid w:val="0"/>
              <w:spacing w:line="240" w:lineRule="exact"/>
              <w:jc w:val="center"/>
            </w:pPr>
            <w:r>
              <w:rPr>
                <w:rFonts w:hint="eastAsia"/>
              </w:rPr>
              <w:t>2</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Mar>
              <w:left w:w="0" w:type="dxa"/>
              <w:right w:w="0" w:type="dxa"/>
            </w:tcMar>
            <w:vAlign w:val="center"/>
          </w:tcPr>
          <w:p>
            <w:pPr>
              <w:snapToGrid w:val="0"/>
              <w:spacing w:line="240" w:lineRule="exact"/>
              <w:jc w:val="center"/>
            </w:pPr>
            <w:r>
              <w:rPr>
                <w:rFonts w:hint="eastAsia"/>
              </w:rPr>
              <w:t>生态恢复、水土流失</w:t>
            </w:r>
          </w:p>
        </w:tc>
        <w:tc>
          <w:tcPr>
            <w:tcW w:w="2647" w:type="pct"/>
            <w:tcMar>
              <w:left w:w="0" w:type="dxa"/>
              <w:right w:w="0" w:type="dxa"/>
            </w:tcMar>
            <w:vAlign w:val="center"/>
          </w:tcPr>
          <w:p>
            <w:pPr>
              <w:snapToGrid w:val="0"/>
              <w:spacing w:line="240" w:lineRule="exact"/>
              <w:jc w:val="center"/>
            </w:pPr>
            <w:r>
              <w:rPr>
                <w:rFonts w:hint="eastAsia"/>
              </w:rPr>
              <w:t>对临时占地进行清理、平整，落实水土流失措施</w:t>
            </w:r>
          </w:p>
        </w:tc>
        <w:tc>
          <w:tcPr>
            <w:tcW w:w="642" w:type="pct"/>
            <w:tcMar>
              <w:left w:w="0" w:type="dxa"/>
              <w:right w:w="0" w:type="dxa"/>
            </w:tcMar>
            <w:vAlign w:val="center"/>
          </w:tcPr>
          <w:p>
            <w:pPr>
              <w:snapToGrid w:val="0"/>
              <w:spacing w:line="240" w:lineRule="exact"/>
              <w:jc w:val="center"/>
            </w:pPr>
            <w:r>
              <w:rPr>
                <w:rFonts w:hint="eastAsia"/>
              </w:rPr>
              <w:t>4</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Mar>
              <w:left w:w="0" w:type="dxa"/>
              <w:right w:w="0" w:type="dxa"/>
            </w:tcMar>
            <w:vAlign w:val="center"/>
          </w:tcPr>
          <w:p>
            <w:pPr>
              <w:snapToGrid w:val="0"/>
              <w:spacing w:line="240" w:lineRule="exact"/>
              <w:jc w:val="center"/>
            </w:pPr>
            <w:r>
              <w:rPr>
                <w:rFonts w:hint="eastAsia"/>
              </w:rPr>
              <w:t>井控装置</w:t>
            </w:r>
          </w:p>
        </w:tc>
        <w:tc>
          <w:tcPr>
            <w:tcW w:w="2647" w:type="pct"/>
            <w:tcMar>
              <w:left w:w="0" w:type="dxa"/>
              <w:right w:w="0" w:type="dxa"/>
            </w:tcMar>
            <w:vAlign w:val="center"/>
          </w:tcPr>
          <w:p>
            <w:pPr>
              <w:snapToGrid w:val="0"/>
              <w:spacing w:line="240" w:lineRule="exact"/>
              <w:jc w:val="center"/>
            </w:pPr>
            <w:r>
              <w:rPr>
                <w:rFonts w:hint="eastAsia"/>
              </w:rPr>
              <w:t>防止井喷</w:t>
            </w:r>
          </w:p>
        </w:tc>
        <w:tc>
          <w:tcPr>
            <w:tcW w:w="642" w:type="pct"/>
            <w:tcMar>
              <w:left w:w="0" w:type="dxa"/>
              <w:right w:w="0" w:type="dxa"/>
            </w:tcMar>
            <w:vAlign w:val="center"/>
          </w:tcPr>
          <w:p>
            <w:pPr>
              <w:snapToGrid w:val="0"/>
              <w:spacing w:line="240" w:lineRule="exact"/>
              <w:jc w:val="center"/>
            </w:pPr>
            <w:r>
              <w:rPr>
                <w:rFonts w:hint="eastAsia"/>
              </w:rPr>
              <w:t>30</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Mar>
              <w:left w:w="0" w:type="dxa"/>
              <w:right w:w="0" w:type="dxa"/>
            </w:tcMar>
            <w:vAlign w:val="center"/>
          </w:tcPr>
          <w:p>
            <w:pPr>
              <w:snapToGrid w:val="0"/>
              <w:spacing w:line="240" w:lineRule="exact"/>
              <w:jc w:val="center"/>
            </w:pPr>
            <w:r>
              <w:rPr>
                <w:rFonts w:hint="eastAsia"/>
              </w:rPr>
              <w:t>硫化氢监测</w:t>
            </w:r>
          </w:p>
        </w:tc>
        <w:tc>
          <w:tcPr>
            <w:tcW w:w="2647" w:type="pct"/>
            <w:tcMar>
              <w:left w:w="0" w:type="dxa"/>
              <w:right w:w="0" w:type="dxa"/>
            </w:tcMar>
            <w:vAlign w:val="center"/>
          </w:tcPr>
          <w:p>
            <w:pPr>
              <w:snapToGrid w:val="0"/>
              <w:spacing w:line="240" w:lineRule="exact"/>
              <w:jc w:val="center"/>
            </w:pPr>
            <w:r>
              <w:rPr>
                <w:rFonts w:hint="eastAsia"/>
              </w:rPr>
              <w:t>对硫化氢气体浓度进行检测</w:t>
            </w:r>
          </w:p>
        </w:tc>
        <w:tc>
          <w:tcPr>
            <w:tcW w:w="642" w:type="pct"/>
            <w:tcMar>
              <w:left w:w="0" w:type="dxa"/>
              <w:right w:w="0" w:type="dxa"/>
            </w:tcMar>
            <w:vAlign w:val="center"/>
          </w:tcPr>
          <w:p>
            <w:pPr>
              <w:snapToGrid w:val="0"/>
              <w:spacing w:line="240" w:lineRule="exact"/>
              <w:jc w:val="center"/>
            </w:pPr>
            <w:r>
              <w:rPr>
                <w:rFonts w:hint="eastAsia"/>
              </w:rPr>
              <w:t>2</w:t>
            </w:r>
          </w:p>
        </w:tc>
        <w:tc>
          <w:tcPr>
            <w:tcW w:w="341" w:type="pct"/>
            <w:vMerge w:val="continue"/>
            <w:tcMar>
              <w:left w:w="0" w:type="dxa"/>
              <w:right w:w="0" w:type="dxa"/>
            </w:tcMar>
            <w:vAlign w:val="center"/>
          </w:tcPr>
          <w:p>
            <w:pPr>
              <w:snapToGrid w:val="0"/>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7" w:type="pct"/>
            <w:gridSpan w:val="3"/>
            <w:tcMar>
              <w:left w:w="0" w:type="dxa"/>
              <w:right w:w="0" w:type="dxa"/>
            </w:tcMar>
            <w:vAlign w:val="center"/>
          </w:tcPr>
          <w:p>
            <w:pPr>
              <w:snapToGrid w:val="0"/>
              <w:spacing w:line="240" w:lineRule="exact"/>
              <w:jc w:val="center"/>
            </w:pPr>
            <w:r>
              <w:rPr>
                <w:rFonts w:hint="eastAsia"/>
              </w:rPr>
              <w:t>合计</w:t>
            </w:r>
          </w:p>
        </w:tc>
        <w:tc>
          <w:tcPr>
            <w:tcW w:w="642" w:type="pct"/>
            <w:tcMar>
              <w:left w:w="0" w:type="dxa"/>
              <w:right w:w="0" w:type="dxa"/>
            </w:tcMar>
            <w:vAlign w:val="center"/>
          </w:tcPr>
          <w:p>
            <w:pPr>
              <w:snapToGrid w:val="0"/>
              <w:spacing w:line="240" w:lineRule="exact"/>
              <w:jc w:val="center"/>
            </w:pPr>
            <w:r>
              <w:t>5</w:t>
            </w:r>
            <w:r>
              <w:rPr>
                <w:rFonts w:hint="eastAsia"/>
              </w:rPr>
              <w:t>2</w:t>
            </w:r>
          </w:p>
        </w:tc>
        <w:tc>
          <w:tcPr>
            <w:tcW w:w="341" w:type="pct"/>
            <w:tcMar>
              <w:left w:w="0" w:type="dxa"/>
              <w:right w:w="0" w:type="dxa"/>
            </w:tcMar>
            <w:vAlign w:val="center"/>
          </w:tcPr>
          <w:p>
            <w:pPr>
              <w:snapToGrid w:val="0"/>
              <w:spacing w:line="240" w:lineRule="exact"/>
              <w:jc w:val="center"/>
            </w:pPr>
            <w:r>
              <w:rPr>
                <w:rFonts w:hint="eastAsia"/>
              </w:rPr>
              <w:t>/</w:t>
            </w:r>
          </w:p>
        </w:tc>
      </w:tr>
    </w:tbl>
    <w:p>
      <w:pPr>
        <w:spacing w:line="500" w:lineRule="exact"/>
        <w:rPr>
          <w:rFonts w:ascii="宋体" w:hAnsi="宋体"/>
          <w:b/>
          <w:sz w:val="24"/>
        </w:rPr>
      </w:pPr>
      <w:r>
        <w:rPr>
          <w:rFonts w:hint="eastAsia" w:ascii="宋体" w:hAnsi="宋体"/>
          <w:b/>
          <w:sz w:val="24"/>
        </w:rPr>
        <w:t>2、王海燕专家意见：</w:t>
      </w:r>
    </w:p>
    <w:p>
      <w:pPr>
        <w:spacing w:line="500" w:lineRule="exact"/>
        <w:rPr>
          <w:rFonts w:ascii="宋体" w:hAnsi="宋体"/>
          <w:b/>
          <w:sz w:val="24"/>
        </w:rPr>
      </w:pPr>
      <w:r>
        <w:rPr>
          <w:rFonts w:hint="eastAsia" w:ascii="宋体" w:hAnsi="宋体"/>
          <w:b/>
          <w:sz w:val="24"/>
        </w:rPr>
        <w:t>（1）报告表提出：“生活营地内设置1座临时防渗收集池，用于收集和暂存生活污水，待施工结束后清运至吉木萨尔县污水处理厂处理，防渗膜回收。”施工期包括钻井期96天，试油期90天，待结束后再清运生活污水处置不可行，建议提出拉运周期，根据周期设置防渗收集池的容积。</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已与建设方核实拉运周期，并设置防渗收集池容积，具体见报告P1</w:t>
      </w:r>
      <w:r>
        <w:rPr>
          <w:rFonts w:ascii="宋体" w:hAnsi="宋体"/>
          <w:bCs/>
          <w:sz w:val="24"/>
        </w:rPr>
        <w:t>6</w:t>
      </w:r>
      <w:r>
        <w:rPr>
          <w:rFonts w:hint="eastAsia" w:ascii="宋体" w:hAnsi="宋体"/>
          <w:bCs/>
          <w:sz w:val="24"/>
        </w:rPr>
        <w:t>“（1）生活污水”。</w:t>
      </w:r>
    </w:p>
    <w:p>
      <w:pPr>
        <w:snapToGrid w:val="0"/>
        <w:spacing w:line="500" w:lineRule="exact"/>
        <w:ind w:firstLine="482" w:firstLineChars="200"/>
        <w:rPr>
          <w:rFonts w:ascii="宋体" w:hAnsi="宋体"/>
          <w:bCs/>
          <w:sz w:val="24"/>
        </w:rPr>
      </w:pPr>
      <w:r>
        <w:rPr>
          <w:rFonts w:hint="eastAsia" w:ascii="宋体" w:hAnsi="宋体"/>
          <w:b/>
          <w:sz w:val="24"/>
        </w:rPr>
        <w:t>具体内容：</w:t>
      </w:r>
      <w:r>
        <w:rPr>
          <w:rFonts w:hint="eastAsia" w:ascii="宋体" w:hAnsi="宋体"/>
          <w:bCs/>
          <w:sz w:val="24"/>
        </w:rPr>
        <w:t>生活营地内设置1座容积不少于55m</w:t>
      </w:r>
      <w:r>
        <w:rPr>
          <w:rFonts w:hint="eastAsia" w:ascii="宋体" w:hAnsi="宋体"/>
          <w:bCs/>
          <w:sz w:val="24"/>
          <w:vertAlign w:val="superscript"/>
        </w:rPr>
        <w:t>3</w:t>
      </w:r>
      <w:r>
        <w:rPr>
          <w:rFonts w:hint="eastAsia" w:ascii="宋体" w:hAnsi="宋体"/>
          <w:bCs/>
          <w:sz w:val="24"/>
        </w:rPr>
        <w:t>的临时防渗收集池，开挖后采用HDPE防渗膜铺垫防渗，其渗透系数不低于1×10</w:t>
      </w:r>
      <w:r>
        <w:rPr>
          <w:rFonts w:hint="eastAsia" w:ascii="宋体" w:hAnsi="宋体"/>
          <w:bCs/>
          <w:sz w:val="24"/>
          <w:vertAlign w:val="superscript"/>
        </w:rPr>
        <w:t>-7</w:t>
      </w:r>
      <w:r>
        <w:rPr>
          <w:rFonts w:hint="eastAsia" w:ascii="宋体" w:hAnsi="宋体"/>
          <w:bCs/>
          <w:sz w:val="24"/>
        </w:rPr>
        <w:t>cm/s。临时防渗收集池用于收集和暂存生活污水，待施工结束后清运至吉木萨尔县污水处理厂处理，防渗膜回收。</w:t>
      </w:r>
    </w:p>
    <w:p>
      <w:pPr>
        <w:spacing w:line="500" w:lineRule="exact"/>
        <w:rPr>
          <w:rFonts w:ascii="宋体" w:hAnsi="宋体"/>
          <w:b/>
          <w:sz w:val="24"/>
        </w:rPr>
      </w:pPr>
      <w:r>
        <w:rPr>
          <w:rFonts w:hint="eastAsia" w:ascii="宋体" w:hAnsi="宋体"/>
          <w:b/>
          <w:sz w:val="24"/>
        </w:rPr>
        <w:t>（2）压裂返排液产生量约400m</w:t>
      </w:r>
      <w:r>
        <w:rPr>
          <w:rFonts w:hint="eastAsia" w:ascii="宋体" w:hAnsi="宋体"/>
          <w:b/>
          <w:sz w:val="24"/>
          <w:vertAlign w:val="superscript"/>
        </w:rPr>
        <w:t>3</w:t>
      </w:r>
      <w:r>
        <w:rPr>
          <w:rFonts w:hint="eastAsia" w:ascii="宋体" w:hAnsi="宋体"/>
          <w:b/>
          <w:sz w:val="24"/>
        </w:rPr>
        <w:t>属于废液，核实应按固废处置还是废水处置。</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按照压裂返排液的处置方式和去向，应按废水处置。试油期间产生的压裂返排液经储罐收集后由罐车拉运至沙南联合站采出水处理系统处理。</w:t>
      </w:r>
    </w:p>
    <w:p>
      <w:pPr>
        <w:spacing w:line="500" w:lineRule="exact"/>
        <w:rPr>
          <w:rFonts w:ascii="宋体" w:hAnsi="宋体"/>
          <w:b/>
          <w:sz w:val="24"/>
        </w:rPr>
      </w:pPr>
      <w:r>
        <w:rPr>
          <w:rFonts w:hint="eastAsia" w:ascii="宋体" w:hAnsi="宋体"/>
          <w:b/>
          <w:sz w:val="24"/>
        </w:rPr>
        <w:t>（3）补充废防渗膜数量，提出危险废物在收集、拉运过程中的环保要求。</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已补充废防渗膜数量，见报告P1</w:t>
      </w:r>
      <w:r>
        <w:rPr>
          <w:rFonts w:ascii="宋体" w:hAnsi="宋体"/>
          <w:bCs/>
          <w:sz w:val="24"/>
        </w:rPr>
        <w:t>8</w:t>
      </w:r>
      <w:r>
        <w:rPr>
          <w:rFonts w:hint="eastAsia" w:ascii="宋体" w:hAnsi="宋体"/>
          <w:bCs/>
          <w:sz w:val="24"/>
        </w:rPr>
        <w:t>“（3）废防渗膜”；危险废物在收集、拉运过程中的环保要求见报告P2</w:t>
      </w:r>
      <w:r>
        <w:rPr>
          <w:rFonts w:ascii="宋体" w:hAnsi="宋体"/>
          <w:bCs/>
          <w:sz w:val="24"/>
        </w:rPr>
        <w:t>9</w:t>
      </w:r>
      <w:r>
        <w:rPr>
          <w:rFonts w:hint="eastAsia" w:ascii="宋体" w:hAnsi="宋体"/>
          <w:bCs/>
          <w:sz w:val="24"/>
        </w:rPr>
        <w:t>“（5）危险废物环境管理要求”。</w:t>
      </w:r>
    </w:p>
    <w:p>
      <w:pPr>
        <w:snapToGrid w:val="0"/>
        <w:spacing w:line="500" w:lineRule="exact"/>
        <w:ind w:firstLine="482" w:firstLineChars="200"/>
        <w:rPr>
          <w:rFonts w:ascii="宋体" w:hAnsi="宋体"/>
          <w:bCs/>
          <w:sz w:val="24"/>
        </w:rPr>
      </w:pPr>
      <w:r>
        <w:rPr>
          <w:rFonts w:hint="eastAsia" w:ascii="宋体" w:hAnsi="宋体"/>
          <w:b/>
          <w:sz w:val="24"/>
        </w:rPr>
        <w:t>具体内容：</w:t>
      </w:r>
      <w:r>
        <w:rPr>
          <w:rFonts w:hint="eastAsia" w:ascii="宋体" w:hAnsi="宋体"/>
          <w:bCs/>
          <w:sz w:val="24"/>
        </w:rPr>
        <w:t>根据建设单位提供的经验数据，沾油的废防渗材料产生量约0.02t。施工期间应按照《危险废物环境管理指南  陆上石油天然气开采》中的危险废物环境管理要求：①落实污染环境防治责任制度。②落实危险废物识别标志制度，按照《环境保护图形标志 固体废物贮存（处置）场》（GB 15562.2）等有关规定，对危险废物的容器和收集、贮存、危险废物的场所设置危险废物识别标志。③落实危险废物管理计划制度，按照《危险废物产生单位管理计划制定指南》等有关要求制定危险废物管理计划，并报所在地生态环境主管部门备案。④落实危险废物管理台账及申报制度，建立危险废物管理台账，如实记录有关信息，并通过国家危险废物信息管理系统向所在地生态环境主管部门申报危险废物的种类、产生量、流向、贮存、处置等有关资料。⑤落实危险废物转移联单制度，转移危险废物的，应当按照《危险废物转移管理办法》的有关规定填写、运行危险废物转移联单。</w:t>
      </w:r>
    </w:p>
    <w:p>
      <w:pPr>
        <w:spacing w:line="500" w:lineRule="exact"/>
        <w:rPr>
          <w:rFonts w:ascii="宋体" w:hAnsi="宋体"/>
          <w:b/>
          <w:sz w:val="24"/>
        </w:rPr>
      </w:pPr>
      <w:r>
        <w:rPr>
          <w:rFonts w:hint="eastAsia" w:ascii="宋体" w:hAnsi="宋体"/>
          <w:b/>
          <w:sz w:val="24"/>
        </w:rPr>
        <w:t>（4）完善生态环境保护措施。本项目涉及保护植物梭梭，提出施工期的保护措施，从避让、减缓、补偿方面提出针对性保护措施。</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已完善生态环境保护措施，见报告P2</w:t>
      </w:r>
      <w:r>
        <w:rPr>
          <w:rFonts w:ascii="宋体" w:hAnsi="宋体"/>
          <w:bCs/>
          <w:sz w:val="24"/>
        </w:rPr>
        <w:t>4</w:t>
      </w:r>
      <w:r>
        <w:rPr>
          <w:rFonts w:hint="eastAsia" w:ascii="宋体" w:hAnsi="宋体"/>
          <w:bCs/>
          <w:sz w:val="24"/>
        </w:rPr>
        <w:t>-2</w:t>
      </w:r>
      <w:r>
        <w:rPr>
          <w:rFonts w:ascii="宋体" w:hAnsi="宋体"/>
          <w:bCs/>
          <w:sz w:val="24"/>
        </w:rPr>
        <w:t>5</w:t>
      </w:r>
      <w:r>
        <w:rPr>
          <w:rFonts w:hint="eastAsia" w:ascii="宋体" w:hAnsi="宋体"/>
          <w:bCs/>
          <w:sz w:val="24"/>
        </w:rPr>
        <w:t>“1、生态环境保护措施”。并已从避让、减缓、补偿方面提出针对性保护措施。</w:t>
      </w:r>
    </w:p>
    <w:p>
      <w:pPr>
        <w:snapToGrid w:val="0"/>
        <w:spacing w:line="500" w:lineRule="exact"/>
        <w:ind w:firstLine="482" w:firstLineChars="200"/>
        <w:rPr>
          <w:rFonts w:ascii="宋体" w:hAnsi="宋体"/>
          <w:b/>
          <w:sz w:val="24"/>
        </w:rPr>
      </w:pPr>
      <w:r>
        <w:rPr>
          <w:rFonts w:hint="eastAsia" w:ascii="宋体" w:hAnsi="宋体"/>
          <w:b/>
          <w:sz w:val="24"/>
        </w:rPr>
        <w:t>具体内容：</w:t>
      </w:r>
    </w:p>
    <w:p>
      <w:pPr>
        <w:snapToGrid w:val="0"/>
        <w:spacing w:line="500" w:lineRule="exact"/>
        <w:ind w:firstLine="480" w:firstLineChars="200"/>
        <w:rPr>
          <w:rFonts w:ascii="宋体" w:hAnsi="宋体"/>
          <w:bCs/>
          <w:sz w:val="24"/>
        </w:rPr>
      </w:pPr>
      <w:r>
        <w:rPr>
          <w:rFonts w:hint="eastAsia" w:ascii="宋体" w:hAnsi="宋体"/>
          <w:bCs/>
          <w:sz w:val="24"/>
        </w:rPr>
        <w:t>（1）生态保护措施</w:t>
      </w:r>
    </w:p>
    <w:p>
      <w:pPr>
        <w:snapToGrid w:val="0"/>
        <w:spacing w:line="500" w:lineRule="exact"/>
        <w:ind w:firstLine="480" w:firstLineChars="200"/>
        <w:rPr>
          <w:rFonts w:ascii="宋体" w:hAnsi="宋体"/>
          <w:bCs/>
          <w:sz w:val="24"/>
        </w:rPr>
      </w:pPr>
      <w:r>
        <w:rPr>
          <w:rFonts w:hint="eastAsia" w:ascii="宋体" w:hAnsi="宋体"/>
          <w:bCs/>
          <w:sz w:val="24"/>
        </w:rPr>
        <w:t>①工程避让措施：应提前踏勘探临道路选线，在满足勘探设计和施工要求的前提下，对井场、生活营地位置及其他占地进行适当调整，尽量避开野生植物生长密集地带以及农田，并减少占地。</w:t>
      </w:r>
    </w:p>
    <w:p>
      <w:pPr>
        <w:snapToGrid w:val="0"/>
        <w:spacing w:line="500" w:lineRule="exact"/>
        <w:ind w:firstLine="480" w:firstLineChars="200"/>
        <w:rPr>
          <w:rFonts w:ascii="宋体" w:hAnsi="宋体"/>
          <w:bCs/>
          <w:sz w:val="24"/>
        </w:rPr>
      </w:pPr>
      <w:r>
        <w:rPr>
          <w:rFonts w:hint="eastAsia" w:ascii="宋体" w:hAnsi="宋体"/>
          <w:bCs/>
          <w:sz w:val="24"/>
        </w:rPr>
        <w:t>②减缓措施：尽量缩小施工占地，不得随意开辟道路，减少影响范围；确保各环保设施正常运行，避免各类污染物对土壤环境的影响，防止进一步影响其上部生长的野生植被。</w:t>
      </w:r>
    </w:p>
    <w:p>
      <w:pPr>
        <w:snapToGrid w:val="0"/>
        <w:spacing w:line="500" w:lineRule="exact"/>
        <w:ind w:firstLine="480" w:firstLineChars="200"/>
        <w:rPr>
          <w:rFonts w:ascii="宋体" w:hAnsi="宋体"/>
          <w:bCs/>
          <w:sz w:val="24"/>
        </w:rPr>
      </w:pPr>
      <w:r>
        <w:rPr>
          <w:rFonts w:hint="eastAsia" w:ascii="宋体" w:hAnsi="宋体"/>
          <w:bCs/>
          <w:sz w:val="24"/>
        </w:rPr>
        <w:t>③修复措施：完井后施工机械、设备及时撤离，对占地进行清理平整，废水和固体废物全部妥善处置，禁止现场遗留；尽量利用井场及临时道路施工时产生的表层弃土对临时占地进行覆盖，植被自然恢复。</w:t>
      </w:r>
    </w:p>
    <w:p>
      <w:pPr>
        <w:snapToGrid w:val="0"/>
        <w:spacing w:line="500" w:lineRule="exact"/>
        <w:ind w:firstLine="480" w:firstLineChars="200"/>
        <w:rPr>
          <w:rFonts w:ascii="宋体" w:hAnsi="宋体"/>
          <w:bCs/>
          <w:sz w:val="24"/>
        </w:rPr>
      </w:pPr>
      <w:r>
        <w:rPr>
          <w:rFonts w:hint="eastAsia" w:ascii="宋体" w:hAnsi="宋体"/>
          <w:bCs/>
          <w:sz w:val="24"/>
        </w:rPr>
        <w:t>④补偿措施：建设单位应严格按照有关规定办理临时占地经济补偿协议，对因项目施工破坏的野生植被予以经济补偿。</w:t>
      </w:r>
    </w:p>
    <w:p>
      <w:pPr>
        <w:snapToGrid w:val="0"/>
        <w:spacing w:line="500" w:lineRule="exact"/>
        <w:ind w:firstLine="480" w:firstLineChars="200"/>
        <w:rPr>
          <w:rFonts w:ascii="宋体" w:hAnsi="宋体"/>
          <w:bCs/>
          <w:sz w:val="24"/>
        </w:rPr>
      </w:pPr>
      <w:r>
        <w:rPr>
          <w:rFonts w:hint="eastAsia" w:ascii="宋体" w:hAnsi="宋体"/>
          <w:bCs/>
          <w:sz w:val="24"/>
        </w:rPr>
        <w:t>⑤管理措施：严格遵守油田环境保护规章制度；严格控制井场占地，严格划定车辆行驶路线及临时道路开拓路线，禁止运输车辆乱碾乱轧；严格规定各类工作人员的活动范围，禁止进入附近的农田区域，最大限度减少对农作物和荒漠植物生存环境的踩踏破坏以及对野生动物的栖息地的侵扰。加强环境保护宣传工作，提高施工人员环保意识，特别是注意对野生动物和自然植被的保护。</w:t>
      </w:r>
    </w:p>
    <w:p>
      <w:pPr>
        <w:spacing w:line="500" w:lineRule="exact"/>
        <w:rPr>
          <w:rFonts w:ascii="宋体" w:hAnsi="宋体"/>
          <w:b/>
          <w:sz w:val="24"/>
        </w:rPr>
      </w:pPr>
      <w:r>
        <w:rPr>
          <w:rFonts w:hint="eastAsia" w:ascii="宋体" w:hAnsi="宋体"/>
          <w:b/>
          <w:sz w:val="24"/>
        </w:rPr>
        <w:t>（5）建议各环境要素按排污许可填报信息补充污染物产生、排放一览表。</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根据《排污单位自行监测技术指南 陆上石油天然气开采工业》</w:t>
      </w:r>
      <w:r>
        <w:rPr>
          <w:rFonts w:hint="eastAsia" w:ascii="宋体" w:hAnsi="宋体"/>
          <w:bCs/>
          <w:sz w:val="24"/>
        </w:rPr>
        <w:fldChar w:fldCharType="begin"/>
      </w:r>
      <w:r>
        <w:rPr>
          <w:rFonts w:hint="eastAsia" w:ascii="宋体" w:hAnsi="宋体"/>
          <w:bCs/>
          <w:sz w:val="24"/>
        </w:rPr>
        <w:instrText xml:space="preserve"> HYPERLINK "https://www.mee.gov.cn/ywgz/fgbz/bz/bzwb/jcffbz/202205/W020220517396099928041.pdf" </w:instrText>
      </w:r>
      <w:r>
        <w:rPr>
          <w:rFonts w:hint="eastAsia" w:ascii="宋体" w:hAnsi="宋体"/>
          <w:bCs/>
          <w:sz w:val="24"/>
        </w:rPr>
        <w:fldChar w:fldCharType="separate"/>
      </w:r>
      <w:r>
        <w:rPr>
          <w:rFonts w:hint="eastAsia" w:ascii="宋体" w:hAnsi="宋体"/>
          <w:bCs/>
          <w:sz w:val="24"/>
        </w:rPr>
        <w:t>（HJ 1248-2022）</w:t>
      </w:r>
      <w:r>
        <w:rPr>
          <w:rFonts w:hint="eastAsia" w:ascii="宋体" w:hAnsi="宋体"/>
          <w:bCs/>
          <w:sz w:val="24"/>
        </w:rPr>
        <w:fldChar w:fldCharType="end"/>
      </w:r>
      <w:r>
        <w:rPr>
          <w:rFonts w:hint="eastAsia" w:ascii="宋体" w:hAnsi="宋体"/>
          <w:bCs/>
          <w:sz w:val="24"/>
        </w:rPr>
        <w:t>，该标准适用于陆上石油天然气开采工业排污单位在生产运行阶段对其排放的水、气污染物，噪声以及对周边环境质量影响开展自行监测。本项目为陆地石油勘探项目，无运营期；钻试期时间较短，污染影响随施工结束而停止，不需要进行排污许可填报。</w:t>
      </w:r>
    </w:p>
    <w:p>
      <w:pPr>
        <w:spacing w:line="500" w:lineRule="exact"/>
        <w:rPr>
          <w:rFonts w:ascii="宋体" w:hAnsi="宋体"/>
          <w:b/>
          <w:sz w:val="24"/>
        </w:rPr>
      </w:pPr>
      <w:r>
        <w:rPr>
          <w:rFonts w:hint="eastAsia" w:ascii="宋体" w:hAnsi="宋体"/>
          <w:b/>
          <w:sz w:val="24"/>
        </w:rPr>
        <w:t>（6）根据上述修改内容完善生态环境保护措施监督检查清单。</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已根据上述修改内容完善生态环境保护措施监督检查清单，见报告P34-35。</w:t>
      </w:r>
    </w:p>
    <w:p>
      <w:pPr>
        <w:spacing w:line="500" w:lineRule="exact"/>
        <w:rPr>
          <w:rFonts w:ascii="宋体" w:hAnsi="宋体"/>
          <w:b/>
          <w:sz w:val="24"/>
        </w:rPr>
      </w:pPr>
      <w:r>
        <w:rPr>
          <w:rFonts w:hint="eastAsia" w:ascii="宋体" w:hAnsi="宋体"/>
          <w:b/>
          <w:sz w:val="24"/>
        </w:rPr>
        <w:t>（7）本项目报批前应在生态环境部信用平台备案，补充编制人员信息表，签字、盖章。</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报告中已附编制单位和编制人员情况表，见报告中的附表。</w:t>
      </w:r>
    </w:p>
    <w:p>
      <w:pPr>
        <w:spacing w:line="500" w:lineRule="exact"/>
        <w:rPr>
          <w:rFonts w:ascii="宋体" w:hAnsi="宋体"/>
          <w:b/>
          <w:sz w:val="24"/>
        </w:rPr>
      </w:pPr>
      <w:r>
        <w:rPr>
          <w:rFonts w:hint="eastAsia" w:ascii="宋体" w:hAnsi="宋体"/>
          <w:b/>
          <w:sz w:val="24"/>
        </w:rPr>
        <w:t>3、何飞专家意见：</w:t>
      </w:r>
    </w:p>
    <w:p>
      <w:pPr>
        <w:spacing w:line="500" w:lineRule="exact"/>
        <w:rPr>
          <w:rFonts w:ascii="宋体" w:hAnsi="宋体"/>
          <w:b/>
          <w:sz w:val="24"/>
        </w:rPr>
      </w:pPr>
      <w:r>
        <w:rPr>
          <w:rFonts w:hint="eastAsia" w:ascii="宋体" w:hAnsi="宋体"/>
          <w:b/>
          <w:sz w:val="24"/>
        </w:rPr>
        <w:t>（1）</w:t>
      </w:r>
      <w:r>
        <w:rPr>
          <w:rFonts w:ascii="宋体" w:hAnsi="宋体"/>
          <w:b/>
          <w:sz w:val="24"/>
        </w:rPr>
        <w:t>完善工程组成内容。补充相关征地手续。核实钻井液的成分及处置协议。</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w:t>
      </w:r>
      <w:r>
        <w:rPr>
          <w:rFonts w:ascii="宋体" w:hAnsi="宋体"/>
          <w:bCs/>
          <w:sz w:val="24"/>
        </w:rPr>
        <w:t>完善工程组成内容</w:t>
      </w:r>
      <w:r>
        <w:rPr>
          <w:rFonts w:hint="eastAsia" w:ascii="宋体" w:hAnsi="宋体"/>
          <w:bCs/>
          <w:sz w:val="24"/>
        </w:rPr>
        <w:t>，具体见报告P</w:t>
      </w:r>
      <w:r>
        <w:rPr>
          <w:rFonts w:ascii="宋体" w:hAnsi="宋体"/>
          <w:bCs/>
          <w:sz w:val="24"/>
        </w:rPr>
        <w:t>5</w:t>
      </w:r>
      <w:r>
        <w:rPr>
          <w:rFonts w:hint="eastAsia" w:ascii="宋体" w:hAnsi="宋体"/>
          <w:bCs/>
          <w:sz w:val="24"/>
        </w:rPr>
        <w:t>-</w:t>
      </w:r>
      <w:r>
        <w:rPr>
          <w:rFonts w:ascii="宋体" w:hAnsi="宋体"/>
          <w:bCs/>
          <w:sz w:val="24"/>
        </w:rPr>
        <w:t>6</w:t>
      </w:r>
      <w:r>
        <w:rPr>
          <w:rFonts w:hint="eastAsia" w:ascii="宋体" w:hAnsi="宋体"/>
          <w:bCs/>
          <w:sz w:val="24"/>
        </w:rPr>
        <w:t>“项目组成及规模--表2工程组成一览表”</w:t>
      </w:r>
      <w:r>
        <w:rPr>
          <w:rFonts w:ascii="宋体" w:hAnsi="宋体"/>
          <w:bCs/>
          <w:sz w:val="24"/>
        </w:rPr>
        <w:t>。</w:t>
      </w:r>
      <w:r>
        <w:rPr>
          <w:rFonts w:hint="eastAsia" w:ascii="宋体" w:hAnsi="宋体"/>
          <w:bCs/>
          <w:sz w:val="24"/>
        </w:rPr>
        <w:t>建设单位正在办理相关征地手续。已核实钻井液的成分，具体见报告P</w:t>
      </w:r>
      <w:r>
        <w:rPr>
          <w:rFonts w:ascii="宋体" w:hAnsi="宋体"/>
          <w:bCs/>
          <w:sz w:val="24"/>
        </w:rPr>
        <w:t>8</w:t>
      </w:r>
      <w:r>
        <w:rPr>
          <w:rFonts w:hint="eastAsia" w:ascii="宋体" w:hAnsi="宋体"/>
          <w:bCs/>
          <w:sz w:val="24"/>
        </w:rPr>
        <w:t>“④钻井液体系”；已与建设方核实，目前暂未签订钻井岩屑处置。</w:t>
      </w:r>
    </w:p>
    <w:p>
      <w:pPr>
        <w:snapToGrid w:val="0"/>
        <w:spacing w:line="500" w:lineRule="exact"/>
        <w:ind w:firstLine="482" w:firstLineChars="200"/>
        <w:rPr>
          <w:rFonts w:ascii="宋体" w:hAnsi="宋体"/>
          <w:bCs/>
          <w:sz w:val="24"/>
        </w:rPr>
      </w:pPr>
      <w:r>
        <w:rPr>
          <w:rFonts w:hint="eastAsia" w:ascii="宋体" w:hAnsi="宋体"/>
          <w:b/>
          <w:sz w:val="24"/>
        </w:rPr>
        <w:t>具体内容：</w:t>
      </w:r>
    </w:p>
    <w:p>
      <w:pPr>
        <w:keepNext/>
        <w:spacing w:line="500" w:lineRule="exact"/>
        <w:jc w:val="center"/>
        <w:rPr>
          <w:rFonts w:ascii="黑体" w:hAnsi="黑体" w:eastAsia="黑体"/>
          <w:szCs w:val="20"/>
        </w:rPr>
      </w:pPr>
      <w:r>
        <w:rPr>
          <w:rFonts w:ascii="黑体" w:hAnsi="黑体" w:eastAsia="黑体"/>
          <w:szCs w:val="20"/>
        </w:rPr>
        <w:t>表2</w:t>
      </w:r>
      <w:r>
        <w:rPr>
          <w:rFonts w:hint="eastAsia" w:ascii="黑体" w:hAnsi="黑体" w:eastAsia="黑体"/>
          <w:szCs w:val="20"/>
        </w:rPr>
        <w:t xml:space="preserve">  工程组成</w:t>
      </w:r>
      <w:r>
        <w:rPr>
          <w:rFonts w:ascii="黑体" w:hAnsi="黑体" w:eastAsia="黑体"/>
          <w:szCs w:val="20"/>
        </w:rPr>
        <w:t>一览表</w:t>
      </w:r>
    </w:p>
    <w:tbl>
      <w:tblPr>
        <w:tblStyle w:val="16"/>
        <w:tblW w:w="4998" w:type="pct"/>
        <w:tblInd w:w="5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67"/>
        <w:gridCol w:w="481"/>
        <w:gridCol w:w="1306"/>
        <w:gridCol w:w="59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Align w:val="center"/>
          </w:tcPr>
          <w:p>
            <w:pPr>
              <w:widowControl/>
              <w:adjustRightInd w:val="0"/>
              <w:snapToGrid w:val="0"/>
              <w:jc w:val="center"/>
              <w:rPr>
                <w:rFonts w:ascii="宋体" w:hAnsi="宋体" w:cs="Arial"/>
                <w:szCs w:val="21"/>
              </w:rPr>
            </w:pPr>
            <w:r>
              <w:rPr>
                <w:rFonts w:hint="eastAsia" w:ascii="宋体" w:hAnsi="宋体" w:cs="Arial"/>
                <w:szCs w:val="21"/>
              </w:rPr>
              <w:t>工程组成</w:t>
            </w:r>
          </w:p>
        </w:tc>
        <w:tc>
          <w:tcPr>
            <w:tcW w:w="4604" w:type="pct"/>
            <w:gridSpan w:val="3"/>
            <w:vAlign w:val="center"/>
          </w:tcPr>
          <w:p>
            <w:pPr>
              <w:widowControl/>
              <w:adjustRightInd w:val="0"/>
              <w:snapToGrid w:val="0"/>
              <w:jc w:val="center"/>
              <w:rPr>
                <w:rFonts w:ascii="宋体" w:hAnsi="宋体" w:cs="Arial"/>
                <w:szCs w:val="21"/>
              </w:rPr>
            </w:pPr>
            <w:r>
              <w:rPr>
                <w:rFonts w:hint="eastAsia" w:ascii="宋体" w:hAnsi="宋体" w:cs="Arial"/>
                <w:szCs w:val="21"/>
              </w:rPr>
              <w:t>工程内容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Merge w:val="restart"/>
            <w:vAlign w:val="center"/>
          </w:tcPr>
          <w:p>
            <w:pPr>
              <w:widowControl/>
              <w:adjustRightInd w:val="0"/>
              <w:snapToGrid w:val="0"/>
              <w:jc w:val="center"/>
              <w:rPr>
                <w:rFonts w:ascii="宋体" w:hAnsi="宋体" w:cs="Arial"/>
                <w:szCs w:val="21"/>
              </w:rPr>
            </w:pPr>
            <w:r>
              <w:rPr>
                <w:rFonts w:hint="eastAsia" w:ascii="宋体" w:hAnsi="宋体" w:cs="Arial"/>
                <w:szCs w:val="21"/>
              </w:rPr>
              <w:t>主体工程</w:t>
            </w:r>
          </w:p>
        </w:tc>
        <w:tc>
          <w:tcPr>
            <w:tcW w:w="1062" w:type="pct"/>
            <w:gridSpan w:val="2"/>
            <w:vAlign w:val="center"/>
          </w:tcPr>
          <w:p>
            <w:pPr>
              <w:widowControl/>
              <w:adjustRightInd w:val="0"/>
              <w:snapToGrid w:val="0"/>
              <w:jc w:val="center"/>
              <w:rPr>
                <w:rFonts w:ascii="宋体" w:hAnsi="宋体" w:cs="Arial"/>
                <w:szCs w:val="21"/>
              </w:rPr>
            </w:pPr>
            <w:r>
              <w:rPr>
                <w:rFonts w:hint="eastAsia" w:ascii="宋体" w:hAnsi="宋体" w:cs="Arial"/>
                <w:szCs w:val="21"/>
              </w:rPr>
              <w:t>钻前工程</w:t>
            </w:r>
          </w:p>
        </w:tc>
        <w:tc>
          <w:tcPr>
            <w:tcW w:w="3543" w:type="pct"/>
            <w:vAlign w:val="center"/>
          </w:tcPr>
          <w:p>
            <w:pPr>
              <w:widowControl/>
              <w:adjustRightInd w:val="0"/>
              <w:snapToGrid w:val="0"/>
              <w:rPr>
                <w:rFonts w:ascii="宋体" w:hAnsi="宋体" w:cs="Arial"/>
                <w:szCs w:val="21"/>
              </w:rPr>
            </w:pPr>
            <w:r>
              <w:rPr>
                <w:rFonts w:hint="eastAsia" w:ascii="宋体" w:hAnsi="宋体" w:cs="Arial"/>
                <w:spacing w:val="-6"/>
                <w:szCs w:val="21"/>
              </w:rPr>
              <w:t>井场平整、钻机基础建设、井场探临道路和生活营地建设，以及设备进场。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1062" w:type="pct"/>
            <w:gridSpan w:val="2"/>
            <w:vAlign w:val="center"/>
          </w:tcPr>
          <w:p>
            <w:pPr>
              <w:widowControl/>
              <w:adjustRightInd w:val="0"/>
              <w:snapToGrid w:val="0"/>
              <w:jc w:val="center"/>
              <w:rPr>
                <w:rFonts w:ascii="宋体" w:hAnsi="宋体" w:cs="Arial"/>
                <w:szCs w:val="21"/>
              </w:rPr>
            </w:pPr>
            <w:r>
              <w:rPr>
                <w:rFonts w:hint="eastAsia" w:ascii="宋体" w:hAnsi="宋体" w:cs="Arial"/>
                <w:szCs w:val="21"/>
              </w:rPr>
              <w:t>钻井工程</w:t>
            </w:r>
          </w:p>
        </w:tc>
        <w:tc>
          <w:tcPr>
            <w:tcW w:w="3543" w:type="pct"/>
            <w:vAlign w:val="center"/>
          </w:tcPr>
          <w:p>
            <w:pPr>
              <w:widowControl/>
              <w:adjustRightInd w:val="0"/>
              <w:snapToGrid w:val="0"/>
              <w:rPr>
                <w:rFonts w:ascii="宋体" w:hAnsi="宋体" w:cs="Arial"/>
                <w:szCs w:val="21"/>
              </w:rPr>
            </w:pPr>
            <w:r>
              <w:rPr>
                <w:rFonts w:hint="eastAsia" w:ascii="宋体" w:hAnsi="宋体" w:cs="Arial"/>
                <w:szCs w:val="21"/>
              </w:rPr>
              <w:t>钻井进尺</w:t>
            </w:r>
            <w:r>
              <w:rPr>
                <w:rFonts w:ascii="宋体" w:hAnsi="宋体" w:cs="Arial"/>
                <w:szCs w:val="21"/>
              </w:rPr>
              <w:t>3900</w:t>
            </w:r>
            <w:r>
              <w:rPr>
                <w:rFonts w:hint="eastAsia" w:ascii="宋体" w:hAnsi="宋体" w:cs="Arial"/>
                <w:szCs w:val="21"/>
              </w:rPr>
              <w:t>m，为三开直井；钻井期为93天，井场施工人数为35人。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1062" w:type="pct"/>
            <w:gridSpan w:val="2"/>
            <w:vAlign w:val="center"/>
          </w:tcPr>
          <w:p>
            <w:pPr>
              <w:widowControl/>
              <w:adjustRightInd w:val="0"/>
              <w:snapToGrid w:val="0"/>
              <w:jc w:val="center"/>
              <w:rPr>
                <w:rFonts w:ascii="宋体" w:hAnsi="宋体" w:cs="Arial"/>
                <w:szCs w:val="21"/>
              </w:rPr>
            </w:pPr>
            <w:r>
              <w:rPr>
                <w:rFonts w:hint="eastAsia" w:ascii="宋体" w:hAnsi="宋体" w:cs="Arial"/>
                <w:szCs w:val="21"/>
              </w:rPr>
              <w:t>试油工程</w:t>
            </w:r>
          </w:p>
        </w:tc>
        <w:tc>
          <w:tcPr>
            <w:tcW w:w="3543" w:type="pct"/>
            <w:vAlign w:val="center"/>
          </w:tcPr>
          <w:p>
            <w:pPr>
              <w:widowControl/>
              <w:adjustRightInd w:val="0"/>
              <w:snapToGrid w:val="0"/>
              <w:rPr>
                <w:rFonts w:ascii="宋体" w:hAnsi="宋体" w:cs="Arial"/>
                <w:szCs w:val="21"/>
              </w:rPr>
            </w:pPr>
            <w:r>
              <w:rPr>
                <w:rFonts w:hint="eastAsia" w:ascii="宋体" w:hAnsi="宋体" w:cs="Arial"/>
                <w:szCs w:val="21"/>
              </w:rPr>
              <w:t>对完钻井进行通井、洗井、试压、射孔、压裂、求产等工序，并配套试油设备、记录油气产量；试油期为</w:t>
            </w:r>
            <w:r>
              <w:rPr>
                <w:rFonts w:ascii="宋体" w:hAnsi="宋体" w:cs="Arial"/>
                <w:szCs w:val="21"/>
              </w:rPr>
              <w:t>90</w:t>
            </w:r>
            <w:r>
              <w:rPr>
                <w:rFonts w:hint="eastAsia" w:ascii="宋体" w:hAnsi="宋体" w:cs="Arial"/>
                <w:szCs w:val="21"/>
              </w:rPr>
              <w:t>天，施工人数为</w:t>
            </w:r>
            <w:r>
              <w:rPr>
                <w:rFonts w:ascii="宋体" w:hAnsi="宋体" w:cs="Arial"/>
                <w:szCs w:val="21"/>
              </w:rPr>
              <w:t>2</w:t>
            </w:r>
            <w:r>
              <w:rPr>
                <w:rFonts w:hint="eastAsia" w:ascii="宋体" w:hAnsi="宋体" w:cs="Arial"/>
                <w:szCs w:val="21"/>
              </w:rPr>
              <w:t>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6" w:type="pct"/>
            <w:vMerge w:val="restart"/>
            <w:vAlign w:val="center"/>
          </w:tcPr>
          <w:p>
            <w:pPr>
              <w:widowControl/>
              <w:adjustRightInd w:val="0"/>
              <w:snapToGrid w:val="0"/>
              <w:jc w:val="center"/>
              <w:rPr>
                <w:rFonts w:ascii="宋体" w:hAnsi="宋体" w:cs="Arial"/>
                <w:szCs w:val="21"/>
              </w:rPr>
            </w:pPr>
            <w:r>
              <w:rPr>
                <w:rFonts w:hint="eastAsia" w:ascii="宋体" w:hAnsi="宋体" w:cs="Arial"/>
                <w:szCs w:val="21"/>
              </w:rPr>
              <w:t>公用工程</w:t>
            </w:r>
          </w:p>
        </w:tc>
        <w:tc>
          <w:tcPr>
            <w:tcW w:w="1062" w:type="pct"/>
            <w:gridSpan w:val="2"/>
            <w:vAlign w:val="center"/>
          </w:tcPr>
          <w:p>
            <w:pPr>
              <w:widowControl/>
              <w:adjustRightInd w:val="0"/>
              <w:snapToGrid w:val="0"/>
              <w:jc w:val="center"/>
              <w:rPr>
                <w:rFonts w:ascii="宋体" w:hAnsi="宋体" w:cs="Arial"/>
                <w:szCs w:val="21"/>
              </w:rPr>
            </w:pPr>
            <w:r>
              <w:rPr>
                <w:rFonts w:hint="eastAsia" w:ascii="宋体" w:hAnsi="宋体" w:cs="Arial"/>
                <w:szCs w:val="21"/>
              </w:rPr>
              <w:t>供配电</w:t>
            </w:r>
          </w:p>
        </w:tc>
        <w:tc>
          <w:tcPr>
            <w:tcW w:w="3543" w:type="pct"/>
            <w:vAlign w:val="center"/>
          </w:tcPr>
          <w:p>
            <w:pPr>
              <w:widowControl/>
              <w:adjustRightInd w:val="0"/>
              <w:snapToGrid w:val="0"/>
              <w:rPr>
                <w:rFonts w:ascii="宋体" w:hAnsi="宋体" w:cs="Arial"/>
                <w:szCs w:val="21"/>
              </w:rPr>
            </w:pPr>
            <w:r>
              <w:rPr>
                <w:rFonts w:hint="eastAsia" w:ascii="宋体" w:hAnsi="宋体" w:cs="Arial"/>
                <w:szCs w:val="21"/>
              </w:rPr>
              <w:t>井场用电由柴油发电机供给；</w:t>
            </w:r>
            <w:r>
              <w:rPr>
                <w:rFonts w:hint="eastAsia" w:ascii="宋体" w:hAnsi="宋体" w:cs="宋体"/>
                <w:color w:val="000000"/>
                <w:szCs w:val="21"/>
              </w:rPr>
              <w:t>外购</w:t>
            </w:r>
            <w:r>
              <w:rPr>
                <w:rFonts w:hint="eastAsia" w:ascii="宋体" w:hAnsi="宋体" w:cs="Arial"/>
                <w:szCs w:val="21"/>
              </w:rPr>
              <w:t>柴油由罐车</w:t>
            </w:r>
            <w:r>
              <w:rPr>
                <w:rFonts w:hint="eastAsia" w:ascii="宋体" w:hAnsi="宋体" w:cs="宋体"/>
                <w:color w:val="000000"/>
                <w:szCs w:val="21"/>
              </w:rPr>
              <w:t>拉运至井场，并设1座油罐储存（日常储备20t），柴油</w:t>
            </w:r>
            <w:r>
              <w:rPr>
                <w:rFonts w:hint="eastAsia" w:ascii="宋体" w:hAnsi="宋体" w:cs="Arial"/>
                <w:szCs w:val="21"/>
              </w:rPr>
              <w:t>消耗总量约2</w:t>
            </w:r>
            <w:r>
              <w:rPr>
                <w:rFonts w:ascii="宋体" w:hAnsi="宋体" w:cs="Arial"/>
                <w:szCs w:val="21"/>
              </w:rPr>
              <w:t>94t</w:t>
            </w:r>
            <w:r>
              <w:rPr>
                <w:rFonts w:hint="eastAsia" w:ascii="宋体" w:hAnsi="宋体" w:cs="Arial"/>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1062" w:type="pct"/>
            <w:gridSpan w:val="2"/>
            <w:vAlign w:val="center"/>
          </w:tcPr>
          <w:p>
            <w:pPr>
              <w:widowControl/>
              <w:adjustRightInd w:val="0"/>
              <w:snapToGrid w:val="0"/>
              <w:jc w:val="center"/>
              <w:rPr>
                <w:rFonts w:ascii="宋体" w:hAnsi="宋体" w:cs="Arial"/>
                <w:szCs w:val="21"/>
              </w:rPr>
            </w:pPr>
            <w:r>
              <w:rPr>
                <w:rFonts w:hint="eastAsia" w:ascii="宋体" w:hAnsi="宋体" w:cs="Arial"/>
                <w:szCs w:val="21"/>
              </w:rPr>
              <w:t>给排水</w:t>
            </w:r>
          </w:p>
        </w:tc>
        <w:tc>
          <w:tcPr>
            <w:tcW w:w="3543" w:type="pct"/>
            <w:vAlign w:val="center"/>
          </w:tcPr>
          <w:p>
            <w:pPr>
              <w:widowControl/>
              <w:adjustRightInd w:val="0"/>
              <w:snapToGrid w:val="0"/>
              <w:rPr>
                <w:rFonts w:ascii="宋体" w:hAnsi="宋体" w:cs="Arial"/>
                <w:color w:val="FF0000"/>
                <w:szCs w:val="21"/>
              </w:rPr>
            </w:pPr>
            <w:r>
              <w:rPr>
                <w:rFonts w:hint="eastAsia" w:ascii="宋体" w:hAnsi="宋体" w:cs="Arial"/>
                <w:szCs w:val="21"/>
              </w:rPr>
              <w:t>用水主要为洗井用水和生活用水，均可就近从小庙村由罐车拉运至井场；洗井废水暂存至井场专用储罐；生活污水排至生活营地</w:t>
            </w:r>
            <w:r>
              <w:rPr>
                <w:rFonts w:hint="eastAsia" w:ascii="宋体" w:hAnsi="宋体" w:cs="Arial"/>
                <w:bCs/>
                <w:szCs w:val="21"/>
              </w:rPr>
              <w:t>临时防渗收集池暂存</w:t>
            </w:r>
            <w:r>
              <w:rPr>
                <w:rFonts w:hint="eastAsia" w:ascii="宋体" w:hAnsi="宋体" w:cs="Arial"/>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1062" w:type="pct"/>
            <w:gridSpan w:val="2"/>
            <w:vAlign w:val="center"/>
          </w:tcPr>
          <w:p>
            <w:pPr>
              <w:widowControl/>
              <w:adjustRightInd w:val="0"/>
              <w:snapToGrid w:val="0"/>
              <w:jc w:val="center"/>
              <w:rPr>
                <w:rFonts w:ascii="宋体" w:hAnsi="宋体" w:cs="Arial"/>
                <w:szCs w:val="21"/>
              </w:rPr>
            </w:pPr>
            <w:r>
              <w:rPr>
                <w:rFonts w:hint="eastAsia" w:ascii="宋体" w:hAnsi="宋体" w:cs="Arial"/>
                <w:szCs w:val="21"/>
              </w:rPr>
              <w:t>道路</w:t>
            </w:r>
          </w:p>
        </w:tc>
        <w:tc>
          <w:tcPr>
            <w:tcW w:w="3543" w:type="pct"/>
            <w:vAlign w:val="center"/>
          </w:tcPr>
          <w:p>
            <w:pPr>
              <w:widowControl/>
              <w:adjustRightInd w:val="0"/>
              <w:snapToGrid w:val="0"/>
              <w:rPr>
                <w:rFonts w:ascii="宋体" w:hAnsi="宋体" w:cs="Arial"/>
                <w:szCs w:val="21"/>
              </w:rPr>
            </w:pPr>
            <w:r>
              <w:rPr>
                <w:rFonts w:hint="eastAsia" w:ascii="宋体" w:hAnsi="宋体" w:cs="Arial"/>
                <w:szCs w:val="21"/>
              </w:rPr>
              <w:t>新建1条长度为</w:t>
            </w:r>
            <w:r>
              <w:rPr>
                <w:rFonts w:ascii="宋体" w:hAnsi="宋体" w:cs="Arial"/>
                <w:szCs w:val="21"/>
              </w:rPr>
              <w:t>100m</w:t>
            </w:r>
            <w:r>
              <w:rPr>
                <w:rFonts w:hint="eastAsia" w:ascii="宋体" w:hAnsi="宋体" w:cs="Arial"/>
                <w:szCs w:val="21"/>
              </w:rPr>
              <w:t>的探临道路，路宽7m，砂石路面。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1062" w:type="pct"/>
            <w:gridSpan w:val="2"/>
            <w:vAlign w:val="center"/>
          </w:tcPr>
          <w:p>
            <w:pPr>
              <w:widowControl/>
              <w:adjustRightInd w:val="0"/>
              <w:snapToGrid w:val="0"/>
              <w:jc w:val="center"/>
              <w:rPr>
                <w:rFonts w:ascii="宋体" w:hAnsi="宋体" w:cs="Arial"/>
                <w:szCs w:val="21"/>
              </w:rPr>
            </w:pPr>
            <w:r>
              <w:rPr>
                <w:rFonts w:hint="eastAsia" w:ascii="宋体" w:hAnsi="宋体" w:cs="Arial"/>
                <w:szCs w:val="21"/>
              </w:rPr>
              <w:t>消防</w:t>
            </w:r>
          </w:p>
        </w:tc>
        <w:tc>
          <w:tcPr>
            <w:tcW w:w="3543" w:type="pct"/>
            <w:vAlign w:val="center"/>
          </w:tcPr>
          <w:p>
            <w:pPr>
              <w:widowControl/>
              <w:adjustRightInd w:val="0"/>
              <w:snapToGrid w:val="0"/>
              <w:rPr>
                <w:rFonts w:ascii="宋体" w:hAnsi="宋体" w:cs="Arial"/>
                <w:szCs w:val="21"/>
              </w:rPr>
            </w:pPr>
            <w:r>
              <w:rPr>
                <w:rFonts w:hint="eastAsia" w:ascii="宋体" w:hAnsi="宋体" w:cs="宋体"/>
                <w:kern w:val="0"/>
                <w:szCs w:val="21"/>
              </w:rPr>
              <w:t>按规范配置一定数量的消防器材。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Merge w:val="restart"/>
            <w:vAlign w:val="center"/>
          </w:tcPr>
          <w:p>
            <w:pPr>
              <w:widowControl/>
              <w:adjustRightInd w:val="0"/>
              <w:snapToGrid w:val="0"/>
              <w:jc w:val="center"/>
              <w:rPr>
                <w:rFonts w:ascii="宋体" w:hAnsi="宋体" w:cs="Arial"/>
                <w:szCs w:val="21"/>
              </w:rPr>
            </w:pPr>
            <w:r>
              <w:rPr>
                <w:rFonts w:hint="eastAsia" w:ascii="宋体" w:hAnsi="宋体" w:cs="Arial"/>
                <w:szCs w:val="21"/>
              </w:rPr>
              <w:t>环保工程</w:t>
            </w:r>
          </w:p>
        </w:tc>
        <w:tc>
          <w:tcPr>
            <w:tcW w:w="286" w:type="pct"/>
            <w:tcBorders>
              <w:right w:val="single" w:color="auto" w:sz="4" w:space="0"/>
            </w:tcBorders>
            <w:vAlign w:val="center"/>
          </w:tcPr>
          <w:p>
            <w:pPr>
              <w:widowControl/>
              <w:snapToGrid w:val="0"/>
              <w:contextualSpacing/>
              <w:jc w:val="center"/>
              <w:rPr>
                <w:rFonts w:ascii="宋体" w:hAnsi="宋体" w:cs="Arial"/>
                <w:szCs w:val="21"/>
              </w:rPr>
            </w:pPr>
            <w:r>
              <w:rPr>
                <w:rFonts w:hint="eastAsia" w:ascii="宋体" w:hAnsi="宋体" w:cs="Arial"/>
                <w:szCs w:val="21"/>
              </w:rPr>
              <w:t>废气</w:t>
            </w:r>
          </w:p>
        </w:tc>
        <w:tc>
          <w:tcPr>
            <w:tcW w:w="776" w:type="pct"/>
            <w:tcBorders>
              <w:left w:val="single" w:color="auto" w:sz="4" w:space="0"/>
            </w:tcBorders>
            <w:vAlign w:val="center"/>
          </w:tcPr>
          <w:p>
            <w:pPr>
              <w:jc w:val="center"/>
            </w:pPr>
            <w:r>
              <w:rPr>
                <w:szCs w:val="21"/>
              </w:rPr>
              <w:t>伴生气</w:t>
            </w:r>
          </w:p>
        </w:tc>
        <w:tc>
          <w:tcPr>
            <w:tcW w:w="3543" w:type="pct"/>
            <w:vAlign w:val="center"/>
          </w:tcPr>
          <w:p>
            <w:pPr>
              <w:snapToGrid w:val="0"/>
              <w:rPr>
                <w:rFonts w:ascii="Calibri" w:hAnsi="Calibri"/>
                <w:szCs w:val="21"/>
              </w:rPr>
            </w:pPr>
            <w:r>
              <w:rPr>
                <w:rFonts w:hint="eastAsia" w:ascii="Calibri" w:hAnsi="Calibri"/>
                <w:szCs w:val="21"/>
              </w:rPr>
              <w:t>由液气分离器排气管线</w:t>
            </w:r>
            <w:r>
              <w:rPr>
                <w:rFonts w:hint="eastAsia" w:ascii="Calibri" w:hAnsi="Calibri"/>
                <w:szCs w:val="22"/>
              </w:rPr>
              <w:t>点燃后放空。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286" w:type="pct"/>
            <w:vMerge w:val="restart"/>
            <w:tcBorders>
              <w:right w:val="single" w:color="auto" w:sz="4" w:space="0"/>
            </w:tcBorders>
            <w:vAlign w:val="center"/>
          </w:tcPr>
          <w:p>
            <w:pPr>
              <w:widowControl/>
              <w:snapToGrid w:val="0"/>
              <w:contextualSpacing/>
              <w:jc w:val="center"/>
              <w:rPr>
                <w:rFonts w:ascii="宋体" w:hAnsi="宋体" w:cs="Arial"/>
                <w:szCs w:val="21"/>
              </w:rPr>
            </w:pPr>
            <w:r>
              <w:rPr>
                <w:rFonts w:hint="eastAsia" w:ascii="宋体" w:hAnsi="宋体" w:cs="Arial"/>
                <w:szCs w:val="21"/>
              </w:rPr>
              <w:t>废水</w:t>
            </w:r>
          </w:p>
        </w:tc>
        <w:tc>
          <w:tcPr>
            <w:tcW w:w="776" w:type="pct"/>
            <w:tcBorders>
              <w:left w:val="single" w:color="auto" w:sz="4" w:space="0"/>
            </w:tcBorders>
            <w:vAlign w:val="center"/>
          </w:tcPr>
          <w:p>
            <w:pPr>
              <w:jc w:val="center"/>
              <w:rPr>
                <w:szCs w:val="21"/>
              </w:rPr>
            </w:pPr>
            <w:r>
              <w:rPr>
                <w:rFonts w:hint="eastAsia"/>
              </w:rPr>
              <w:t>洗井废水、压裂返排液</w:t>
            </w:r>
          </w:p>
        </w:tc>
        <w:tc>
          <w:tcPr>
            <w:tcW w:w="3543" w:type="pct"/>
            <w:vAlign w:val="center"/>
          </w:tcPr>
          <w:p>
            <w:pPr>
              <w:snapToGrid w:val="0"/>
              <w:rPr>
                <w:rFonts w:ascii="Calibri" w:hAnsi="Calibri"/>
                <w:szCs w:val="21"/>
              </w:rPr>
            </w:pPr>
            <w:r>
              <w:rPr>
                <w:rFonts w:hint="eastAsia" w:ascii="Calibri" w:hAnsi="Calibri"/>
                <w:szCs w:val="21"/>
              </w:rPr>
              <w:t>由专用储罐收集后拉运至</w:t>
            </w:r>
            <w:r>
              <w:rPr>
                <w:rFonts w:hint="eastAsia" w:ascii="宋体" w:hAnsi="宋体" w:cs="宋体"/>
                <w:szCs w:val="21"/>
              </w:rPr>
              <w:t>沙南联合站</w:t>
            </w:r>
            <w:r>
              <w:rPr>
                <w:rFonts w:hint="eastAsia" w:ascii="Calibri" w:hAnsi="Calibri"/>
                <w:szCs w:val="21"/>
              </w:rPr>
              <w:t>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286" w:type="pct"/>
            <w:vMerge w:val="continue"/>
            <w:tcBorders>
              <w:right w:val="single" w:color="auto" w:sz="4" w:space="0"/>
            </w:tcBorders>
            <w:vAlign w:val="center"/>
          </w:tcPr>
          <w:p>
            <w:pPr>
              <w:widowControl/>
              <w:snapToGrid w:val="0"/>
              <w:contextualSpacing/>
              <w:jc w:val="center"/>
              <w:rPr>
                <w:rFonts w:ascii="宋体" w:hAnsi="宋体" w:cs="Arial"/>
                <w:szCs w:val="21"/>
              </w:rPr>
            </w:pPr>
          </w:p>
        </w:tc>
        <w:tc>
          <w:tcPr>
            <w:tcW w:w="776" w:type="pct"/>
            <w:tcBorders>
              <w:left w:val="single" w:color="auto" w:sz="4" w:space="0"/>
            </w:tcBorders>
            <w:vAlign w:val="center"/>
          </w:tcPr>
          <w:p>
            <w:pPr>
              <w:jc w:val="center"/>
              <w:rPr>
                <w:szCs w:val="21"/>
              </w:rPr>
            </w:pPr>
            <w:r>
              <w:rPr>
                <w:rFonts w:hint="eastAsia"/>
              </w:rPr>
              <w:t>生活污水</w:t>
            </w:r>
          </w:p>
        </w:tc>
        <w:tc>
          <w:tcPr>
            <w:tcW w:w="3543" w:type="pct"/>
            <w:vAlign w:val="center"/>
          </w:tcPr>
          <w:p>
            <w:pPr>
              <w:snapToGrid w:val="0"/>
              <w:rPr>
                <w:rFonts w:ascii="Calibri" w:hAnsi="Calibri"/>
                <w:szCs w:val="21"/>
              </w:rPr>
            </w:pPr>
            <w:r>
              <w:rPr>
                <w:rFonts w:hint="eastAsia" w:ascii="Calibri" w:hAnsi="Calibri"/>
                <w:szCs w:val="21"/>
              </w:rPr>
              <w:t>生活营</w:t>
            </w:r>
            <w:r>
              <w:rPr>
                <w:rFonts w:hint="eastAsia" w:ascii="宋体" w:hAnsi="宋体" w:cs="宋体"/>
                <w:szCs w:val="21"/>
              </w:rPr>
              <w:t>地设1座防渗收集池，用于收集、暂存生活污水，施工结束后送至</w:t>
            </w:r>
            <w:r>
              <w:rPr>
                <w:rFonts w:hint="eastAsia" w:ascii="Calibri" w:hAnsi="Calibri"/>
                <w:szCs w:val="21"/>
              </w:rPr>
              <w:t>吉木萨尔县污水处理厂处理。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286" w:type="pct"/>
            <w:tcBorders>
              <w:right w:val="single" w:color="auto" w:sz="4" w:space="0"/>
            </w:tcBorders>
            <w:vAlign w:val="center"/>
          </w:tcPr>
          <w:p>
            <w:pPr>
              <w:widowControl/>
              <w:snapToGrid w:val="0"/>
              <w:contextualSpacing/>
              <w:jc w:val="center"/>
              <w:rPr>
                <w:rFonts w:ascii="宋体" w:hAnsi="宋体" w:cs="Arial"/>
                <w:szCs w:val="21"/>
              </w:rPr>
            </w:pPr>
            <w:r>
              <w:rPr>
                <w:rFonts w:hint="eastAsia" w:ascii="宋体" w:hAnsi="宋体" w:cs="Arial"/>
                <w:szCs w:val="21"/>
              </w:rPr>
              <w:t>噪声</w:t>
            </w:r>
          </w:p>
        </w:tc>
        <w:tc>
          <w:tcPr>
            <w:tcW w:w="776" w:type="pct"/>
            <w:tcBorders>
              <w:left w:val="single" w:color="auto" w:sz="4" w:space="0"/>
            </w:tcBorders>
            <w:vAlign w:val="center"/>
          </w:tcPr>
          <w:p>
            <w:pPr>
              <w:jc w:val="center"/>
            </w:pPr>
            <w:r>
              <w:rPr>
                <w:rFonts w:hint="eastAsia"/>
              </w:rPr>
              <w:t>钻试设备运行噪声</w:t>
            </w:r>
          </w:p>
        </w:tc>
        <w:tc>
          <w:tcPr>
            <w:tcW w:w="3543" w:type="pct"/>
            <w:vAlign w:val="center"/>
          </w:tcPr>
          <w:p>
            <w:pPr>
              <w:snapToGrid w:val="0"/>
              <w:rPr>
                <w:rFonts w:ascii="Calibri" w:hAnsi="Calibri"/>
                <w:szCs w:val="21"/>
              </w:rPr>
            </w:pPr>
            <w:r>
              <w:rPr>
                <w:rFonts w:hint="eastAsia" w:ascii="Calibri" w:hAnsi="Calibri"/>
                <w:szCs w:val="22"/>
              </w:rPr>
              <w:t>设备底部进行基础减震。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286" w:type="pct"/>
            <w:vMerge w:val="restart"/>
            <w:tcBorders>
              <w:right w:val="single" w:color="auto" w:sz="4" w:space="0"/>
            </w:tcBorders>
            <w:vAlign w:val="center"/>
          </w:tcPr>
          <w:p>
            <w:pPr>
              <w:widowControl/>
              <w:snapToGrid w:val="0"/>
              <w:contextualSpacing/>
              <w:jc w:val="center"/>
              <w:rPr>
                <w:rFonts w:ascii="宋体" w:hAnsi="宋体" w:cs="Arial"/>
                <w:szCs w:val="21"/>
              </w:rPr>
            </w:pPr>
            <w:r>
              <w:rPr>
                <w:rFonts w:hint="eastAsia" w:ascii="宋体" w:hAnsi="宋体" w:cs="Arial"/>
                <w:szCs w:val="21"/>
              </w:rPr>
              <w:t>固体废物</w:t>
            </w:r>
          </w:p>
        </w:tc>
        <w:tc>
          <w:tcPr>
            <w:tcW w:w="776" w:type="pct"/>
            <w:tcBorders>
              <w:left w:val="single" w:color="auto" w:sz="4" w:space="0"/>
            </w:tcBorders>
            <w:vAlign w:val="center"/>
          </w:tcPr>
          <w:p>
            <w:pPr>
              <w:widowControl/>
              <w:snapToGrid w:val="0"/>
              <w:contextualSpacing/>
              <w:jc w:val="center"/>
              <w:rPr>
                <w:rFonts w:ascii="宋体" w:hAnsi="宋体" w:cs="Arial"/>
                <w:szCs w:val="21"/>
              </w:rPr>
            </w:pPr>
            <w:r>
              <w:rPr>
                <w:rFonts w:hint="eastAsia" w:ascii="宋体" w:hAnsi="宋体" w:cs="Arial"/>
                <w:szCs w:val="21"/>
              </w:rPr>
              <w:t>钻井岩屑</w:t>
            </w:r>
          </w:p>
        </w:tc>
        <w:tc>
          <w:tcPr>
            <w:tcW w:w="3543" w:type="pct"/>
            <w:vAlign w:val="center"/>
          </w:tcPr>
          <w:p>
            <w:pPr>
              <w:widowControl/>
              <w:snapToGrid w:val="0"/>
              <w:contextualSpacing/>
              <w:rPr>
                <w:rFonts w:ascii="宋体" w:hAnsi="宋体" w:cs="Arial"/>
                <w:szCs w:val="21"/>
              </w:rPr>
            </w:pPr>
            <w:r>
              <w:rPr>
                <w:rFonts w:ascii="宋体" w:hAnsi="宋体" w:cs="Arial"/>
                <w:szCs w:val="21"/>
              </w:rPr>
              <w:t>井场设置1套</w:t>
            </w:r>
            <w:r>
              <w:rPr>
                <w:rFonts w:hint="eastAsia" w:ascii="宋体" w:hAnsi="宋体" w:cs="Arial"/>
                <w:szCs w:val="21"/>
              </w:rPr>
              <w:t>钻井液</w:t>
            </w:r>
            <w:r>
              <w:rPr>
                <w:rFonts w:ascii="宋体" w:hAnsi="宋体" w:cs="Arial"/>
                <w:szCs w:val="21"/>
              </w:rPr>
              <w:t>不落地设备</w:t>
            </w:r>
            <w:r>
              <w:rPr>
                <w:rFonts w:hint="eastAsia" w:ascii="宋体" w:hAnsi="宋体" w:cs="Arial"/>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286" w:type="pct"/>
            <w:vMerge w:val="continue"/>
            <w:tcBorders>
              <w:right w:val="single" w:color="auto" w:sz="4" w:space="0"/>
            </w:tcBorders>
            <w:vAlign w:val="center"/>
          </w:tcPr>
          <w:p>
            <w:pPr>
              <w:widowControl/>
              <w:snapToGrid w:val="0"/>
              <w:contextualSpacing/>
              <w:jc w:val="center"/>
              <w:rPr>
                <w:rFonts w:ascii="宋体" w:hAnsi="宋体" w:cs="Arial"/>
                <w:szCs w:val="21"/>
              </w:rPr>
            </w:pPr>
          </w:p>
        </w:tc>
        <w:tc>
          <w:tcPr>
            <w:tcW w:w="776" w:type="pct"/>
            <w:tcBorders>
              <w:left w:val="single" w:color="auto" w:sz="4" w:space="0"/>
            </w:tcBorders>
            <w:vAlign w:val="center"/>
          </w:tcPr>
          <w:p>
            <w:pPr>
              <w:widowControl/>
              <w:snapToGrid w:val="0"/>
              <w:contextualSpacing/>
              <w:jc w:val="center"/>
              <w:rPr>
                <w:rFonts w:ascii="宋体" w:hAnsi="宋体" w:cs="Arial"/>
                <w:szCs w:val="21"/>
              </w:rPr>
            </w:pPr>
            <w:r>
              <w:rPr>
                <w:rFonts w:hint="eastAsia" w:ascii="宋体" w:hAnsi="宋体" w:cs="宋体"/>
                <w:szCs w:val="21"/>
              </w:rPr>
              <w:t>沾油的废防渗材料</w:t>
            </w:r>
          </w:p>
        </w:tc>
        <w:tc>
          <w:tcPr>
            <w:tcW w:w="3543" w:type="pct"/>
            <w:vAlign w:val="center"/>
          </w:tcPr>
          <w:p>
            <w:pPr>
              <w:widowControl/>
              <w:snapToGrid w:val="0"/>
              <w:contextualSpacing/>
              <w:rPr>
                <w:rFonts w:ascii="宋体" w:hAnsi="宋体" w:cs="Arial"/>
                <w:szCs w:val="21"/>
              </w:rPr>
            </w:pPr>
            <w:r>
              <w:rPr>
                <w:rFonts w:hint="eastAsia" w:ascii="宋体" w:hAnsi="宋体" w:cs="宋体"/>
                <w:szCs w:val="21"/>
              </w:rPr>
              <w:t>施工结束后交由具有相应危险废物处置资质的单位进行处置。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6" w:type="pct"/>
            <w:vMerge w:val="continue"/>
            <w:vAlign w:val="center"/>
          </w:tcPr>
          <w:p>
            <w:pPr>
              <w:widowControl/>
              <w:adjustRightInd w:val="0"/>
              <w:snapToGrid w:val="0"/>
              <w:jc w:val="center"/>
              <w:rPr>
                <w:rFonts w:ascii="宋体" w:hAnsi="宋体" w:cs="Arial"/>
                <w:szCs w:val="21"/>
              </w:rPr>
            </w:pPr>
          </w:p>
        </w:tc>
        <w:tc>
          <w:tcPr>
            <w:tcW w:w="286" w:type="pct"/>
            <w:vMerge w:val="continue"/>
            <w:tcBorders>
              <w:right w:val="single" w:color="auto" w:sz="4" w:space="0"/>
            </w:tcBorders>
            <w:vAlign w:val="center"/>
          </w:tcPr>
          <w:p>
            <w:pPr>
              <w:widowControl/>
              <w:snapToGrid w:val="0"/>
              <w:contextualSpacing/>
              <w:jc w:val="center"/>
              <w:rPr>
                <w:rFonts w:ascii="宋体" w:hAnsi="宋体" w:cs="Arial"/>
                <w:szCs w:val="21"/>
              </w:rPr>
            </w:pPr>
          </w:p>
        </w:tc>
        <w:tc>
          <w:tcPr>
            <w:tcW w:w="776" w:type="pct"/>
            <w:tcBorders>
              <w:left w:val="single" w:color="auto" w:sz="4" w:space="0"/>
            </w:tcBorders>
            <w:vAlign w:val="center"/>
          </w:tcPr>
          <w:p>
            <w:pPr>
              <w:widowControl/>
              <w:snapToGrid w:val="0"/>
              <w:contextualSpacing/>
              <w:jc w:val="center"/>
              <w:rPr>
                <w:rFonts w:ascii="宋体" w:hAnsi="宋体" w:cs="Arial"/>
                <w:szCs w:val="21"/>
              </w:rPr>
            </w:pPr>
            <w:r>
              <w:rPr>
                <w:rFonts w:hint="eastAsia" w:ascii="宋体" w:hAnsi="宋体" w:cs="Arial"/>
                <w:szCs w:val="21"/>
              </w:rPr>
              <w:t>生活垃圾</w:t>
            </w:r>
          </w:p>
        </w:tc>
        <w:tc>
          <w:tcPr>
            <w:tcW w:w="3543" w:type="pct"/>
            <w:vAlign w:val="center"/>
          </w:tcPr>
          <w:p>
            <w:pPr>
              <w:widowControl/>
              <w:snapToGrid w:val="0"/>
              <w:contextualSpacing/>
              <w:rPr>
                <w:rFonts w:ascii="宋体" w:hAnsi="宋体" w:cs="Arial"/>
                <w:szCs w:val="21"/>
              </w:rPr>
            </w:pPr>
            <w:r>
              <w:rPr>
                <w:rFonts w:hint="eastAsia" w:ascii="宋体" w:hAnsi="宋体" w:cs="Arial"/>
                <w:szCs w:val="21"/>
              </w:rPr>
              <w:t>井场和生活营地均设有垃圾箱暂存生活垃圾，施工结束后清运至吉木萨尔县生活垃圾填埋场处置。</w:t>
            </w:r>
          </w:p>
        </w:tc>
      </w:tr>
    </w:tbl>
    <w:p>
      <w:pPr>
        <w:adjustRightInd w:val="0"/>
        <w:snapToGrid w:val="0"/>
        <w:spacing w:line="500" w:lineRule="exact"/>
        <w:jc w:val="center"/>
        <w:rPr>
          <w:rFonts w:ascii="黑体" w:hAnsi="黑体" w:eastAsia="黑体"/>
          <w:szCs w:val="20"/>
        </w:rPr>
      </w:pPr>
    </w:p>
    <w:p>
      <w:pPr>
        <w:adjustRightInd w:val="0"/>
        <w:snapToGrid w:val="0"/>
        <w:spacing w:line="500" w:lineRule="exact"/>
        <w:jc w:val="center"/>
        <w:rPr>
          <w:rFonts w:ascii="黑体" w:hAnsi="黑体" w:eastAsia="黑体"/>
          <w:szCs w:val="20"/>
        </w:rPr>
      </w:pPr>
      <w:r>
        <w:rPr>
          <w:rFonts w:hint="eastAsia" w:ascii="黑体" w:hAnsi="黑体" w:eastAsia="黑体"/>
          <w:szCs w:val="20"/>
        </w:rPr>
        <w:t>续</w:t>
      </w:r>
      <w:r>
        <w:rPr>
          <w:rFonts w:ascii="黑体" w:hAnsi="黑体" w:eastAsia="黑体"/>
          <w:szCs w:val="20"/>
        </w:rPr>
        <w:t>表2</w:t>
      </w:r>
      <w:r>
        <w:rPr>
          <w:rFonts w:hint="eastAsia" w:ascii="黑体" w:hAnsi="黑体" w:eastAsia="黑体"/>
          <w:szCs w:val="20"/>
        </w:rPr>
        <w:t xml:space="preserve">  工程组成</w:t>
      </w:r>
      <w:r>
        <w:rPr>
          <w:rFonts w:ascii="黑体" w:hAnsi="黑体" w:eastAsia="黑体"/>
          <w:szCs w:val="20"/>
        </w:rPr>
        <w:t>一览表</w:t>
      </w:r>
    </w:p>
    <w:tbl>
      <w:tblPr>
        <w:tblStyle w:val="16"/>
        <w:tblW w:w="4998" w:type="pct"/>
        <w:tblInd w:w="5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68"/>
        <w:gridCol w:w="1795"/>
        <w:gridCol w:w="59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7" w:type="pct"/>
            <w:vAlign w:val="center"/>
          </w:tcPr>
          <w:p>
            <w:pPr>
              <w:widowControl/>
              <w:adjustRightInd w:val="0"/>
              <w:snapToGrid w:val="0"/>
              <w:jc w:val="center"/>
              <w:rPr>
                <w:rFonts w:ascii="宋体" w:hAnsi="宋体" w:cs="Arial"/>
                <w:szCs w:val="21"/>
              </w:rPr>
            </w:pPr>
            <w:r>
              <w:rPr>
                <w:rFonts w:hint="eastAsia" w:ascii="宋体" w:hAnsi="宋体" w:cs="Arial"/>
                <w:szCs w:val="21"/>
              </w:rPr>
              <w:t>工程组成</w:t>
            </w:r>
          </w:p>
        </w:tc>
        <w:tc>
          <w:tcPr>
            <w:tcW w:w="4603" w:type="pct"/>
            <w:gridSpan w:val="2"/>
            <w:vAlign w:val="center"/>
          </w:tcPr>
          <w:p>
            <w:pPr>
              <w:widowControl/>
              <w:adjustRightInd w:val="0"/>
              <w:snapToGrid w:val="0"/>
              <w:jc w:val="center"/>
              <w:rPr>
                <w:rFonts w:ascii="宋体" w:hAnsi="宋体" w:cs="Arial"/>
                <w:szCs w:val="21"/>
              </w:rPr>
            </w:pPr>
            <w:r>
              <w:rPr>
                <w:rFonts w:hint="eastAsia" w:ascii="宋体" w:hAnsi="宋体" w:cs="Arial"/>
                <w:szCs w:val="21"/>
              </w:rPr>
              <w:t>工程内容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7" w:type="pct"/>
            <w:vMerge w:val="restart"/>
            <w:vAlign w:val="center"/>
          </w:tcPr>
          <w:p>
            <w:pPr>
              <w:widowControl/>
              <w:adjustRightInd w:val="0"/>
              <w:snapToGrid w:val="0"/>
              <w:jc w:val="center"/>
              <w:rPr>
                <w:rFonts w:ascii="宋体" w:hAnsi="宋体" w:cs="Arial"/>
                <w:szCs w:val="21"/>
              </w:rPr>
            </w:pPr>
            <w:r>
              <w:rPr>
                <w:rFonts w:hint="eastAsia" w:ascii="宋体" w:hAnsi="宋体" w:cs="Arial"/>
                <w:szCs w:val="21"/>
              </w:rPr>
              <w:t>环保工程</w:t>
            </w:r>
          </w:p>
        </w:tc>
        <w:tc>
          <w:tcPr>
            <w:tcW w:w="1066" w:type="pct"/>
            <w:vAlign w:val="center"/>
          </w:tcPr>
          <w:p>
            <w:pPr>
              <w:widowControl/>
              <w:snapToGrid w:val="0"/>
              <w:contextualSpacing/>
              <w:jc w:val="center"/>
              <w:rPr>
                <w:rFonts w:ascii="宋体" w:hAnsi="宋体" w:cs="Arial"/>
                <w:szCs w:val="21"/>
              </w:rPr>
            </w:pPr>
            <w:r>
              <w:rPr>
                <w:rFonts w:hint="eastAsia" w:ascii="宋体" w:hAnsi="宋体" w:cs="Arial"/>
                <w:szCs w:val="21"/>
              </w:rPr>
              <w:t>生态措施</w:t>
            </w:r>
          </w:p>
        </w:tc>
        <w:tc>
          <w:tcPr>
            <w:tcW w:w="3536" w:type="pct"/>
            <w:vAlign w:val="center"/>
          </w:tcPr>
          <w:p>
            <w:pPr>
              <w:widowControl/>
              <w:snapToGrid w:val="0"/>
              <w:contextualSpacing/>
              <w:rPr>
                <w:rFonts w:ascii="宋体" w:hAnsi="宋体" w:cs="Arial"/>
                <w:szCs w:val="21"/>
              </w:rPr>
            </w:pPr>
            <w:r>
              <w:rPr>
                <w:rFonts w:hint="eastAsia" w:ascii="宋体" w:hAnsi="宋体" w:cs="Arial"/>
                <w:szCs w:val="21"/>
              </w:rPr>
              <w:t>施工结束后及时对临时占地进行清理、平整，植被自然恢复。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7" w:type="pct"/>
            <w:vMerge w:val="continue"/>
            <w:vAlign w:val="center"/>
          </w:tcPr>
          <w:p>
            <w:pPr>
              <w:widowControl/>
              <w:adjustRightInd w:val="0"/>
              <w:snapToGrid w:val="0"/>
              <w:jc w:val="center"/>
              <w:rPr>
                <w:rFonts w:ascii="宋体" w:hAnsi="宋体" w:cs="Arial"/>
                <w:szCs w:val="21"/>
              </w:rPr>
            </w:pPr>
          </w:p>
        </w:tc>
        <w:tc>
          <w:tcPr>
            <w:tcW w:w="1066" w:type="pct"/>
            <w:vAlign w:val="center"/>
          </w:tcPr>
          <w:p>
            <w:pPr>
              <w:widowControl/>
              <w:snapToGrid w:val="0"/>
              <w:contextualSpacing/>
              <w:jc w:val="center"/>
              <w:rPr>
                <w:rFonts w:ascii="宋体" w:hAnsi="宋体" w:cs="Arial"/>
                <w:szCs w:val="21"/>
              </w:rPr>
            </w:pPr>
            <w:r>
              <w:rPr>
                <w:rFonts w:ascii="宋体" w:hAnsi="宋体" w:cs="Arial"/>
                <w:szCs w:val="21"/>
              </w:rPr>
              <w:t>H</w:t>
            </w:r>
            <w:r>
              <w:rPr>
                <w:rFonts w:ascii="宋体" w:hAnsi="宋体" w:cs="Arial"/>
                <w:szCs w:val="21"/>
                <w:vertAlign w:val="subscript"/>
              </w:rPr>
              <w:t>2</w:t>
            </w:r>
            <w:r>
              <w:rPr>
                <w:rFonts w:ascii="宋体" w:hAnsi="宋体" w:cs="Arial"/>
                <w:szCs w:val="21"/>
              </w:rPr>
              <w:t>S监测</w:t>
            </w:r>
          </w:p>
        </w:tc>
        <w:tc>
          <w:tcPr>
            <w:tcW w:w="3536" w:type="pct"/>
            <w:vAlign w:val="center"/>
          </w:tcPr>
          <w:p>
            <w:pPr>
              <w:widowControl/>
              <w:snapToGrid w:val="0"/>
              <w:contextualSpacing/>
              <w:rPr>
                <w:rFonts w:ascii="宋体" w:hAnsi="宋体" w:cs="Arial"/>
                <w:szCs w:val="21"/>
              </w:rPr>
            </w:pPr>
            <w:r>
              <w:rPr>
                <w:rFonts w:hint="eastAsia" w:ascii="宋体" w:hAnsi="宋体" w:cs="Arial"/>
                <w:spacing w:val="-6"/>
                <w:szCs w:val="21"/>
              </w:rPr>
              <w:t>井场按规范设置H</w:t>
            </w:r>
            <w:r>
              <w:rPr>
                <w:rFonts w:hint="eastAsia" w:ascii="宋体" w:hAnsi="宋体" w:cs="Arial"/>
                <w:spacing w:val="-6"/>
                <w:szCs w:val="21"/>
                <w:vertAlign w:val="subscript"/>
              </w:rPr>
              <w:t>2</w:t>
            </w:r>
            <w:r>
              <w:rPr>
                <w:rFonts w:hint="eastAsia" w:ascii="宋体" w:hAnsi="宋体" w:cs="Arial"/>
                <w:spacing w:val="-6"/>
                <w:szCs w:val="21"/>
              </w:rPr>
              <w:t>S监测仪。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7" w:type="pct"/>
            <w:vMerge w:val="continue"/>
            <w:vAlign w:val="center"/>
          </w:tcPr>
          <w:p>
            <w:pPr>
              <w:widowControl/>
              <w:adjustRightInd w:val="0"/>
              <w:snapToGrid w:val="0"/>
              <w:jc w:val="center"/>
              <w:rPr>
                <w:rFonts w:ascii="宋体" w:hAnsi="宋体" w:cs="Arial"/>
                <w:szCs w:val="21"/>
              </w:rPr>
            </w:pPr>
          </w:p>
        </w:tc>
        <w:tc>
          <w:tcPr>
            <w:tcW w:w="1066" w:type="pct"/>
            <w:vAlign w:val="center"/>
          </w:tcPr>
          <w:p>
            <w:pPr>
              <w:widowControl/>
              <w:snapToGrid w:val="0"/>
              <w:contextualSpacing/>
              <w:jc w:val="center"/>
              <w:rPr>
                <w:rFonts w:ascii="宋体" w:hAnsi="宋体" w:cs="Arial"/>
                <w:szCs w:val="21"/>
              </w:rPr>
            </w:pPr>
            <w:r>
              <w:rPr>
                <w:rFonts w:ascii="宋体" w:hAnsi="宋体" w:cs="Arial"/>
                <w:szCs w:val="21"/>
              </w:rPr>
              <w:t>放喷设施</w:t>
            </w:r>
          </w:p>
        </w:tc>
        <w:tc>
          <w:tcPr>
            <w:tcW w:w="3536" w:type="pct"/>
            <w:vAlign w:val="center"/>
          </w:tcPr>
          <w:p>
            <w:pPr>
              <w:widowControl/>
              <w:snapToGrid w:val="0"/>
              <w:contextualSpacing/>
              <w:rPr>
                <w:rFonts w:ascii="宋体" w:hAnsi="宋体" w:cs="Arial"/>
                <w:szCs w:val="21"/>
              </w:rPr>
            </w:pPr>
            <w:r>
              <w:rPr>
                <w:rFonts w:ascii="宋体" w:hAnsi="宋体" w:cs="Arial"/>
                <w:szCs w:val="21"/>
              </w:rPr>
              <w:t>井场左右两侧各设置1条</w:t>
            </w:r>
            <w:r>
              <w:rPr>
                <w:rFonts w:hint="eastAsia" w:ascii="宋体" w:hAnsi="宋体" w:cs="Arial"/>
                <w:szCs w:val="21"/>
              </w:rPr>
              <w:t>放喷管线</w:t>
            </w:r>
            <w:r>
              <w:rPr>
                <w:rFonts w:ascii="宋体" w:hAnsi="宋体" w:cs="Arial"/>
                <w:szCs w:val="21"/>
              </w:rPr>
              <w:t>，</w:t>
            </w:r>
            <w:r>
              <w:rPr>
                <w:rFonts w:hint="eastAsia" w:ascii="宋体" w:hAnsi="宋体" w:cs="Arial"/>
                <w:szCs w:val="21"/>
              </w:rPr>
              <w:t>预留</w:t>
            </w:r>
            <w:r>
              <w:rPr>
                <w:rFonts w:ascii="宋体" w:hAnsi="宋体" w:cs="Arial"/>
                <w:szCs w:val="21"/>
              </w:rPr>
              <w:t>应急放喷</w:t>
            </w:r>
            <w:r>
              <w:rPr>
                <w:rFonts w:hint="eastAsia" w:ascii="宋体" w:hAnsi="宋体" w:cs="Arial"/>
                <w:szCs w:val="21"/>
              </w:rPr>
              <w:t>池位</w:t>
            </w:r>
            <w:r>
              <w:rPr>
                <w:rFonts w:ascii="宋体" w:hAnsi="宋体" w:cs="Arial"/>
                <w:szCs w:val="21"/>
              </w:rPr>
              <w:t>置</w:t>
            </w:r>
            <w:r>
              <w:rPr>
                <w:rFonts w:hint="eastAsia" w:ascii="宋体" w:hAnsi="宋体" w:cs="Arial"/>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7" w:type="pct"/>
            <w:vMerge w:val="restart"/>
            <w:vAlign w:val="center"/>
          </w:tcPr>
          <w:p>
            <w:pPr>
              <w:widowControl/>
              <w:adjustRightInd w:val="0"/>
              <w:snapToGrid w:val="0"/>
              <w:jc w:val="center"/>
              <w:rPr>
                <w:rFonts w:ascii="宋体" w:hAnsi="宋体" w:cs="Arial"/>
                <w:szCs w:val="21"/>
              </w:rPr>
            </w:pPr>
            <w:r>
              <w:rPr>
                <w:rFonts w:hint="eastAsia" w:ascii="宋体" w:hAnsi="宋体" w:cs="Arial"/>
                <w:szCs w:val="21"/>
              </w:rPr>
              <w:t>依托工程</w:t>
            </w:r>
          </w:p>
        </w:tc>
        <w:tc>
          <w:tcPr>
            <w:tcW w:w="1066" w:type="pct"/>
            <w:vAlign w:val="center"/>
          </w:tcPr>
          <w:p>
            <w:pPr>
              <w:widowControl/>
              <w:snapToGrid w:val="0"/>
              <w:contextualSpacing/>
              <w:jc w:val="center"/>
              <w:rPr>
                <w:rFonts w:ascii="宋体" w:hAnsi="宋体" w:cs="Arial"/>
                <w:szCs w:val="21"/>
              </w:rPr>
            </w:pPr>
            <w:r>
              <w:rPr>
                <w:rFonts w:hint="eastAsia" w:ascii="宋体" w:hAnsi="宋体" w:cs="Arial"/>
                <w:szCs w:val="21"/>
              </w:rPr>
              <w:t>洗井废水、压裂返排液</w:t>
            </w:r>
          </w:p>
        </w:tc>
        <w:tc>
          <w:tcPr>
            <w:tcW w:w="3536" w:type="pct"/>
            <w:vAlign w:val="center"/>
          </w:tcPr>
          <w:p>
            <w:pPr>
              <w:widowControl/>
              <w:snapToGrid w:val="0"/>
              <w:contextualSpacing/>
              <w:rPr>
                <w:rFonts w:ascii="宋体" w:hAnsi="宋体" w:cs="Arial"/>
                <w:szCs w:val="21"/>
              </w:rPr>
            </w:pPr>
            <w:r>
              <w:rPr>
                <w:rFonts w:hint="eastAsia" w:ascii="宋体" w:hAnsi="宋体" w:cs="Arial"/>
                <w:szCs w:val="21"/>
              </w:rPr>
              <w:t>罐车送至沙南联合站采出水处理系统。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7" w:type="pct"/>
            <w:vMerge w:val="continue"/>
            <w:vAlign w:val="center"/>
          </w:tcPr>
          <w:p>
            <w:pPr>
              <w:widowControl/>
              <w:adjustRightInd w:val="0"/>
              <w:snapToGrid w:val="0"/>
              <w:jc w:val="center"/>
              <w:rPr>
                <w:rFonts w:ascii="宋体" w:hAnsi="宋体" w:cs="Arial"/>
                <w:szCs w:val="21"/>
              </w:rPr>
            </w:pPr>
          </w:p>
        </w:tc>
        <w:tc>
          <w:tcPr>
            <w:tcW w:w="1066" w:type="pct"/>
            <w:vAlign w:val="center"/>
          </w:tcPr>
          <w:p>
            <w:pPr>
              <w:widowControl/>
              <w:snapToGrid w:val="0"/>
              <w:contextualSpacing/>
              <w:jc w:val="center"/>
              <w:rPr>
                <w:rFonts w:ascii="宋体" w:hAnsi="宋体" w:cs="Arial"/>
                <w:szCs w:val="21"/>
              </w:rPr>
            </w:pPr>
            <w:r>
              <w:rPr>
                <w:rFonts w:hint="eastAsia" w:ascii="宋体" w:hAnsi="宋体" w:cs="Arial"/>
                <w:szCs w:val="21"/>
              </w:rPr>
              <w:t>采出液</w:t>
            </w:r>
          </w:p>
        </w:tc>
        <w:tc>
          <w:tcPr>
            <w:tcW w:w="3536" w:type="pct"/>
            <w:vAlign w:val="center"/>
          </w:tcPr>
          <w:p>
            <w:pPr>
              <w:widowControl/>
              <w:snapToGrid w:val="0"/>
              <w:contextualSpacing/>
              <w:rPr>
                <w:rFonts w:ascii="宋体" w:hAnsi="宋体" w:cs="Arial"/>
                <w:szCs w:val="21"/>
              </w:rPr>
            </w:pPr>
            <w:r>
              <w:rPr>
                <w:rFonts w:hint="eastAsia" w:ascii="宋体" w:hAnsi="宋体" w:cs="Arial"/>
                <w:szCs w:val="21"/>
              </w:rPr>
              <w:t>罐车送至沙南联合站原油处理系统。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7" w:type="pct"/>
            <w:vMerge w:val="continue"/>
            <w:vAlign w:val="center"/>
          </w:tcPr>
          <w:p>
            <w:pPr>
              <w:widowControl/>
              <w:adjustRightInd w:val="0"/>
              <w:snapToGrid w:val="0"/>
              <w:jc w:val="center"/>
              <w:rPr>
                <w:rFonts w:ascii="宋体" w:hAnsi="宋体" w:cs="Arial"/>
                <w:szCs w:val="21"/>
              </w:rPr>
            </w:pPr>
          </w:p>
        </w:tc>
        <w:tc>
          <w:tcPr>
            <w:tcW w:w="1066" w:type="pct"/>
            <w:vAlign w:val="center"/>
          </w:tcPr>
          <w:p>
            <w:pPr>
              <w:widowControl/>
              <w:snapToGrid w:val="0"/>
              <w:contextualSpacing/>
              <w:jc w:val="center"/>
              <w:rPr>
                <w:rFonts w:ascii="宋体" w:hAnsi="宋体" w:cs="Arial"/>
                <w:szCs w:val="21"/>
              </w:rPr>
            </w:pPr>
            <w:r>
              <w:rPr>
                <w:rFonts w:hint="eastAsia" w:ascii="宋体" w:hAnsi="宋体" w:cs="Arial"/>
                <w:szCs w:val="21"/>
              </w:rPr>
              <w:t>生活污水</w:t>
            </w:r>
          </w:p>
        </w:tc>
        <w:tc>
          <w:tcPr>
            <w:tcW w:w="3536" w:type="pct"/>
            <w:vAlign w:val="center"/>
          </w:tcPr>
          <w:p>
            <w:pPr>
              <w:widowControl/>
              <w:snapToGrid w:val="0"/>
              <w:contextualSpacing/>
              <w:rPr>
                <w:rFonts w:ascii="宋体" w:hAnsi="宋体" w:cs="Arial"/>
                <w:szCs w:val="21"/>
              </w:rPr>
            </w:pPr>
            <w:r>
              <w:rPr>
                <w:rFonts w:hint="eastAsia" w:ascii="宋体" w:hAnsi="宋体" w:cs="Arial"/>
                <w:szCs w:val="21"/>
              </w:rPr>
              <w:t>定期由吸污车运至吉木萨尔县污水处理厂。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7" w:type="pct"/>
            <w:vMerge w:val="continue"/>
            <w:vAlign w:val="center"/>
          </w:tcPr>
          <w:p>
            <w:pPr>
              <w:widowControl/>
              <w:adjustRightInd w:val="0"/>
              <w:snapToGrid w:val="0"/>
              <w:jc w:val="center"/>
              <w:rPr>
                <w:rFonts w:ascii="宋体" w:hAnsi="宋体" w:cs="Arial"/>
                <w:szCs w:val="21"/>
              </w:rPr>
            </w:pPr>
          </w:p>
        </w:tc>
        <w:tc>
          <w:tcPr>
            <w:tcW w:w="1066" w:type="pct"/>
            <w:vAlign w:val="center"/>
          </w:tcPr>
          <w:p>
            <w:pPr>
              <w:widowControl/>
              <w:snapToGrid w:val="0"/>
              <w:contextualSpacing/>
              <w:jc w:val="center"/>
              <w:rPr>
                <w:rFonts w:ascii="宋体" w:hAnsi="宋体" w:cs="Arial"/>
                <w:szCs w:val="21"/>
              </w:rPr>
            </w:pPr>
            <w:r>
              <w:rPr>
                <w:rFonts w:hint="eastAsia" w:ascii="宋体" w:hAnsi="宋体" w:cs="Arial"/>
                <w:szCs w:val="21"/>
              </w:rPr>
              <w:t>生活垃圾</w:t>
            </w:r>
          </w:p>
        </w:tc>
        <w:tc>
          <w:tcPr>
            <w:tcW w:w="3536" w:type="pct"/>
            <w:vAlign w:val="center"/>
          </w:tcPr>
          <w:p>
            <w:pPr>
              <w:widowControl/>
              <w:snapToGrid w:val="0"/>
              <w:contextualSpacing/>
              <w:rPr>
                <w:rFonts w:ascii="宋体" w:hAnsi="宋体" w:cs="Arial"/>
                <w:szCs w:val="21"/>
              </w:rPr>
            </w:pPr>
            <w:r>
              <w:rPr>
                <w:rFonts w:hint="eastAsia" w:ascii="宋体" w:hAnsi="宋体" w:cs="Arial"/>
                <w:szCs w:val="21"/>
              </w:rPr>
              <w:t>送至吉木萨尔县生活垃圾填埋场。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97" w:type="pct"/>
            <w:vMerge w:val="continue"/>
            <w:vAlign w:val="center"/>
          </w:tcPr>
          <w:p>
            <w:pPr>
              <w:widowControl/>
              <w:adjustRightInd w:val="0"/>
              <w:snapToGrid w:val="0"/>
              <w:jc w:val="center"/>
              <w:rPr>
                <w:rFonts w:ascii="宋体" w:hAnsi="宋体" w:cs="Arial"/>
                <w:szCs w:val="21"/>
              </w:rPr>
            </w:pPr>
          </w:p>
        </w:tc>
        <w:tc>
          <w:tcPr>
            <w:tcW w:w="1066" w:type="pct"/>
            <w:vAlign w:val="center"/>
          </w:tcPr>
          <w:p>
            <w:pPr>
              <w:widowControl/>
              <w:snapToGrid w:val="0"/>
              <w:contextualSpacing/>
              <w:jc w:val="center"/>
              <w:rPr>
                <w:rFonts w:ascii="宋体" w:hAnsi="宋体" w:cs="Arial"/>
                <w:szCs w:val="21"/>
              </w:rPr>
            </w:pPr>
            <w:r>
              <w:rPr>
                <w:rFonts w:hint="eastAsia" w:ascii="宋体" w:hAnsi="宋体" w:cs="Arial"/>
                <w:szCs w:val="21"/>
              </w:rPr>
              <w:t>水基钻井岩屑</w:t>
            </w:r>
          </w:p>
        </w:tc>
        <w:tc>
          <w:tcPr>
            <w:tcW w:w="3536" w:type="pct"/>
            <w:vAlign w:val="center"/>
          </w:tcPr>
          <w:p>
            <w:pPr>
              <w:widowControl/>
              <w:snapToGrid w:val="0"/>
              <w:contextualSpacing/>
              <w:rPr>
                <w:rFonts w:ascii="宋体" w:hAnsi="宋体" w:cs="Arial"/>
                <w:szCs w:val="21"/>
              </w:rPr>
            </w:pPr>
            <w:r>
              <w:rPr>
                <w:rFonts w:hint="eastAsia" w:ascii="宋体" w:hAnsi="宋体" w:cs="Arial"/>
                <w:szCs w:val="21"/>
              </w:rPr>
              <w:t>委托岩屑处置单位处置。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97" w:type="pct"/>
            <w:vMerge w:val="continue"/>
            <w:vAlign w:val="center"/>
          </w:tcPr>
          <w:p>
            <w:pPr>
              <w:widowControl/>
              <w:adjustRightInd w:val="0"/>
              <w:snapToGrid w:val="0"/>
              <w:jc w:val="center"/>
              <w:rPr>
                <w:rFonts w:ascii="宋体" w:hAnsi="宋体" w:cs="Arial"/>
                <w:szCs w:val="21"/>
              </w:rPr>
            </w:pPr>
          </w:p>
        </w:tc>
        <w:tc>
          <w:tcPr>
            <w:tcW w:w="1066" w:type="pct"/>
            <w:vAlign w:val="center"/>
          </w:tcPr>
          <w:p>
            <w:pPr>
              <w:widowControl/>
              <w:snapToGrid w:val="0"/>
              <w:contextualSpacing/>
              <w:jc w:val="center"/>
              <w:rPr>
                <w:rFonts w:ascii="宋体" w:hAnsi="宋体" w:cs="Arial"/>
                <w:szCs w:val="21"/>
              </w:rPr>
            </w:pPr>
            <w:r>
              <w:rPr>
                <w:rFonts w:hint="eastAsia" w:ascii="宋体" w:hAnsi="宋体" w:cs="宋体"/>
                <w:szCs w:val="21"/>
              </w:rPr>
              <w:t>沾油的废防渗材料</w:t>
            </w:r>
          </w:p>
        </w:tc>
        <w:tc>
          <w:tcPr>
            <w:tcW w:w="3536" w:type="pct"/>
            <w:vAlign w:val="center"/>
          </w:tcPr>
          <w:p>
            <w:pPr>
              <w:widowControl/>
              <w:snapToGrid w:val="0"/>
              <w:contextualSpacing/>
              <w:rPr>
                <w:rFonts w:ascii="宋体" w:hAnsi="宋体" w:cs="Arial"/>
                <w:szCs w:val="21"/>
              </w:rPr>
            </w:pPr>
            <w:r>
              <w:rPr>
                <w:rFonts w:hint="eastAsia" w:ascii="宋体" w:hAnsi="宋体" w:cs="Arial"/>
                <w:szCs w:val="21"/>
              </w:rPr>
              <w:t>委托具有相应危险废物处置资质的单位处置。</w:t>
            </w:r>
          </w:p>
        </w:tc>
      </w:tr>
    </w:tbl>
    <w:p>
      <w:pPr>
        <w:snapToGrid w:val="0"/>
        <w:spacing w:line="500" w:lineRule="exact"/>
        <w:ind w:firstLine="480" w:firstLineChars="200"/>
        <w:rPr>
          <w:rFonts w:ascii="宋体" w:hAnsi="宋体" w:cs="宋体"/>
          <w:sz w:val="24"/>
        </w:rPr>
      </w:pPr>
      <w:r>
        <w:rPr>
          <w:rFonts w:hint="eastAsia" w:ascii="宋体" w:hAnsi="宋体" w:cs="宋体"/>
          <w:sz w:val="24"/>
        </w:rPr>
        <w:t>本次钻井采用非磺化水基钻井液。一开使用坂土-CMC钻井液体系，主要成分为坂土、Na2CO3、重晶石、复配胺盐等；二开及三开使用钾钙基聚合物钻井完井液，主要成分为坂土、Na2CO3、KCl、液体润滑剂、超细碳酸钙、重晶石等。</w:t>
      </w:r>
    </w:p>
    <w:p>
      <w:pPr>
        <w:spacing w:line="500" w:lineRule="exact"/>
        <w:rPr>
          <w:rFonts w:ascii="宋体" w:hAnsi="宋体"/>
          <w:b/>
          <w:sz w:val="24"/>
        </w:rPr>
      </w:pPr>
      <w:r>
        <w:rPr>
          <w:rFonts w:hint="eastAsia" w:ascii="宋体" w:hAnsi="宋体"/>
          <w:b/>
          <w:sz w:val="24"/>
        </w:rPr>
        <w:t>（2）</w:t>
      </w:r>
      <w:r>
        <w:rPr>
          <w:rFonts w:ascii="宋体" w:hAnsi="宋体"/>
          <w:b/>
          <w:sz w:val="24"/>
        </w:rPr>
        <w:t>完善工程占地一览表（按永久占地、临时占地分别列表），完善生活污水收集池容积、池体结构、防渗措施等内容。说明试采期间原油运输方式，补充试油期污染强数据。</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本项目占地均为临时占地，无永久占地，工程占地一览表见报告P1</w:t>
      </w:r>
      <w:r>
        <w:rPr>
          <w:rFonts w:ascii="宋体" w:hAnsi="宋体"/>
          <w:bCs/>
          <w:sz w:val="24"/>
        </w:rPr>
        <w:t>4</w:t>
      </w:r>
      <w:r>
        <w:rPr>
          <w:rFonts w:hint="eastAsia" w:ascii="宋体" w:hAnsi="宋体"/>
          <w:bCs/>
          <w:sz w:val="24"/>
        </w:rPr>
        <w:t>“（1）工程占地”。已在报告中补充生活污水收集池容积、池体结构、防渗措施等内容，详见报告P1</w:t>
      </w:r>
      <w:r>
        <w:rPr>
          <w:rFonts w:ascii="宋体" w:hAnsi="宋体"/>
          <w:bCs/>
          <w:sz w:val="24"/>
        </w:rPr>
        <w:t>6</w:t>
      </w:r>
      <w:r>
        <w:rPr>
          <w:rFonts w:hint="eastAsia" w:ascii="宋体" w:hAnsi="宋体"/>
          <w:bCs/>
          <w:sz w:val="24"/>
        </w:rPr>
        <w:t>“3、水环境影响分析”章节。本项目试油期间采出液进入地面储罐后拉运至沙南联合站；本项目为矿产资源地质勘探项目，目的是为了获取地层油气藏参数，以期新的油气藏发现，勘探井试油结束后才能获取相关油气成分及伴生气产量等数据，因此钻试过程产生的伴生气量不稳定，伴生气产量无法估算，且不具备回收利用条件，伴生气通过液气分离器排气管线充分燃烧后放空，属于阶段性排放，且随着钻试结束而停止产生。</w:t>
      </w:r>
    </w:p>
    <w:p>
      <w:pPr>
        <w:snapToGrid w:val="0"/>
        <w:spacing w:line="500" w:lineRule="exact"/>
        <w:ind w:firstLine="482" w:firstLineChars="200"/>
        <w:rPr>
          <w:rFonts w:ascii="宋体" w:hAnsi="宋体"/>
          <w:bCs/>
          <w:sz w:val="24"/>
        </w:rPr>
      </w:pPr>
      <w:r>
        <w:rPr>
          <w:rFonts w:hint="eastAsia" w:ascii="宋体" w:hAnsi="宋体"/>
          <w:b/>
          <w:sz w:val="24"/>
        </w:rPr>
        <w:t>具体内容：</w:t>
      </w:r>
      <w:r>
        <w:rPr>
          <w:rFonts w:hint="eastAsia" w:ascii="宋体" w:hAnsi="宋体" w:cs="宋体"/>
          <w:sz w:val="24"/>
        </w:rPr>
        <w:t>生活营地内设置1座容积不少于55m</w:t>
      </w:r>
      <w:r>
        <w:rPr>
          <w:rFonts w:hint="eastAsia" w:ascii="宋体" w:hAnsi="宋体" w:cs="宋体"/>
          <w:sz w:val="24"/>
          <w:vertAlign w:val="superscript"/>
        </w:rPr>
        <w:t>3</w:t>
      </w:r>
      <w:r>
        <w:rPr>
          <w:rFonts w:hint="eastAsia" w:ascii="宋体" w:hAnsi="宋体" w:cs="宋体"/>
          <w:sz w:val="24"/>
        </w:rPr>
        <w:t>的临时防渗收集池，开挖后采用HDPE防渗膜铺垫防渗，其渗透系数不低于1×10</w:t>
      </w:r>
      <w:r>
        <w:rPr>
          <w:rFonts w:hint="eastAsia" w:ascii="宋体" w:hAnsi="宋体" w:cs="宋体"/>
          <w:sz w:val="24"/>
          <w:vertAlign w:val="superscript"/>
        </w:rPr>
        <w:t>-7</w:t>
      </w:r>
      <w:r>
        <w:rPr>
          <w:rFonts w:hint="eastAsia" w:ascii="宋体" w:hAnsi="宋体" w:cs="宋体"/>
          <w:sz w:val="24"/>
        </w:rPr>
        <w:t>cm/s。临时防渗收集池用于收集和暂存生活污水，待施工结束后清运至吉木萨尔县污水处理厂处理，防渗膜回收。</w:t>
      </w:r>
    </w:p>
    <w:p>
      <w:pPr>
        <w:spacing w:line="500" w:lineRule="exact"/>
        <w:rPr>
          <w:rFonts w:ascii="宋体" w:hAnsi="宋体"/>
          <w:b/>
          <w:sz w:val="24"/>
        </w:rPr>
      </w:pPr>
      <w:r>
        <w:rPr>
          <w:rFonts w:hint="eastAsia" w:ascii="宋体" w:hAnsi="宋体"/>
          <w:b/>
          <w:sz w:val="24"/>
        </w:rPr>
        <w:t>（3）</w:t>
      </w:r>
      <w:r>
        <w:rPr>
          <w:rFonts w:ascii="宋体" w:hAnsi="宋体"/>
          <w:b/>
          <w:sz w:val="24"/>
        </w:rPr>
        <w:t>完善柴油发电机的环境影响预测。细化生态环境保护措施，明确生态恢复措施工程量。</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本项目柴油发电机使用时间较短，且废气随施工的结束而停止产生，钻试活动结束后大气环境影响即消失，因此对项目区的大气环境影响不大。根据《建设项目环境影响报告表编制技术指南（生态影响类）》（试行）和《建设项目环境影响报告表编制技术指南（污染影响类）》（试行），可知本项目无须进行环境影响预测；报告已细化生态环境保护措施，详见报告P2</w:t>
      </w:r>
      <w:r>
        <w:rPr>
          <w:rFonts w:ascii="宋体" w:hAnsi="宋体"/>
          <w:bCs/>
          <w:sz w:val="24"/>
        </w:rPr>
        <w:t>4</w:t>
      </w:r>
      <w:r>
        <w:rPr>
          <w:rFonts w:hint="eastAsia" w:ascii="宋体" w:hAnsi="宋体"/>
          <w:bCs/>
          <w:sz w:val="24"/>
        </w:rPr>
        <w:t>-2</w:t>
      </w:r>
      <w:r>
        <w:rPr>
          <w:rFonts w:ascii="宋体" w:hAnsi="宋体"/>
          <w:bCs/>
          <w:sz w:val="24"/>
        </w:rPr>
        <w:t>5</w:t>
      </w:r>
      <w:r>
        <w:rPr>
          <w:rFonts w:hint="eastAsia" w:ascii="宋体" w:hAnsi="宋体"/>
          <w:bCs/>
          <w:sz w:val="24"/>
        </w:rPr>
        <w:t>“1、生态环境保护措施”章节。目前建设单位正在严格按照有关规定办理临时占地经济补偿协议。</w:t>
      </w:r>
    </w:p>
    <w:p>
      <w:pPr>
        <w:snapToGrid w:val="0"/>
        <w:spacing w:line="500" w:lineRule="exact"/>
        <w:ind w:firstLine="482" w:firstLineChars="200"/>
        <w:rPr>
          <w:rFonts w:ascii="宋体" w:hAnsi="宋体"/>
          <w:bCs/>
          <w:sz w:val="24"/>
        </w:rPr>
      </w:pPr>
      <w:r>
        <w:rPr>
          <w:rFonts w:hint="eastAsia" w:ascii="宋体" w:hAnsi="宋体"/>
          <w:b/>
          <w:sz w:val="24"/>
        </w:rPr>
        <w:t>具体内容：</w:t>
      </w:r>
    </w:p>
    <w:p>
      <w:pPr>
        <w:snapToGrid w:val="0"/>
        <w:spacing w:line="500" w:lineRule="exact"/>
        <w:ind w:firstLine="480" w:firstLineChars="200"/>
        <w:rPr>
          <w:rFonts w:ascii="宋体" w:hAnsi="宋体"/>
          <w:bCs/>
          <w:sz w:val="24"/>
        </w:rPr>
      </w:pPr>
      <w:r>
        <w:rPr>
          <w:rFonts w:hint="eastAsia" w:ascii="宋体" w:hAnsi="宋体"/>
          <w:bCs/>
          <w:sz w:val="24"/>
        </w:rPr>
        <w:t>①工程避让措施：应提前踏勘探临道路选线，在满足勘探设计和施工要求的前提下，对井场、生活营地位置及其他占地进行适当调整，尽量避开野生植物生长密集地带以及农田，并减少占地。</w:t>
      </w:r>
    </w:p>
    <w:p>
      <w:pPr>
        <w:snapToGrid w:val="0"/>
        <w:spacing w:line="500" w:lineRule="exact"/>
        <w:ind w:firstLine="480" w:firstLineChars="200"/>
        <w:rPr>
          <w:rFonts w:ascii="宋体" w:hAnsi="宋体"/>
          <w:bCs/>
          <w:sz w:val="24"/>
        </w:rPr>
      </w:pPr>
      <w:r>
        <w:rPr>
          <w:rFonts w:hint="eastAsia" w:ascii="宋体" w:hAnsi="宋体"/>
          <w:bCs/>
          <w:sz w:val="24"/>
        </w:rPr>
        <w:t>②减缓措施：尽量缩小施工占地，不得随意开辟道路，减少影响范围；确保各环保设施正常运行，避免各类污染物对土壤环境的影响，防止进一步影响其上部生长的野生植被。</w:t>
      </w:r>
    </w:p>
    <w:p>
      <w:pPr>
        <w:snapToGrid w:val="0"/>
        <w:spacing w:line="500" w:lineRule="exact"/>
        <w:ind w:firstLine="480" w:firstLineChars="200"/>
        <w:rPr>
          <w:rFonts w:ascii="宋体" w:hAnsi="宋体"/>
          <w:bCs/>
          <w:sz w:val="24"/>
        </w:rPr>
      </w:pPr>
      <w:r>
        <w:rPr>
          <w:rFonts w:hint="eastAsia" w:ascii="宋体" w:hAnsi="宋体"/>
          <w:bCs/>
          <w:sz w:val="24"/>
        </w:rPr>
        <w:t>③修复措施：完井后施工机械、设备及时撤离，对占地进行清理平整，废水和固体废物全部妥善处置，禁止现场遗留；尽量利用井场及临时道路施工时产生的表层弃土对临时占地进行覆盖，植被自然恢复。</w:t>
      </w:r>
    </w:p>
    <w:p>
      <w:pPr>
        <w:snapToGrid w:val="0"/>
        <w:spacing w:line="500" w:lineRule="exact"/>
        <w:ind w:firstLine="480" w:firstLineChars="200"/>
        <w:rPr>
          <w:rFonts w:ascii="宋体" w:hAnsi="宋体"/>
          <w:bCs/>
          <w:sz w:val="24"/>
        </w:rPr>
      </w:pPr>
      <w:r>
        <w:rPr>
          <w:rFonts w:hint="eastAsia" w:ascii="宋体" w:hAnsi="宋体"/>
          <w:bCs/>
          <w:sz w:val="24"/>
        </w:rPr>
        <w:t>④补偿措施：建设单位应严格按照有关规定办理临时占地经济补偿协议，对因项目施工破坏的野生植被予以经济补偿。</w:t>
      </w:r>
    </w:p>
    <w:p>
      <w:pPr>
        <w:snapToGrid w:val="0"/>
        <w:spacing w:line="500" w:lineRule="exact"/>
        <w:ind w:firstLine="480" w:firstLineChars="200"/>
        <w:rPr>
          <w:rFonts w:ascii="宋体" w:hAnsi="宋体"/>
          <w:bCs/>
          <w:sz w:val="24"/>
        </w:rPr>
      </w:pPr>
      <w:r>
        <w:rPr>
          <w:rFonts w:hint="eastAsia" w:ascii="宋体" w:hAnsi="宋体"/>
          <w:bCs/>
          <w:sz w:val="24"/>
        </w:rPr>
        <w:t>⑤管理措施：严格遵守油田环境保护规章制度；严格控制井场占地，严格划定车辆行驶路线及临时道路开拓路线，禁止运输车辆乱碾乱轧；严格规定各类工作人员的活动范围，禁止进入附近的农田区域，最大限度减少对农作物和荒漠植物生存环境的踩踏破坏以及对野生动物的栖息地的侵扰。加强环境保护宣传工作，提高施工人员环保意识，特别是注意对野生动物和自然植被的保护。</w:t>
      </w:r>
    </w:p>
    <w:p>
      <w:pPr>
        <w:spacing w:line="500" w:lineRule="exact"/>
        <w:rPr>
          <w:rFonts w:ascii="宋体" w:hAnsi="宋体"/>
          <w:b/>
          <w:sz w:val="24"/>
        </w:rPr>
      </w:pPr>
      <w:r>
        <w:rPr>
          <w:rFonts w:hint="eastAsia" w:ascii="宋体" w:hAnsi="宋体"/>
          <w:b/>
          <w:sz w:val="24"/>
        </w:rPr>
        <w:t>（4）</w:t>
      </w:r>
      <w:r>
        <w:rPr>
          <w:rFonts w:ascii="宋体" w:hAnsi="宋体"/>
          <w:b/>
          <w:sz w:val="24"/>
        </w:rPr>
        <w:t>核实区域油气成分及单井伴生气产生量，如伴生气产生量较大，则必须提出油气回收要求。核实压裂返排液处置方式。</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本项目为矿产资源地质勘探项目，目的是为了获取地层油气藏参数，以期新的油气藏发现。勘探井试油结束后才能获取相关油气成分及伴生气产量等数据，因此钻试过程产生的伴生气量不稳定，伴生气产量无法估算，且不具备回收利用条件，伴生气通过液气分离器排气管线充分燃烧后放空，属于阶段性排放，且随着钻试结束而停止产生；已与建设单位核实压裂返排液处置方式，由专用储罐收集后拉运至沙南联合站处理。</w:t>
      </w:r>
    </w:p>
    <w:p>
      <w:pPr>
        <w:spacing w:line="500" w:lineRule="exact"/>
        <w:rPr>
          <w:rFonts w:ascii="宋体" w:hAnsi="宋体"/>
          <w:b/>
          <w:sz w:val="24"/>
        </w:rPr>
      </w:pPr>
      <w:r>
        <w:rPr>
          <w:rFonts w:hint="eastAsia" w:ascii="宋体" w:hAnsi="宋体"/>
          <w:b/>
          <w:sz w:val="24"/>
        </w:rPr>
        <w:t>（5）</w:t>
      </w:r>
      <w:r>
        <w:rPr>
          <w:rFonts w:ascii="宋体" w:hAnsi="宋体"/>
          <w:b/>
          <w:sz w:val="24"/>
        </w:rPr>
        <w:t>核实环保投资，完善施工期环境监测计划，完善“三同时”验收内容。</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已核实环保投资，并已完善施工期环境监测计划和“三同时”验收内容。</w:t>
      </w:r>
    </w:p>
    <w:p>
      <w:pPr>
        <w:spacing w:line="500" w:lineRule="exact"/>
        <w:jc w:val="center"/>
        <w:rPr>
          <w:rFonts w:ascii="黑体" w:hAnsi="黑体" w:eastAsia="黑体"/>
          <w:bCs/>
        </w:rPr>
      </w:pPr>
    </w:p>
    <w:p>
      <w:pPr>
        <w:spacing w:line="500" w:lineRule="exact"/>
        <w:jc w:val="center"/>
        <w:rPr>
          <w:rFonts w:ascii="黑体" w:hAnsi="黑体" w:eastAsia="黑体"/>
          <w:bCs/>
        </w:rPr>
      </w:pPr>
    </w:p>
    <w:p>
      <w:pPr>
        <w:spacing w:line="500" w:lineRule="exact"/>
        <w:jc w:val="center"/>
        <w:rPr>
          <w:rFonts w:ascii="黑体" w:hAnsi="黑体" w:eastAsia="黑体"/>
          <w:bCs/>
        </w:rPr>
      </w:pPr>
    </w:p>
    <w:p>
      <w:pPr>
        <w:jc w:val="right"/>
        <w:rPr>
          <w:rFonts w:ascii="宋体" w:hAnsi="宋体" w:cs="宋体"/>
          <w:b/>
          <w:bCs/>
          <w:kern w:val="0"/>
          <w:sz w:val="24"/>
        </w:rPr>
      </w:pPr>
      <w:r>
        <w:rPr>
          <w:rFonts w:hint="eastAsia" w:ascii="宋体" w:hAnsi="宋体" w:cs="宋体"/>
          <w:b/>
          <w:bCs/>
          <w:kern w:val="0"/>
          <w:sz w:val="24"/>
        </w:rPr>
        <w:t>中勘冶金勘察设计研究院有限责任公司</w:t>
      </w:r>
    </w:p>
    <w:p>
      <w:pPr>
        <w:jc w:val="right"/>
        <w:rPr>
          <w:rFonts w:ascii="宋体" w:hAnsi="宋体" w:cs="宋体"/>
          <w:b/>
          <w:bCs/>
          <w:kern w:val="0"/>
          <w:sz w:val="24"/>
        </w:rPr>
      </w:pPr>
      <w:r>
        <w:rPr>
          <w:rFonts w:hint="eastAsia" w:ascii="宋体" w:hAnsi="宋体" w:cs="宋体"/>
          <w:b/>
          <w:bCs/>
          <w:kern w:val="0"/>
          <w:sz w:val="24"/>
        </w:rPr>
        <w:t>202</w:t>
      </w:r>
      <w:r>
        <w:rPr>
          <w:rFonts w:ascii="宋体" w:hAnsi="宋体" w:cs="宋体"/>
          <w:b/>
          <w:bCs/>
          <w:kern w:val="0"/>
          <w:sz w:val="24"/>
        </w:rPr>
        <w:t>2</w:t>
      </w:r>
      <w:r>
        <w:rPr>
          <w:rFonts w:hint="eastAsia" w:ascii="宋体" w:hAnsi="宋体" w:cs="宋体"/>
          <w:b/>
          <w:bCs/>
          <w:kern w:val="0"/>
          <w:sz w:val="24"/>
        </w:rPr>
        <w:t>.6</w:t>
      </w:r>
      <w:r>
        <w:rPr>
          <w:rFonts w:ascii="宋体" w:hAnsi="宋体" w:cs="宋体"/>
          <w:b/>
          <w:bCs/>
          <w:kern w:val="0"/>
          <w:sz w:val="24"/>
        </w:rPr>
        <w:t>.</w:t>
      </w:r>
      <w:r>
        <w:rPr>
          <w:rFonts w:hint="eastAsia" w:ascii="宋体" w:hAnsi="宋体" w:cs="宋体"/>
          <w:b/>
          <w:bCs/>
          <w:kern w:val="0"/>
          <w:sz w:val="24"/>
        </w:rPr>
        <w:t>9</w:t>
      </w:r>
    </w:p>
    <w:p>
      <w:pPr>
        <w:spacing w:line="1120" w:lineRule="exact"/>
      </w:pPr>
    </w:p>
    <w:p>
      <w:pPr>
        <w:pStyle w:val="14"/>
        <w:ind w:left="0"/>
        <w:sectPr>
          <w:pgSz w:w="11906" w:h="16838"/>
          <w:pgMar w:top="1440" w:right="1800" w:bottom="1440" w:left="1800" w:header="851" w:footer="992" w:gutter="0"/>
          <w:cols w:space="720" w:num="1"/>
          <w:docGrid w:type="lines" w:linePitch="312" w:charSpace="0"/>
        </w:sectPr>
      </w:pPr>
    </w:p>
    <w:p>
      <w:pPr>
        <w:snapToGrid w:val="0"/>
        <w:spacing w:before="249" w:beforeLines="80" w:line="500" w:lineRule="exact"/>
        <w:jc w:val="center"/>
        <w:rPr>
          <w:rFonts w:ascii="宋体" w:hAnsi="宋体"/>
          <w:b/>
          <w:bCs/>
          <w:spacing w:val="-8"/>
          <w:sz w:val="32"/>
          <w:szCs w:val="32"/>
        </w:rPr>
      </w:pPr>
      <w:r>
        <w:rPr>
          <w:rFonts w:hint="eastAsia" w:ascii="宋体" w:hAnsi="宋体"/>
          <w:b/>
          <w:bCs/>
          <w:spacing w:val="-8"/>
          <w:sz w:val="32"/>
          <w:szCs w:val="32"/>
        </w:rPr>
        <w:t>康9井勘探钻探项目</w:t>
      </w:r>
    </w:p>
    <w:p>
      <w:pPr>
        <w:spacing w:line="1120" w:lineRule="exact"/>
        <w:jc w:val="center"/>
        <w:rPr>
          <w:rFonts w:ascii="宋体" w:hAnsi="宋体"/>
          <w:b/>
          <w:bCs/>
          <w:sz w:val="84"/>
          <w:szCs w:val="84"/>
        </w:rPr>
      </w:pPr>
      <w:r>
        <w:rPr>
          <w:rFonts w:hint="eastAsia" w:ascii="宋体" w:hAnsi="宋体"/>
          <w:b/>
          <w:bCs/>
          <w:sz w:val="84"/>
          <w:szCs w:val="84"/>
        </w:rPr>
        <w:t>环</w:t>
      </w:r>
      <w:r>
        <w:rPr>
          <w:rFonts w:hint="eastAsia" w:ascii="宋体" w:hAnsi="宋体"/>
          <w:b/>
          <w:bCs/>
          <w:sz w:val="52"/>
          <w:szCs w:val="52"/>
        </w:rPr>
        <w:t xml:space="preserve"> </w:t>
      </w:r>
      <w:r>
        <w:rPr>
          <w:rFonts w:hint="eastAsia" w:ascii="宋体" w:hAnsi="宋体"/>
          <w:b/>
          <w:bCs/>
          <w:sz w:val="84"/>
          <w:szCs w:val="84"/>
        </w:rPr>
        <w:t>境</w:t>
      </w:r>
      <w:r>
        <w:rPr>
          <w:rFonts w:hint="eastAsia" w:ascii="宋体" w:hAnsi="宋体"/>
          <w:b/>
          <w:bCs/>
          <w:sz w:val="52"/>
          <w:szCs w:val="52"/>
        </w:rPr>
        <w:t xml:space="preserve"> </w:t>
      </w:r>
      <w:r>
        <w:rPr>
          <w:rFonts w:hint="eastAsia" w:ascii="宋体" w:hAnsi="宋体"/>
          <w:b/>
          <w:bCs/>
          <w:sz w:val="84"/>
          <w:szCs w:val="84"/>
        </w:rPr>
        <w:t>影</w:t>
      </w:r>
      <w:r>
        <w:rPr>
          <w:rFonts w:hint="eastAsia" w:ascii="宋体" w:hAnsi="宋体"/>
          <w:b/>
          <w:bCs/>
          <w:sz w:val="52"/>
          <w:szCs w:val="52"/>
        </w:rPr>
        <w:t xml:space="preserve"> </w:t>
      </w:r>
      <w:r>
        <w:rPr>
          <w:rFonts w:hint="eastAsia" w:ascii="宋体" w:hAnsi="宋体"/>
          <w:b/>
          <w:bCs/>
          <w:sz w:val="84"/>
          <w:szCs w:val="84"/>
        </w:rPr>
        <w:t>响</w:t>
      </w:r>
      <w:r>
        <w:rPr>
          <w:rFonts w:hint="eastAsia" w:ascii="宋体" w:hAnsi="宋体"/>
          <w:b/>
          <w:bCs/>
          <w:sz w:val="52"/>
          <w:szCs w:val="52"/>
        </w:rPr>
        <w:t xml:space="preserve"> </w:t>
      </w:r>
      <w:r>
        <w:rPr>
          <w:rFonts w:hint="eastAsia" w:ascii="宋体" w:hAnsi="宋体"/>
          <w:b/>
          <w:bCs/>
          <w:sz w:val="84"/>
          <w:szCs w:val="84"/>
        </w:rPr>
        <w:t>报</w:t>
      </w:r>
      <w:r>
        <w:rPr>
          <w:rFonts w:hint="eastAsia" w:ascii="宋体" w:hAnsi="宋体"/>
          <w:b/>
          <w:bCs/>
          <w:sz w:val="52"/>
          <w:szCs w:val="52"/>
        </w:rPr>
        <w:t xml:space="preserve"> </w:t>
      </w:r>
      <w:r>
        <w:rPr>
          <w:rFonts w:hint="eastAsia" w:ascii="宋体" w:hAnsi="宋体"/>
          <w:b/>
          <w:bCs/>
          <w:sz w:val="84"/>
          <w:szCs w:val="84"/>
        </w:rPr>
        <w:t>告</w:t>
      </w:r>
      <w:r>
        <w:rPr>
          <w:rFonts w:hint="eastAsia" w:ascii="宋体" w:hAnsi="宋体"/>
          <w:b/>
          <w:bCs/>
          <w:sz w:val="52"/>
          <w:szCs w:val="52"/>
        </w:rPr>
        <w:t xml:space="preserve"> </w:t>
      </w:r>
      <w:r>
        <w:rPr>
          <w:rFonts w:hint="eastAsia" w:ascii="宋体" w:hAnsi="宋体"/>
          <w:b/>
          <w:bCs/>
          <w:sz w:val="84"/>
          <w:szCs w:val="84"/>
        </w:rPr>
        <w:t>表</w:t>
      </w:r>
    </w:p>
    <w:p>
      <w:pPr>
        <w:snapToGrid w:val="0"/>
        <w:spacing w:line="360" w:lineRule="auto"/>
        <w:jc w:val="center"/>
        <w:outlineLvl w:val="0"/>
        <w:rPr>
          <w:rFonts w:ascii="宋体" w:hAnsi="宋体" w:cs="Calibri"/>
          <w:b/>
          <w:bCs/>
          <w:sz w:val="32"/>
          <w:szCs w:val="32"/>
        </w:rPr>
      </w:pPr>
      <w:r>
        <w:rPr>
          <w:rFonts w:hint="eastAsia" w:ascii="宋体" w:hAnsi="宋体" w:cs="Calibri"/>
          <w:b/>
          <w:bCs/>
          <w:sz w:val="32"/>
          <w:szCs w:val="32"/>
        </w:rPr>
        <w:t>专家复核意见</w:t>
      </w:r>
    </w:p>
    <w:p>
      <w:pPr>
        <w:snapToGrid w:val="0"/>
        <w:spacing w:line="360" w:lineRule="auto"/>
        <w:ind w:firstLine="44" w:firstLineChars="10"/>
        <w:jc w:val="center"/>
        <w:rPr>
          <w:rFonts w:hint="eastAsia" w:ascii="宋体" w:hAnsi="宋体"/>
          <w:b/>
          <w:bCs/>
          <w:sz w:val="44"/>
          <w:szCs w:val="44"/>
        </w:rPr>
      </w:pPr>
      <w:r>
        <w:rPr>
          <w:rFonts w:hint="eastAsia" w:ascii="宋体" w:hAnsi="宋体"/>
          <w:b/>
          <w:bCs/>
          <w:sz w:val="44"/>
          <w:szCs w:val="44"/>
        </w:rPr>
        <w:t>修</w:t>
      </w:r>
    </w:p>
    <w:p>
      <w:pPr>
        <w:snapToGrid w:val="0"/>
        <w:spacing w:line="360" w:lineRule="auto"/>
        <w:ind w:firstLine="44" w:firstLineChars="10"/>
        <w:jc w:val="center"/>
        <w:rPr>
          <w:rFonts w:hint="eastAsia" w:ascii="宋体" w:hAnsi="宋体"/>
          <w:b/>
          <w:bCs/>
          <w:sz w:val="44"/>
          <w:szCs w:val="44"/>
        </w:rPr>
      </w:pPr>
      <w:r>
        <w:rPr>
          <w:rFonts w:hint="eastAsia" w:ascii="宋体" w:hAnsi="宋体"/>
          <w:b/>
          <w:bCs/>
          <w:sz w:val="44"/>
          <w:szCs w:val="44"/>
        </w:rPr>
        <w:t>改</w:t>
      </w:r>
    </w:p>
    <w:p>
      <w:pPr>
        <w:snapToGrid w:val="0"/>
        <w:spacing w:line="360" w:lineRule="auto"/>
        <w:ind w:firstLine="44" w:firstLineChars="10"/>
        <w:jc w:val="center"/>
        <w:rPr>
          <w:rFonts w:hint="eastAsia" w:ascii="宋体" w:hAnsi="宋体"/>
          <w:b/>
          <w:bCs/>
          <w:sz w:val="44"/>
          <w:szCs w:val="44"/>
        </w:rPr>
      </w:pPr>
      <w:r>
        <w:rPr>
          <w:rFonts w:hint="eastAsia" w:ascii="宋体" w:hAnsi="宋体"/>
          <w:b/>
          <w:bCs/>
          <w:sz w:val="44"/>
          <w:szCs w:val="44"/>
        </w:rPr>
        <w:t>说</w:t>
      </w:r>
    </w:p>
    <w:p>
      <w:pPr>
        <w:snapToGrid w:val="0"/>
        <w:spacing w:line="360" w:lineRule="auto"/>
        <w:ind w:firstLine="44" w:firstLineChars="10"/>
        <w:jc w:val="center"/>
        <w:rPr>
          <w:rFonts w:ascii="宋体" w:hAnsi="宋体" w:cs="Calibri"/>
          <w:b/>
          <w:bCs/>
          <w:sz w:val="44"/>
          <w:szCs w:val="44"/>
        </w:rPr>
      </w:pPr>
      <w:r>
        <w:rPr>
          <w:rFonts w:hint="eastAsia" w:ascii="宋体" w:hAnsi="宋体"/>
          <w:b/>
          <w:bCs/>
          <w:sz w:val="44"/>
          <w:szCs w:val="44"/>
        </w:rPr>
        <w:t>明</w:t>
      </w:r>
    </w:p>
    <w:p>
      <w:pPr>
        <w:jc w:val="center"/>
        <w:rPr>
          <w:rFonts w:ascii="宋体" w:hAnsi="宋体"/>
          <w:b/>
          <w:bCs/>
          <w:sz w:val="28"/>
          <w:szCs w:val="28"/>
        </w:rPr>
      </w:pPr>
      <w:r>
        <w:rPr>
          <w:rFonts w:hint="eastAsia" w:ascii="宋体" w:hAnsi="宋体"/>
          <w:b/>
          <w:bCs/>
          <w:sz w:val="28"/>
          <w:szCs w:val="28"/>
        </w:rPr>
        <w:t xml:space="preserve"> </w:t>
      </w:r>
    </w:p>
    <w:p>
      <w:pPr>
        <w:jc w:val="center"/>
        <w:rPr>
          <w:rFonts w:hint="eastAsia" w:ascii="宋体" w:hAnsi="宋体"/>
          <w:b/>
          <w:bCs/>
          <w:sz w:val="28"/>
          <w:szCs w:val="28"/>
        </w:rPr>
      </w:pPr>
    </w:p>
    <w:p>
      <w:pPr>
        <w:jc w:val="center"/>
        <w:rPr>
          <w:rFonts w:ascii="宋体" w:hAnsi="宋体"/>
          <w:b/>
          <w:bCs/>
          <w:sz w:val="28"/>
          <w:szCs w:val="28"/>
        </w:rPr>
      </w:pPr>
      <w:r>
        <w:rPr>
          <w:rFonts w:hint="eastAsia" w:ascii="宋体" w:hAnsi="宋体"/>
          <w:b/>
          <w:bCs/>
          <w:sz w:val="28"/>
          <w:szCs w:val="28"/>
        </w:rPr>
        <w:t xml:space="preserve"> </w:t>
      </w:r>
    </w:p>
    <w:p>
      <w:pPr>
        <w:spacing w:line="360" w:lineRule="auto"/>
        <w:ind w:firstLine="643" w:firstLineChars="200"/>
        <w:rPr>
          <w:rFonts w:hint="eastAsia" w:ascii="宋体" w:hAnsi="宋体"/>
          <w:b/>
          <w:bCs/>
          <w:sz w:val="32"/>
          <w:szCs w:val="32"/>
        </w:rPr>
      </w:pPr>
      <w:r>
        <w:rPr>
          <w:rFonts w:hint="eastAsia" w:ascii="宋体" w:hAnsi="宋体"/>
          <w:b/>
          <w:bCs/>
          <w:sz w:val="32"/>
          <w:szCs w:val="32"/>
        </w:rPr>
        <w:t>建设单位：中国石油新疆油田分公司勘探事业部</w:t>
      </w:r>
    </w:p>
    <w:p>
      <w:pPr>
        <w:spacing w:line="360" w:lineRule="auto"/>
        <w:ind w:firstLine="643" w:firstLineChars="200"/>
        <w:rPr>
          <w:rFonts w:ascii="宋体" w:hAnsi="宋体"/>
          <w:b/>
          <w:bCs/>
          <w:sz w:val="32"/>
          <w:szCs w:val="32"/>
        </w:rPr>
      </w:pPr>
      <w:r>
        <w:rPr>
          <w:rFonts w:hint="eastAsia" w:ascii="宋体" w:hAnsi="宋体"/>
          <w:b/>
          <w:bCs/>
          <w:sz w:val="32"/>
          <w:szCs w:val="32"/>
        </w:rPr>
        <w:t>编制单位：中勘冶金勘察设计研究院有限责任公司</w:t>
      </w:r>
    </w:p>
    <w:p>
      <w:pPr>
        <w:spacing w:line="360" w:lineRule="auto"/>
        <w:ind w:firstLine="643" w:firstLineChars="200"/>
        <w:rPr>
          <w:rFonts w:ascii="宋体" w:hAnsi="宋体"/>
          <w:b/>
          <w:bCs/>
          <w:sz w:val="32"/>
          <w:szCs w:val="32"/>
        </w:rPr>
      </w:pPr>
      <w:r>
        <w:rPr>
          <w:rFonts w:hint="eastAsia" w:ascii="宋体" w:hAnsi="宋体"/>
          <w:b/>
          <w:bCs/>
          <w:sz w:val="32"/>
          <w:szCs w:val="32"/>
        </w:rPr>
        <w:t>编制时间：二〇二二年六月</w:t>
      </w:r>
    </w:p>
    <w:p>
      <w:pPr>
        <w:spacing w:line="360" w:lineRule="auto"/>
        <w:ind w:firstLine="964" w:firstLineChars="300"/>
        <w:rPr>
          <w:rFonts w:ascii="宋体" w:hAnsi="宋体"/>
          <w:b/>
          <w:bCs/>
          <w:sz w:val="32"/>
          <w:szCs w:val="32"/>
        </w:rPr>
      </w:pPr>
    </w:p>
    <w:p>
      <w:pPr>
        <w:widowControl/>
        <w:jc w:val="left"/>
        <w:rPr>
          <w:rFonts w:ascii="宋体" w:hAnsi="宋体"/>
          <w:b/>
          <w:bCs/>
          <w:kern w:val="0"/>
          <w:sz w:val="24"/>
        </w:rPr>
      </w:pPr>
    </w:p>
    <w:p>
      <w:pPr>
        <w:spacing w:line="440" w:lineRule="exact"/>
        <w:rPr>
          <w:rFonts w:hint="eastAsia" w:ascii="黑体" w:hAnsi="黑体" w:eastAsia="黑体"/>
          <w:kern w:val="0"/>
          <w:sz w:val="28"/>
          <w:szCs w:val="28"/>
        </w:rPr>
        <w:sectPr>
          <w:footerReference r:id="rId8" w:type="default"/>
          <w:pgSz w:w="11906" w:h="16838"/>
          <w:pgMar w:top="1440" w:right="1800" w:bottom="1440" w:left="1800" w:header="851" w:footer="992" w:gutter="0"/>
          <w:cols w:space="720" w:num="1"/>
          <w:docGrid w:type="lines" w:linePitch="312" w:charSpace="0"/>
        </w:sectPr>
      </w:pPr>
    </w:p>
    <w:p>
      <w:pPr>
        <w:spacing w:line="440" w:lineRule="exact"/>
        <w:rPr>
          <w:rFonts w:ascii="黑体" w:hAnsi="黑体" w:eastAsia="黑体"/>
          <w:kern w:val="0"/>
          <w:sz w:val="28"/>
          <w:szCs w:val="28"/>
        </w:rPr>
      </w:pPr>
      <w:r>
        <w:rPr>
          <w:rFonts w:hint="eastAsia" w:ascii="黑体" w:hAnsi="黑体" w:eastAsia="黑体"/>
          <w:kern w:val="0"/>
          <w:sz w:val="28"/>
          <w:szCs w:val="28"/>
        </w:rPr>
        <w:t>昌吉回族自治州生态环境局：</w:t>
      </w:r>
    </w:p>
    <w:p>
      <w:pPr>
        <w:spacing w:line="500" w:lineRule="exact"/>
        <w:ind w:firstLine="480" w:firstLineChars="200"/>
        <w:contextualSpacing/>
        <w:rPr>
          <w:rFonts w:ascii="宋体" w:hAnsi="宋体"/>
          <w:kern w:val="0"/>
          <w:sz w:val="24"/>
        </w:rPr>
      </w:pPr>
      <w:r>
        <w:rPr>
          <w:rFonts w:hint="eastAsia" w:ascii="宋体" w:hAnsi="宋体"/>
          <w:kern w:val="0"/>
          <w:sz w:val="24"/>
        </w:rPr>
        <w:t>我单位按照专家提出的复核意见对报告表相关内容进行了补充、完善，具体内容如下：</w:t>
      </w:r>
    </w:p>
    <w:p>
      <w:pPr>
        <w:spacing w:line="500" w:lineRule="exact"/>
        <w:rPr>
          <w:rFonts w:hint="eastAsia" w:ascii="宋体" w:hAnsi="宋体"/>
          <w:b/>
          <w:sz w:val="24"/>
        </w:rPr>
      </w:pPr>
      <w:r>
        <w:rPr>
          <w:rFonts w:hint="eastAsia" w:ascii="宋体" w:hAnsi="宋体"/>
          <w:b/>
          <w:sz w:val="24"/>
        </w:rPr>
        <w:t>王海燕专家复核意见：</w:t>
      </w:r>
    </w:p>
    <w:p>
      <w:pPr>
        <w:spacing w:line="500" w:lineRule="exact"/>
        <w:rPr>
          <w:rFonts w:hint="eastAsia" w:ascii="宋体" w:hAnsi="宋体"/>
          <w:b/>
          <w:sz w:val="24"/>
        </w:rPr>
      </w:pPr>
      <w:r>
        <w:rPr>
          <w:rFonts w:hint="eastAsia" w:ascii="宋体" w:hAnsi="宋体"/>
          <w:b/>
          <w:sz w:val="24"/>
        </w:rPr>
        <w:t>（1）生活污水经施工结束后清运至吉木萨尔县污水处理厂处理时间周期太长，建议明确缩短清运周期，按周或月清运。</w:t>
      </w:r>
    </w:p>
    <w:p>
      <w:pPr>
        <w:snapToGrid w:val="0"/>
        <w:spacing w:line="500" w:lineRule="exact"/>
        <w:ind w:firstLine="482" w:firstLineChars="200"/>
        <w:rPr>
          <w:rFonts w:ascii="宋体" w:hAnsi="宋体"/>
          <w:bCs/>
          <w:sz w:val="24"/>
        </w:rPr>
      </w:pPr>
      <w:r>
        <w:rPr>
          <w:rFonts w:hint="eastAsia" w:ascii="宋体" w:hAnsi="宋体"/>
          <w:b/>
          <w:sz w:val="24"/>
        </w:rPr>
        <w:t>修改说明：</w:t>
      </w:r>
      <w:r>
        <w:rPr>
          <w:rFonts w:hint="eastAsia" w:ascii="宋体" w:hAnsi="宋体"/>
          <w:bCs/>
          <w:sz w:val="24"/>
        </w:rPr>
        <w:t>已与建设方核实拉运周期，并设置防渗收集池容积，具体见报告P26“（1）生活污水”。</w:t>
      </w:r>
    </w:p>
    <w:p>
      <w:pPr>
        <w:snapToGrid w:val="0"/>
        <w:spacing w:line="500" w:lineRule="exact"/>
        <w:ind w:firstLine="482" w:firstLineChars="200"/>
        <w:rPr>
          <w:rFonts w:ascii="宋体" w:hAnsi="宋体"/>
          <w:bCs/>
          <w:sz w:val="24"/>
        </w:rPr>
      </w:pPr>
      <w:r>
        <w:rPr>
          <w:rFonts w:hint="eastAsia" w:ascii="宋体" w:hAnsi="宋体"/>
          <w:b/>
          <w:sz w:val="24"/>
        </w:rPr>
        <w:t>具体内容：</w:t>
      </w:r>
      <w:r>
        <w:rPr>
          <w:rFonts w:hint="eastAsia" w:ascii="宋体" w:hAnsi="宋体"/>
          <w:bCs/>
          <w:sz w:val="24"/>
        </w:rPr>
        <w:t>施工期生活污水产生量约55m</w:t>
      </w:r>
      <w:r>
        <w:rPr>
          <w:rFonts w:hint="eastAsia" w:ascii="宋体" w:hAnsi="宋体"/>
          <w:bCs/>
          <w:sz w:val="24"/>
          <w:vertAlign w:val="superscript"/>
        </w:rPr>
        <w:t>3</w:t>
      </w:r>
      <w:r>
        <w:rPr>
          <w:rFonts w:hint="eastAsia" w:ascii="宋体" w:hAnsi="宋体"/>
          <w:bCs/>
          <w:sz w:val="24"/>
        </w:rPr>
        <w:t>，排入生活营地临时防渗收集池暂存后由吸污车抽出后运至吉木萨尔县污水处理厂处理，每2个月清运一次。生活污水收集池采用HDPE防渗膜防渗。</w:t>
      </w:r>
    </w:p>
    <w:p>
      <w:pPr>
        <w:spacing w:line="500" w:lineRule="exact"/>
        <w:rPr>
          <w:rFonts w:hint="eastAsia" w:ascii="宋体" w:hAnsi="宋体"/>
          <w:b/>
          <w:sz w:val="24"/>
        </w:rPr>
      </w:pPr>
      <w:r>
        <w:rPr>
          <w:rFonts w:hint="eastAsia" w:ascii="宋体" w:hAnsi="宋体"/>
          <w:b/>
          <w:sz w:val="24"/>
        </w:rPr>
        <w:t>（2）本项目涉及保护植物梭梭，提出施工期的保护措施，从避让、减缓、补偿方面提出针对性保护措施。</w:t>
      </w:r>
    </w:p>
    <w:p>
      <w:pPr>
        <w:snapToGrid w:val="0"/>
        <w:spacing w:line="500" w:lineRule="exact"/>
        <w:ind w:firstLine="482" w:firstLineChars="200"/>
        <w:rPr>
          <w:rFonts w:hint="eastAsia" w:ascii="宋体" w:hAnsi="宋体"/>
          <w:bCs/>
          <w:sz w:val="24"/>
        </w:rPr>
      </w:pPr>
      <w:r>
        <w:rPr>
          <w:rFonts w:hint="eastAsia" w:ascii="宋体" w:hAnsi="宋体"/>
          <w:b/>
          <w:sz w:val="24"/>
        </w:rPr>
        <w:t>修改说明：</w:t>
      </w:r>
      <w:r>
        <w:rPr>
          <w:rFonts w:hint="eastAsia" w:ascii="宋体" w:hAnsi="宋体"/>
          <w:bCs/>
          <w:sz w:val="24"/>
        </w:rPr>
        <w:t>本项目不涉及保护植物梭梭，报告中已从避让、减缓、补偿方面提出针对性保护措施，具体见报告P24“施工期生态环境保护措施”章节。</w:t>
      </w:r>
    </w:p>
    <w:p>
      <w:pPr>
        <w:snapToGrid w:val="0"/>
        <w:spacing w:line="500" w:lineRule="exact"/>
        <w:ind w:firstLine="482" w:firstLineChars="200"/>
        <w:rPr>
          <w:rFonts w:hint="eastAsia" w:ascii="宋体" w:hAnsi="宋体"/>
          <w:b/>
          <w:sz w:val="24"/>
        </w:rPr>
      </w:pPr>
      <w:r>
        <w:rPr>
          <w:rFonts w:hint="eastAsia" w:ascii="宋体" w:hAnsi="宋体"/>
          <w:b/>
          <w:sz w:val="24"/>
        </w:rPr>
        <w:t>具体内容：</w:t>
      </w:r>
    </w:p>
    <w:p>
      <w:pPr>
        <w:snapToGrid w:val="0"/>
        <w:spacing w:line="500" w:lineRule="exact"/>
        <w:ind w:firstLine="480" w:firstLineChars="200"/>
        <w:rPr>
          <w:rFonts w:hint="eastAsia" w:ascii="宋体" w:hAnsi="宋体" w:cs="宋体"/>
          <w:sz w:val="24"/>
        </w:rPr>
      </w:pPr>
      <w:r>
        <w:rPr>
          <w:rFonts w:hint="eastAsia" w:ascii="宋体" w:hAnsi="宋体" w:cs="宋体"/>
          <w:sz w:val="24"/>
        </w:rPr>
        <w:t>①工程避让措施：应提前踏勘探临道路选线，在满足勘探设计和施工要求的前提下，对井场、生活营地位置及其他占地进行适当调整，尽量避开野生植物生长密集地带以及农田，并减少占地。</w:t>
      </w:r>
    </w:p>
    <w:p>
      <w:pPr>
        <w:snapToGrid w:val="0"/>
        <w:spacing w:line="500" w:lineRule="exact"/>
        <w:ind w:firstLine="480" w:firstLineChars="200"/>
        <w:rPr>
          <w:rFonts w:hint="eastAsia" w:ascii="宋体" w:hAnsi="宋体" w:cs="宋体"/>
          <w:sz w:val="24"/>
        </w:rPr>
      </w:pPr>
      <w:r>
        <w:rPr>
          <w:rFonts w:hint="eastAsia" w:ascii="宋体" w:hAnsi="宋体" w:cs="宋体"/>
          <w:sz w:val="24"/>
        </w:rPr>
        <w:t>②减缓措施：尽量缩小施工占地，不得随意开辟道路，减少影响范围；确保各环保设施正常运行，避免各类污染物对土壤环境的影响，防止进一步影响其上部生长的野生植被。</w:t>
      </w:r>
    </w:p>
    <w:p>
      <w:pPr>
        <w:snapToGrid w:val="0"/>
        <w:spacing w:line="500" w:lineRule="exact"/>
        <w:ind w:firstLine="480" w:firstLineChars="200"/>
        <w:rPr>
          <w:rFonts w:hint="eastAsia" w:ascii="宋体" w:hAnsi="宋体" w:cs="宋体"/>
          <w:sz w:val="24"/>
        </w:rPr>
      </w:pPr>
      <w:r>
        <w:rPr>
          <w:rFonts w:hint="eastAsia" w:ascii="宋体" w:hAnsi="宋体" w:cs="宋体"/>
          <w:sz w:val="24"/>
        </w:rPr>
        <w:t>③修复措施：完井后施工机械、设备及时撤离，对占地进行清理平整，废水和固体废物全部妥善处置，禁止现场遗留；尽量利用井场及临时道路施工时产生的表层弃土对临时占地进行覆盖，植被自然恢复。</w:t>
      </w:r>
    </w:p>
    <w:p>
      <w:pPr>
        <w:snapToGrid w:val="0"/>
        <w:spacing w:line="500" w:lineRule="exact"/>
        <w:ind w:firstLine="480" w:firstLineChars="200"/>
        <w:rPr>
          <w:rFonts w:hint="eastAsia" w:ascii="宋体" w:hAnsi="宋体" w:cs="宋体"/>
          <w:sz w:val="24"/>
        </w:rPr>
      </w:pPr>
      <w:r>
        <w:rPr>
          <w:rFonts w:hint="eastAsia" w:ascii="宋体" w:hAnsi="宋体" w:cs="宋体"/>
          <w:sz w:val="24"/>
        </w:rPr>
        <w:t>④补偿措施：建设单位应严格按照有关规定办理临时占地经济补偿协议，对因项目施工破坏的野生植被予以经济补偿。</w:t>
      </w:r>
    </w:p>
    <w:p>
      <w:pPr>
        <w:snapToGrid w:val="0"/>
        <w:spacing w:line="500" w:lineRule="exact"/>
        <w:ind w:firstLine="480" w:firstLineChars="200"/>
        <w:rPr>
          <w:rFonts w:hint="eastAsia" w:ascii="宋体" w:hAnsi="宋体" w:cs="宋体"/>
          <w:sz w:val="24"/>
        </w:rPr>
      </w:pPr>
      <w:r>
        <w:rPr>
          <w:rFonts w:hint="eastAsia" w:ascii="宋体" w:hAnsi="宋体" w:cs="宋体"/>
          <w:sz w:val="24"/>
        </w:rPr>
        <w:t>⑤管理措施：严格遵守油田环境保护规章制度；严格控制井场占地，严格划定车辆行驶路线及临时道路开拓路线，禁止运输车辆乱碾乱轧；严格规定各类工作人员的活动范围，禁止进入附近的农田区域，最大限度减少对农作物和荒漠植物生存环境的踩踏破坏以及对野生动物的栖息地的侵扰。加强环境保护宣传工作，提高施工人员环保意识，特别是注意对野生动物和自然植被的保护。</w:t>
      </w:r>
    </w:p>
    <w:p>
      <w:pPr>
        <w:spacing w:line="500" w:lineRule="exact"/>
        <w:jc w:val="center"/>
        <w:rPr>
          <w:rFonts w:ascii="黑体" w:hAnsi="黑体" w:eastAsia="黑体"/>
          <w:bCs/>
        </w:rPr>
      </w:pPr>
    </w:p>
    <w:p>
      <w:pPr>
        <w:jc w:val="right"/>
        <w:rPr>
          <w:rFonts w:ascii="宋体" w:hAnsi="宋体" w:cs="宋体"/>
          <w:b/>
          <w:bCs/>
          <w:kern w:val="0"/>
          <w:sz w:val="24"/>
        </w:rPr>
      </w:pPr>
      <w:r>
        <w:rPr>
          <w:rFonts w:hint="eastAsia" w:ascii="宋体" w:hAnsi="宋体" w:cs="宋体"/>
          <w:b/>
          <w:bCs/>
          <w:kern w:val="0"/>
          <w:sz w:val="24"/>
        </w:rPr>
        <w:t>中勘冶金勘察设计研究院有限责任公司</w:t>
      </w:r>
    </w:p>
    <w:p>
      <w:pPr>
        <w:jc w:val="right"/>
        <w:rPr>
          <w:rFonts w:hint="eastAsia" w:ascii="宋体" w:hAnsi="宋体" w:cs="宋体"/>
          <w:b/>
          <w:bCs/>
          <w:kern w:val="0"/>
          <w:sz w:val="24"/>
        </w:rPr>
      </w:pPr>
      <w:r>
        <w:rPr>
          <w:rFonts w:hint="eastAsia" w:ascii="宋体" w:hAnsi="宋体" w:cs="宋体"/>
          <w:b/>
          <w:bCs/>
          <w:kern w:val="0"/>
          <w:sz w:val="24"/>
        </w:rPr>
        <w:t>202</w:t>
      </w:r>
      <w:r>
        <w:rPr>
          <w:rFonts w:ascii="宋体" w:hAnsi="宋体" w:cs="宋体"/>
          <w:b/>
          <w:bCs/>
          <w:kern w:val="0"/>
          <w:sz w:val="24"/>
        </w:rPr>
        <w:t>2</w:t>
      </w:r>
      <w:r>
        <w:rPr>
          <w:rFonts w:hint="eastAsia" w:ascii="宋体" w:hAnsi="宋体" w:cs="宋体"/>
          <w:b/>
          <w:bCs/>
          <w:kern w:val="0"/>
          <w:sz w:val="24"/>
        </w:rPr>
        <w:t>.6</w:t>
      </w:r>
      <w:r>
        <w:rPr>
          <w:rFonts w:ascii="宋体" w:hAnsi="宋体" w:cs="宋体"/>
          <w:b/>
          <w:bCs/>
          <w:kern w:val="0"/>
          <w:sz w:val="24"/>
        </w:rPr>
        <w:t>.</w:t>
      </w:r>
      <w:r>
        <w:rPr>
          <w:rFonts w:hint="eastAsia" w:ascii="宋体" w:hAnsi="宋体" w:cs="宋体"/>
          <w:b/>
          <w:bCs/>
          <w:kern w:val="0"/>
          <w:sz w:val="24"/>
        </w:rPr>
        <w:t>15</w:t>
      </w:r>
    </w:p>
    <w:p>
      <w:pPr>
        <w:pStyle w:val="14"/>
        <w:ind w:left="0"/>
        <w:rPr>
          <w:i w:val="0"/>
        </w:rPr>
        <w:sectPr>
          <w:pgSz w:w="11906" w:h="16838"/>
          <w:pgMar w:top="1440" w:right="1800" w:bottom="1440" w:left="1800" w:header="851" w:footer="992" w:gutter="0"/>
          <w:cols w:space="720" w:num="1"/>
          <w:docGrid w:type="lines" w:linePitch="312" w:charSpace="0"/>
        </w:sectPr>
      </w:pPr>
    </w:p>
    <w:p>
      <w:pPr>
        <w:pStyle w:val="4"/>
        <w:snapToGrid w:val="0"/>
        <w:spacing w:before="0" w:after="0" w:line="360" w:lineRule="auto"/>
        <w:rPr>
          <w:rFonts w:ascii="宋体" w:hAnsi="宋体" w:cs="宋体"/>
          <w:sz w:val="28"/>
          <w:szCs w:val="28"/>
        </w:rPr>
      </w:pPr>
      <w:r>
        <w:rPr>
          <w:rFonts w:hint="eastAsia" w:ascii="宋体" w:hAnsi="宋体" w:cs="宋体"/>
          <w:sz w:val="28"/>
          <w:szCs w:val="28"/>
        </w:rPr>
        <w:drawing>
          <wp:anchor distT="0" distB="0" distL="114300" distR="114300" simplePos="0" relativeHeight="251672576" behindDoc="0" locked="0" layoutInCell="1" allowOverlap="1">
            <wp:simplePos x="0" y="0"/>
            <wp:positionH relativeFrom="column">
              <wp:posOffset>52705</wp:posOffset>
            </wp:positionH>
            <wp:positionV relativeFrom="paragraph">
              <wp:posOffset>320040</wp:posOffset>
            </wp:positionV>
            <wp:extent cx="5026660" cy="7110730"/>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26721" cy="7110483"/>
                    </a:xfrm>
                    <a:prstGeom prst="rect">
                      <a:avLst/>
                    </a:prstGeom>
                    <a:noFill/>
                    <a:ln>
                      <a:noFill/>
                    </a:ln>
                  </pic:spPr>
                </pic:pic>
              </a:graphicData>
            </a:graphic>
          </wp:anchor>
        </w:drawing>
      </w:r>
      <w:r>
        <w:rPr>
          <w:rFonts w:hint="eastAsia" w:ascii="宋体" w:hAnsi="宋体" w:cs="宋体"/>
          <w:sz w:val="28"/>
          <w:szCs w:val="28"/>
        </w:rPr>
        <w:t>复核意见</w:t>
      </w:r>
    </w:p>
    <w:p>
      <w:pPr>
        <w:pStyle w:val="4"/>
        <w:snapToGrid w:val="0"/>
        <w:spacing w:before="0" w:after="0" w:line="360" w:lineRule="auto"/>
        <w:rPr>
          <w:rFonts w:ascii="宋体" w:hAnsi="宋体" w:cs="宋体"/>
          <w:sz w:val="28"/>
          <w:szCs w:val="28"/>
        </w:rPr>
      </w:pPr>
      <w:r>
        <w:rPr>
          <w:rFonts w:ascii="宋体" w:hAnsi="宋体" w:cs="宋体"/>
          <w:sz w:val="28"/>
          <w:szCs w:val="28"/>
        </w:rPr>
        <w:drawing>
          <wp:inline distT="0" distB="0" distL="0" distR="0">
            <wp:extent cx="5274310" cy="74587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r>
        <w:rPr>
          <w:rFonts w:ascii="宋体" w:hAnsi="宋体" w:cs="宋体"/>
          <w:sz w:val="28"/>
          <w:szCs w:val="28"/>
        </w:rPr>
        <w:drawing>
          <wp:inline distT="0" distB="0" distL="0" distR="0">
            <wp:extent cx="5274310" cy="745871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r>
        <w:rPr>
          <w:rFonts w:ascii="宋体" w:hAnsi="宋体" w:cs="宋体"/>
          <w:sz w:val="28"/>
          <w:szCs w:val="28"/>
        </w:rPr>
        <w:drawing>
          <wp:inline distT="0" distB="0" distL="0" distR="0">
            <wp:extent cx="5274310" cy="745871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Pr>
    </w:pPr>
    <w:r>
      <w:rPr>
        <w:rStyle w:val="20"/>
      </w:rPr>
      <w:fldChar w:fldCharType="begin"/>
    </w:r>
    <w:r>
      <w:rPr>
        <w:rStyle w:val="20"/>
      </w:rPr>
      <w:instrText xml:space="preserve">PAGE  </w:instrText>
    </w:r>
    <w:r>
      <w:rPr>
        <w:rStyle w:val="20"/>
      </w:rPr>
      <w:fldChar w:fldCharType="separate"/>
    </w:r>
    <w:r>
      <w:rPr>
        <w:rStyle w:val="20"/>
      </w:rPr>
      <w:t>18</w:t>
    </w:r>
    <w:r>
      <w:rPr>
        <w:rStyle w:val="20"/>
      </w:rP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4678521"/>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7946618"/>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B916EE"/>
    <w:multiLevelType w:val="singleLevel"/>
    <w:tmpl w:val="FCB916E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JhYjA3OTMzNjZhNGIwZDQ5ZjA5OTY3OTNlOGUzMTYifQ=="/>
  </w:docVars>
  <w:rsids>
    <w:rsidRoot w:val="63603041"/>
    <w:rsid w:val="000003D8"/>
    <w:rsid w:val="00005837"/>
    <w:rsid w:val="00067CEF"/>
    <w:rsid w:val="000C3117"/>
    <w:rsid w:val="000E25DE"/>
    <w:rsid w:val="00104043"/>
    <w:rsid w:val="001201A5"/>
    <w:rsid w:val="00125EE6"/>
    <w:rsid w:val="00141785"/>
    <w:rsid w:val="00177D15"/>
    <w:rsid w:val="001820F7"/>
    <w:rsid w:val="001B4D5B"/>
    <w:rsid w:val="001C1B74"/>
    <w:rsid w:val="001D6412"/>
    <w:rsid w:val="001F26A6"/>
    <w:rsid w:val="001F7B37"/>
    <w:rsid w:val="0020212B"/>
    <w:rsid w:val="0021701E"/>
    <w:rsid w:val="00223B32"/>
    <w:rsid w:val="002265C6"/>
    <w:rsid w:val="00244CAD"/>
    <w:rsid w:val="002735AE"/>
    <w:rsid w:val="002771DB"/>
    <w:rsid w:val="002908B2"/>
    <w:rsid w:val="0029289B"/>
    <w:rsid w:val="002A29B2"/>
    <w:rsid w:val="002A3399"/>
    <w:rsid w:val="002A4D7A"/>
    <w:rsid w:val="002B1639"/>
    <w:rsid w:val="002B4DE0"/>
    <w:rsid w:val="002C3C42"/>
    <w:rsid w:val="002E168C"/>
    <w:rsid w:val="002E69D1"/>
    <w:rsid w:val="00307D3D"/>
    <w:rsid w:val="0034035B"/>
    <w:rsid w:val="00343641"/>
    <w:rsid w:val="00350232"/>
    <w:rsid w:val="00372B7C"/>
    <w:rsid w:val="00377EB7"/>
    <w:rsid w:val="00391492"/>
    <w:rsid w:val="00397315"/>
    <w:rsid w:val="003B28BA"/>
    <w:rsid w:val="003C321D"/>
    <w:rsid w:val="003C73FF"/>
    <w:rsid w:val="003D2304"/>
    <w:rsid w:val="003D3409"/>
    <w:rsid w:val="003E103A"/>
    <w:rsid w:val="003F59A4"/>
    <w:rsid w:val="00404352"/>
    <w:rsid w:val="00421F37"/>
    <w:rsid w:val="0044745A"/>
    <w:rsid w:val="0046512E"/>
    <w:rsid w:val="004B55A1"/>
    <w:rsid w:val="004B622B"/>
    <w:rsid w:val="004D79B5"/>
    <w:rsid w:val="004E3FFD"/>
    <w:rsid w:val="004E566B"/>
    <w:rsid w:val="004F24E5"/>
    <w:rsid w:val="004F5CA5"/>
    <w:rsid w:val="005018A9"/>
    <w:rsid w:val="0051772B"/>
    <w:rsid w:val="00521EAF"/>
    <w:rsid w:val="005347FA"/>
    <w:rsid w:val="005541E1"/>
    <w:rsid w:val="00560B4D"/>
    <w:rsid w:val="0057201F"/>
    <w:rsid w:val="005A56E6"/>
    <w:rsid w:val="005C346E"/>
    <w:rsid w:val="005E6828"/>
    <w:rsid w:val="006119FE"/>
    <w:rsid w:val="0061323C"/>
    <w:rsid w:val="0062259B"/>
    <w:rsid w:val="00632756"/>
    <w:rsid w:val="00632BA5"/>
    <w:rsid w:val="006406FA"/>
    <w:rsid w:val="006913E4"/>
    <w:rsid w:val="00696A52"/>
    <w:rsid w:val="006A3E76"/>
    <w:rsid w:val="006B079D"/>
    <w:rsid w:val="006D14FA"/>
    <w:rsid w:val="006E05CA"/>
    <w:rsid w:val="006E1EC7"/>
    <w:rsid w:val="00722652"/>
    <w:rsid w:val="00726E46"/>
    <w:rsid w:val="00735997"/>
    <w:rsid w:val="007438FE"/>
    <w:rsid w:val="00745F28"/>
    <w:rsid w:val="00754FC0"/>
    <w:rsid w:val="00764CC1"/>
    <w:rsid w:val="007713AA"/>
    <w:rsid w:val="007B101D"/>
    <w:rsid w:val="00800326"/>
    <w:rsid w:val="00803EF7"/>
    <w:rsid w:val="008260D2"/>
    <w:rsid w:val="00857C07"/>
    <w:rsid w:val="00871679"/>
    <w:rsid w:val="008C7C28"/>
    <w:rsid w:val="008E39DA"/>
    <w:rsid w:val="008F4B24"/>
    <w:rsid w:val="00927724"/>
    <w:rsid w:val="0093141B"/>
    <w:rsid w:val="0093141F"/>
    <w:rsid w:val="0094089D"/>
    <w:rsid w:val="00966F22"/>
    <w:rsid w:val="0097659A"/>
    <w:rsid w:val="00994BB6"/>
    <w:rsid w:val="009A63BC"/>
    <w:rsid w:val="009B393C"/>
    <w:rsid w:val="009B77E5"/>
    <w:rsid w:val="009C5944"/>
    <w:rsid w:val="00A156A7"/>
    <w:rsid w:val="00A17238"/>
    <w:rsid w:val="00A21D66"/>
    <w:rsid w:val="00A33242"/>
    <w:rsid w:val="00A51174"/>
    <w:rsid w:val="00A603A5"/>
    <w:rsid w:val="00A67D3B"/>
    <w:rsid w:val="00A84936"/>
    <w:rsid w:val="00A911C0"/>
    <w:rsid w:val="00A91840"/>
    <w:rsid w:val="00A92C8C"/>
    <w:rsid w:val="00AD00B2"/>
    <w:rsid w:val="00B2024D"/>
    <w:rsid w:val="00B237FC"/>
    <w:rsid w:val="00B5117E"/>
    <w:rsid w:val="00B73694"/>
    <w:rsid w:val="00B74A23"/>
    <w:rsid w:val="00B9256F"/>
    <w:rsid w:val="00C14E02"/>
    <w:rsid w:val="00C27C69"/>
    <w:rsid w:val="00C31C26"/>
    <w:rsid w:val="00C40FE8"/>
    <w:rsid w:val="00C44F39"/>
    <w:rsid w:val="00C45E25"/>
    <w:rsid w:val="00C71B66"/>
    <w:rsid w:val="00C91BDD"/>
    <w:rsid w:val="00C94289"/>
    <w:rsid w:val="00C96649"/>
    <w:rsid w:val="00CC0AA5"/>
    <w:rsid w:val="00CF28AC"/>
    <w:rsid w:val="00D123D7"/>
    <w:rsid w:val="00DA50DA"/>
    <w:rsid w:val="00DA62A6"/>
    <w:rsid w:val="00DB42BB"/>
    <w:rsid w:val="00DE4EEC"/>
    <w:rsid w:val="00E01BDD"/>
    <w:rsid w:val="00E06C01"/>
    <w:rsid w:val="00E0793F"/>
    <w:rsid w:val="00E12A6D"/>
    <w:rsid w:val="00E25B0A"/>
    <w:rsid w:val="00E567C2"/>
    <w:rsid w:val="00E60E6A"/>
    <w:rsid w:val="00E636BA"/>
    <w:rsid w:val="00E76C0F"/>
    <w:rsid w:val="00E83F87"/>
    <w:rsid w:val="00E84611"/>
    <w:rsid w:val="00ED4C69"/>
    <w:rsid w:val="00EF750D"/>
    <w:rsid w:val="00F454F6"/>
    <w:rsid w:val="00F852DF"/>
    <w:rsid w:val="00FB54C2"/>
    <w:rsid w:val="00FC1BE3"/>
    <w:rsid w:val="00FE5CD2"/>
    <w:rsid w:val="00FF08BB"/>
    <w:rsid w:val="010C2B69"/>
    <w:rsid w:val="01CB2E8B"/>
    <w:rsid w:val="02A824AD"/>
    <w:rsid w:val="04DC643E"/>
    <w:rsid w:val="05485881"/>
    <w:rsid w:val="065364FE"/>
    <w:rsid w:val="0B195D7B"/>
    <w:rsid w:val="0B5C3782"/>
    <w:rsid w:val="0EA7554F"/>
    <w:rsid w:val="0EE4486D"/>
    <w:rsid w:val="10184E62"/>
    <w:rsid w:val="12274A70"/>
    <w:rsid w:val="124244CE"/>
    <w:rsid w:val="12EF7E22"/>
    <w:rsid w:val="138E75D3"/>
    <w:rsid w:val="15A33119"/>
    <w:rsid w:val="193E726F"/>
    <w:rsid w:val="19805192"/>
    <w:rsid w:val="1AD56FF2"/>
    <w:rsid w:val="1B617245"/>
    <w:rsid w:val="1B852F33"/>
    <w:rsid w:val="1C0A2EB8"/>
    <w:rsid w:val="1C6551CC"/>
    <w:rsid w:val="1C6E22CA"/>
    <w:rsid w:val="1FE87F35"/>
    <w:rsid w:val="23AD16E8"/>
    <w:rsid w:val="23B73EA6"/>
    <w:rsid w:val="248D4C07"/>
    <w:rsid w:val="24F86524"/>
    <w:rsid w:val="257B0F03"/>
    <w:rsid w:val="267C13D7"/>
    <w:rsid w:val="27217CEC"/>
    <w:rsid w:val="27FD02F5"/>
    <w:rsid w:val="283E5421"/>
    <w:rsid w:val="28930A95"/>
    <w:rsid w:val="28F33BD2"/>
    <w:rsid w:val="2A703001"/>
    <w:rsid w:val="2A8D770F"/>
    <w:rsid w:val="2B377690"/>
    <w:rsid w:val="2B8C3E6A"/>
    <w:rsid w:val="2B9E508B"/>
    <w:rsid w:val="2E0221C2"/>
    <w:rsid w:val="30DF67EA"/>
    <w:rsid w:val="32075FF9"/>
    <w:rsid w:val="3306714A"/>
    <w:rsid w:val="330F6123"/>
    <w:rsid w:val="34030A42"/>
    <w:rsid w:val="34607C42"/>
    <w:rsid w:val="357F059C"/>
    <w:rsid w:val="35E93558"/>
    <w:rsid w:val="3715740A"/>
    <w:rsid w:val="37AE6F16"/>
    <w:rsid w:val="39047736"/>
    <w:rsid w:val="396401D4"/>
    <w:rsid w:val="39A131D7"/>
    <w:rsid w:val="39AB195F"/>
    <w:rsid w:val="39BF6117"/>
    <w:rsid w:val="3D671B69"/>
    <w:rsid w:val="3E04774D"/>
    <w:rsid w:val="41793B21"/>
    <w:rsid w:val="418B713B"/>
    <w:rsid w:val="444100C9"/>
    <w:rsid w:val="45EB56D0"/>
    <w:rsid w:val="46C357BC"/>
    <w:rsid w:val="46E13DB1"/>
    <w:rsid w:val="496541A2"/>
    <w:rsid w:val="497578A1"/>
    <w:rsid w:val="499D371C"/>
    <w:rsid w:val="4A4B252B"/>
    <w:rsid w:val="515F3303"/>
    <w:rsid w:val="523E2E19"/>
    <w:rsid w:val="52990A97"/>
    <w:rsid w:val="53E15B76"/>
    <w:rsid w:val="55AD49B3"/>
    <w:rsid w:val="56E6661F"/>
    <w:rsid w:val="576D24F2"/>
    <w:rsid w:val="577E200A"/>
    <w:rsid w:val="58276B45"/>
    <w:rsid w:val="58E81E30"/>
    <w:rsid w:val="5A96780E"/>
    <w:rsid w:val="5AF42331"/>
    <w:rsid w:val="5B577BFC"/>
    <w:rsid w:val="5BE85E95"/>
    <w:rsid w:val="5C1B076F"/>
    <w:rsid w:val="5CFD02A0"/>
    <w:rsid w:val="5E0F7E5F"/>
    <w:rsid w:val="5EAA5DDA"/>
    <w:rsid w:val="616E578F"/>
    <w:rsid w:val="63603041"/>
    <w:rsid w:val="63B84AF5"/>
    <w:rsid w:val="646D768E"/>
    <w:rsid w:val="648669A1"/>
    <w:rsid w:val="66E92F02"/>
    <w:rsid w:val="67923542"/>
    <w:rsid w:val="69262337"/>
    <w:rsid w:val="6A633A0D"/>
    <w:rsid w:val="6A9F4B27"/>
    <w:rsid w:val="6C1E72DF"/>
    <w:rsid w:val="6CFE17CB"/>
    <w:rsid w:val="6E466A83"/>
    <w:rsid w:val="719B1CDE"/>
    <w:rsid w:val="71C108C5"/>
    <w:rsid w:val="71FB3C3C"/>
    <w:rsid w:val="72C50044"/>
    <w:rsid w:val="72CB65F3"/>
    <w:rsid w:val="73927111"/>
    <w:rsid w:val="740578E3"/>
    <w:rsid w:val="752B3379"/>
    <w:rsid w:val="764853C3"/>
    <w:rsid w:val="768E1E11"/>
    <w:rsid w:val="777B2DF0"/>
    <w:rsid w:val="79066F17"/>
    <w:rsid w:val="79A70AC0"/>
    <w:rsid w:val="79F503F9"/>
    <w:rsid w:val="7A8F7F06"/>
    <w:rsid w:val="7D6F2271"/>
    <w:rsid w:val="7E6E54AC"/>
    <w:rsid w:val="7EAA7A04"/>
    <w:rsid w:val="7EBA4486"/>
    <w:rsid w:val="7F0A0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qFormat="1"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character" w:default="1" w:styleId="19">
    <w:name w:val="Default Paragraph Font"/>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2">
    <w:name w:val="index heading"/>
    <w:basedOn w:val="1"/>
    <w:next w:val="3"/>
    <w:qFormat/>
    <w:uiPriority w:val="0"/>
    <w:rPr>
      <w:rFonts w:hint="eastAsia" w:ascii="Cambria" w:hAnsi="Cambria"/>
      <w:b/>
    </w:rPr>
  </w:style>
  <w:style w:type="paragraph" w:styleId="3">
    <w:name w:val="index 1"/>
    <w:basedOn w:val="1"/>
    <w:next w:val="1"/>
    <w:qFormat/>
    <w:uiPriority w:val="0"/>
  </w:style>
  <w:style w:type="paragraph" w:styleId="5">
    <w:name w:val="caption"/>
    <w:basedOn w:val="1"/>
    <w:next w:val="1"/>
    <w:qFormat/>
    <w:uiPriority w:val="0"/>
    <w:pPr>
      <w:spacing w:line="500" w:lineRule="exact"/>
      <w:jc w:val="center"/>
    </w:pPr>
    <w:rPr>
      <w:rFonts w:ascii="黑体" w:hAnsi="黑体" w:eastAsia="黑体"/>
      <w:szCs w:val="20"/>
    </w:rPr>
  </w:style>
  <w:style w:type="paragraph" w:styleId="6">
    <w:name w:val="annotation text"/>
    <w:basedOn w:val="1"/>
    <w:qFormat/>
    <w:uiPriority w:val="0"/>
    <w:pPr>
      <w:jc w:val="left"/>
    </w:pPr>
  </w:style>
  <w:style w:type="paragraph" w:styleId="7">
    <w:name w:val="Body Text"/>
    <w:basedOn w:val="1"/>
    <w:qFormat/>
    <w:uiPriority w:val="0"/>
    <w:pPr>
      <w:widowControl/>
      <w:snapToGrid w:val="0"/>
      <w:spacing w:before="60" w:after="160" w:line="259" w:lineRule="auto"/>
      <w:ind w:right="113"/>
    </w:pPr>
    <w:rPr>
      <w:kern w:val="0"/>
      <w:szCs w:val="18"/>
    </w:rPr>
  </w:style>
  <w:style w:type="paragraph" w:styleId="8">
    <w:name w:val="Body Text Indent"/>
    <w:basedOn w:val="1"/>
    <w:qFormat/>
    <w:uiPriority w:val="0"/>
    <w:pPr>
      <w:spacing w:line="440" w:lineRule="exact"/>
      <w:ind w:firstLine="510"/>
    </w:pPr>
    <w:rPr>
      <w:rFonts w:ascii="宋体"/>
      <w:spacing w:val="12"/>
      <w:kern w:val="0"/>
      <w:sz w:val="24"/>
    </w:rPr>
  </w:style>
  <w:style w:type="paragraph" w:styleId="9">
    <w:name w:val="Block Text"/>
    <w:basedOn w:val="1"/>
    <w:qFormat/>
    <w:uiPriority w:val="99"/>
    <w:pPr>
      <w:spacing w:line="480" w:lineRule="exact"/>
      <w:ind w:left="-125" w:right="-56" w:firstLine="570"/>
    </w:pPr>
    <w:rPr>
      <w:sz w:val="28"/>
    </w:rPr>
  </w:style>
  <w:style w:type="paragraph" w:styleId="10">
    <w:name w:val="Date"/>
    <w:basedOn w:val="1"/>
    <w:next w:val="1"/>
    <w:qFormat/>
    <w:uiPriority w:val="0"/>
    <w:rPr>
      <w:rFonts w:ascii="宋体"/>
      <w:kern w:val="0"/>
      <w:sz w:val="20"/>
      <w:szCs w:val="20"/>
    </w:rPr>
  </w:style>
  <w:style w:type="paragraph" w:styleId="11">
    <w:name w:val="footer"/>
    <w:basedOn w:val="1"/>
    <w:link w:val="39"/>
    <w:qFormat/>
    <w:uiPriority w:val="99"/>
    <w:pPr>
      <w:tabs>
        <w:tab w:val="center" w:pos="4153"/>
        <w:tab w:val="right" w:pos="8306"/>
      </w:tabs>
      <w:snapToGrid w:val="0"/>
      <w:jc w:val="left"/>
    </w:pPr>
    <w:rPr>
      <w:sz w:val="18"/>
      <w:szCs w:val="18"/>
    </w:rPr>
  </w:style>
  <w:style w:type="paragraph" w:styleId="12">
    <w:name w:val="header"/>
    <w:basedOn w:val="1"/>
    <w:link w:val="3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List"/>
    <w:basedOn w:val="1"/>
    <w:next w:val="1"/>
    <w:qFormat/>
    <w:uiPriority w:val="0"/>
    <w:pPr>
      <w:adjustRightInd w:val="0"/>
      <w:snapToGrid w:val="0"/>
      <w:ind w:left="198" w:hanging="198"/>
      <w:contextualSpacing/>
    </w:pPr>
  </w:style>
  <w:style w:type="paragraph" w:styleId="14">
    <w:name w:val="toc 2"/>
    <w:basedOn w:val="1"/>
    <w:next w:val="1"/>
    <w:unhideWhenUsed/>
    <w:qFormat/>
    <w:uiPriority w:val="39"/>
    <w:pPr>
      <w:spacing w:before="120"/>
      <w:ind w:left="210"/>
      <w:jc w:val="left"/>
    </w:pPr>
    <w:rPr>
      <w:rFonts w:ascii="Calibri" w:hAnsi="Calibri" w:cs="Calibri"/>
      <w:i/>
      <w:iCs/>
      <w:sz w:val="20"/>
    </w:rPr>
  </w:style>
  <w:style w:type="paragraph" w:styleId="15">
    <w:name w:val="Normal (Web)"/>
    <w:basedOn w:val="1"/>
    <w:qFormat/>
    <w:uiPriority w:val="0"/>
    <w:pPr>
      <w:widowControl/>
      <w:spacing w:before="100" w:beforeAutospacing="1" w:after="100" w:afterAutospacing="1"/>
      <w:jc w:val="left"/>
    </w:pPr>
    <w:rPr>
      <w:rFonts w:ascii="宋体" w:hAnsi="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8">
    <w:name w:val="Table Classic 1"/>
    <w:basedOn w:val="16"/>
    <w:unhideWhenUsed/>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20">
    <w:name w:val="page number"/>
    <w:qFormat/>
    <w:uiPriority w:val="0"/>
  </w:style>
  <w:style w:type="character" w:styleId="21">
    <w:name w:val="annotation reference"/>
    <w:basedOn w:val="19"/>
    <w:qFormat/>
    <w:uiPriority w:val="0"/>
    <w:rPr>
      <w:sz w:val="21"/>
      <w:szCs w:val="21"/>
    </w:rPr>
  </w:style>
  <w:style w:type="paragraph" w:customStyle="1" w:styleId="22">
    <w:name w:val="MEL正文*"/>
    <w:basedOn w:val="1"/>
    <w:qFormat/>
    <w:uiPriority w:val="0"/>
    <w:pPr>
      <w:spacing w:line="500" w:lineRule="exact"/>
      <w:ind w:firstLine="200" w:firstLineChars="200"/>
    </w:pPr>
    <w:rPr>
      <w:rFonts w:ascii="宋体" w:hAnsi="宋体"/>
      <w:kern w:val="0"/>
      <w:sz w:val="24"/>
    </w:rPr>
  </w:style>
  <w:style w:type="paragraph" w:customStyle="1" w:styleId="23">
    <w:name w:val="YJ-正文"/>
    <w:basedOn w:val="24"/>
    <w:qFormat/>
    <w:uiPriority w:val="0"/>
    <w:pPr>
      <w:ind w:firstLine="200" w:firstLineChars="200"/>
      <w:jc w:val="both"/>
      <w:outlineLvl w:val="9"/>
    </w:pPr>
    <w:rPr>
      <w:b w:val="0"/>
      <w:sz w:val="24"/>
    </w:rPr>
  </w:style>
  <w:style w:type="paragraph" w:customStyle="1" w:styleId="24">
    <w:name w:val="YJ-表标题1"/>
    <w:basedOn w:val="1"/>
    <w:qFormat/>
    <w:uiPriority w:val="0"/>
    <w:pPr>
      <w:widowControl/>
      <w:spacing w:line="520" w:lineRule="exact"/>
      <w:jc w:val="left"/>
      <w:outlineLvl w:val="1"/>
    </w:pPr>
    <w:rPr>
      <w:b/>
      <w:kern w:val="0"/>
      <w:sz w:val="30"/>
      <w:szCs w:val="22"/>
    </w:rPr>
  </w:style>
  <w:style w:type="paragraph" w:customStyle="1" w:styleId="25">
    <w:name w:val="YJ正文*"/>
    <w:basedOn w:val="1"/>
    <w:qFormat/>
    <w:uiPriority w:val="0"/>
    <w:pPr>
      <w:spacing w:line="500" w:lineRule="exact"/>
      <w:ind w:firstLine="200" w:firstLineChars="200"/>
    </w:pPr>
    <w:rPr>
      <w:rFonts w:ascii="宋体" w:hAnsi="宋体"/>
    </w:rPr>
  </w:style>
  <w:style w:type="paragraph" w:customStyle="1" w:styleId="26">
    <w:name w:val="表字-书"/>
    <w:basedOn w:val="1"/>
    <w:link w:val="36"/>
    <w:qFormat/>
    <w:uiPriority w:val="0"/>
    <w:pPr>
      <w:widowControl/>
      <w:spacing w:line="240" w:lineRule="exact"/>
      <w:jc w:val="center"/>
    </w:pPr>
    <w:rPr>
      <w:rFonts w:ascii="宋体" w:hAnsi="宋体" w:cs="Arial"/>
      <w:szCs w:val="21"/>
    </w:rPr>
  </w:style>
  <w:style w:type="paragraph" w:customStyle="1" w:styleId="27">
    <w:name w:val="表格"/>
    <w:basedOn w:val="13"/>
    <w:next w:val="1"/>
    <w:qFormat/>
    <w:uiPriority w:val="0"/>
    <w:pPr>
      <w:spacing w:beforeLines="10" w:afterLines="10" w:line="259" w:lineRule="auto"/>
      <w:jc w:val="center"/>
    </w:pPr>
    <w:rPr>
      <w:rFonts w:ascii="宋体"/>
      <w:kern w:val="0"/>
      <w:sz w:val="20"/>
      <w:szCs w:val="21"/>
    </w:rPr>
  </w:style>
  <w:style w:type="paragraph" w:customStyle="1" w:styleId="28">
    <w:name w:val="表格内容"/>
    <w:basedOn w:val="1"/>
    <w:next w:val="1"/>
    <w:qFormat/>
    <w:uiPriority w:val="0"/>
    <w:pPr>
      <w:jc w:val="center"/>
    </w:pPr>
    <w:rPr>
      <w:rFonts w:ascii="Calibri" w:hAnsi="Calibri"/>
      <w:szCs w:val="22"/>
    </w:rPr>
  </w:style>
  <w:style w:type="paragraph" w:customStyle="1" w:styleId="29">
    <w:name w:val="YJ题注"/>
    <w:basedOn w:val="5"/>
    <w:qFormat/>
    <w:uiPriority w:val="0"/>
    <w:pPr>
      <w:spacing w:line="520" w:lineRule="exact"/>
    </w:pPr>
    <w:rPr>
      <w:rFonts w:ascii="宋体" w:hAnsi="宋体"/>
      <w:szCs w:val="24"/>
    </w:rPr>
  </w:style>
  <w:style w:type="paragraph" w:customStyle="1" w:styleId="30">
    <w:name w:val="表内文字"/>
    <w:basedOn w:val="31"/>
    <w:qFormat/>
    <w:uiPriority w:val="0"/>
    <w:pPr>
      <w:widowControl/>
      <w:spacing w:line="300" w:lineRule="exact"/>
    </w:pPr>
    <w:rPr>
      <w:rFonts w:ascii="宋体" w:hAnsi="宋体"/>
      <w:szCs w:val="22"/>
    </w:rPr>
  </w:style>
  <w:style w:type="paragraph" w:customStyle="1" w:styleId="31">
    <w:name w:val="表文字"/>
    <w:basedOn w:val="1"/>
    <w:qFormat/>
    <w:uiPriority w:val="0"/>
    <w:pPr>
      <w:overflowPunct w:val="0"/>
      <w:autoSpaceDE w:val="0"/>
      <w:autoSpaceDN w:val="0"/>
      <w:adjustRightInd w:val="0"/>
      <w:spacing w:line="240" w:lineRule="atLeast"/>
      <w:jc w:val="center"/>
      <w:textAlignment w:val="baseline"/>
    </w:pPr>
    <w:rPr>
      <w:kern w:val="0"/>
    </w:rPr>
  </w:style>
  <w:style w:type="paragraph" w:customStyle="1" w:styleId="32">
    <w:name w:val="标题3 CDD"/>
    <w:basedOn w:val="1"/>
    <w:qFormat/>
    <w:uiPriority w:val="0"/>
    <w:pPr>
      <w:adjustRightInd w:val="0"/>
      <w:snapToGrid w:val="0"/>
      <w:spacing w:line="500" w:lineRule="exact"/>
      <w:ind w:firstLine="482"/>
    </w:pPr>
    <w:rPr>
      <w:rFonts w:hAnsi="宋体"/>
      <w:b/>
      <w:sz w:val="24"/>
    </w:rPr>
  </w:style>
  <w:style w:type="paragraph" w:customStyle="1" w:styleId="33">
    <w:name w:val="正文 CDD"/>
    <w:basedOn w:val="1"/>
    <w:qFormat/>
    <w:uiPriority w:val="0"/>
    <w:pPr>
      <w:ind w:firstLine="480"/>
    </w:pPr>
    <w:rPr>
      <w:rFonts w:ascii="等线" w:hAnsi="宋体"/>
      <w:sz w:val="24"/>
    </w:rPr>
  </w:style>
  <w:style w:type="paragraph" w:customStyle="1" w:styleId="34">
    <w:name w:val="MEL表字-书"/>
    <w:basedOn w:val="1"/>
    <w:qFormat/>
    <w:uiPriority w:val="0"/>
    <w:pPr>
      <w:spacing w:line="240" w:lineRule="exact"/>
      <w:jc w:val="center"/>
    </w:pPr>
    <w:rPr>
      <w:rFonts w:ascii="宋体" w:hAnsi="宋体"/>
      <w:kern w:val="0"/>
      <w:szCs w:val="21"/>
    </w:rPr>
  </w:style>
  <w:style w:type="paragraph" w:customStyle="1" w:styleId="35">
    <w:name w:val="文本"/>
    <w:basedOn w:val="8"/>
    <w:qFormat/>
    <w:uiPriority w:val="0"/>
    <w:pPr>
      <w:adjustRightInd w:val="0"/>
      <w:snapToGrid w:val="0"/>
      <w:spacing w:line="520" w:lineRule="exact"/>
      <w:ind w:firstLine="200" w:firstLineChars="200"/>
    </w:pPr>
    <w:rPr>
      <w:rFonts w:eastAsia="仿宋_GB2312"/>
    </w:rPr>
  </w:style>
  <w:style w:type="character" w:customStyle="1" w:styleId="36">
    <w:name w:val="表字-书 Char"/>
    <w:link w:val="26"/>
    <w:qFormat/>
    <w:uiPriority w:val="0"/>
    <w:rPr>
      <w:rFonts w:ascii="宋体" w:hAnsi="宋体" w:cs="Arial"/>
      <w:kern w:val="2"/>
      <w:sz w:val="21"/>
      <w:szCs w:val="21"/>
    </w:rPr>
  </w:style>
  <w:style w:type="paragraph" w:customStyle="1" w:styleId="37">
    <w:name w:val="修订1"/>
    <w:hidden/>
    <w:semiHidden/>
    <w:uiPriority w:val="99"/>
    <w:rPr>
      <w:rFonts w:ascii="Times New Roman" w:hAnsi="Times New Roman" w:eastAsia="宋体" w:cs="Times New Roman"/>
      <w:kern w:val="2"/>
      <w:sz w:val="21"/>
      <w:szCs w:val="24"/>
      <w:lang w:val="en-US" w:eastAsia="zh-CN" w:bidi="ar-SA"/>
    </w:rPr>
  </w:style>
  <w:style w:type="character" w:customStyle="1" w:styleId="38">
    <w:name w:val="页眉 字符"/>
    <w:basedOn w:val="19"/>
    <w:link w:val="12"/>
    <w:uiPriority w:val="99"/>
    <w:rPr>
      <w:sz w:val="18"/>
      <w:szCs w:val="18"/>
    </w:rPr>
  </w:style>
  <w:style w:type="character" w:customStyle="1" w:styleId="39">
    <w:name w:val="页脚 字符"/>
    <w:basedOn w:val="19"/>
    <w:link w:val="11"/>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29324</Words>
  <Characters>30807</Characters>
  <Lines>233</Lines>
  <Paragraphs>65</Paragraphs>
  <TotalTime>1</TotalTime>
  <ScaleCrop>false</ScaleCrop>
  <LinksUpToDate>false</LinksUpToDate>
  <CharactersWithSpaces>31057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2022-06-15T04:43:00Z</dcterms:created>
  <dc:creator>WPS_pL</dc:creator>
  <cp:lastModifiedBy>Administrator</cp:lastModifiedBy>
  <dcterms:modified xsi:type="dcterms:W3CDTF">2022-06-15T05:12:06Z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306C30AB306E4249BA73E0B2D07AE18B</vt:lpwstr>
  </property>
</Properties>
</file>