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adjustRightInd w:val="0"/>
        <w:snapToGrid w:val="0"/>
        <w:jc w:val="center"/>
        <w:outlineLvl w:val="0"/>
        <w:rPr>
          <w:rFonts w:ascii="方正小标宋_GBK" w:eastAsia="方正小标宋_GBK"/>
          <w:bCs/>
          <w:sz w:val="44"/>
          <w:szCs w:val="44"/>
        </w:rPr>
      </w:pPr>
      <w:r>
        <w:rPr>
          <w:rFonts w:hint="eastAsia" w:ascii="方正小标宋_GBK" w:eastAsia="方正小标宋_GBK"/>
          <w:bCs/>
          <w:sz w:val="44"/>
          <w:szCs w:val="44"/>
        </w:rPr>
        <w:t>建设项目环境影响报告表</w:t>
      </w:r>
    </w:p>
    <w:p>
      <w:pPr>
        <w:adjustRightInd w:val="0"/>
        <w:snapToGrid w:val="0"/>
        <w:spacing w:before="192" w:beforeLines="80"/>
        <w:jc w:val="center"/>
        <w:rPr>
          <w:rFonts w:ascii="楷体_GB2312" w:eastAsia="楷体_GB2312"/>
          <w:bCs/>
          <w:sz w:val="44"/>
          <w:szCs w:val="44"/>
        </w:rPr>
      </w:pPr>
      <w:r>
        <w:rPr>
          <w:rFonts w:hint="eastAsia" w:ascii="楷体_GB2312" w:eastAsia="楷体_GB2312"/>
          <w:bCs/>
          <w:sz w:val="44"/>
          <w:szCs w:val="44"/>
        </w:rPr>
        <w:t>（污染影响类）</w:t>
      </w:r>
    </w:p>
    <w:p>
      <w:pPr>
        <w:adjustRightInd w:val="0"/>
        <w:snapToGrid w:val="0"/>
        <w:spacing w:line="288" w:lineRule="auto"/>
        <w:jc w:val="center"/>
        <w:outlineLvl w:val="0"/>
        <w:rPr>
          <w:rFonts w:ascii="华文仿宋" w:hAnsi="华文仿宋" w:eastAsia="华文仿宋" w:cs="华文仿宋"/>
          <w:kern w:val="44"/>
          <w:sz w:val="44"/>
          <w:szCs w:val="44"/>
        </w:rPr>
      </w:pPr>
    </w:p>
    <w:p>
      <w:pPr>
        <w:jc w:val="center"/>
        <w:rPr>
          <w:rFonts w:eastAsia="仿宋"/>
          <w:sz w:val="52"/>
          <w:szCs w:val="52"/>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adjustRightInd w:val="0"/>
        <w:snapToGrid w:val="0"/>
        <w:spacing w:line="288" w:lineRule="auto"/>
        <w:ind w:left="2997" w:leftChars="513" w:hanging="1920" w:hangingChars="600"/>
        <w:rPr>
          <w:rFonts w:ascii="仿宋_GB2312" w:eastAsia="仿宋_GB2312"/>
          <w:sz w:val="32"/>
          <w:szCs w:val="32"/>
          <w:u w:val="single"/>
        </w:rPr>
      </w:pPr>
      <w:r>
        <w:rPr>
          <w:rFonts w:hint="eastAsia" w:ascii="仿宋_GB2312" w:eastAsia="仿宋_GB2312"/>
          <w:sz w:val="32"/>
          <w:szCs w:val="32"/>
        </w:rPr>
        <w:t>项目名称：</w:t>
      </w:r>
      <w:r>
        <w:rPr>
          <w:rFonts w:hint="eastAsia" w:ascii="仿宋_GB2312" w:eastAsia="仿宋_GB2312"/>
          <w:sz w:val="32"/>
          <w:szCs w:val="32"/>
          <w:u w:val="single"/>
        </w:rPr>
        <w:t xml:space="preserve">现场混装多孔粒状铵油炸药生产系统及危险品储存库区搬迁改造项目 </w:t>
      </w:r>
      <w:r>
        <w:rPr>
          <w:rFonts w:ascii="仿宋_GB2312" w:eastAsia="仿宋_GB2312"/>
          <w:sz w:val="32"/>
          <w:szCs w:val="32"/>
          <w:u w:val="single"/>
        </w:rPr>
        <w:t xml:space="preserve">   </w:t>
      </w:r>
      <w:r>
        <w:rPr>
          <w:rFonts w:hint="eastAsia" w:ascii="仿宋_GB2312" w:eastAsia="仿宋_GB2312"/>
          <w:sz w:val="32"/>
          <w:szCs w:val="32"/>
          <w:u w:val="single"/>
        </w:rPr>
        <w:t xml:space="preserve">          </w:t>
      </w:r>
    </w:p>
    <w:p>
      <w:pPr>
        <w:keepNext w:val="0"/>
        <w:keepLines w:val="0"/>
        <w:pageBreakBefore w:val="0"/>
        <w:widowControl w:val="0"/>
        <w:kinsoku/>
        <w:wordWrap/>
        <w:overflowPunct/>
        <w:topLinePunct w:val="0"/>
        <w:autoSpaceDE/>
        <w:autoSpaceDN/>
        <w:bidi w:val="0"/>
        <w:adjustRightInd w:val="0"/>
        <w:snapToGrid w:val="0"/>
        <w:spacing w:line="288" w:lineRule="auto"/>
        <w:ind w:left="3518" w:leftChars="456" w:hanging="2560" w:hangingChars="800"/>
        <w:textAlignment w:val="auto"/>
        <w:rPr>
          <w:rFonts w:ascii="仿宋_GB2312" w:eastAsia="仿宋_GB2312"/>
          <w:sz w:val="32"/>
          <w:szCs w:val="32"/>
          <w:u w:val="single"/>
        </w:rPr>
      </w:pPr>
      <w:r>
        <w:rPr>
          <w:rFonts w:hint="eastAsia" w:ascii="仿宋_GB2312" w:eastAsia="仿宋_GB2312"/>
          <w:sz w:val="32"/>
          <w:szCs w:val="32"/>
        </w:rPr>
        <w:t>建设单位（盖章）：</w:t>
      </w:r>
      <w:bookmarkStart w:id="5" w:name="_GoBack"/>
      <w:r>
        <w:rPr>
          <w:rFonts w:hint="eastAsia" w:ascii="仿宋_GB2312" w:eastAsia="仿宋_GB2312"/>
          <w:w w:val="100"/>
          <w:sz w:val="32"/>
          <w:szCs w:val="32"/>
          <w:u w:val="single"/>
        </w:rPr>
        <w:t>新疆天宝混装炸药制造有限公司</w:t>
      </w:r>
      <w:bookmarkEnd w:id="5"/>
    </w:p>
    <w:p>
      <w:pPr>
        <w:adjustRightInd w:val="0"/>
        <w:snapToGrid w:val="0"/>
        <w:spacing w:line="288" w:lineRule="auto"/>
        <w:ind w:firstLine="1040"/>
        <w:rPr>
          <w:rFonts w:ascii="仿宋_GB2312" w:eastAsia="仿宋_GB2312"/>
          <w:sz w:val="36"/>
          <w:szCs w:val="36"/>
          <w:u w:val="single"/>
        </w:rPr>
      </w:pPr>
      <w:r>
        <w:rPr>
          <w:rFonts w:hint="eastAsia" w:ascii="仿宋_GB2312" w:eastAsia="仿宋_GB2312"/>
          <w:sz w:val="32"/>
          <w:szCs w:val="32"/>
        </w:rPr>
        <w:t>编制日期：</w:t>
      </w:r>
      <w:r>
        <w:rPr>
          <w:rFonts w:hint="eastAsia" w:ascii="仿宋_GB2312" w:eastAsia="仿宋_GB2312"/>
          <w:sz w:val="32"/>
          <w:szCs w:val="32"/>
          <w:u w:val="single"/>
        </w:rPr>
        <w:t xml:space="preserve">          2022年</w:t>
      </w:r>
      <w:r>
        <w:rPr>
          <w:rFonts w:hint="eastAsia" w:ascii="仿宋_GB2312" w:eastAsia="仿宋_GB2312"/>
          <w:sz w:val="32"/>
          <w:szCs w:val="32"/>
          <w:u w:val="single"/>
          <w:lang w:val="en-US" w:eastAsia="zh-CN"/>
        </w:rPr>
        <w:t>4</w:t>
      </w:r>
      <w:r>
        <w:rPr>
          <w:rFonts w:hint="eastAsia" w:ascii="仿宋_GB2312" w:eastAsia="仿宋_GB2312"/>
          <w:sz w:val="32"/>
          <w:szCs w:val="32"/>
          <w:u w:val="single"/>
        </w:rPr>
        <w:t>月</w:t>
      </w:r>
      <w:r>
        <w:rPr>
          <w:rFonts w:ascii="仿宋_GB2312" w:eastAsia="仿宋_GB2312"/>
          <w:sz w:val="32"/>
          <w:szCs w:val="32"/>
          <w:u w:val="single"/>
        </w:rPr>
        <w:t xml:space="preserve">                  </w:t>
      </w:r>
    </w:p>
    <w:p>
      <w:pPr>
        <w:adjustRightInd w:val="0"/>
        <w:snapToGrid w:val="0"/>
        <w:spacing w:line="288" w:lineRule="auto"/>
        <w:ind w:firstLine="1040"/>
        <w:rPr>
          <w:rFonts w:ascii="仿宋_GB2312" w:eastAsia="仿宋_GB2312"/>
          <w:sz w:val="36"/>
          <w:szCs w:val="36"/>
          <w:u w:val="single"/>
        </w:rPr>
      </w:pPr>
      <w:bookmarkStart w:id="0" w:name="_Hlk57884087"/>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bookmarkEnd w:id="0"/>
    <w:p>
      <w:pPr>
        <w:adjustRightInd w:val="0"/>
        <w:snapToGrid w:val="0"/>
        <w:spacing w:line="288" w:lineRule="auto"/>
        <w:jc w:val="center"/>
        <w:rPr>
          <w:rFonts w:ascii="楷体_GB2312" w:eastAsia="楷体_GB2312"/>
          <w:sz w:val="36"/>
          <w:szCs w:val="36"/>
        </w:rPr>
      </w:pPr>
      <w:r>
        <w:rPr>
          <w:rFonts w:hint="eastAsia" w:ascii="楷体_GB2312" w:eastAsia="楷体_GB2312"/>
          <w:sz w:val="36"/>
          <w:szCs w:val="36"/>
        </w:rPr>
        <w:t>中华人民共和国生态环境部制</w:t>
      </w:r>
    </w:p>
    <w:p>
      <w:pPr>
        <w:adjustRightInd w:val="0"/>
        <w:snapToGrid w:val="0"/>
        <w:spacing w:line="288" w:lineRule="auto"/>
        <w:ind w:firstLine="1040"/>
        <w:rPr>
          <w:rFonts w:ascii="仿宋_GB2312" w:eastAsia="仿宋_GB2312"/>
          <w:sz w:val="36"/>
          <w:szCs w:val="36"/>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pPr>
        <w:pStyle w:val="2"/>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drawing>
          <wp:inline distT="0" distB="0" distL="114300" distR="114300">
            <wp:extent cx="5610225" cy="7677150"/>
            <wp:effectExtent l="0" t="0" r="9525" b="0"/>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a:picLocks noChangeAspect="1"/>
                    </pic:cNvPicPr>
                  </pic:nvPicPr>
                  <pic:blipFill>
                    <a:blip r:embed="rId11"/>
                    <a:stretch>
                      <a:fillRect/>
                    </a:stretch>
                  </pic:blipFill>
                  <pic:spPr>
                    <a:xfrm>
                      <a:off x="0" y="0"/>
                      <a:ext cx="5610225" cy="7677150"/>
                    </a:xfrm>
                    <a:prstGeom prst="rect">
                      <a:avLst/>
                    </a:prstGeom>
                    <a:noFill/>
                    <a:ln>
                      <a:noFill/>
                    </a:ln>
                  </pic:spPr>
                </pic:pic>
              </a:graphicData>
            </a:graphic>
          </wp:inline>
        </w:drawing>
      </w:r>
    </w:p>
    <w:tbl>
      <w:tblPr>
        <w:tblStyle w:val="29"/>
        <w:tblW w:w="9070" w:type="dxa"/>
        <w:jc w:val="center"/>
        <w:tblLayout w:type="fixed"/>
        <w:tblCellMar>
          <w:top w:w="0" w:type="dxa"/>
          <w:left w:w="108" w:type="dxa"/>
          <w:bottom w:w="0" w:type="dxa"/>
          <w:right w:w="108" w:type="dxa"/>
        </w:tblCellMar>
      </w:tblPr>
      <w:tblGrid>
        <w:gridCol w:w="4535"/>
        <w:gridCol w:w="4535"/>
      </w:tblGrid>
      <w:tr>
        <w:tblPrEx>
          <w:tblCellMar>
            <w:top w:w="0" w:type="dxa"/>
            <w:left w:w="108" w:type="dxa"/>
            <w:bottom w:w="0" w:type="dxa"/>
            <w:right w:w="108" w:type="dxa"/>
          </w:tblCellMar>
        </w:tblPrEx>
        <w:trPr>
          <w:jc w:val="center"/>
        </w:trPr>
        <w:tc>
          <w:tcPr>
            <w:tcW w:w="4535" w:type="dxa"/>
          </w:tcPr>
          <w:p>
            <w:r>
              <w:rPr>
                <w:rFonts w:hint="eastAsia"/>
              </w:rPr>
              <w:drawing>
                <wp:inline distT="0" distB="0" distL="114300" distR="114300">
                  <wp:extent cx="2733675" cy="2049780"/>
                  <wp:effectExtent l="0" t="0" r="9525" b="7620"/>
                  <wp:docPr id="3" name="图片 3" descr="IMG_20220309_12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20309_121627"/>
                          <pic:cNvPicPr>
                            <a:picLocks noChangeAspect="1"/>
                          </pic:cNvPicPr>
                        </pic:nvPicPr>
                        <pic:blipFill>
                          <a:blip r:embed="rId12"/>
                          <a:stretch>
                            <a:fillRect/>
                          </a:stretch>
                        </pic:blipFill>
                        <pic:spPr>
                          <a:xfrm>
                            <a:off x="0" y="0"/>
                            <a:ext cx="2733675" cy="2049780"/>
                          </a:xfrm>
                          <a:prstGeom prst="rect">
                            <a:avLst/>
                          </a:prstGeom>
                        </pic:spPr>
                      </pic:pic>
                    </a:graphicData>
                  </a:graphic>
                </wp:inline>
              </w:drawing>
            </w:r>
          </w:p>
        </w:tc>
        <w:tc>
          <w:tcPr>
            <w:tcW w:w="4535" w:type="dxa"/>
          </w:tcPr>
          <w:p>
            <w:r>
              <w:rPr>
                <w:rFonts w:hint="eastAsia"/>
              </w:rPr>
              <w:drawing>
                <wp:inline distT="0" distB="0" distL="114300" distR="114300">
                  <wp:extent cx="2733675" cy="2049780"/>
                  <wp:effectExtent l="0" t="0" r="9525" b="7620"/>
                  <wp:docPr id="11" name="图片 11" descr="IMG_20220309_12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20309_122029"/>
                          <pic:cNvPicPr>
                            <a:picLocks noChangeAspect="1"/>
                          </pic:cNvPicPr>
                        </pic:nvPicPr>
                        <pic:blipFill>
                          <a:blip r:embed="rId13"/>
                          <a:stretch>
                            <a:fillRect/>
                          </a:stretch>
                        </pic:blipFill>
                        <pic:spPr>
                          <a:xfrm>
                            <a:off x="0" y="0"/>
                            <a:ext cx="2733675" cy="2049780"/>
                          </a:xfrm>
                          <a:prstGeom prst="rect">
                            <a:avLst/>
                          </a:prstGeom>
                        </pic:spPr>
                      </pic:pic>
                    </a:graphicData>
                  </a:graphic>
                </wp:inline>
              </w:drawing>
            </w:r>
          </w:p>
        </w:tc>
      </w:tr>
      <w:tr>
        <w:tblPrEx>
          <w:tblCellMar>
            <w:top w:w="0" w:type="dxa"/>
            <w:left w:w="108" w:type="dxa"/>
            <w:bottom w:w="0" w:type="dxa"/>
            <w:right w:w="108" w:type="dxa"/>
          </w:tblCellMar>
        </w:tblPrEx>
        <w:trPr>
          <w:trHeight w:val="459" w:hRule="atLeast"/>
          <w:jc w:val="center"/>
        </w:trPr>
        <w:tc>
          <w:tcPr>
            <w:tcW w:w="4535" w:type="dxa"/>
          </w:tcPr>
          <w:p>
            <w:pPr>
              <w:jc w:val="center"/>
              <w:rPr>
                <w:sz w:val="24"/>
              </w:rPr>
            </w:pPr>
            <w:r>
              <w:rPr>
                <w:rFonts w:hint="eastAsia"/>
                <w:sz w:val="24"/>
              </w:rPr>
              <w:t>项目区东侧空地</w:t>
            </w:r>
          </w:p>
        </w:tc>
        <w:tc>
          <w:tcPr>
            <w:tcW w:w="4535" w:type="dxa"/>
          </w:tcPr>
          <w:p>
            <w:pPr>
              <w:jc w:val="center"/>
              <w:rPr>
                <w:sz w:val="24"/>
              </w:rPr>
            </w:pPr>
            <w:r>
              <w:rPr>
                <w:rFonts w:hint="eastAsia"/>
                <w:sz w:val="24"/>
              </w:rPr>
              <w:t>项目区南侧空地</w:t>
            </w:r>
          </w:p>
        </w:tc>
      </w:tr>
      <w:tr>
        <w:tblPrEx>
          <w:tblCellMar>
            <w:top w:w="0" w:type="dxa"/>
            <w:left w:w="108" w:type="dxa"/>
            <w:bottom w:w="0" w:type="dxa"/>
            <w:right w:w="108" w:type="dxa"/>
          </w:tblCellMar>
        </w:tblPrEx>
        <w:trPr>
          <w:jc w:val="center"/>
        </w:trPr>
        <w:tc>
          <w:tcPr>
            <w:tcW w:w="4535" w:type="dxa"/>
          </w:tcPr>
          <w:p>
            <w:r>
              <w:rPr>
                <w:rFonts w:hint="eastAsia"/>
              </w:rPr>
              <w:drawing>
                <wp:inline distT="0" distB="0" distL="114300" distR="114300">
                  <wp:extent cx="2733675" cy="2049780"/>
                  <wp:effectExtent l="0" t="0" r="9525" b="7620"/>
                  <wp:docPr id="6" name="图片 6" descr="IMG_20220309_12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20309_121955"/>
                          <pic:cNvPicPr>
                            <a:picLocks noChangeAspect="1"/>
                          </pic:cNvPicPr>
                        </pic:nvPicPr>
                        <pic:blipFill>
                          <a:blip r:embed="rId14"/>
                          <a:stretch>
                            <a:fillRect/>
                          </a:stretch>
                        </pic:blipFill>
                        <pic:spPr>
                          <a:xfrm>
                            <a:off x="0" y="0"/>
                            <a:ext cx="2733675" cy="2049780"/>
                          </a:xfrm>
                          <a:prstGeom prst="rect">
                            <a:avLst/>
                          </a:prstGeom>
                        </pic:spPr>
                      </pic:pic>
                    </a:graphicData>
                  </a:graphic>
                </wp:inline>
              </w:drawing>
            </w:r>
          </w:p>
        </w:tc>
        <w:tc>
          <w:tcPr>
            <w:tcW w:w="4535" w:type="dxa"/>
          </w:tcPr>
          <w:p>
            <w:r>
              <w:rPr>
                <w:rFonts w:hint="eastAsia"/>
              </w:rPr>
              <w:drawing>
                <wp:inline distT="0" distB="0" distL="114300" distR="114300">
                  <wp:extent cx="2733675" cy="2049780"/>
                  <wp:effectExtent l="0" t="0" r="9525" b="7620"/>
                  <wp:docPr id="7" name="图片 7" descr="IMG_20220309_12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20309_121958"/>
                          <pic:cNvPicPr>
                            <a:picLocks noChangeAspect="1"/>
                          </pic:cNvPicPr>
                        </pic:nvPicPr>
                        <pic:blipFill>
                          <a:blip r:embed="rId15"/>
                          <a:stretch>
                            <a:fillRect/>
                          </a:stretch>
                        </pic:blipFill>
                        <pic:spPr>
                          <a:xfrm>
                            <a:off x="0" y="0"/>
                            <a:ext cx="2733675" cy="2049780"/>
                          </a:xfrm>
                          <a:prstGeom prst="rect">
                            <a:avLst/>
                          </a:prstGeom>
                        </pic:spPr>
                      </pic:pic>
                    </a:graphicData>
                  </a:graphic>
                </wp:inline>
              </w:drawing>
            </w:r>
          </w:p>
        </w:tc>
      </w:tr>
      <w:tr>
        <w:tblPrEx>
          <w:tblCellMar>
            <w:top w:w="0" w:type="dxa"/>
            <w:left w:w="108" w:type="dxa"/>
            <w:bottom w:w="0" w:type="dxa"/>
            <w:right w:w="108" w:type="dxa"/>
          </w:tblCellMar>
        </w:tblPrEx>
        <w:trPr>
          <w:trHeight w:val="455" w:hRule="atLeast"/>
          <w:jc w:val="center"/>
        </w:trPr>
        <w:tc>
          <w:tcPr>
            <w:tcW w:w="4535" w:type="dxa"/>
          </w:tcPr>
          <w:p>
            <w:pPr>
              <w:jc w:val="center"/>
              <w:rPr>
                <w:b/>
                <w:sz w:val="24"/>
              </w:rPr>
            </w:pPr>
            <w:r>
              <w:rPr>
                <w:rFonts w:hint="eastAsia"/>
                <w:sz w:val="24"/>
              </w:rPr>
              <w:t>项目区西侧废弃房屋</w:t>
            </w:r>
          </w:p>
        </w:tc>
        <w:tc>
          <w:tcPr>
            <w:tcW w:w="4535" w:type="dxa"/>
          </w:tcPr>
          <w:p>
            <w:pPr>
              <w:jc w:val="center"/>
              <w:rPr>
                <w:sz w:val="24"/>
              </w:rPr>
            </w:pPr>
            <w:r>
              <w:rPr>
                <w:rFonts w:hint="eastAsia"/>
                <w:sz w:val="24"/>
              </w:rPr>
              <w:t>项目区北侧废弃房屋</w:t>
            </w:r>
          </w:p>
        </w:tc>
      </w:tr>
      <w:tr>
        <w:tblPrEx>
          <w:tblCellMar>
            <w:top w:w="0" w:type="dxa"/>
            <w:left w:w="108" w:type="dxa"/>
            <w:bottom w:w="0" w:type="dxa"/>
            <w:right w:w="108" w:type="dxa"/>
          </w:tblCellMar>
        </w:tblPrEx>
        <w:trPr>
          <w:jc w:val="center"/>
        </w:trPr>
        <w:tc>
          <w:tcPr>
            <w:tcW w:w="4535" w:type="dxa"/>
          </w:tcPr>
          <w:p>
            <w:r>
              <w:rPr>
                <w:rFonts w:hint="eastAsia"/>
              </w:rPr>
              <w:drawing>
                <wp:inline distT="0" distB="0" distL="114300" distR="114300">
                  <wp:extent cx="2733675" cy="2049780"/>
                  <wp:effectExtent l="0" t="0" r="9525" b="7620"/>
                  <wp:docPr id="5" name="图片 5" descr="IMG_20220309_12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20309_121629"/>
                          <pic:cNvPicPr>
                            <a:picLocks noChangeAspect="1"/>
                          </pic:cNvPicPr>
                        </pic:nvPicPr>
                        <pic:blipFill>
                          <a:blip r:embed="rId16"/>
                          <a:stretch>
                            <a:fillRect/>
                          </a:stretch>
                        </pic:blipFill>
                        <pic:spPr>
                          <a:xfrm>
                            <a:off x="0" y="0"/>
                            <a:ext cx="2733675" cy="2049780"/>
                          </a:xfrm>
                          <a:prstGeom prst="rect">
                            <a:avLst/>
                          </a:prstGeom>
                        </pic:spPr>
                      </pic:pic>
                    </a:graphicData>
                  </a:graphic>
                </wp:inline>
              </w:drawing>
            </w:r>
          </w:p>
        </w:tc>
        <w:tc>
          <w:tcPr>
            <w:tcW w:w="4535" w:type="dxa"/>
          </w:tcPr>
          <w:p>
            <w:r>
              <w:rPr>
                <w:rFonts w:hint="eastAsia"/>
              </w:rPr>
              <w:drawing>
                <wp:inline distT="0" distB="0" distL="114300" distR="114300">
                  <wp:extent cx="2733675" cy="2049780"/>
                  <wp:effectExtent l="0" t="0" r="9525" b="7620"/>
                  <wp:docPr id="30" name="图片 30" descr="IMG_20220309_12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20220309_123219"/>
                          <pic:cNvPicPr>
                            <a:picLocks noChangeAspect="1"/>
                          </pic:cNvPicPr>
                        </pic:nvPicPr>
                        <pic:blipFill>
                          <a:blip r:embed="rId17"/>
                          <a:stretch>
                            <a:fillRect/>
                          </a:stretch>
                        </pic:blipFill>
                        <pic:spPr>
                          <a:xfrm>
                            <a:off x="0" y="0"/>
                            <a:ext cx="2733675" cy="2049780"/>
                          </a:xfrm>
                          <a:prstGeom prst="rect">
                            <a:avLst/>
                          </a:prstGeom>
                        </pic:spPr>
                      </pic:pic>
                    </a:graphicData>
                  </a:graphic>
                </wp:inline>
              </w:drawing>
            </w:r>
          </w:p>
        </w:tc>
      </w:tr>
      <w:tr>
        <w:trPr>
          <w:trHeight w:val="267" w:hRule="atLeast"/>
          <w:jc w:val="center"/>
        </w:trPr>
        <w:tc>
          <w:tcPr>
            <w:tcW w:w="4535" w:type="dxa"/>
          </w:tcPr>
          <w:p>
            <w:pPr>
              <w:jc w:val="center"/>
              <w:rPr>
                <w:sz w:val="24"/>
              </w:rPr>
            </w:pPr>
            <w:r>
              <w:rPr>
                <w:rFonts w:hint="eastAsia"/>
                <w:sz w:val="24"/>
              </w:rPr>
              <w:t>厂区现状（主厂区）</w:t>
            </w:r>
          </w:p>
        </w:tc>
        <w:tc>
          <w:tcPr>
            <w:tcW w:w="4535" w:type="dxa"/>
          </w:tcPr>
          <w:p>
            <w:pPr>
              <w:ind w:firstLine="1440" w:firstLineChars="600"/>
              <w:rPr>
                <w:b/>
                <w:sz w:val="28"/>
                <w:szCs w:val="28"/>
              </w:rPr>
            </w:pPr>
            <w:r>
              <w:rPr>
                <w:rFonts w:hint="eastAsia"/>
                <w:sz w:val="24"/>
              </w:rPr>
              <w:t>厂区现状（炸药库）</w:t>
            </w:r>
          </w:p>
        </w:tc>
      </w:tr>
    </w:tbl>
    <w:p>
      <w:pPr>
        <w:pStyle w:val="77"/>
        <w:ind w:firstLine="562"/>
        <w:jc w:val="center"/>
        <w:rPr>
          <w:rFonts w:eastAsia="宋体"/>
          <w:b/>
          <w:bCs/>
        </w:rPr>
      </w:pPr>
    </w:p>
    <w:p>
      <w:pPr>
        <w:pStyle w:val="77"/>
        <w:ind w:firstLine="562"/>
        <w:jc w:val="center"/>
        <w:rPr>
          <w:rFonts w:eastAsia="宋体"/>
          <w:b/>
          <w:bCs/>
        </w:rPr>
      </w:pPr>
      <w:r>
        <w:rPr>
          <w:rFonts w:hint="eastAsia" w:eastAsia="宋体"/>
          <w:b/>
          <w:bCs/>
        </w:rPr>
        <w:t>现场勘查照片</w:t>
      </w:r>
    </w:p>
    <w:p>
      <w:pPr>
        <w:pStyle w:val="28"/>
        <w:ind w:firstLine="480"/>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pPr>
        <w:pStyle w:val="25"/>
        <w:jc w:val="center"/>
        <w:outlineLvl w:val="0"/>
        <w:rPr>
          <w:rFonts w:ascii="黑体" w:hAnsi="黑体" w:eastAsia="黑体"/>
          <w:snapToGrid w:val="0"/>
          <w:sz w:val="30"/>
          <w:szCs w:val="30"/>
        </w:rPr>
      </w:pPr>
      <w:r>
        <w:rPr>
          <w:rFonts w:hint="eastAsia" w:ascii="黑体" w:hAnsi="黑体" w:eastAsia="黑体"/>
          <w:snapToGrid w:val="0"/>
          <w:sz w:val="30"/>
          <w:szCs w:val="30"/>
        </w:rPr>
        <w:t>一、建设项目基本情况</w:t>
      </w:r>
    </w:p>
    <w:tbl>
      <w:tblPr>
        <w:tblStyle w:val="29"/>
        <w:tblW w:w="899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281"/>
        <w:gridCol w:w="2139"/>
        <w:gridCol w:w="1811"/>
        <w:gridCol w:w="276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81" w:type="dxa"/>
            <w:tcMar>
              <w:top w:w="16" w:type="dxa"/>
              <w:left w:w="16" w:type="dxa"/>
              <w:right w:w="16" w:type="dxa"/>
            </w:tcMar>
            <w:vAlign w:val="center"/>
          </w:tcPr>
          <w:p>
            <w:pPr>
              <w:adjustRightInd w:val="0"/>
              <w:snapToGrid w:val="0"/>
              <w:jc w:val="center"/>
              <w:rPr>
                <w:sz w:val="24"/>
              </w:rPr>
            </w:pPr>
            <w:r>
              <w:rPr>
                <w:sz w:val="24"/>
              </w:rPr>
              <w:t>建设项目名称</w:t>
            </w:r>
          </w:p>
        </w:tc>
        <w:tc>
          <w:tcPr>
            <w:tcW w:w="6718" w:type="dxa"/>
            <w:gridSpan w:val="3"/>
            <w:vAlign w:val="center"/>
          </w:tcPr>
          <w:p>
            <w:pPr>
              <w:adjustRightInd w:val="0"/>
              <w:snapToGrid w:val="0"/>
              <w:jc w:val="center"/>
              <w:rPr>
                <w:sz w:val="24"/>
              </w:rPr>
            </w:pPr>
            <w:r>
              <w:rPr>
                <w:rFonts w:hint="eastAsia"/>
                <w:sz w:val="24"/>
              </w:rPr>
              <w:t>现场混装多孔粒状铵油炸药生产系统及危险品储存库区搬迁改造项目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81" w:type="dxa"/>
            <w:tcMar>
              <w:top w:w="16" w:type="dxa"/>
              <w:left w:w="16" w:type="dxa"/>
              <w:right w:w="16" w:type="dxa"/>
            </w:tcMar>
            <w:vAlign w:val="center"/>
          </w:tcPr>
          <w:p>
            <w:pPr>
              <w:adjustRightInd w:val="0"/>
              <w:snapToGrid w:val="0"/>
              <w:jc w:val="center"/>
              <w:rPr>
                <w:sz w:val="24"/>
              </w:rPr>
            </w:pPr>
            <w:r>
              <w:rPr>
                <w:sz w:val="24"/>
              </w:rPr>
              <w:t>项目代码</w:t>
            </w:r>
          </w:p>
        </w:tc>
        <w:tc>
          <w:tcPr>
            <w:tcW w:w="6718" w:type="dxa"/>
            <w:gridSpan w:val="3"/>
            <w:vAlign w:val="center"/>
          </w:tcPr>
          <w:p>
            <w:pPr>
              <w:adjustRightInd w:val="0"/>
              <w:snapToGrid w:val="0"/>
              <w:jc w:val="center"/>
              <w:rPr>
                <w:sz w:val="24"/>
              </w:rPr>
            </w:pPr>
            <w:r>
              <w:rPr>
                <w:rFonts w:hint="eastAsia"/>
                <w:sz w:val="24"/>
              </w:rPr>
              <w:t>2105-652327-07-01-152329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81" w:type="dxa"/>
            <w:tcMar>
              <w:top w:w="16" w:type="dxa"/>
              <w:left w:w="16" w:type="dxa"/>
              <w:right w:w="16" w:type="dxa"/>
            </w:tcMar>
            <w:vAlign w:val="center"/>
          </w:tcPr>
          <w:p>
            <w:pPr>
              <w:adjustRightInd w:val="0"/>
              <w:snapToGrid w:val="0"/>
              <w:jc w:val="center"/>
              <w:rPr>
                <w:sz w:val="24"/>
              </w:rPr>
            </w:pPr>
            <w:r>
              <w:rPr>
                <w:sz w:val="24"/>
              </w:rPr>
              <w:t>建设单位联系人</w:t>
            </w:r>
          </w:p>
        </w:tc>
        <w:tc>
          <w:tcPr>
            <w:tcW w:w="2139" w:type="dxa"/>
            <w:vAlign w:val="center"/>
          </w:tcPr>
          <w:p>
            <w:pPr>
              <w:adjustRightInd w:val="0"/>
              <w:snapToGrid w:val="0"/>
              <w:jc w:val="center"/>
              <w:rPr>
                <w:rFonts w:hint="default" w:eastAsia="宋体"/>
                <w:sz w:val="24"/>
                <w:lang w:val="en-US" w:eastAsia="zh-CN"/>
              </w:rPr>
            </w:pPr>
            <w:r>
              <w:rPr>
                <w:rFonts w:hint="eastAsia"/>
                <w:sz w:val="24"/>
              </w:rPr>
              <w:t>李</w:t>
            </w:r>
            <w:r>
              <w:rPr>
                <w:rFonts w:hint="eastAsia"/>
                <w:sz w:val="24"/>
                <w:lang w:val="en-US" w:eastAsia="zh-CN"/>
              </w:rPr>
              <w:t>战营</w:t>
            </w:r>
          </w:p>
        </w:tc>
        <w:tc>
          <w:tcPr>
            <w:tcW w:w="1811" w:type="dxa"/>
            <w:vAlign w:val="center"/>
          </w:tcPr>
          <w:p>
            <w:pPr>
              <w:adjustRightInd w:val="0"/>
              <w:snapToGrid w:val="0"/>
              <w:jc w:val="center"/>
              <w:rPr>
                <w:sz w:val="24"/>
              </w:rPr>
            </w:pPr>
            <w:r>
              <w:rPr>
                <w:sz w:val="24"/>
              </w:rPr>
              <w:t>联系方式</w:t>
            </w:r>
          </w:p>
        </w:tc>
        <w:tc>
          <w:tcPr>
            <w:tcW w:w="2765" w:type="dxa"/>
            <w:vAlign w:val="center"/>
          </w:tcPr>
          <w:p>
            <w:pPr>
              <w:adjustRightInd w:val="0"/>
              <w:snapToGrid w:val="0"/>
              <w:jc w:val="center"/>
              <w:rPr>
                <w:sz w:val="24"/>
              </w:rPr>
            </w:pPr>
            <w:r>
              <w:rPr>
                <w:rFonts w:hint="eastAsia"/>
                <w:sz w:val="24"/>
              </w:rPr>
              <w:t>13109915017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281" w:type="dxa"/>
            <w:tcMar>
              <w:top w:w="16" w:type="dxa"/>
              <w:left w:w="16" w:type="dxa"/>
              <w:right w:w="16" w:type="dxa"/>
            </w:tcMar>
            <w:vAlign w:val="center"/>
          </w:tcPr>
          <w:p>
            <w:pPr>
              <w:adjustRightInd w:val="0"/>
              <w:snapToGrid w:val="0"/>
              <w:jc w:val="center"/>
              <w:rPr>
                <w:sz w:val="24"/>
              </w:rPr>
            </w:pPr>
            <w:r>
              <w:rPr>
                <w:sz w:val="24"/>
              </w:rPr>
              <w:t>建设地点</w:t>
            </w:r>
          </w:p>
        </w:tc>
        <w:tc>
          <w:tcPr>
            <w:tcW w:w="6718" w:type="dxa"/>
            <w:gridSpan w:val="3"/>
            <w:vAlign w:val="center"/>
          </w:tcPr>
          <w:p>
            <w:pPr>
              <w:adjustRightInd w:val="0"/>
              <w:snapToGrid w:val="0"/>
              <w:jc w:val="center"/>
              <w:rPr>
                <w:rFonts w:hint="default" w:eastAsia="宋体"/>
                <w:sz w:val="24"/>
                <w:lang w:val="en-US" w:eastAsia="zh-CN"/>
              </w:rPr>
            </w:pPr>
            <w:r>
              <w:rPr>
                <w:rFonts w:hint="eastAsia"/>
                <w:sz w:val="24"/>
              </w:rPr>
              <w:t>新疆维吾尔自治区昌吉回族自治州吉木萨尔县</w:t>
            </w:r>
            <w:r>
              <w:rPr>
                <w:rFonts w:hint="eastAsia"/>
                <w:sz w:val="24"/>
                <w:lang w:val="en-US" w:eastAsia="zh-CN"/>
              </w:rPr>
              <w:t>庆阳湖乡水溪沟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81" w:type="dxa"/>
            <w:tcMar>
              <w:top w:w="16" w:type="dxa"/>
              <w:left w:w="16" w:type="dxa"/>
              <w:right w:w="16" w:type="dxa"/>
            </w:tcMar>
            <w:vAlign w:val="center"/>
          </w:tcPr>
          <w:p>
            <w:pPr>
              <w:adjustRightInd w:val="0"/>
              <w:snapToGrid w:val="0"/>
              <w:jc w:val="center"/>
              <w:rPr>
                <w:sz w:val="24"/>
              </w:rPr>
            </w:pPr>
            <w:r>
              <w:rPr>
                <w:sz w:val="24"/>
              </w:rPr>
              <w:t>地理坐标</w:t>
            </w:r>
          </w:p>
        </w:tc>
        <w:tc>
          <w:tcPr>
            <w:tcW w:w="6718" w:type="dxa"/>
            <w:gridSpan w:val="3"/>
            <w:vAlign w:val="center"/>
          </w:tcPr>
          <w:p>
            <w:pPr>
              <w:jc w:val="center"/>
              <w:rPr>
                <w:sz w:val="24"/>
              </w:rPr>
            </w:pPr>
            <w:r>
              <w:rPr>
                <w:sz w:val="24"/>
              </w:rPr>
              <w:t>（</w:t>
            </w:r>
            <w:r>
              <w:rPr>
                <w:rFonts w:hint="eastAsia"/>
                <w:sz w:val="24"/>
                <w:u w:val="single"/>
              </w:rPr>
              <w:t>88</w:t>
            </w:r>
            <w:r>
              <w:rPr>
                <w:sz w:val="24"/>
              </w:rPr>
              <w:t>度</w:t>
            </w:r>
            <w:r>
              <w:rPr>
                <w:rFonts w:hint="eastAsia"/>
                <w:sz w:val="24"/>
                <w:u w:val="single"/>
              </w:rPr>
              <w:t>58</w:t>
            </w:r>
            <w:r>
              <w:rPr>
                <w:sz w:val="24"/>
              </w:rPr>
              <w:t>分</w:t>
            </w:r>
            <w:r>
              <w:rPr>
                <w:rFonts w:hint="eastAsia"/>
                <w:sz w:val="24"/>
                <w:u w:val="single"/>
              </w:rPr>
              <w:t>22.783</w:t>
            </w:r>
            <w:r>
              <w:rPr>
                <w:sz w:val="24"/>
              </w:rPr>
              <w:t>秒，</w:t>
            </w:r>
            <w:r>
              <w:rPr>
                <w:rFonts w:hint="eastAsia"/>
                <w:sz w:val="24"/>
                <w:u w:val="single"/>
              </w:rPr>
              <w:t>43</w:t>
            </w:r>
            <w:r>
              <w:rPr>
                <w:sz w:val="24"/>
              </w:rPr>
              <w:t>度</w:t>
            </w:r>
            <w:r>
              <w:rPr>
                <w:rFonts w:hint="eastAsia"/>
                <w:sz w:val="24"/>
                <w:u w:val="single"/>
              </w:rPr>
              <w:t>59</w:t>
            </w:r>
            <w:r>
              <w:rPr>
                <w:sz w:val="24"/>
              </w:rPr>
              <w:t>分</w:t>
            </w:r>
            <w:r>
              <w:rPr>
                <w:rFonts w:hint="eastAsia"/>
                <w:sz w:val="24"/>
                <w:u w:val="single"/>
              </w:rPr>
              <w:t>14.042</w:t>
            </w:r>
            <w:r>
              <w:rPr>
                <w:sz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281" w:type="dxa"/>
            <w:tcMar>
              <w:top w:w="16" w:type="dxa"/>
              <w:left w:w="16" w:type="dxa"/>
              <w:right w:w="16" w:type="dxa"/>
            </w:tcMar>
            <w:vAlign w:val="center"/>
          </w:tcPr>
          <w:p>
            <w:pPr>
              <w:adjustRightInd w:val="0"/>
              <w:snapToGrid w:val="0"/>
              <w:jc w:val="center"/>
              <w:rPr>
                <w:sz w:val="24"/>
              </w:rPr>
            </w:pPr>
            <w:r>
              <w:rPr>
                <w:sz w:val="24"/>
              </w:rPr>
              <w:t>国民经济</w:t>
            </w:r>
          </w:p>
          <w:p>
            <w:pPr>
              <w:adjustRightInd w:val="0"/>
              <w:snapToGrid w:val="0"/>
              <w:jc w:val="center"/>
              <w:rPr>
                <w:sz w:val="24"/>
              </w:rPr>
            </w:pPr>
            <w:r>
              <w:rPr>
                <w:sz w:val="24"/>
              </w:rPr>
              <w:t>行业类别</w:t>
            </w:r>
          </w:p>
        </w:tc>
        <w:tc>
          <w:tcPr>
            <w:tcW w:w="2139" w:type="dxa"/>
            <w:vAlign w:val="center"/>
          </w:tcPr>
          <w:p>
            <w:pPr>
              <w:adjustRightInd w:val="0"/>
              <w:snapToGrid w:val="0"/>
              <w:jc w:val="center"/>
              <w:rPr>
                <w:sz w:val="24"/>
              </w:rPr>
            </w:pPr>
            <w:r>
              <w:rPr>
                <w:sz w:val="24"/>
              </w:rPr>
              <w:t>C</w:t>
            </w:r>
            <w:r>
              <w:rPr>
                <w:rFonts w:hint="eastAsia"/>
                <w:sz w:val="24"/>
              </w:rPr>
              <w:t>2671炸药及火工产品制造</w:t>
            </w:r>
          </w:p>
        </w:tc>
        <w:tc>
          <w:tcPr>
            <w:tcW w:w="1811" w:type="dxa"/>
            <w:vAlign w:val="center"/>
          </w:tcPr>
          <w:p>
            <w:pPr>
              <w:adjustRightInd w:val="0"/>
              <w:snapToGrid w:val="0"/>
              <w:jc w:val="center"/>
              <w:rPr>
                <w:sz w:val="24"/>
              </w:rPr>
            </w:pPr>
            <w:bookmarkStart w:id="1" w:name="_Hlk49843745"/>
            <w:r>
              <w:rPr>
                <w:sz w:val="24"/>
              </w:rPr>
              <w:t>建设项目</w:t>
            </w:r>
          </w:p>
          <w:p>
            <w:pPr>
              <w:adjustRightInd w:val="0"/>
              <w:snapToGrid w:val="0"/>
              <w:jc w:val="center"/>
              <w:rPr>
                <w:sz w:val="24"/>
              </w:rPr>
            </w:pPr>
            <w:r>
              <w:rPr>
                <w:sz w:val="24"/>
              </w:rPr>
              <w:t>行业类别</w:t>
            </w:r>
            <w:bookmarkEnd w:id="1"/>
          </w:p>
        </w:tc>
        <w:tc>
          <w:tcPr>
            <w:tcW w:w="2765" w:type="dxa"/>
            <w:vAlign w:val="center"/>
          </w:tcPr>
          <w:p>
            <w:pPr>
              <w:adjustRightInd w:val="0"/>
              <w:snapToGrid w:val="0"/>
              <w:jc w:val="left"/>
              <w:rPr>
                <w:sz w:val="24"/>
              </w:rPr>
            </w:pPr>
            <w:r>
              <w:rPr>
                <w:sz w:val="24"/>
              </w:rPr>
              <w:t>二十</w:t>
            </w:r>
            <w:r>
              <w:rPr>
                <w:rFonts w:hint="eastAsia"/>
                <w:sz w:val="24"/>
              </w:rPr>
              <w:t>三</w:t>
            </w:r>
            <w:r>
              <w:rPr>
                <w:sz w:val="24"/>
              </w:rPr>
              <w:t>、</w:t>
            </w:r>
            <w:r>
              <w:rPr>
                <w:rFonts w:hint="eastAsia"/>
                <w:sz w:val="24"/>
              </w:rPr>
              <w:t>化学原料和化学制品制造业26</w:t>
            </w:r>
            <w:r>
              <w:rPr>
                <w:sz w:val="24"/>
              </w:rPr>
              <w:t>：</w:t>
            </w:r>
            <w:r>
              <w:rPr>
                <w:rFonts w:hint="eastAsia"/>
                <w:sz w:val="24"/>
              </w:rPr>
              <w:t>44炸药</w:t>
            </w:r>
            <w:r>
              <w:rPr>
                <w:sz w:val="24"/>
              </w:rPr>
              <w:t>、</w:t>
            </w:r>
            <w:r>
              <w:rPr>
                <w:rFonts w:hint="eastAsia"/>
                <w:sz w:val="24"/>
              </w:rPr>
              <w:t>火工及焰火产品制造267  单纯物理分离、物理提纯、混合、分装的（不产生废水或挥发性有机物的除外）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281" w:type="dxa"/>
            <w:tcMar>
              <w:top w:w="16" w:type="dxa"/>
              <w:left w:w="16" w:type="dxa"/>
              <w:right w:w="16" w:type="dxa"/>
            </w:tcMar>
            <w:vAlign w:val="center"/>
          </w:tcPr>
          <w:p>
            <w:pPr>
              <w:adjustRightInd w:val="0"/>
              <w:snapToGrid w:val="0"/>
              <w:jc w:val="center"/>
              <w:rPr>
                <w:sz w:val="24"/>
              </w:rPr>
            </w:pPr>
            <w:r>
              <w:rPr>
                <w:sz w:val="24"/>
              </w:rPr>
              <w:t>建设性质</w:t>
            </w:r>
          </w:p>
        </w:tc>
        <w:tc>
          <w:tcPr>
            <w:tcW w:w="2139" w:type="dxa"/>
            <w:vAlign w:val="center"/>
          </w:tcPr>
          <w:p>
            <w:pPr>
              <w:jc w:val="left"/>
              <w:rPr>
                <w:sz w:val="24"/>
              </w:rPr>
            </w:pPr>
            <w:r>
              <w:rPr>
                <w:sz w:val="24"/>
              </w:rPr>
              <w:sym w:font="Wingdings 2" w:char="0052"/>
            </w:r>
            <w:r>
              <w:rPr>
                <w:sz w:val="24"/>
              </w:rPr>
              <w:t>新建（迁建）</w:t>
            </w:r>
          </w:p>
          <w:p>
            <w:pPr>
              <w:jc w:val="left"/>
              <w:rPr>
                <w:sz w:val="24"/>
              </w:rPr>
            </w:pPr>
            <w:r>
              <w:rPr>
                <w:sz w:val="24"/>
              </w:rPr>
              <w:sym w:font="Wingdings 2" w:char="00A3"/>
            </w:r>
            <w:r>
              <w:rPr>
                <w:sz w:val="24"/>
              </w:rPr>
              <w:t>改建</w:t>
            </w:r>
          </w:p>
          <w:p>
            <w:pPr>
              <w:jc w:val="left"/>
              <w:rPr>
                <w:sz w:val="24"/>
              </w:rPr>
            </w:pPr>
            <w:r>
              <w:rPr>
                <w:sz w:val="24"/>
              </w:rPr>
              <w:sym w:font="Wingdings 2" w:char="00A3"/>
            </w:r>
            <w:r>
              <w:rPr>
                <w:sz w:val="24"/>
              </w:rPr>
              <w:t>扩建</w:t>
            </w:r>
          </w:p>
          <w:p>
            <w:pPr>
              <w:jc w:val="left"/>
              <w:rPr>
                <w:sz w:val="24"/>
              </w:rPr>
            </w:pPr>
            <w:r>
              <w:rPr>
                <w:sz w:val="24"/>
              </w:rPr>
              <w:sym w:font="Wingdings 2" w:char="00A3"/>
            </w:r>
            <w:r>
              <w:rPr>
                <w:sz w:val="24"/>
              </w:rPr>
              <w:t>技术改造</w:t>
            </w:r>
          </w:p>
        </w:tc>
        <w:tc>
          <w:tcPr>
            <w:tcW w:w="1811" w:type="dxa"/>
            <w:vAlign w:val="center"/>
          </w:tcPr>
          <w:p>
            <w:pPr>
              <w:adjustRightInd w:val="0"/>
              <w:snapToGrid w:val="0"/>
              <w:jc w:val="center"/>
              <w:rPr>
                <w:sz w:val="24"/>
              </w:rPr>
            </w:pPr>
            <w:r>
              <w:rPr>
                <w:sz w:val="24"/>
              </w:rPr>
              <w:t>建设项目</w:t>
            </w:r>
          </w:p>
          <w:p>
            <w:pPr>
              <w:adjustRightInd w:val="0"/>
              <w:snapToGrid w:val="0"/>
              <w:jc w:val="center"/>
              <w:rPr>
                <w:sz w:val="24"/>
              </w:rPr>
            </w:pPr>
            <w:r>
              <w:rPr>
                <w:sz w:val="24"/>
              </w:rPr>
              <w:t>申报情形</w:t>
            </w:r>
          </w:p>
        </w:tc>
        <w:tc>
          <w:tcPr>
            <w:tcW w:w="2765" w:type="dxa"/>
            <w:vAlign w:val="center"/>
          </w:tcPr>
          <w:p>
            <w:pPr>
              <w:jc w:val="left"/>
              <w:rPr>
                <w:sz w:val="24"/>
              </w:rPr>
            </w:pPr>
            <w:r>
              <w:rPr>
                <w:sz w:val="24"/>
              </w:rPr>
              <w:sym w:font="Wingdings 2" w:char="0052"/>
            </w:r>
            <w:r>
              <w:rPr>
                <w:sz w:val="24"/>
              </w:rPr>
              <w:t xml:space="preserve">首次申报项目             </w:t>
            </w:r>
          </w:p>
          <w:p>
            <w:pPr>
              <w:jc w:val="left"/>
              <w:rPr>
                <w:sz w:val="24"/>
              </w:rPr>
            </w:pPr>
            <w:r>
              <w:rPr>
                <w:sz w:val="24"/>
              </w:rPr>
              <w:sym w:font="Wingdings 2" w:char="00A3"/>
            </w:r>
            <w:r>
              <w:rPr>
                <w:sz w:val="24"/>
              </w:rPr>
              <w:t>不予批准后再次申报项目</w:t>
            </w:r>
          </w:p>
          <w:p>
            <w:pPr>
              <w:jc w:val="left"/>
              <w:rPr>
                <w:sz w:val="24"/>
              </w:rPr>
            </w:pPr>
            <w:r>
              <w:rPr>
                <w:sz w:val="24"/>
              </w:rPr>
              <w:sym w:font="Wingdings 2" w:char="00A3"/>
            </w:r>
            <w:r>
              <w:rPr>
                <w:sz w:val="24"/>
              </w:rPr>
              <w:t xml:space="preserve">超五年重新审核项目     </w:t>
            </w:r>
          </w:p>
          <w:p>
            <w:pPr>
              <w:jc w:val="left"/>
              <w:rPr>
                <w:sz w:val="24"/>
              </w:rPr>
            </w:pPr>
            <w:r>
              <w:rPr>
                <w:sz w:val="24"/>
              </w:rPr>
              <w:sym w:font="Wingdings 2" w:char="00A3"/>
            </w:r>
            <w:r>
              <w:rPr>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281" w:type="dxa"/>
            <w:tcMar>
              <w:top w:w="16" w:type="dxa"/>
              <w:left w:w="16" w:type="dxa"/>
              <w:right w:w="16" w:type="dxa"/>
            </w:tcMar>
            <w:vAlign w:val="center"/>
          </w:tcPr>
          <w:p>
            <w:pPr>
              <w:adjustRightInd w:val="0"/>
              <w:snapToGrid w:val="0"/>
              <w:jc w:val="center"/>
              <w:rPr>
                <w:sz w:val="24"/>
              </w:rPr>
            </w:pPr>
            <w:r>
              <w:rPr>
                <w:sz w:val="24"/>
              </w:rPr>
              <w:t>项目审批（核准/</w:t>
            </w:r>
          </w:p>
          <w:p>
            <w:pPr>
              <w:adjustRightInd w:val="0"/>
              <w:snapToGrid w:val="0"/>
              <w:jc w:val="center"/>
              <w:rPr>
                <w:sz w:val="24"/>
              </w:rPr>
            </w:pPr>
            <w:r>
              <w:rPr>
                <w:sz w:val="24"/>
              </w:rPr>
              <w:t>备案）部门（选填）</w:t>
            </w:r>
          </w:p>
        </w:tc>
        <w:tc>
          <w:tcPr>
            <w:tcW w:w="2139" w:type="dxa"/>
            <w:vAlign w:val="center"/>
          </w:tcPr>
          <w:p>
            <w:pPr>
              <w:adjustRightInd w:val="0"/>
              <w:snapToGrid w:val="0"/>
              <w:jc w:val="center"/>
              <w:rPr>
                <w:sz w:val="24"/>
              </w:rPr>
            </w:pPr>
            <w:r>
              <w:rPr>
                <w:rFonts w:hint="eastAsia"/>
                <w:sz w:val="24"/>
              </w:rPr>
              <w:t>吉木萨尔县发展和改革委员会</w:t>
            </w:r>
          </w:p>
        </w:tc>
        <w:tc>
          <w:tcPr>
            <w:tcW w:w="1811" w:type="dxa"/>
            <w:vAlign w:val="center"/>
          </w:tcPr>
          <w:p>
            <w:pPr>
              <w:adjustRightInd w:val="0"/>
              <w:snapToGrid w:val="0"/>
              <w:jc w:val="center"/>
              <w:rPr>
                <w:sz w:val="24"/>
              </w:rPr>
            </w:pPr>
            <w:r>
              <w:rPr>
                <w:sz w:val="24"/>
              </w:rPr>
              <w:t>项目审批（核准/</w:t>
            </w:r>
          </w:p>
          <w:p>
            <w:pPr>
              <w:adjustRightInd w:val="0"/>
              <w:snapToGrid w:val="0"/>
              <w:jc w:val="center"/>
              <w:rPr>
                <w:sz w:val="24"/>
              </w:rPr>
            </w:pPr>
            <w:r>
              <w:rPr>
                <w:sz w:val="24"/>
              </w:rPr>
              <w:t>备案）文号（选填）</w:t>
            </w:r>
          </w:p>
        </w:tc>
        <w:tc>
          <w:tcPr>
            <w:tcW w:w="2765" w:type="dxa"/>
            <w:vAlign w:val="center"/>
          </w:tcPr>
          <w:p>
            <w:pPr>
              <w:adjustRightInd w:val="0"/>
              <w:snapToGrid w:val="0"/>
              <w:jc w:val="center"/>
              <w:rPr>
                <w:sz w:val="24"/>
              </w:rPr>
            </w:pPr>
            <w:r>
              <w:rPr>
                <w:rFonts w:hint="eastAsia"/>
                <w:sz w:val="24"/>
              </w:rPr>
              <w:t>2021024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81" w:type="dxa"/>
            <w:tcMar>
              <w:top w:w="16" w:type="dxa"/>
              <w:left w:w="16" w:type="dxa"/>
              <w:right w:w="16" w:type="dxa"/>
            </w:tcMar>
            <w:vAlign w:val="center"/>
          </w:tcPr>
          <w:p>
            <w:pPr>
              <w:adjustRightInd w:val="0"/>
              <w:snapToGrid w:val="0"/>
              <w:jc w:val="center"/>
              <w:rPr>
                <w:sz w:val="24"/>
              </w:rPr>
            </w:pPr>
            <w:r>
              <w:rPr>
                <w:sz w:val="24"/>
              </w:rPr>
              <w:t>总投资（万元）</w:t>
            </w:r>
          </w:p>
        </w:tc>
        <w:tc>
          <w:tcPr>
            <w:tcW w:w="2139" w:type="dxa"/>
            <w:vAlign w:val="center"/>
          </w:tcPr>
          <w:p>
            <w:pPr>
              <w:adjustRightInd w:val="0"/>
              <w:snapToGrid w:val="0"/>
              <w:jc w:val="center"/>
              <w:rPr>
                <w:sz w:val="24"/>
              </w:rPr>
            </w:pPr>
            <w:r>
              <w:rPr>
                <w:rFonts w:hint="eastAsia"/>
                <w:sz w:val="24"/>
              </w:rPr>
              <w:t>2450</w:t>
            </w:r>
          </w:p>
        </w:tc>
        <w:tc>
          <w:tcPr>
            <w:tcW w:w="1811" w:type="dxa"/>
            <w:tcMar>
              <w:top w:w="16" w:type="dxa"/>
              <w:left w:w="16" w:type="dxa"/>
              <w:right w:w="16" w:type="dxa"/>
            </w:tcMar>
            <w:vAlign w:val="center"/>
          </w:tcPr>
          <w:p>
            <w:pPr>
              <w:adjustRightInd w:val="0"/>
              <w:snapToGrid w:val="0"/>
              <w:jc w:val="center"/>
              <w:rPr>
                <w:sz w:val="24"/>
              </w:rPr>
            </w:pPr>
            <w:r>
              <w:rPr>
                <w:sz w:val="24"/>
              </w:rPr>
              <w:t>环保投资（万元）</w:t>
            </w:r>
          </w:p>
        </w:tc>
        <w:tc>
          <w:tcPr>
            <w:tcW w:w="2765" w:type="dxa"/>
            <w:vAlign w:val="center"/>
          </w:tcPr>
          <w:p>
            <w:pPr>
              <w:adjustRightInd w:val="0"/>
              <w:snapToGrid w:val="0"/>
              <w:jc w:val="center"/>
              <w:rPr>
                <w:rFonts w:hint="default" w:eastAsia="宋体"/>
                <w:sz w:val="24"/>
                <w:lang w:val="en-US" w:eastAsia="zh-CN"/>
              </w:rPr>
            </w:pPr>
            <w:r>
              <w:rPr>
                <w:rFonts w:hint="eastAsia"/>
                <w:sz w:val="24"/>
                <w:lang w:val="en-US" w:eastAsia="zh-CN"/>
              </w:rPr>
              <w:t>157.2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81" w:type="dxa"/>
            <w:tcMar>
              <w:top w:w="16" w:type="dxa"/>
              <w:left w:w="16" w:type="dxa"/>
              <w:right w:w="16" w:type="dxa"/>
            </w:tcMar>
            <w:vAlign w:val="center"/>
          </w:tcPr>
          <w:p>
            <w:pPr>
              <w:adjustRightInd w:val="0"/>
              <w:snapToGrid w:val="0"/>
              <w:jc w:val="center"/>
              <w:rPr>
                <w:sz w:val="24"/>
              </w:rPr>
            </w:pPr>
            <w:r>
              <w:rPr>
                <w:sz w:val="24"/>
              </w:rPr>
              <w:t>环保投资占比（%）</w:t>
            </w:r>
          </w:p>
        </w:tc>
        <w:tc>
          <w:tcPr>
            <w:tcW w:w="2139" w:type="dxa"/>
            <w:vAlign w:val="center"/>
          </w:tcPr>
          <w:p>
            <w:pPr>
              <w:adjustRightInd w:val="0"/>
              <w:snapToGrid w:val="0"/>
              <w:jc w:val="center"/>
              <w:rPr>
                <w:rFonts w:hint="default" w:eastAsia="宋体"/>
                <w:sz w:val="24"/>
                <w:lang w:val="en-US" w:eastAsia="zh-CN"/>
              </w:rPr>
            </w:pPr>
            <w:r>
              <w:rPr>
                <w:rFonts w:hint="eastAsia"/>
                <w:sz w:val="24"/>
                <w:lang w:val="en-US" w:eastAsia="zh-CN"/>
              </w:rPr>
              <w:t>6.42</w:t>
            </w:r>
          </w:p>
        </w:tc>
        <w:tc>
          <w:tcPr>
            <w:tcW w:w="1811" w:type="dxa"/>
            <w:tcMar>
              <w:top w:w="16" w:type="dxa"/>
              <w:left w:w="16" w:type="dxa"/>
              <w:right w:w="16" w:type="dxa"/>
            </w:tcMar>
            <w:vAlign w:val="center"/>
          </w:tcPr>
          <w:p>
            <w:pPr>
              <w:adjustRightInd w:val="0"/>
              <w:snapToGrid w:val="0"/>
              <w:jc w:val="center"/>
              <w:rPr>
                <w:sz w:val="24"/>
              </w:rPr>
            </w:pPr>
            <w:r>
              <w:rPr>
                <w:sz w:val="24"/>
              </w:rPr>
              <w:t>施工工期</w:t>
            </w:r>
          </w:p>
        </w:tc>
        <w:tc>
          <w:tcPr>
            <w:tcW w:w="2765" w:type="dxa"/>
            <w:vAlign w:val="center"/>
          </w:tcPr>
          <w:p>
            <w:pPr>
              <w:adjustRightInd w:val="0"/>
              <w:snapToGrid w:val="0"/>
              <w:jc w:val="center"/>
              <w:rPr>
                <w:sz w:val="24"/>
              </w:rPr>
            </w:pPr>
            <w:r>
              <w:rPr>
                <w:rFonts w:hint="eastAsia"/>
                <w:sz w:val="24"/>
              </w:rPr>
              <w:t>2022年5月~2022年10月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81" w:type="dxa"/>
            <w:tcMar>
              <w:top w:w="16" w:type="dxa"/>
              <w:left w:w="16" w:type="dxa"/>
              <w:right w:w="16" w:type="dxa"/>
            </w:tcMar>
            <w:vAlign w:val="center"/>
          </w:tcPr>
          <w:p>
            <w:pPr>
              <w:adjustRightInd w:val="0"/>
              <w:snapToGrid w:val="0"/>
              <w:jc w:val="center"/>
              <w:rPr>
                <w:sz w:val="24"/>
              </w:rPr>
            </w:pPr>
            <w:r>
              <w:rPr>
                <w:sz w:val="24"/>
              </w:rPr>
              <w:t>是否开工建设</w:t>
            </w:r>
          </w:p>
        </w:tc>
        <w:tc>
          <w:tcPr>
            <w:tcW w:w="2139" w:type="dxa"/>
            <w:vAlign w:val="center"/>
          </w:tcPr>
          <w:p>
            <w:pPr>
              <w:adjustRightInd w:val="0"/>
              <w:snapToGrid w:val="0"/>
            </w:pPr>
            <w:r>
              <w:rPr>
                <w:sz w:val="24"/>
              </w:rPr>
              <w:sym w:font="Wingdings 2" w:char="0052"/>
            </w:r>
            <w:r>
              <w:rPr>
                <w:sz w:val="24"/>
              </w:rPr>
              <w:t>否</w:t>
            </w:r>
          </w:p>
          <w:p>
            <w:pPr>
              <w:adjustRightInd w:val="0"/>
              <w:snapToGrid w:val="0"/>
              <w:rPr>
                <w:sz w:val="24"/>
              </w:rPr>
            </w:pPr>
            <w:r>
              <w:rPr>
                <w:sz w:val="24"/>
              </w:rPr>
              <w:sym w:font="Wingdings 2" w:char="00A3"/>
            </w:r>
            <w:r>
              <w:rPr>
                <w:sz w:val="24"/>
              </w:rPr>
              <w:t>是</w:t>
            </w:r>
          </w:p>
        </w:tc>
        <w:tc>
          <w:tcPr>
            <w:tcW w:w="1811" w:type="dxa"/>
            <w:tcMar>
              <w:top w:w="16" w:type="dxa"/>
              <w:left w:w="16" w:type="dxa"/>
              <w:right w:w="16" w:type="dxa"/>
            </w:tcMar>
            <w:vAlign w:val="center"/>
          </w:tcPr>
          <w:p>
            <w:pPr>
              <w:adjustRightInd w:val="0"/>
              <w:snapToGrid w:val="0"/>
              <w:jc w:val="center"/>
              <w:rPr>
                <w:spacing w:val="-6"/>
                <w:sz w:val="24"/>
              </w:rPr>
            </w:pPr>
            <w:r>
              <w:rPr>
                <w:spacing w:val="-6"/>
                <w:sz w:val="24"/>
              </w:rPr>
              <w:t>用地（用海）</w:t>
            </w:r>
          </w:p>
          <w:p>
            <w:pPr>
              <w:adjustRightInd w:val="0"/>
              <w:snapToGrid w:val="0"/>
              <w:jc w:val="center"/>
              <w:rPr>
                <w:sz w:val="24"/>
              </w:rPr>
            </w:pPr>
            <w:r>
              <w:rPr>
                <w:spacing w:val="-6"/>
                <w:sz w:val="24"/>
              </w:rPr>
              <w:t>面积（m</w:t>
            </w:r>
            <w:r>
              <w:rPr>
                <w:spacing w:val="-6"/>
                <w:sz w:val="24"/>
                <w:vertAlign w:val="superscript"/>
              </w:rPr>
              <w:t>2</w:t>
            </w:r>
            <w:r>
              <w:rPr>
                <w:spacing w:val="-6"/>
                <w:sz w:val="24"/>
              </w:rPr>
              <w:t>）</w:t>
            </w:r>
          </w:p>
        </w:tc>
        <w:tc>
          <w:tcPr>
            <w:tcW w:w="2765" w:type="dxa"/>
            <w:vAlign w:val="center"/>
          </w:tcPr>
          <w:p>
            <w:pPr>
              <w:adjustRightInd w:val="0"/>
              <w:snapToGrid w:val="0"/>
              <w:ind w:firstLine="240" w:firstLineChars="100"/>
              <w:jc w:val="center"/>
              <w:rPr>
                <w:rFonts w:hint="default" w:eastAsia="宋体"/>
                <w:sz w:val="24"/>
                <w:lang w:val="en-US" w:eastAsia="zh-CN"/>
              </w:rPr>
            </w:pPr>
            <w:r>
              <w:rPr>
                <w:rFonts w:hint="eastAsia"/>
                <w:sz w:val="24"/>
                <w:lang w:val="en-US" w:eastAsia="zh-CN"/>
              </w:rPr>
              <w:t>48826.16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2281" w:type="dxa"/>
            <w:vAlign w:val="center"/>
          </w:tcPr>
          <w:p>
            <w:pPr>
              <w:autoSpaceDE w:val="0"/>
              <w:autoSpaceDN w:val="0"/>
              <w:adjustRightInd w:val="0"/>
              <w:snapToGrid w:val="0"/>
              <w:rPr>
                <w:sz w:val="24"/>
              </w:rPr>
            </w:pPr>
            <w:r>
              <w:rPr>
                <w:sz w:val="24"/>
              </w:rPr>
              <w:t>专项评价设置情况</w:t>
            </w:r>
          </w:p>
        </w:tc>
        <w:tc>
          <w:tcPr>
            <w:tcW w:w="6718" w:type="dxa"/>
            <w:gridSpan w:val="3"/>
            <w:vAlign w:val="center"/>
          </w:tcPr>
          <w:p>
            <w:pPr>
              <w:autoSpaceDE w:val="0"/>
              <w:autoSpaceDN w:val="0"/>
              <w:adjustRightInd w:val="0"/>
              <w:snapToGrid w:val="0"/>
              <w:spacing w:line="520" w:lineRule="exact"/>
              <w:ind w:firstLine="480" w:firstLineChars="200"/>
            </w:pPr>
            <w:r>
              <w:rPr>
                <w:rFonts w:hint="eastAsia"/>
                <w:sz w:val="24"/>
              </w:rPr>
              <w:t>环境风险专项评价：</w:t>
            </w:r>
            <w:r>
              <w:rPr>
                <w:sz w:val="24"/>
              </w:rPr>
              <w:t>根据《建设项目环境风险评价技术导则》（HJ169-2018）</w:t>
            </w:r>
            <w:r>
              <w:rPr>
                <w:rFonts w:hint="eastAsia"/>
                <w:sz w:val="24"/>
              </w:rPr>
              <w:t>，</w:t>
            </w:r>
            <w:r>
              <w:rPr>
                <w:sz w:val="24"/>
              </w:rPr>
              <w:t>本项目</w:t>
            </w:r>
            <w:r>
              <w:rPr>
                <w:rFonts w:hint="eastAsia"/>
                <w:sz w:val="24"/>
              </w:rPr>
              <w:t>涉及风险物质为硝酸铵、柴油</w:t>
            </w:r>
            <w:r>
              <w:rPr>
                <w:rFonts w:hint="eastAsia"/>
                <w:sz w:val="24"/>
                <w:lang w:eastAsia="zh-CN"/>
              </w:rPr>
              <w:t>、</w:t>
            </w:r>
            <w:r>
              <w:rPr>
                <w:rFonts w:hint="eastAsia"/>
                <w:sz w:val="24"/>
                <w:lang w:val="en-US" w:eastAsia="zh-CN"/>
              </w:rPr>
              <w:t>电子雷管</w:t>
            </w:r>
            <w:r>
              <w:rPr>
                <w:rFonts w:hint="eastAsia"/>
                <w:sz w:val="24"/>
              </w:rPr>
              <w:t>，其中硝酸铵厂区最大存储量为600</w:t>
            </w:r>
            <w:r>
              <w:rPr>
                <w:sz w:val="24"/>
              </w:rPr>
              <w:t>t</w:t>
            </w:r>
            <w:r>
              <w:rPr>
                <w:rFonts w:hint="eastAsia"/>
                <w:sz w:val="24"/>
              </w:rPr>
              <w:t>，大于其临界量（50t），因此需编制环境风险专章。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2281" w:type="dxa"/>
            <w:vAlign w:val="center"/>
          </w:tcPr>
          <w:p>
            <w:pPr>
              <w:autoSpaceDE w:val="0"/>
              <w:autoSpaceDN w:val="0"/>
              <w:adjustRightInd w:val="0"/>
              <w:snapToGrid w:val="0"/>
              <w:jc w:val="center"/>
              <w:rPr>
                <w:kern w:val="0"/>
                <w:sz w:val="24"/>
              </w:rPr>
            </w:pPr>
            <w:r>
              <w:rPr>
                <w:sz w:val="24"/>
              </w:rPr>
              <w:t>规划情况</w:t>
            </w:r>
          </w:p>
        </w:tc>
        <w:tc>
          <w:tcPr>
            <w:tcW w:w="6718" w:type="dxa"/>
            <w:gridSpan w:val="3"/>
            <w:vAlign w:val="center"/>
          </w:tcPr>
          <w:p>
            <w:pPr>
              <w:autoSpaceDE w:val="0"/>
              <w:autoSpaceDN w:val="0"/>
              <w:adjustRightInd w:val="0"/>
              <w:snapToGrid w:val="0"/>
              <w:spacing w:line="520" w:lineRule="exact"/>
              <w:jc w:val="center"/>
              <w:rPr>
                <w:kern w:val="0"/>
                <w:sz w:val="24"/>
              </w:rPr>
            </w:pPr>
            <w:r>
              <w:rPr>
                <w:rFonts w:hint="eastAsia"/>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2281" w:type="dxa"/>
            <w:vAlign w:val="center"/>
          </w:tcPr>
          <w:p>
            <w:pPr>
              <w:adjustRightInd w:val="0"/>
              <w:snapToGrid w:val="0"/>
              <w:jc w:val="center"/>
              <w:rPr>
                <w:sz w:val="24"/>
              </w:rPr>
            </w:pPr>
            <w:r>
              <w:rPr>
                <w:sz w:val="24"/>
              </w:rPr>
              <w:t>规划环境影响</w:t>
            </w:r>
          </w:p>
          <w:p>
            <w:pPr>
              <w:adjustRightInd w:val="0"/>
              <w:snapToGrid w:val="0"/>
              <w:jc w:val="center"/>
              <w:rPr>
                <w:kern w:val="0"/>
                <w:sz w:val="24"/>
              </w:rPr>
            </w:pPr>
            <w:r>
              <w:rPr>
                <w:sz w:val="24"/>
              </w:rPr>
              <w:t>评价情况</w:t>
            </w:r>
          </w:p>
        </w:tc>
        <w:tc>
          <w:tcPr>
            <w:tcW w:w="6718" w:type="dxa"/>
            <w:gridSpan w:val="3"/>
            <w:vAlign w:val="center"/>
          </w:tcPr>
          <w:p>
            <w:pPr>
              <w:autoSpaceDE w:val="0"/>
              <w:autoSpaceDN w:val="0"/>
              <w:adjustRightInd w:val="0"/>
              <w:snapToGrid w:val="0"/>
              <w:spacing w:line="520" w:lineRule="exact"/>
              <w:jc w:val="center"/>
              <w:rPr>
                <w:kern w:val="0"/>
                <w:sz w:val="24"/>
              </w:rPr>
            </w:pPr>
            <w:r>
              <w:rPr>
                <w:rFonts w:hint="eastAsia"/>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2281" w:type="dxa"/>
            <w:vAlign w:val="center"/>
          </w:tcPr>
          <w:p>
            <w:pPr>
              <w:autoSpaceDE w:val="0"/>
              <w:autoSpaceDN w:val="0"/>
              <w:adjustRightInd w:val="0"/>
              <w:snapToGrid w:val="0"/>
              <w:jc w:val="center"/>
              <w:rPr>
                <w:kern w:val="0"/>
                <w:sz w:val="24"/>
              </w:rPr>
            </w:pPr>
            <w:r>
              <w:rPr>
                <w:kern w:val="0"/>
                <w:sz w:val="24"/>
              </w:rPr>
              <w:t>规划及规划环境</w:t>
            </w:r>
          </w:p>
          <w:p>
            <w:pPr>
              <w:autoSpaceDE w:val="0"/>
              <w:autoSpaceDN w:val="0"/>
              <w:adjustRightInd w:val="0"/>
              <w:snapToGrid w:val="0"/>
              <w:jc w:val="center"/>
              <w:rPr>
                <w:kern w:val="0"/>
                <w:sz w:val="24"/>
              </w:rPr>
            </w:pPr>
            <w:r>
              <w:rPr>
                <w:kern w:val="0"/>
                <w:sz w:val="24"/>
              </w:rPr>
              <w:t>影响评价符合性分析</w:t>
            </w:r>
          </w:p>
        </w:tc>
        <w:tc>
          <w:tcPr>
            <w:tcW w:w="6718" w:type="dxa"/>
            <w:gridSpan w:val="3"/>
            <w:vAlign w:val="center"/>
          </w:tcPr>
          <w:p>
            <w:pPr>
              <w:pStyle w:val="59"/>
              <w:spacing w:line="520" w:lineRule="atLeast"/>
              <w:ind w:firstLine="0" w:firstLineChars="0"/>
              <w:jc w:val="center"/>
            </w:pPr>
            <w:r>
              <w:rPr>
                <w:rFonts w:hint="eastAsia"/>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81" w:type="dxa"/>
            <w:vAlign w:val="center"/>
          </w:tcPr>
          <w:p>
            <w:pPr>
              <w:autoSpaceDE w:val="0"/>
              <w:autoSpaceDN w:val="0"/>
              <w:adjustRightInd w:val="0"/>
              <w:snapToGrid w:val="0"/>
              <w:jc w:val="center"/>
              <w:rPr>
                <w:kern w:val="0"/>
                <w:sz w:val="24"/>
              </w:rPr>
            </w:pPr>
            <w:r>
              <w:rPr>
                <w:kern w:val="0"/>
                <w:sz w:val="24"/>
              </w:rPr>
              <w:t>其他符合性分析</w:t>
            </w:r>
          </w:p>
        </w:tc>
        <w:tc>
          <w:tcPr>
            <w:tcW w:w="6718" w:type="dxa"/>
            <w:gridSpan w:val="3"/>
            <w:vAlign w:val="center"/>
          </w:tcPr>
          <w:p>
            <w:pPr>
              <w:numPr>
                <w:ilvl w:val="0"/>
                <w:numId w:val="2"/>
              </w:numPr>
              <w:autoSpaceDE w:val="0"/>
              <w:autoSpaceDN w:val="0"/>
              <w:adjustRightInd w:val="0"/>
              <w:snapToGrid w:val="0"/>
              <w:spacing w:line="520" w:lineRule="exact"/>
              <w:rPr>
                <w:b/>
                <w:bCs/>
                <w:sz w:val="24"/>
              </w:rPr>
            </w:pPr>
            <w:r>
              <w:rPr>
                <w:b/>
                <w:bCs/>
                <w:sz w:val="24"/>
              </w:rPr>
              <w:t>项目“三线一单”符合性分析</w:t>
            </w:r>
          </w:p>
          <w:p>
            <w:pPr>
              <w:autoSpaceDE w:val="0"/>
              <w:autoSpaceDN w:val="0"/>
              <w:adjustRightInd w:val="0"/>
              <w:snapToGrid w:val="0"/>
              <w:spacing w:line="520" w:lineRule="exact"/>
              <w:ind w:firstLine="480" w:firstLineChars="200"/>
              <w:rPr>
                <w:sz w:val="24"/>
              </w:rPr>
            </w:pPr>
            <w:r>
              <w:rPr>
                <w:rFonts w:hint="eastAsia"/>
                <w:sz w:val="24"/>
              </w:rPr>
              <w:t>根据《新疆维吾尔自治区“三线一单”生态环境分区管控方案》（新政发〔2021〕18号）和《昌吉回族自治州“三线一单”生态环境分区管控方案及生态环境准入清单》、</w:t>
            </w:r>
            <w:r>
              <w:rPr>
                <w:sz w:val="24"/>
              </w:rPr>
              <w:t>《关于以改善环境质量为核心加强环境影响评价管理的通知》（环环评〔2016〕150号）</w:t>
            </w:r>
            <w:r>
              <w:rPr>
                <w:rFonts w:hint="eastAsia"/>
                <w:sz w:val="24"/>
              </w:rPr>
              <w:t>中“</w:t>
            </w:r>
            <w:r>
              <w:rPr>
                <w:sz w:val="24"/>
              </w:rPr>
              <w:t>为适应以改善环境质量为核心的环境管理要求，切实加强环境影响评价管理，落实生态保护红线、环境质量底线、资源利用上线和</w:t>
            </w:r>
            <w:r>
              <w:rPr>
                <w:rFonts w:hint="eastAsia"/>
                <w:sz w:val="24"/>
              </w:rPr>
              <w:t>生态环境准入清单</w:t>
            </w:r>
            <w:r>
              <w:rPr>
                <w:sz w:val="24"/>
              </w:rPr>
              <w:t>约束</w:t>
            </w:r>
            <w:r>
              <w:rPr>
                <w:rFonts w:hint="eastAsia"/>
                <w:sz w:val="24"/>
              </w:rPr>
              <w:t>”</w:t>
            </w:r>
            <w:r>
              <w:rPr>
                <w:sz w:val="24"/>
              </w:rPr>
              <w:t>。</w:t>
            </w:r>
          </w:p>
          <w:p>
            <w:pPr>
              <w:autoSpaceDE w:val="0"/>
              <w:autoSpaceDN w:val="0"/>
              <w:adjustRightInd w:val="0"/>
              <w:snapToGrid w:val="0"/>
              <w:spacing w:line="520" w:lineRule="exact"/>
              <w:ind w:firstLine="480" w:firstLineChars="200"/>
              <w:rPr>
                <w:sz w:val="24"/>
              </w:rPr>
            </w:pPr>
            <w:r>
              <w:rPr>
                <w:rFonts w:hint="eastAsia"/>
                <w:sz w:val="24"/>
              </w:rPr>
              <w:t>根据以上文件要求，对本建设项目进行“三线一单”符合性分析，具体见表1-1、1-2。</w:t>
            </w:r>
          </w:p>
          <w:p>
            <w:pPr>
              <w:pStyle w:val="13"/>
              <w:adjustRightInd w:val="0"/>
              <w:snapToGrid w:val="0"/>
              <w:ind w:firstLine="480" w:firstLineChars="200"/>
              <w:jc w:val="center"/>
              <w:rPr>
                <w:rFonts w:ascii="黑体" w:hAnsi="黑体" w:eastAsia="黑体" w:cs="黑体"/>
                <w:bCs/>
              </w:rPr>
            </w:pPr>
            <w:r>
              <w:rPr>
                <w:rFonts w:hint="eastAsia" w:ascii="黑体" w:hAnsi="黑体" w:eastAsia="黑体" w:cs="黑体"/>
                <w:bCs/>
              </w:rPr>
              <w:t>表1-1  “三线一单”符合性分析表</w:t>
            </w:r>
          </w:p>
          <w:tbl>
            <w:tblPr>
              <w:tblStyle w:val="29"/>
              <w:tblW w:w="4943"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5"/>
              <w:gridCol w:w="4479"/>
              <w:gridCol w:w="7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952" w:type="pct"/>
                  <w:vAlign w:val="center"/>
                </w:tcPr>
                <w:p>
                  <w:pPr>
                    <w:pStyle w:val="13"/>
                    <w:adjustRightInd w:val="0"/>
                    <w:snapToGrid w:val="0"/>
                    <w:jc w:val="center"/>
                    <w:rPr>
                      <w:sz w:val="21"/>
                      <w:szCs w:val="21"/>
                    </w:rPr>
                  </w:pPr>
                  <w:r>
                    <w:rPr>
                      <w:sz w:val="21"/>
                      <w:szCs w:val="21"/>
                    </w:rPr>
                    <w:t>内容</w:t>
                  </w:r>
                </w:p>
              </w:tc>
              <w:tc>
                <w:tcPr>
                  <w:tcW w:w="3483" w:type="pct"/>
                  <w:vAlign w:val="center"/>
                </w:tcPr>
                <w:p>
                  <w:pPr>
                    <w:pStyle w:val="13"/>
                    <w:adjustRightInd w:val="0"/>
                    <w:snapToGrid w:val="0"/>
                    <w:jc w:val="center"/>
                    <w:rPr>
                      <w:sz w:val="21"/>
                      <w:szCs w:val="21"/>
                    </w:rPr>
                  </w:pPr>
                  <w:r>
                    <w:rPr>
                      <w:sz w:val="21"/>
                      <w:szCs w:val="21"/>
                    </w:rPr>
                    <w:t>符合性分析</w:t>
                  </w:r>
                </w:p>
              </w:tc>
              <w:tc>
                <w:tcPr>
                  <w:tcW w:w="563" w:type="pct"/>
                  <w:vAlign w:val="center"/>
                </w:tcPr>
                <w:p>
                  <w:pPr>
                    <w:pStyle w:val="13"/>
                    <w:adjustRightInd w:val="0"/>
                    <w:snapToGrid w:val="0"/>
                    <w:jc w:val="center"/>
                    <w:rPr>
                      <w:sz w:val="21"/>
                      <w:szCs w:val="21"/>
                    </w:rPr>
                  </w:pPr>
                  <w:r>
                    <w:rPr>
                      <w:sz w:val="21"/>
                      <w:szCs w:val="21"/>
                    </w:rPr>
                    <w:t>是否符合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2" w:type="pct"/>
                  <w:vAlign w:val="center"/>
                </w:tcPr>
                <w:p>
                  <w:pPr>
                    <w:pStyle w:val="13"/>
                    <w:adjustRightInd w:val="0"/>
                    <w:snapToGrid w:val="0"/>
                    <w:jc w:val="center"/>
                    <w:rPr>
                      <w:sz w:val="21"/>
                      <w:szCs w:val="21"/>
                    </w:rPr>
                  </w:pPr>
                  <w:r>
                    <w:rPr>
                      <w:sz w:val="21"/>
                      <w:szCs w:val="21"/>
                    </w:rPr>
                    <w:t>生态保</w:t>
                  </w:r>
                </w:p>
                <w:p>
                  <w:pPr>
                    <w:pStyle w:val="13"/>
                    <w:adjustRightInd w:val="0"/>
                    <w:snapToGrid w:val="0"/>
                    <w:jc w:val="center"/>
                    <w:rPr>
                      <w:sz w:val="21"/>
                      <w:szCs w:val="21"/>
                    </w:rPr>
                  </w:pPr>
                  <w:r>
                    <w:rPr>
                      <w:sz w:val="21"/>
                      <w:szCs w:val="21"/>
                    </w:rPr>
                    <w:t>护红线</w:t>
                  </w:r>
                </w:p>
              </w:tc>
              <w:tc>
                <w:tcPr>
                  <w:tcW w:w="3483" w:type="pct"/>
                  <w:vAlign w:val="center"/>
                </w:tcPr>
                <w:p>
                  <w:pPr>
                    <w:pStyle w:val="13"/>
                    <w:adjustRightInd w:val="0"/>
                    <w:snapToGrid w:val="0"/>
                    <w:jc w:val="both"/>
                    <w:rPr>
                      <w:sz w:val="21"/>
                      <w:szCs w:val="21"/>
                    </w:rPr>
                  </w:pPr>
                  <w:r>
                    <w:rPr>
                      <w:bCs/>
                      <w:sz w:val="21"/>
                      <w:szCs w:val="21"/>
                    </w:rPr>
                    <w:t>本项目厂址位于</w:t>
                  </w:r>
                  <w:r>
                    <w:rPr>
                      <w:sz w:val="21"/>
                      <w:szCs w:val="21"/>
                    </w:rPr>
                    <w:t>新疆</w:t>
                  </w:r>
                  <w:r>
                    <w:rPr>
                      <w:rFonts w:hint="eastAsia"/>
                      <w:sz w:val="21"/>
                      <w:szCs w:val="21"/>
                    </w:rPr>
                    <w:t>昌吉回族自治州吉木萨尔县庆阳湖乡水溪沟</w:t>
                  </w:r>
                  <w:r>
                    <w:rPr>
                      <w:bCs/>
                      <w:sz w:val="21"/>
                      <w:szCs w:val="21"/>
                    </w:rPr>
                    <w:t>，项目建设区域不涉及自然保护区、风景名胜区、饮用水水源保护区等需要特别保护的区域，不属于禁止建设开发区和限制建设开发区，属于适宜建设开发区，符合生态保护红线的要求。</w:t>
                  </w:r>
                </w:p>
              </w:tc>
              <w:tc>
                <w:tcPr>
                  <w:tcW w:w="563" w:type="pct"/>
                  <w:vAlign w:val="center"/>
                </w:tcPr>
                <w:p>
                  <w:pPr>
                    <w:pStyle w:val="13"/>
                    <w:adjustRightInd w:val="0"/>
                    <w:snapToGrid w:val="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52" w:type="pct"/>
                  <w:vAlign w:val="center"/>
                </w:tcPr>
                <w:p>
                  <w:pPr>
                    <w:pStyle w:val="13"/>
                    <w:adjustRightInd w:val="0"/>
                    <w:snapToGrid w:val="0"/>
                    <w:jc w:val="center"/>
                    <w:rPr>
                      <w:sz w:val="21"/>
                      <w:szCs w:val="21"/>
                    </w:rPr>
                  </w:pPr>
                  <w:r>
                    <w:rPr>
                      <w:sz w:val="21"/>
                      <w:szCs w:val="21"/>
                    </w:rPr>
                    <w:t>资源利</w:t>
                  </w:r>
                </w:p>
                <w:p>
                  <w:pPr>
                    <w:pStyle w:val="13"/>
                    <w:adjustRightInd w:val="0"/>
                    <w:snapToGrid w:val="0"/>
                    <w:jc w:val="center"/>
                    <w:rPr>
                      <w:sz w:val="21"/>
                      <w:szCs w:val="21"/>
                    </w:rPr>
                  </w:pPr>
                  <w:r>
                    <w:rPr>
                      <w:sz w:val="21"/>
                      <w:szCs w:val="21"/>
                    </w:rPr>
                    <w:t>用上线</w:t>
                  </w:r>
                </w:p>
              </w:tc>
              <w:tc>
                <w:tcPr>
                  <w:tcW w:w="3483" w:type="pct"/>
                  <w:vAlign w:val="center"/>
                </w:tcPr>
                <w:p>
                  <w:pPr>
                    <w:pStyle w:val="13"/>
                    <w:adjustRightInd w:val="0"/>
                    <w:snapToGrid w:val="0"/>
                    <w:jc w:val="both"/>
                    <w:rPr>
                      <w:sz w:val="21"/>
                      <w:szCs w:val="21"/>
                    </w:rPr>
                  </w:pPr>
                  <w:r>
                    <w:rPr>
                      <w:rFonts w:hint="eastAsia"/>
                      <w:sz w:val="21"/>
                      <w:szCs w:val="16"/>
                    </w:rPr>
                    <w:t>本项目运营期用水主要为员工生活和生产用水，由</w:t>
                  </w:r>
                  <w:r>
                    <w:rPr>
                      <w:rFonts w:hint="eastAsia"/>
                      <w:sz w:val="21"/>
                      <w:szCs w:val="16"/>
                      <w:lang w:val="en-US" w:eastAsia="zh-CN"/>
                    </w:rPr>
                    <w:t>供水管网供给</w:t>
                  </w:r>
                  <w:r>
                    <w:rPr>
                      <w:sz w:val="21"/>
                      <w:szCs w:val="16"/>
                    </w:rPr>
                    <w:t>。</w:t>
                  </w:r>
                  <w:r>
                    <w:rPr>
                      <w:rFonts w:hint="eastAsia"/>
                      <w:sz w:val="21"/>
                      <w:szCs w:val="21"/>
                    </w:rPr>
                    <w:t>符合资源利用上线要求，项目</w:t>
                  </w:r>
                  <w:r>
                    <w:rPr>
                      <w:sz w:val="21"/>
                      <w:szCs w:val="21"/>
                    </w:rPr>
                    <w:t>运营过程中消耗</w:t>
                  </w:r>
                  <w:r>
                    <w:rPr>
                      <w:rFonts w:hint="eastAsia"/>
                      <w:sz w:val="21"/>
                      <w:szCs w:val="21"/>
                    </w:rPr>
                    <w:t>少量</w:t>
                  </w:r>
                  <w:r>
                    <w:rPr>
                      <w:sz w:val="21"/>
                      <w:szCs w:val="21"/>
                    </w:rPr>
                    <w:t>的电、水等资源，</w:t>
                  </w:r>
                  <w:r>
                    <w:rPr>
                      <w:rFonts w:hint="eastAsia"/>
                      <w:sz w:val="21"/>
                      <w:szCs w:val="21"/>
                    </w:rPr>
                    <w:t>不会突破区域的资源利用上线，则本项目的建设对能源、水、土地等资源影响不大</w:t>
                  </w:r>
                  <w:r>
                    <w:rPr>
                      <w:sz w:val="21"/>
                      <w:szCs w:val="21"/>
                    </w:rPr>
                    <w:t>。</w:t>
                  </w:r>
                </w:p>
              </w:tc>
              <w:tc>
                <w:tcPr>
                  <w:tcW w:w="563" w:type="pct"/>
                  <w:vAlign w:val="center"/>
                </w:tcPr>
                <w:p>
                  <w:pPr>
                    <w:pStyle w:val="13"/>
                    <w:adjustRightInd w:val="0"/>
                    <w:snapToGrid w:val="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2" w:type="pct"/>
                  <w:vAlign w:val="center"/>
                </w:tcPr>
                <w:p>
                  <w:pPr>
                    <w:pStyle w:val="13"/>
                    <w:adjustRightInd w:val="0"/>
                    <w:snapToGrid w:val="0"/>
                    <w:jc w:val="center"/>
                    <w:rPr>
                      <w:sz w:val="21"/>
                      <w:szCs w:val="21"/>
                    </w:rPr>
                  </w:pPr>
                  <w:r>
                    <w:rPr>
                      <w:sz w:val="21"/>
                      <w:szCs w:val="21"/>
                    </w:rPr>
                    <w:t>环境质</w:t>
                  </w:r>
                </w:p>
                <w:p>
                  <w:pPr>
                    <w:pStyle w:val="13"/>
                    <w:adjustRightInd w:val="0"/>
                    <w:snapToGrid w:val="0"/>
                    <w:jc w:val="center"/>
                    <w:rPr>
                      <w:sz w:val="21"/>
                      <w:szCs w:val="21"/>
                    </w:rPr>
                  </w:pPr>
                  <w:r>
                    <w:rPr>
                      <w:sz w:val="21"/>
                      <w:szCs w:val="21"/>
                    </w:rPr>
                    <w:t>量底线</w:t>
                  </w:r>
                </w:p>
              </w:tc>
              <w:tc>
                <w:tcPr>
                  <w:tcW w:w="3483" w:type="pct"/>
                  <w:vAlign w:val="center"/>
                </w:tcPr>
                <w:p>
                  <w:pPr>
                    <w:adjustRightInd w:val="0"/>
                    <w:snapToGrid w:val="0"/>
                    <w:rPr>
                      <w:szCs w:val="21"/>
                    </w:rPr>
                  </w:pPr>
                  <w:r>
                    <w:rPr>
                      <w:szCs w:val="21"/>
                    </w:rPr>
                    <w:t>根据环境质量现状监测，环境空气质量</w:t>
                  </w:r>
                  <w:r>
                    <w:rPr>
                      <w:rFonts w:hint="eastAsia"/>
                      <w:szCs w:val="21"/>
                    </w:rPr>
                    <w:t>除PM</w:t>
                  </w:r>
                  <w:r>
                    <w:rPr>
                      <w:rFonts w:hint="eastAsia"/>
                      <w:szCs w:val="21"/>
                      <w:vertAlign w:val="subscript"/>
                    </w:rPr>
                    <w:t>10</w:t>
                  </w:r>
                  <w:r>
                    <w:rPr>
                      <w:rFonts w:hint="eastAsia"/>
                      <w:szCs w:val="21"/>
                    </w:rPr>
                    <w:t>均能满足</w:t>
                  </w:r>
                  <w:r>
                    <w:rPr>
                      <w:szCs w:val="21"/>
                    </w:rPr>
                    <w:t>《环境空气质量标准》（GB3095-2012）中二级标准</w:t>
                  </w:r>
                  <w:r>
                    <w:rPr>
                      <w:rFonts w:hint="eastAsia"/>
                      <w:szCs w:val="21"/>
                    </w:rPr>
                    <w:t>，该区域为不达标区</w:t>
                  </w:r>
                  <w:r>
                    <w:rPr>
                      <w:szCs w:val="21"/>
                    </w:rPr>
                    <w:t>。</w:t>
                  </w:r>
                  <w:r>
                    <w:rPr>
                      <w:rFonts w:hint="eastAsia"/>
                      <w:szCs w:val="21"/>
                      <w:lang w:val="en-US" w:eastAsia="zh-CN"/>
                    </w:rPr>
                    <w:t>本项目投料环节采用密闭投料设备，噪声经减震处理后达标排放。</w:t>
                  </w:r>
                  <w:r>
                    <w:rPr>
                      <w:rFonts w:hint="eastAsia"/>
                      <w:szCs w:val="21"/>
                    </w:rPr>
                    <w:t>本项目不与地表水产生水力联系。项目区四周没有声环境敏感目标，综上所述，本项目运营后不会突破环境质量底线。</w:t>
                  </w:r>
                </w:p>
              </w:tc>
              <w:tc>
                <w:tcPr>
                  <w:tcW w:w="563" w:type="pct"/>
                  <w:vAlign w:val="center"/>
                </w:tcPr>
                <w:p>
                  <w:pPr>
                    <w:pStyle w:val="13"/>
                    <w:adjustRightInd w:val="0"/>
                    <w:snapToGrid w:val="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2" w:type="pct"/>
                  <w:vAlign w:val="center"/>
                </w:tcPr>
                <w:p>
                  <w:pPr>
                    <w:pStyle w:val="13"/>
                    <w:adjustRightInd w:val="0"/>
                    <w:snapToGrid w:val="0"/>
                    <w:jc w:val="center"/>
                    <w:rPr>
                      <w:sz w:val="21"/>
                      <w:szCs w:val="21"/>
                    </w:rPr>
                  </w:pPr>
                  <w:r>
                    <w:rPr>
                      <w:rFonts w:hint="eastAsia"/>
                      <w:sz w:val="21"/>
                      <w:szCs w:val="21"/>
                    </w:rPr>
                    <w:t>生态环境</w:t>
                  </w:r>
                </w:p>
                <w:p>
                  <w:pPr>
                    <w:pStyle w:val="13"/>
                    <w:adjustRightInd w:val="0"/>
                    <w:snapToGrid w:val="0"/>
                    <w:jc w:val="center"/>
                    <w:rPr>
                      <w:sz w:val="21"/>
                      <w:szCs w:val="21"/>
                    </w:rPr>
                  </w:pPr>
                  <w:r>
                    <w:rPr>
                      <w:sz w:val="21"/>
                      <w:szCs w:val="21"/>
                    </w:rPr>
                    <w:t>准入清单</w:t>
                  </w:r>
                </w:p>
              </w:tc>
              <w:tc>
                <w:tcPr>
                  <w:tcW w:w="3483" w:type="pct"/>
                  <w:vAlign w:val="center"/>
                </w:tcPr>
                <w:p>
                  <w:pPr>
                    <w:pStyle w:val="13"/>
                    <w:adjustRightInd w:val="0"/>
                    <w:snapToGrid w:val="0"/>
                    <w:jc w:val="both"/>
                    <w:rPr>
                      <w:sz w:val="21"/>
                      <w:szCs w:val="21"/>
                    </w:rPr>
                  </w:pPr>
                  <w:r>
                    <w:rPr>
                      <w:bCs/>
                      <w:sz w:val="21"/>
                      <w:szCs w:val="21"/>
                    </w:rPr>
                    <w:t>根据</w:t>
                  </w:r>
                  <w:r>
                    <w:rPr>
                      <w:sz w:val="21"/>
                      <w:szCs w:val="21"/>
                    </w:rPr>
                    <w:t>《</w:t>
                  </w:r>
                  <w:r>
                    <w:rPr>
                      <w:rFonts w:hint="eastAsia"/>
                      <w:sz w:val="21"/>
                      <w:szCs w:val="21"/>
                    </w:rPr>
                    <w:t>昌吉回族自治州“三线一单”生态环境分区管控方案</w:t>
                  </w:r>
                  <w:r>
                    <w:rPr>
                      <w:sz w:val="21"/>
                      <w:szCs w:val="21"/>
                    </w:rPr>
                    <w:t>》，本项目位于</w:t>
                  </w:r>
                  <w:r>
                    <w:rPr>
                      <w:rFonts w:hint="eastAsia"/>
                      <w:sz w:val="21"/>
                      <w:szCs w:val="21"/>
                    </w:rPr>
                    <w:t>吉木萨尔县限采区重点管控单元</w:t>
                  </w:r>
                  <w:r>
                    <w:rPr>
                      <w:sz w:val="21"/>
                      <w:szCs w:val="21"/>
                    </w:rPr>
                    <w:t>（环境管控单元编码</w:t>
                  </w:r>
                  <w:r>
                    <w:rPr>
                      <w:rFonts w:hint="eastAsia"/>
                      <w:sz w:val="21"/>
                      <w:szCs w:val="21"/>
                    </w:rPr>
                    <w:t>ZH65232720005</w:t>
                  </w:r>
                  <w:r>
                    <w:rPr>
                      <w:sz w:val="21"/>
                      <w:szCs w:val="21"/>
                    </w:rPr>
                    <w:t>），项目符合</w:t>
                  </w:r>
                  <w:r>
                    <w:rPr>
                      <w:rFonts w:hint="eastAsia"/>
                      <w:sz w:val="21"/>
                      <w:szCs w:val="21"/>
                    </w:rPr>
                    <w:t>昌吉回族自治州</w:t>
                  </w:r>
                  <w:r>
                    <w:rPr>
                      <w:sz w:val="21"/>
                      <w:szCs w:val="21"/>
                    </w:rPr>
                    <w:t>环境管控单元生态环境准入清单（重点管控单元）相关准入要求，符合新疆维吾尔自治区</w:t>
                  </w:r>
                  <w:r>
                    <w:rPr>
                      <w:rFonts w:hint="eastAsia"/>
                      <w:sz w:val="21"/>
                      <w:szCs w:val="21"/>
                    </w:rPr>
                    <w:t>生态环境准入</w:t>
                  </w:r>
                  <w:r>
                    <w:rPr>
                      <w:sz w:val="21"/>
                      <w:szCs w:val="21"/>
                    </w:rPr>
                    <w:t>要求。因此，本项目符合生态保护红线管控要求。</w:t>
                  </w:r>
                </w:p>
              </w:tc>
              <w:tc>
                <w:tcPr>
                  <w:tcW w:w="563" w:type="pct"/>
                  <w:vAlign w:val="center"/>
                </w:tcPr>
                <w:p>
                  <w:pPr>
                    <w:pStyle w:val="13"/>
                    <w:adjustRightInd w:val="0"/>
                    <w:snapToGrid w:val="0"/>
                    <w:jc w:val="center"/>
                    <w:rPr>
                      <w:sz w:val="21"/>
                      <w:szCs w:val="21"/>
                    </w:rPr>
                  </w:pPr>
                  <w:r>
                    <w:rPr>
                      <w:sz w:val="21"/>
                      <w:szCs w:val="21"/>
                    </w:rPr>
                    <w:t>符合</w:t>
                  </w:r>
                </w:p>
              </w:tc>
            </w:tr>
          </w:tbl>
          <w:p>
            <w:pPr>
              <w:ind w:firstLine="420"/>
              <w:jc w:val="center"/>
              <w:rPr>
                <w:rFonts w:eastAsia="黑体"/>
                <w:sz w:val="24"/>
              </w:rPr>
            </w:pPr>
            <w:r>
              <w:rPr>
                <w:rFonts w:eastAsia="黑体"/>
                <w:sz w:val="24"/>
              </w:rPr>
              <w:t>表</w:t>
            </w:r>
            <w:r>
              <w:rPr>
                <w:rFonts w:hint="eastAsia" w:eastAsia="黑体"/>
                <w:sz w:val="24"/>
              </w:rPr>
              <w:t>1-</w:t>
            </w:r>
            <w:r>
              <w:rPr>
                <w:rFonts w:eastAsia="黑体"/>
                <w:sz w:val="24"/>
              </w:rPr>
              <w:t xml:space="preserve">2  </w:t>
            </w:r>
            <w:r>
              <w:rPr>
                <w:rFonts w:hint="eastAsia" w:eastAsia="黑体"/>
                <w:sz w:val="24"/>
              </w:rPr>
              <w:t>“吉木萨尔县</w:t>
            </w:r>
            <w:r>
              <w:rPr>
                <w:rFonts w:eastAsia="黑体"/>
                <w:sz w:val="24"/>
              </w:rPr>
              <w:t>生态环境准入清单</w:t>
            </w:r>
            <w:r>
              <w:rPr>
                <w:rFonts w:hint="eastAsia" w:eastAsia="黑体"/>
                <w:sz w:val="24"/>
              </w:rPr>
              <w:t>”</w:t>
            </w:r>
            <w:r>
              <w:rPr>
                <w:rFonts w:eastAsia="黑体"/>
                <w:sz w:val="24"/>
              </w:rPr>
              <w:t>符合性分析</w:t>
            </w:r>
          </w:p>
          <w:tbl>
            <w:tblPr>
              <w:tblStyle w:val="29"/>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23"/>
              <w:gridCol w:w="569"/>
              <w:gridCol w:w="450"/>
              <w:gridCol w:w="434"/>
              <w:gridCol w:w="2536"/>
              <w:gridCol w:w="138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17" w:hRule="atLeast"/>
                <w:jc w:val="center"/>
              </w:trPr>
              <w:tc>
                <w:tcPr>
                  <w:tcW w:w="863" w:type="pct"/>
                  <w:tcBorders>
                    <w:tl2br w:val="nil"/>
                    <w:tr2bl w:val="nil"/>
                  </w:tcBorders>
                  <w:vAlign w:val="center"/>
                </w:tcPr>
                <w:p>
                  <w:pPr>
                    <w:jc w:val="center"/>
                    <w:rPr>
                      <w:szCs w:val="21"/>
                    </w:rPr>
                  </w:pPr>
                  <w:r>
                    <w:rPr>
                      <w:szCs w:val="21"/>
                    </w:rPr>
                    <w:t>环境管控单元编码</w:t>
                  </w:r>
                </w:p>
              </w:tc>
              <w:tc>
                <w:tcPr>
                  <w:tcW w:w="438" w:type="pct"/>
                  <w:tcBorders>
                    <w:tl2br w:val="nil"/>
                    <w:tr2bl w:val="nil"/>
                  </w:tcBorders>
                  <w:vAlign w:val="center"/>
                </w:tcPr>
                <w:p>
                  <w:pPr>
                    <w:jc w:val="center"/>
                    <w:rPr>
                      <w:szCs w:val="21"/>
                    </w:rPr>
                  </w:pPr>
                  <w:r>
                    <w:rPr>
                      <w:szCs w:val="21"/>
                    </w:rPr>
                    <w:t>环境管控单元名称</w:t>
                  </w:r>
                </w:p>
              </w:tc>
              <w:tc>
                <w:tcPr>
                  <w:tcW w:w="346" w:type="pct"/>
                  <w:tcBorders>
                    <w:tl2br w:val="nil"/>
                    <w:tr2bl w:val="nil"/>
                  </w:tcBorders>
                  <w:vAlign w:val="center"/>
                </w:tcPr>
                <w:p>
                  <w:pPr>
                    <w:jc w:val="center"/>
                    <w:rPr>
                      <w:szCs w:val="21"/>
                    </w:rPr>
                  </w:pPr>
                  <w:r>
                    <w:rPr>
                      <w:szCs w:val="21"/>
                    </w:rPr>
                    <w:t>环境管控单元类别</w:t>
                  </w:r>
                </w:p>
              </w:tc>
              <w:tc>
                <w:tcPr>
                  <w:tcW w:w="2285" w:type="pct"/>
                  <w:gridSpan w:val="2"/>
                  <w:tcBorders>
                    <w:tl2br w:val="nil"/>
                    <w:tr2bl w:val="nil"/>
                  </w:tcBorders>
                  <w:vAlign w:val="center"/>
                </w:tcPr>
                <w:p>
                  <w:pPr>
                    <w:jc w:val="center"/>
                    <w:rPr>
                      <w:szCs w:val="21"/>
                    </w:rPr>
                  </w:pPr>
                  <w:r>
                    <w:rPr>
                      <w:szCs w:val="21"/>
                    </w:rPr>
                    <w:t>管控要求</w:t>
                  </w:r>
                </w:p>
              </w:tc>
              <w:tc>
                <w:tcPr>
                  <w:tcW w:w="1065" w:type="pct"/>
                  <w:tcBorders>
                    <w:tl2br w:val="nil"/>
                    <w:tr2bl w:val="nil"/>
                  </w:tcBorders>
                  <w:vAlign w:val="center"/>
                </w:tcPr>
                <w:p>
                  <w:pPr>
                    <w:jc w:val="center"/>
                    <w:rPr>
                      <w:szCs w:val="21"/>
                    </w:rPr>
                  </w:pPr>
                  <w:r>
                    <w:rPr>
                      <w:szCs w:val="21"/>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13" w:hRule="atLeast"/>
                <w:jc w:val="center"/>
              </w:trPr>
              <w:tc>
                <w:tcPr>
                  <w:tcW w:w="863" w:type="pct"/>
                  <w:vMerge w:val="restart"/>
                  <w:tcBorders>
                    <w:tl2br w:val="nil"/>
                    <w:tr2bl w:val="nil"/>
                  </w:tcBorders>
                  <w:vAlign w:val="center"/>
                </w:tcPr>
                <w:p>
                  <w:pPr>
                    <w:jc w:val="center"/>
                    <w:rPr>
                      <w:szCs w:val="21"/>
                    </w:rPr>
                  </w:pPr>
                  <w:r>
                    <w:rPr>
                      <w:rFonts w:hint="eastAsia"/>
                      <w:szCs w:val="21"/>
                    </w:rPr>
                    <w:t>ZH65232720005</w:t>
                  </w:r>
                </w:p>
              </w:tc>
              <w:tc>
                <w:tcPr>
                  <w:tcW w:w="438" w:type="pct"/>
                  <w:vMerge w:val="restart"/>
                  <w:tcBorders>
                    <w:tl2br w:val="nil"/>
                    <w:tr2bl w:val="nil"/>
                  </w:tcBorders>
                  <w:vAlign w:val="center"/>
                </w:tcPr>
                <w:p>
                  <w:pPr>
                    <w:jc w:val="center"/>
                    <w:rPr>
                      <w:szCs w:val="21"/>
                    </w:rPr>
                  </w:pPr>
                  <w:r>
                    <w:rPr>
                      <w:rFonts w:hint="eastAsia"/>
                      <w:szCs w:val="21"/>
                    </w:rPr>
                    <w:t>吉木萨尔县限采区</w:t>
                  </w:r>
                </w:p>
              </w:tc>
              <w:tc>
                <w:tcPr>
                  <w:tcW w:w="346" w:type="pct"/>
                  <w:vMerge w:val="restart"/>
                  <w:tcBorders>
                    <w:tl2br w:val="nil"/>
                    <w:tr2bl w:val="nil"/>
                  </w:tcBorders>
                  <w:vAlign w:val="center"/>
                </w:tcPr>
                <w:p>
                  <w:pPr>
                    <w:jc w:val="center"/>
                    <w:rPr>
                      <w:szCs w:val="21"/>
                    </w:rPr>
                  </w:pPr>
                  <w:r>
                    <w:rPr>
                      <w:szCs w:val="21"/>
                    </w:rPr>
                    <w:t>重点管控单元</w:t>
                  </w:r>
                </w:p>
              </w:tc>
              <w:tc>
                <w:tcPr>
                  <w:tcW w:w="334" w:type="pct"/>
                  <w:tcBorders>
                    <w:tl2br w:val="nil"/>
                    <w:tr2bl w:val="nil"/>
                  </w:tcBorders>
                  <w:vAlign w:val="center"/>
                </w:tcPr>
                <w:p>
                  <w:pPr>
                    <w:jc w:val="center"/>
                    <w:rPr>
                      <w:szCs w:val="21"/>
                    </w:rPr>
                  </w:pPr>
                  <w:r>
                    <w:rPr>
                      <w:szCs w:val="21"/>
                    </w:rPr>
                    <w:t>空间布局约束</w:t>
                  </w:r>
                </w:p>
              </w:tc>
              <w:tc>
                <w:tcPr>
                  <w:tcW w:w="1950" w:type="pct"/>
                  <w:tcBorders>
                    <w:tl2br w:val="nil"/>
                    <w:tr2bl w:val="nil"/>
                  </w:tcBorders>
                  <w:vAlign w:val="center"/>
                </w:tcPr>
                <w:p>
                  <w:pPr>
                    <w:pStyle w:val="96"/>
                    <w:numPr>
                      <w:ilvl w:val="0"/>
                      <w:numId w:val="3"/>
                    </w:numPr>
                    <w:ind w:firstLine="0"/>
                    <w:jc w:val="center"/>
                    <w:rPr>
                      <w:rFonts w:ascii="Times New Roman" w:hAnsi="Times New Roman"/>
                      <w:szCs w:val="21"/>
                    </w:rPr>
                  </w:pPr>
                  <w:r>
                    <w:rPr>
                      <w:rFonts w:ascii="Times New Roman" w:hAnsi="Times New Roman"/>
                      <w:szCs w:val="21"/>
                    </w:rPr>
                    <w:t>执行自治区总体准入要求中关于重点管控单元空间布局约束的准入要求（表2-3 A6.1）。</w:t>
                  </w:r>
                </w:p>
                <w:p>
                  <w:pPr>
                    <w:pStyle w:val="96"/>
                    <w:ind w:firstLine="0"/>
                    <w:rPr>
                      <w:rFonts w:ascii="Times New Roman" w:hAnsi="Times New Roman"/>
                      <w:szCs w:val="21"/>
                    </w:rPr>
                  </w:pPr>
                  <w:r>
                    <w:rPr>
                      <w:rFonts w:ascii="Times New Roman" w:hAnsi="Times New Roman"/>
                      <w:szCs w:val="21"/>
                    </w:rPr>
                    <w:t>【A6.1-1】根据产业集聚区块的功能定位，建立分区差别化的产业准入条件。严格控制重要水系源头地区和重要生态功能区“高污染、高环境风险产品”工业项目准入。优化完善区域产业布局，合理规划布局“高污染、高环境风险产品”工业项目，鼓励对“高污染、高环境风险产品”工业项目进行淘汰和提升改造。合理规划居住区与工业功能区，在居住区和工业区、工业企业之间设置防护绿化隔离带。</w:t>
                  </w:r>
                </w:p>
                <w:p>
                  <w:pPr>
                    <w:pStyle w:val="96"/>
                    <w:ind w:firstLine="0"/>
                    <w:rPr>
                      <w:rFonts w:ascii="Times New Roman" w:hAnsi="Times New Roman"/>
                      <w:szCs w:val="21"/>
                    </w:rPr>
                  </w:pPr>
                  <w:r>
                    <w:rPr>
                      <w:rFonts w:ascii="Times New Roman" w:hAnsi="Times New Roman"/>
                      <w:szCs w:val="21"/>
                    </w:rPr>
                    <w:t>【A6.1-2】大气环境重点管控区内：禁止引进国家和自治区明令禁止或淘汰的产业及工艺、园区规划的项目；引进符合国家产业政策和清洁生产要求的、采用先进生产工艺和设备的、自动化程度高的、具有可靠先进的污染治理技术的生产项目。</w:t>
                  </w:r>
                </w:p>
                <w:p>
                  <w:pPr>
                    <w:pStyle w:val="96"/>
                    <w:ind w:firstLine="0"/>
                    <w:rPr>
                      <w:rFonts w:ascii="Times New Roman" w:hAnsi="Times New Roman"/>
                      <w:szCs w:val="21"/>
                    </w:rPr>
                  </w:pPr>
                  <w:r>
                    <w:rPr>
                      <w:rFonts w:ascii="Times New Roman" w:hAnsi="Times New Roman"/>
                      <w:szCs w:val="21"/>
                    </w:rPr>
                    <w:t>【A6.1-3】水环境重点管控区内：制定产业准入对污染排放不达标的企业限期整改，确保水污染物达标排放；加快推进生态园区建设和循环化改造，完善污水集中处理设施及再生水回用系统，加强配套管网建设，并确保稳定运行，工业废水必须经预处理达到集中处理要求后，方可进入污水集中处理设施，不断提高污水集中处理中水回用率。加强城镇配套管网建设，提高城镇生活污水出水排放标准，推进城镇生活污水深度治理，提高污水厂脱氮除磷效率。对农业污染重点管控区，推进畜禽养殖禁养区、限养区的划定，限期依法关闭或搬迁禁养区内的畜禽养殖场，对现有规模化畜禽养殖配套建设粪便污水贮存、处理、利用设施，鼓励设施农业循环发展模式，推进养殖废弃物资源化利用。控制化肥农药使用量，推进农膜回收及加工再利用，农药化肥等包装废弃物的安全收集处置设施建设，降低农业污染负荷。</w:t>
                  </w:r>
                </w:p>
                <w:p>
                  <w:pPr>
                    <w:pStyle w:val="96"/>
                    <w:ind w:firstLine="0"/>
                    <w:rPr>
                      <w:rFonts w:ascii="Times New Roman" w:hAnsi="Times New Roman"/>
                      <w:szCs w:val="21"/>
                    </w:rPr>
                  </w:pPr>
                  <w:r>
                    <w:rPr>
                      <w:rFonts w:ascii="Times New Roman" w:hAnsi="Times New Roman"/>
                      <w:szCs w:val="21"/>
                    </w:rPr>
                    <w:t>【A6.1-4】土壤环境重点管控区内：引入新建产业或企业时，应结合产业发展规划，充分考虑企业类型、污染物排放特征以及外环境情况等因素，避免企业形成交叉污染；涉重金属、持久性有机物等有毒有害污染物工业企业退出用地，须经评估、治理，满足后续相应用地土壤环境质量要求。</w:t>
                  </w:r>
                </w:p>
              </w:tc>
              <w:tc>
                <w:tcPr>
                  <w:tcW w:w="1065" w:type="pct"/>
                  <w:tcBorders>
                    <w:tl2br w:val="nil"/>
                    <w:tr2bl w:val="nil"/>
                  </w:tcBorders>
                  <w:vAlign w:val="center"/>
                </w:tcPr>
                <w:p>
                  <w:pPr>
                    <w:pStyle w:val="96"/>
                    <w:ind w:firstLine="0"/>
                    <w:jc w:val="center"/>
                    <w:rPr>
                      <w:rFonts w:ascii="Times New Roman" w:hAnsi="Times New Roman"/>
                      <w:szCs w:val="21"/>
                    </w:rPr>
                  </w:pPr>
                  <w:r>
                    <w:rPr>
                      <w:rFonts w:hint="eastAsia" w:ascii="Times New Roman" w:hAnsi="Times New Roman"/>
                      <w:szCs w:val="21"/>
                    </w:rPr>
                    <w:t>本项目为炸药生产项目，不属于高污染项目，本项目主要风险为硝酸铵的储存，经本环评分析，该项目不属于</w:t>
                  </w:r>
                  <w:r>
                    <w:rPr>
                      <w:rFonts w:hint="eastAsia" w:ascii="Times New Roman" w:hAnsi="Times New Roman"/>
                      <w:szCs w:val="21"/>
                      <w:lang w:val="en-US" w:eastAsia="zh-CN"/>
                    </w:rPr>
                    <w:t>高</w:t>
                  </w:r>
                  <w:r>
                    <w:rPr>
                      <w:rFonts w:hint="eastAsia" w:ascii="Times New Roman" w:hAnsi="Times New Roman"/>
                      <w:szCs w:val="21"/>
                    </w:rPr>
                    <w:t>环境风险项目。本项目废水经隔油沉淀池处理后排入</w:t>
                  </w:r>
                  <w:r>
                    <w:rPr>
                      <w:rFonts w:hint="eastAsia" w:ascii="Times New Roman" w:hAnsi="Times New Roman"/>
                      <w:szCs w:val="21"/>
                      <w:lang w:val="en-US" w:eastAsia="zh-CN"/>
                    </w:rPr>
                    <w:t>地埋式一体化污水处理设施</w:t>
                  </w:r>
                  <w:r>
                    <w:rPr>
                      <w:rFonts w:hint="eastAsia" w:ascii="Times New Roman" w:hAnsi="Times New Roman"/>
                      <w:szCs w:val="21"/>
                    </w:rPr>
                    <w:t>，</w:t>
                  </w:r>
                  <w:r>
                    <w:rPr>
                      <w:rFonts w:hint="eastAsia" w:ascii="Times New Roman" w:hAnsi="Times New Roman"/>
                      <w:szCs w:val="21"/>
                      <w:lang w:val="en-US" w:eastAsia="zh-CN"/>
                    </w:rPr>
                    <w:t>经处理后达到绿化用水标准后用于厂区绿化</w:t>
                  </w:r>
                  <w:r>
                    <w:rPr>
                      <w:rFonts w:hint="eastAsia" w:ascii="Times New Roman" w:hAnsi="Times New Roman"/>
                      <w:szCs w:val="21"/>
                    </w:rPr>
                    <w:t>，符合空间布局约束要求。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08" w:hRule="atLeast"/>
                <w:jc w:val="center"/>
              </w:trPr>
              <w:tc>
                <w:tcPr>
                  <w:tcW w:w="863" w:type="pct"/>
                  <w:vMerge w:val="continue"/>
                  <w:tcBorders>
                    <w:tl2br w:val="nil"/>
                    <w:tr2bl w:val="nil"/>
                  </w:tcBorders>
                  <w:vAlign w:val="center"/>
                </w:tcPr>
                <w:p>
                  <w:pPr>
                    <w:jc w:val="center"/>
                    <w:rPr>
                      <w:szCs w:val="21"/>
                    </w:rPr>
                  </w:pPr>
                </w:p>
              </w:tc>
              <w:tc>
                <w:tcPr>
                  <w:tcW w:w="438" w:type="pct"/>
                  <w:vMerge w:val="continue"/>
                  <w:tcBorders>
                    <w:tl2br w:val="nil"/>
                    <w:tr2bl w:val="nil"/>
                  </w:tcBorders>
                  <w:vAlign w:val="center"/>
                </w:tcPr>
                <w:p>
                  <w:pPr>
                    <w:jc w:val="center"/>
                    <w:rPr>
                      <w:szCs w:val="21"/>
                    </w:rPr>
                  </w:pPr>
                </w:p>
              </w:tc>
              <w:tc>
                <w:tcPr>
                  <w:tcW w:w="346" w:type="pct"/>
                  <w:vMerge w:val="continue"/>
                  <w:tcBorders>
                    <w:tl2br w:val="nil"/>
                    <w:tr2bl w:val="nil"/>
                  </w:tcBorders>
                  <w:vAlign w:val="center"/>
                </w:tcPr>
                <w:p>
                  <w:pPr>
                    <w:jc w:val="center"/>
                    <w:rPr>
                      <w:szCs w:val="21"/>
                    </w:rPr>
                  </w:pPr>
                </w:p>
              </w:tc>
              <w:tc>
                <w:tcPr>
                  <w:tcW w:w="334" w:type="pct"/>
                  <w:tcBorders>
                    <w:tl2br w:val="nil"/>
                    <w:tr2bl w:val="nil"/>
                  </w:tcBorders>
                  <w:vAlign w:val="center"/>
                </w:tcPr>
                <w:p>
                  <w:pPr>
                    <w:jc w:val="center"/>
                    <w:rPr>
                      <w:szCs w:val="21"/>
                    </w:rPr>
                  </w:pPr>
                  <w:r>
                    <w:rPr>
                      <w:szCs w:val="21"/>
                    </w:rPr>
                    <w:t>污染物排放管控</w:t>
                  </w:r>
                </w:p>
              </w:tc>
              <w:tc>
                <w:tcPr>
                  <w:tcW w:w="1950" w:type="pct"/>
                  <w:tcBorders>
                    <w:tl2br w:val="nil"/>
                    <w:tr2bl w:val="nil"/>
                  </w:tcBorders>
                  <w:vAlign w:val="center"/>
                </w:tcPr>
                <w:p>
                  <w:pPr>
                    <w:pStyle w:val="96"/>
                    <w:numPr>
                      <w:ilvl w:val="0"/>
                      <w:numId w:val="4"/>
                    </w:numPr>
                    <w:ind w:firstLine="0"/>
                    <w:jc w:val="center"/>
                    <w:rPr>
                      <w:rFonts w:ascii="Times New Roman" w:hAnsi="Times New Roman"/>
                      <w:szCs w:val="21"/>
                    </w:rPr>
                  </w:pPr>
                  <w:r>
                    <w:rPr>
                      <w:rFonts w:ascii="Times New Roman" w:hAnsi="Times New Roman"/>
                      <w:szCs w:val="21"/>
                    </w:rPr>
                    <w:t>执行自治区总体准入要求中关于重点管控单元污染物排放管控的准入要求（表2-3 A6.2）。</w:t>
                  </w:r>
                </w:p>
                <w:p>
                  <w:pPr>
                    <w:pStyle w:val="96"/>
                    <w:ind w:firstLine="0"/>
                    <w:rPr>
                      <w:rFonts w:ascii="Times New Roman" w:hAnsi="Times New Roman"/>
                      <w:szCs w:val="21"/>
                    </w:rPr>
                  </w:pPr>
                  <w:r>
                    <w:rPr>
                      <w:rFonts w:ascii="Times New Roman" w:hAnsi="Times New Roman"/>
                      <w:szCs w:val="21"/>
                    </w:rPr>
                    <w:t>【A6.2-1】严格实施污染物总量控制制度，根据区域环境质量改善目标，削减污染物排放总量。新建工业项目污染物排放水平要达到同行业国内先进水平。加快落实污水处理厂建设及提升改造，推进工业园区（工业企业）污水处理综合利用设施建设，所有企业实现稳定达标排放。加强土壤和地下水污染防治与修复。</w:t>
                  </w:r>
                </w:p>
              </w:tc>
              <w:tc>
                <w:tcPr>
                  <w:tcW w:w="1065" w:type="pct"/>
                  <w:tcBorders>
                    <w:tl2br w:val="nil"/>
                    <w:tr2bl w:val="nil"/>
                  </w:tcBorders>
                  <w:vAlign w:val="center"/>
                </w:tcPr>
                <w:p>
                  <w:pPr>
                    <w:pStyle w:val="96"/>
                    <w:ind w:firstLine="0"/>
                    <w:jc w:val="center"/>
                    <w:rPr>
                      <w:rFonts w:ascii="Times New Roman" w:hAnsi="Times New Roman"/>
                      <w:szCs w:val="21"/>
                    </w:rPr>
                  </w:pPr>
                  <w:r>
                    <w:rPr>
                      <w:rFonts w:hint="eastAsia" w:ascii="Times New Roman" w:hAnsi="Times New Roman"/>
                      <w:szCs w:val="21"/>
                    </w:rPr>
                    <w:t>本项目运营期主要污染物为废水，经本环评提出的治理措施可满足废水相应的排放标准，符合污染物排放管控要求。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32" w:hRule="atLeast"/>
                <w:jc w:val="center"/>
              </w:trPr>
              <w:tc>
                <w:tcPr>
                  <w:tcW w:w="863" w:type="pct"/>
                  <w:vMerge w:val="continue"/>
                  <w:tcBorders>
                    <w:tl2br w:val="nil"/>
                    <w:tr2bl w:val="nil"/>
                  </w:tcBorders>
                  <w:vAlign w:val="center"/>
                </w:tcPr>
                <w:p>
                  <w:pPr>
                    <w:jc w:val="center"/>
                    <w:rPr>
                      <w:szCs w:val="21"/>
                    </w:rPr>
                  </w:pPr>
                </w:p>
              </w:tc>
              <w:tc>
                <w:tcPr>
                  <w:tcW w:w="438" w:type="pct"/>
                  <w:vMerge w:val="continue"/>
                  <w:tcBorders>
                    <w:tl2br w:val="nil"/>
                    <w:tr2bl w:val="nil"/>
                  </w:tcBorders>
                  <w:vAlign w:val="center"/>
                </w:tcPr>
                <w:p>
                  <w:pPr>
                    <w:jc w:val="center"/>
                    <w:rPr>
                      <w:szCs w:val="21"/>
                    </w:rPr>
                  </w:pPr>
                </w:p>
              </w:tc>
              <w:tc>
                <w:tcPr>
                  <w:tcW w:w="346" w:type="pct"/>
                  <w:vMerge w:val="continue"/>
                  <w:tcBorders>
                    <w:tl2br w:val="nil"/>
                    <w:tr2bl w:val="nil"/>
                  </w:tcBorders>
                  <w:vAlign w:val="center"/>
                </w:tcPr>
                <w:p>
                  <w:pPr>
                    <w:jc w:val="center"/>
                    <w:rPr>
                      <w:szCs w:val="21"/>
                    </w:rPr>
                  </w:pPr>
                </w:p>
              </w:tc>
              <w:tc>
                <w:tcPr>
                  <w:tcW w:w="334" w:type="pct"/>
                  <w:tcBorders>
                    <w:tl2br w:val="nil"/>
                    <w:tr2bl w:val="nil"/>
                  </w:tcBorders>
                  <w:vAlign w:val="center"/>
                </w:tcPr>
                <w:p>
                  <w:pPr>
                    <w:jc w:val="center"/>
                    <w:rPr>
                      <w:szCs w:val="21"/>
                    </w:rPr>
                  </w:pPr>
                  <w:r>
                    <w:rPr>
                      <w:szCs w:val="21"/>
                    </w:rPr>
                    <w:t>环境风险防控</w:t>
                  </w:r>
                </w:p>
              </w:tc>
              <w:tc>
                <w:tcPr>
                  <w:tcW w:w="1950" w:type="pct"/>
                  <w:tcBorders>
                    <w:tl2br w:val="nil"/>
                    <w:tr2bl w:val="nil"/>
                  </w:tcBorders>
                  <w:vAlign w:val="center"/>
                </w:tcPr>
                <w:p>
                  <w:pPr>
                    <w:pStyle w:val="96"/>
                    <w:numPr>
                      <w:ilvl w:val="0"/>
                      <w:numId w:val="5"/>
                    </w:numPr>
                    <w:ind w:firstLine="0"/>
                    <w:jc w:val="center"/>
                    <w:rPr>
                      <w:rFonts w:ascii="Times New Roman" w:hAnsi="Times New Roman"/>
                      <w:szCs w:val="21"/>
                    </w:rPr>
                  </w:pPr>
                  <w:r>
                    <w:rPr>
                      <w:rFonts w:ascii="Times New Roman" w:hAnsi="Times New Roman"/>
                      <w:szCs w:val="21"/>
                    </w:rPr>
                    <w:t>执行自治区总体准入要求中关于重点管控单元环境风险防控的准入要求（表2-3 A6.3）。</w:t>
                  </w:r>
                </w:p>
                <w:p>
                  <w:pPr>
                    <w:pStyle w:val="96"/>
                    <w:ind w:firstLine="0"/>
                    <w:rPr>
                      <w:rFonts w:ascii="Times New Roman" w:hAnsi="Times New Roman"/>
                      <w:szCs w:val="21"/>
                    </w:rPr>
                  </w:pPr>
                  <w:r>
                    <w:rPr>
                      <w:rFonts w:ascii="Times New Roman" w:hAnsi="Times New Roman"/>
                      <w:szCs w:val="21"/>
                    </w:rPr>
                    <w:t>【A6.3-1】定期评估邻近环境敏感区的工业企业、工业集聚区环境和健康风险。强化工业集聚区企业环境风险防范设施设备建设和正常运行监管，加强重点环境风险管控企业应急预案制定，建立常态化的企业隐患排查整治监管机制，加强风险防控体系建设。</w:t>
                  </w:r>
                </w:p>
              </w:tc>
              <w:tc>
                <w:tcPr>
                  <w:tcW w:w="1065" w:type="pct"/>
                  <w:tcBorders>
                    <w:tl2br w:val="nil"/>
                    <w:tr2bl w:val="nil"/>
                  </w:tcBorders>
                  <w:vAlign w:val="center"/>
                </w:tcPr>
                <w:p>
                  <w:pPr>
                    <w:pStyle w:val="96"/>
                    <w:ind w:firstLine="0"/>
                    <w:jc w:val="center"/>
                    <w:rPr>
                      <w:rFonts w:ascii="Times New Roman" w:hAnsi="Times New Roman"/>
                      <w:szCs w:val="21"/>
                    </w:rPr>
                  </w:pPr>
                  <w:r>
                    <w:rPr>
                      <w:rFonts w:hint="eastAsia" w:ascii="Times New Roman" w:hAnsi="Times New Roman"/>
                      <w:szCs w:val="21"/>
                    </w:rPr>
                    <w:t>本环评对项目环境风险提出相应的风险防范措施，可满足环境风险防控要求。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00" w:hRule="atLeast"/>
                <w:jc w:val="center"/>
              </w:trPr>
              <w:tc>
                <w:tcPr>
                  <w:tcW w:w="863" w:type="pct"/>
                  <w:vMerge w:val="continue"/>
                  <w:tcBorders>
                    <w:tl2br w:val="nil"/>
                    <w:tr2bl w:val="nil"/>
                  </w:tcBorders>
                  <w:vAlign w:val="center"/>
                </w:tcPr>
                <w:p>
                  <w:pPr>
                    <w:jc w:val="center"/>
                    <w:rPr>
                      <w:szCs w:val="21"/>
                    </w:rPr>
                  </w:pPr>
                </w:p>
              </w:tc>
              <w:tc>
                <w:tcPr>
                  <w:tcW w:w="438" w:type="pct"/>
                  <w:vMerge w:val="continue"/>
                  <w:tcBorders>
                    <w:tl2br w:val="nil"/>
                    <w:tr2bl w:val="nil"/>
                  </w:tcBorders>
                  <w:vAlign w:val="center"/>
                </w:tcPr>
                <w:p>
                  <w:pPr>
                    <w:jc w:val="center"/>
                    <w:rPr>
                      <w:szCs w:val="21"/>
                    </w:rPr>
                  </w:pPr>
                </w:p>
              </w:tc>
              <w:tc>
                <w:tcPr>
                  <w:tcW w:w="346" w:type="pct"/>
                  <w:vMerge w:val="continue"/>
                  <w:tcBorders>
                    <w:tl2br w:val="nil"/>
                    <w:tr2bl w:val="nil"/>
                  </w:tcBorders>
                  <w:vAlign w:val="center"/>
                </w:tcPr>
                <w:p>
                  <w:pPr>
                    <w:jc w:val="center"/>
                    <w:rPr>
                      <w:szCs w:val="21"/>
                    </w:rPr>
                  </w:pPr>
                </w:p>
              </w:tc>
              <w:tc>
                <w:tcPr>
                  <w:tcW w:w="334" w:type="pct"/>
                  <w:tcBorders>
                    <w:tl2br w:val="nil"/>
                    <w:tr2bl w:val="nil"/>
                  </w:tcBorders>
                  <w:vAlign w:val="center"/>
                </w:tcPr>
                <w:p>
                  <w:pPr>
                    <w:jc w:val="center"/>
                    <w:rPr>
                      <w:szCs w:val="21"/>
                    </w:rPr>
                  </w:pPr>
                  <w:r>
                    <w:rPr>
                      <w:szCs w:val="21"/>
                    </w:rPr>
                    <w:t>资源利用效率</w:t>
                  </w:r>
                </w:p>
              </w:tc>
              <w:tc>
                <w:tcPr>
                  <w:tcW w:w="1950" w:type="pct"/>
                  <w:tcBorders>
                    <w:tl2br w:val="nil"/>
                    <w:tr2bl w:val="nil"/>
                  </w:tcBorders>
                  <w:vAlign w:val="center"/>
                </w:tcPr>
                <w:p>
                  <w:pPr>
                    <w:pStyle w:val="96"/>
                    <w:numPr>
                      <w:ilvl w:val="0"/>
                      <w:numId w:val="6"/>
                    </w:numPr>
                    <w:ind w:firstLine="0"/>
                    <w:jc w:val="center"/>
                    <w:rPr>
                      <w:rFonts w:ascii="Times New Roman" w:hAnsi="Times New Roman"/>
                      <w:szCs w:val="21"/>
                    </w:rPr>
                  </w:pPr>
                  <w:r>
                    <w:rPr>
                      <w:rFonts w:ascii="Times New Roman" w:hAnsi="Times New Roman"/>
                      <w:szCs w:val="21"/>
                    </w:rPr>
                    <w:t>执行自治区总体准入要求中关于重点管控单元资源利用效率的准入要求（表2-3 A6.4）。</w:t>
                  </w:r>
                </w:p>
                <w:p>
                  <w:pPr>
                    <w:pStyle w:val="96"/>
                    <w:ind w:firstLine="0"/>
                    <w:rPr>
                      <w:rFonts w:ascii="Times New Roman" w:hAnsi="Times New Roman"/>
                      <w:szCs w:val="21"/>
                    </w:rPr>
                  </w:pPr>
                  <w:r>
                    <w:rPr>
                      <w:rFonts w:ascii="Times New Roman" w:hAnsi="Times New Roman"/>
                      <w:szCs w:val="21"/>
                    </w:rPr>
                    <w:t>【A6.4-1】推进工业集聚区生态化改造，强化企业清洁生产改造，推进节水型企业、节水型工业园区建设，提高资源能源利用效率。</w:t>
                  </w:r>
                </w:p>
                <w:p>
                  <w:pPr>
                    <w:pStyle w:val="96"/>
                    <w:ind w:firstLine="0"/>
                    <w:jc w:val="center"/>
                    <w:rPr>
                      <w:rFonts w:ascii="Times New Roman" w:hAnsi="Times New Roman"/>
                      <w:szCs w:val="21"/>
                    </w:rPr>
                  </w:pPr>
                  <w:r>
                    <w:rPr>
                      <w:rFonts w:ascii="Times New Roman" w:hAnsi="Times New Roman"/>
                      <w:szCs w:val="21"/>
                    </w:rPr>
                    <w:t>2、合理配置地表水、地下水，从严控制地下水取水总量。</w:t>
                  </w:r>
                </w:p>
              </w:tc>
              <w:tc>
                <w:tcPr>
                  <w:tcW w:w="1065" w:type="pct"/>
                  <w:tcBorders>
                    <w:tl2br w:val="nil"/>
                    <w:tr2bl w:val="nil"/>
                  </w:tcBorders>
                  <w:vAlign w:val="center"/>
                </w:tcPr>
                <w:p>
                  <w:pPr>
                    <w:pStyle w:val="96"/>
                    <w:ind w:firstLine="0"/>
                    <w:jc w:val="center"/>
                    <w:rPr>
                      <w:rFonts w:ascii="Times New Roman" w:hAnsi="Times New Roman"/>
                      <w:szCs w:val="21"/>
                    </w:rPr>
                  </w:pPr>
                  <w:r>
                    <w:rPr>
                      <w:rFonts w:hint="eastAsia" w:ascii="Times New Roman" w:hAnsi="Times New Roman"/>
                      <w:szCs w:val="21"/>
                    </w:rPr>
                    <w:t>本项目不涉及地下水开采，项目运营期消耗一定量的水、电等资源，符合资源利用效率要求。</w:t>
                  </w:r>
                </w:p>
              </w:tc>
            </w:tr>
          </w:tbl>
          <w:p>
            <w:pPr>
              <w:autoSpaceDE w:val="0"/>
              <w:autoSpaceDN w:val="0"/>
              <w:adjustRightInd w:val="0"/>
              <w:snapToGrid w:val="0"/>
              <w:spacing w:line="520" w:lineRule="exact"/>
              <w:ind w:firstLine="482" w:firstLineChars="200"/>
              <w:rPr>
                <w:sz w:val="24"/>
              </w:rPr>
            </w:pPr>
            <w:r>
              <w:rPr>
                <w:b/>
                <w:bCs/>
                <w:sz w:val="24"/>
              </w:rPr>
              <w:t>2、产业政策符合性分析</w:t>
            </w:r>
          </w:p>
          <w:p>
            <w:pPr>
              <w:autoSpaceDE w:val="0"/>
              <w:autoSpaceDN w:val="0"/>
              <w:adjustRightInd w:val="0"/>
              <w:snapToGrid w:val="0"/>
              <w:spacing w:line="520" w:lineRule="exact"/>
              <w:ind w:firstLine="480" w:firstLineChars="200"/>
              <w:rPr>
                <w:sz w:val="24"/>
              </w:rPr>
            </w:pPr>
            <w:r>
              <w:rPr>
                <w:sz w:val="24"/>
              </w:rPr>
              <w:t>本项目为现场混装工业炸药项目，属于《产业结构调整指导目录》（2019年本）中</w:t>
            </w:r>
            <w:r>
              <w:rPr>
                <w:rFonts w:hint="eastAsia"/>
                <w:sz w:val="24"/>
              </w:rPr>
              <w:t>“</w:t>
            </w:r>
            <w:r>
              <w:rPr>
                <w:sz w:val="24"/>
              </w:rPr>
              <w:t>鼓励类</w:t>
            </w:r>
            <w:r>
              <w:rPr>
                <w:rFonts w:hint="eastAsia"/>
                <w:sz w:val="24"/>
              </w:rPr>
              <w:t>”</w:t>
            </w:r>
            <w:r>
              <w:rPr>
                <w:sz w:val="24"/>
              </w:rPr>
              <w:t>、</w:t>
            </w:r>
            <w:r>
              <w:rPr>
                <w:rFonts w:hint="eastAsia"/>
                <w:sz w:val="24"/>
              </w:rPr>
              <w:t>“</w:t>
            </w:r>
            <w:r>
              <w:rPr>
                <w:sz w:val="24"/>
              </w:rPr>
              <w:t>四十五、民爆产品，1、安全环保节能型工业炸药及无雷管感度的散装工业炸药；现场混装生产方式；采用乳胶基质集中制备、远程配送的现场混装生产方式；地下矿山、大型硐室、公路铁路隧道等工程应用现场混装炸药技术；民爆科研、生产、爆破服务“一体化</w:t>
            </w:r>
            <w:r>
              <w:rPr>
                <w:rFonts w:hint="eastAsia"/>
                <w:sz w:val="24"/>
              </w:rPr>
              <w:t>”</w:t>
            </w:r>
            <w:r>
              <w:rPr>
                <w:sz w:val="24"/>
              </w:rPr>
              <w:t>模式；退役火（炸）药在工业炸药中的应用，特殊用途炸药中的</w:t>
            </w:r>
            <w:r>
              <w:rPr>
                <w:rFonts w:hint="eastAsia"/>
                <w:sz w:val="24"/>
              </w:rPr>
              <w:t>“</w:t>
            </w:r>
            <w:r>
              <w:rPr>
                <w:sz w:val="24"/>
              </w:rPr>
              <w:t>现场混装生产方式</w:t>
            </w:r>
            <w:r>
              <w:rPr>
                <w:rFonts w:hint="eastAsia"/>
                <w:sz w:val="24"/>
              </w:rPr>
              <w:t>”</w:t>
            </w:r>
            <w:r>
              <w:rPr>
                <w:sz w:val="24"/>
              </w:rPr>
              <w:t>，因此，本项目建设符合国家产业政策</w:t>
            </w:r>
            <w:r>
              <w:rPr>
                <w:rFonts w:hint="eastAsia"/>
                <w:sz w:val="24"/>
              </w:rPr>
              <w:t>。</w:t>
            </w:r>
          </w:p>
          <w:p>
            <w:pPr>
              <w:autoSpaceDE w:val="0"/>
              <w:autoSpaceDN w:val="0"/>
              <w:adjustRightInd w:val="0"/>
              <w:snapToGrid w:val="0"/>
              <w:spacing w:line="520" w:lineRule="exact"/>
              <w:ind w:firstLine="482" w:firstLineChars="200"/>
              <w:rPr>
                <w:b/>
                <w:bCs/>
                <w:sz w:val="24"/>
              </w:rPr>
            </w:pPr>
            <w:r>
              <w:rPr>
                <w:rFonts w:hint="eastAsia"/>
                <w:b/>
                <w:bCs/>
                <w:sz w:val="24"/>
              </w:rPr>
              <w:t>3、选址合理性分析</w:t>
            </w:r>
          </w:p>
          <w:p>
            <w:pPr>
              <w:widowControl/>
              <w:tabs>
                <w:tab w:val="left" w:pos="-1800"/>
              </w:tabs>
              <w:spacing w:line="520" w:lineRule="exact"/>
              <w:ind w:firstLine="480" w:firstLineChars="200"/>
              <w:rPr>
                <w:sz w:val="24"/>
              </w:rPr>
            </w:pPr>
            <w:r>
              <w:rPr>
                <w:sz w:val="24"/>
              </w:rPr>
              <w:t>本项目位于</w:t>
            </w:r>
            <w:r>
              <w:rPr>
                <w:rFonts w:hint="eastAsia"/>
                <w:sz w:val="24"/>
              </w:rPr>
              <w:t>吉木萨尔县庆阳湖乡水溪沟</w:t>
            </w:r>
            <w:r>
              <w:rPr>
                <w:sz w:val="24"/>
              </w:rPr>
              <w:t>，</w:t>
            </w:r>
            <w:r>
              <w:rPr>
                <w:rFonts w:hint="eastAsia"/>
                <w:sz w:val="24"/>
              </w:rPr>
              <w:t>本项目用地类型为工业用地</w:t>
            </w:r>
            <w:r>
              <w:rPr>
                <w:rFonts w:hint="eastAsia"/>
                <w:sz w:val="24"/>
                <w:lang w:eastAsia="zh-CN"/>
              </w:rPr>
              <w:t>（</w:t>
            </w:r>
            <w:r>
              <w:rPr>
                <w:rFonts w:hint="eastAsia"/>
                <w:sz w:val="24"/>
                <w:lang w:val="en-US" w:eastAsia="zh-CN"/>
              </w:rPr>
              <w:t>详见附件8</w:t>
            </w:r>
            <w:r>
              <w:rPr>
                <w:rFonts w:hint="eastAsia"/>
                <w:sz w:val="24"/>
                <w:lang w:eastAsia="zh-CN"/>
              </w:rPr>
              <w:t>）</w:t>
            </w:r>
            <w:r>
              <w:rPr>
                <w:rFonts w:hint="eastAsia"/>
                <w:sz w:val="24"/>
              </w:rPr>
              <w:t>。</w:t>
            </w:r>
            <w:r>
              <w:rPr>
                <w:sz w:val="24"/>
              </w:rPr>
              <w:t>项目区供水依托</w:t>
            </w:r>
            <w:r>
              <w:rPr>
                <w:rFonts w:hint="eastAsia"/>
                <w:sz w:val="24"/>
                <w:lang w:val="en-US" w:eastAsia="zh-CN"/>
              </w:rPr>
              <w:t>供水管网</w:t>
            </w:r>
            <w:r>
              <w:rPr>
                <w:sz w:val="24"/>
              </w:rPr>
              <w:t>，</w:t>
            </w:r>
            <w:r>
              <w:rPr>
                <w:rFonts w:hint="eastAsia"/>
                <w:sz w:val="24"/>
              </w:rPr>
              <w:t>排水依托厂区内</w:t>
            </w:r>
            <w:r>
              <w:rPr>
                <w:rFonts w:hint="eastAsia"/>
                <w:sz w:val="24"/>
                <w:lang w:val="en-US" w:eastAsia="zh-CN"/>
              </w:rPr>
              <w:t>污水处理设施</w:t>
            </w:r>
            <w:r>
              <w:rPr>
                <w:rFonts w:hint="eastAsia"/>
                <w:sz w:val="24"/>
              </w:rPr>
              <w:t>，供电依托市政电网</w:t>
            </w:r>
            <w:r>
              <w:rPr>
                <w:sz w:val="24"/>
              </w:rPr>
              <w:t>。因此，</w:t>
            </w:r>
            <w:r>
              <w:rPr>
                <w:rFonts w:hint="eastAsia"/>
                <w:sz w:val="24"/>
              </w:rPr>
              <w:t>厂区配套</w:t>
            </w:r>
            <w:r>
              <w:rPr>
                <w:sz w:val="24"/>
              </w:rPr>
              <w:t>设施完善后可基本满足本项目需求。</w:t>
            </w:r>
          </w:p>
          <w:p>
            <w:pPr>
              <w:pStyle w:val="89"/>
              <w:spacing w:line="520" w:lineRule="exact"/>
              <w:ind w:firstLine="480"/>
              <w:jc w:val="both"/>
            </w:pPr>
            <w:r>
              <w:rPr>
                <w:rFonts w:hint="eastAsia"/>
              </w:rPr>
              <w:t>项目周边主要为</w:t>
            </w:r>
            <w:r>
              <w:rPr>
                <w:rFonts w:hint="eastAsia"/>
                <w:lang w:val="en-US" w:eastAsia="zh-CN"/>
              </w:rPr>
              <w:t>废弃房屋</w:t>
            </w:r>
            <w:r>
              <w:rPr>
                <w:rFonts w:hint="eastAsia"/>
              </w:rPr>
              <w:t>和空地，</w:t>
            </w:r>
            <w:r>
              <w:rPr>
                <w:rFonts w:hint="eastAsia"/>
                <w:lang w:val="en-US" w:eastAsia="zh-CN"/>
              </w:rPr>
              <w:t>周围没有环境保护区、居住区等需要特别保护的区域，</w:t>
            </w:r>
            <w:r>
              <w:t>项目外环境相对简单，不存在明显的环境制约因素</w:t>
            </w:r>
            <w:r>
              <w:rPr>
                <w:rFonts w:hint="eastAsia"/>
              </w:rPr>
              <w:t>，不涉及环境敏感目标</w:t>
            </w:r>
            <w:r>
              <w:t>。因此本项目选址合理</w:t>
            </w:r>
            <w:r>
              <w:rPr>
                <w:rFonts w:hint="eastAsia"/>
              </w:rPr>
              <w:t>。</w:t>
            </w:r>
          </w:p>
          <w:p>
            <w:pPr>
              <w:pStyle w:val="90"/>
              <w:adjustRightInd w:val="0"/>
              <w:snapToGrid w:val="0"/>
              <w:ind w:firstLine="482"/>
              <w:rPr>
                <w:rFonts w:ascii="Times New Roman" w:hAnsi="Times New Roman"/>
                <w:b/>
                <w:bCs/>
              </w:rPr>
            </w:pPr>
            <w:r>
              <w:rPr>
                <w:rFonts w:hint="eastAsia" w:ascii="Times New Roman" w:hAnsi="Times New Roman"/>
                <w:b/>
                <w:bCs/>
              </w:rPr>
              <w:t>4、《民用爆炸物品行业十三五发展规划》符合性分析</w:t>
            </w:r>
          </w:p>
          <w:p>
            <w:pPr>
              <w:pStyle w:val="90"/>
              <w:adjustRightInd w:val="0"/>
              <w:snapToGrid w:val="0"/>
              <w:rPr>
                <w:rFonts w:ascii="Times New Roman" w:hAnsi="Times New Roman"/>
              </w:rPr>
            </w:pPr>
            <w:r>
              <w:rPr>
                <w:rFonts w:hint="eastAsia" w:ascii="Times New Roman" w:hAnsi="Times New Roman"/>
              </w:rPr>
              <w:t>根据《民用爆炸物品行业十三五发展规划》中“智能制造和生产线本质安全水平迈上新台阶。到2020年，工业炸药危险等级为1.1级的工房现场操作人员原则上实现6人（含）以下，工业炸药制品危险等级为1.1级的工房现场操作人员全部实现9人（含）以下。”本项目危险工房固定操作人员4人，符合《民用爆炸物品行业十三五发展规划》相关要求。</w:t>
            </w:r>
          </w:p>
          <w:p>
            <w:pPr>
              <w:adjustRightInd w:val="0"/>
              <w:snapToGrid w:val="0"/>
              <w:spacing w:line="520" w:lineRule="exact"/>
              <w:ind w:firstLine="480" w:firstLineChars="200"/>
              <w:rPr>
                <w:sz w:val="24"/>
              </w:rPr>
            </w:pPr>
          </w:p>
        </w:tc>
      </w:tr>
    </w:tbl>
    <w:p>
      <w:pPr>
        <w:spacing w:line="360" w:lineRule="auto"/>
        <w:outlineLvl w:val="0"/>
        <w:rPr>
          <w:rFonts w:eastAsia="黑体"/>
          <w:sz w:val="30"/>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25"/>
        <w:jc w:val="center"/>
        <w:outlineLvl w:val="0"/>
        <w:rPr>
          <w:rFonts w:ascii="黑体" w:hAnsi="黑体" w:eastAsia="黑体"/>
          <w:snapToGrid w:val="0"/>
          <w:sz w:val="30"/>
          <w:szCs w:val="30"/>
        </w:rPr>
      </w:pPr>
      <w:r>
        <w:rPr>
          <w:rFonts w:hint="eastAsia" w:ascii="黑体" w:hAnsi="黑体" w:eastAsia="黑体"/>
          <w:snapToGrid w:val="0"/>
          <w:sz w:val="30"/>
          <w:szCs w:val="30"/>
        </w:rPr>
        <w:t>二、建设项目工程分析</w:t>
      </w:r>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3"/>
        <w:gridCol w:w="860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3" w:type="dxa"/>
            <w:vAlign w:val="center"/>
          </w:tcPr>
          <w:p>
            <w:pPr>
              <w:pStyle w:val="25"/>
              <w:adjustRightInd w:val="0"/>
              <w:snapToGrid w:val="0"/>
              <w:spacing w:before="0" w:beforeAutospacing="0" w:after="0" w:afterAutospacing="0"/>
              <w:jc w:val="center"/>
              <w:rPr>
                <w:rFonts w:ascii="Times New Roman" w:hAnsi="Times New Roman"/>
                <w:szCs w:val="24"/>
              </w:rPr>
            </w:pPr>
            <w:r>
              <w:rPr>
                <w:rFonts w:ascii="Times New Roman" w:hAnsi="Times New Roman"/>
                <w:szCs w:val="24"/>
              </w:rPr>
              <w:t>建设内容</w:t>
            </w:r>
          </w:p>
        </w:tc>
        <w:tc>
          <w:tcPr>
            <w:tcW w:w="8527" w:type="dxa"/>
          </w:tcPr>
          <w:p>
            <w:pPr>
              <w:adjustRightInd w:val="0"/>
              <w:snapToGrid w:val="0"/>
              <w:spacing w:line="520" w:lineRule="exact"/>
              <w:ind w:firstLine="482" w:firstLineChars="200"/>
              <w:rPr>
                <w:rFonts w:hint="default" w:eastAsia="宋体"/>
                <w:b/>
                <w:sz w:val="24"/>
                <w:lang w:val="en-US" w:eastAsia="zh-CN"/>
              </w:rPr>
            </w:pPr>
            <w:r>
              <w:rPr>
                <w:rFonts w:hint="eastAsia"/>
                <w:b/>
                <w:sz w:val="24"/>
                <w:lang w:val="en-US" w:eastAsia="zh-CN"/>
              </w:rPr>
              <w:t>1、项目背景</w:t>
            </w:r>
          </w:p>
          <w:p>
            <w:pPr>
              <w:adjustRightInd w:val="0"/>
              <w:snapToGrid w:val="0"/>
              <w:spacing w:line="520" w:lineRule="exact"/>
              <w:ind w:firstLine="480" w:firstLineChars="200"/>
              <w:rPr>
                <w:rFonts w:hint="default"/>
                <w:b w:val="0"/>
                <w:bCs/>
                <w:sz w:val="24"/>
                <w:lang w:val="en-US" w:eastAsia="zh-CN"/>
              </w:rPr>
            </w:pPr>
            <w:r>
              <w:rPr>
                <w:rFonts w:hint="default"/>
                <w:b w:val="0"/>
                <w:bCs/>
                <w:sz w:val="24"/>
                <w:lang w:val="en-US" w:eastAsia="zh-CN"/>
              </w:rPr>
              <w:t>新疆天宝混装炸药制造有限公司吉木萨尔分公司</w:t>
            </w:r>
            <w:r>
              <w:rPr>
                <w:rFonts w:hint="eastAsia"/>
                <w:b w:val="0"/>
                <w:bCs/>
                <w:sz w:val="24"/>
                <w:lang w:val="en-US" w:eastAsia="zh-CN"/>
              </w:rPr>
              <w:t>于2013年在新疆宝明矿业有限公司油页岩矿区首采区北面，在吉木萨尔县城西南方向，直线距离约9km建设了一套现场混装多孔粒状铵油炸药生产系统（年生产许可能力5000t），于2013年4月24日取得原新疆维吾尔自治区环境保护厅《关于多孔粒状铵油炸药地面站（新疆吉木萨尔）建设项目环境影响报告书的批复》（新环评价函〔2013〕312号），于2014年11月21日通过原新疆维吾尔自治区环境保护厅验收并取得《关于多孔粒状铵油炸药地面站（新疆吉木萨尔）建设项目竣工环境保护验收意见的函》（新环函〔2014〕1327号）。随着在宝明矿业技改工程建设完成后，其矿石年处理能力由原来的1500万吨提高到4000万吨，因此炸药需求量也将大大增加，则原有的混装炸药生产许可能力远远不能满足其生产需要，于2019年扩建产能至7200t，2019年9月16日取得昌吉回族自治州生态环境局发布的扩建项目批复《关于多孔粒状铵油炸药地面站（新疆吉木萨尔）地面站扩能项目环境影响报告表的批复》（昌州环评〔2019〕98号），于2020年10月19日通过自主验收并取得《多孔粒状铵油炸药地面站（新疆吉木萨尔）地面站扩能项目竣工环境保护验收意见》。由于宝明矿业矿区规划调整，原项目区改为排土场，现将项目区搬迁至</w:t>
            </w:r>
            <w:r>
              <w:rPr>
                <w:rFonts w:hint="eastAsia"/>
                <w:sz w:val="24"/>
              </w:rPr>
              <w:t>吉木萨尔县</w:t>
            </w:r>
            <w:r>
              <w:rPr>
                <w:rFonts w:hint="eastAsia"/>
                <w:sz w:val="24"/>
                <w:lang w:val="en-US" w:eastAsia="zh-CN"/>
              </w:rPr>
              <w:t>庆阳湖乡水溪沟，产能工艺不变，项目区内</w:t>
            </w:r>
            <w:r>
              <w:rPr>
                <w:rFonts w:hint="eastAsia"/>
                <w:sz w:val="24"/>
              </w:rPr>
              <w:t>新建现场混装多孔粒状铵油炸药生产系统区及其配套措施和危险品储存库区</w:t>
            </w:r>
            <w:r>
              <w:rPr>
                <w:rFonts w:hint="eastAsia"/>
                <w:sz w:val="24"/>
                <w:lang w:val="en-US" w:eastAsia="zh-CN"/>
              </w:rPr>
              <w:t>。于2021年3月25日取得了自治区工信厅出具的《关于新疆天宝混装炸药制造有限公司吉木萨尔县生产点现场混装地面站搬迁的批复》（新工信安函〔2021〕15号），同意迁建。原有工程中的设备按照作废处理，迁建后购置新设备。</w:t>
            </w:r>
          </w:p>
          <w:p>
            <w:pPr>
              <w:adjustRightInd w:val="0"/>
              <w:snapToGrid w:val="0"/>
              <w:spacing w:line="520" w:lineRule="exact"/>
              <w:ind w:firstLine="482" w:firstLineChars="200"/>
              <w:rPr>
                <w:b/>
                <w:sz w:val="24"/>
              </w:rPr>
            </w:pPr>
            <w:r>
              <w:rPr>
                <w:rFonts w:hint="eastAsia"/>
                <w:b/>
                <w:sz w:val="24"/>
                <w:lang w:val="en-US" w:eastAsia="zh-CN"/>
              </w:rPr>
              <w:t>2</w:t>
            </w:r>
            <w:r>
              <w:rPr>
                <w:b/>
                <w:sz w:val="24"/>
              </w:rPr>
              <w:t>、项目建设地点及周边环境概况</w:t>
            </w:r>
          </w:p>
          <w:p>
            <w:pPr>
              <w:adjustRightInd w:val="0"/>
              <w:snapToGrid w:val="0"/>
              <w:spacing w:line="520" w:lineRule="exact"/>
              <w:ind w:firstLine="480" w:firstLineChars="200"/>
              <w:rPr>
                <w:sz w:val="24"/>
              </w:rPr>
            </w:pPr>
            <w:r>
              <w:rPr>
                <w:rFonts w:hint="eastAsia"/>
                <w:sz w:val="24"/>
              </w:rPr>
              <w:t>项目位于新疆维吾尔自治区昌吉回族自治州吉木萨尔县庆阳湖乡水溪沟，中心地理坐标为：东经88</w:t>
            </w:r>
            <w:r>
              <w:rPr>
                <w:sz w:val="24"/>
              </w:rPr>
              <w:t>°</w:t>
            </w:r>
            <w:r>
              <w:rPr>
                <w:rFonts w:hint="eastAsia"/>
                <w:sz w:val="24"/>
              </w:rPr>
              <w:t>58</w:t>
            </w:r>
            <w:r>
              <w:rPr>
                <w:sz w:val="24"/>
              </w:rPr>
              <w:t>′</w:t>
            </w:r>
            <w:r>
              <w:rPr>
                <w:rFonts w:hint="eastAsia"/>
                <w:sz w:val="24"/>
              </w:rPr>
              <w:t>22.783</w:t>
            </w:r>
            <w:r>
              <w:rPr>
                <w:sz w:val="24"/>
              </w:rPr>
              <w:t>″，</w:t>
            </w:r>
            <w:r>
              <w:rPr>
                <w:rFonts w:hint="eastAsia"/>
                <w:sz w:val="24"/>
              </w:rPr>
              <w:t>北纬43</w:t>
            </w:r>
            <w:r>
              <w:rPr>
                <w:sz w:val="24"/>
              </w:rPr>
              <w:t>°</w:t>
            </w:r>
            <w:r>
              <w:rPr>
                <w:rFonts w:hint="eastAsia"/>
                <w:sz w:val="24"/>
              </w:rPr>
              <w:t>59</w:t>
            </w:r>
            <w:r>
              <w:rPr>
                <w:sz w:val="24"/>
              </w:rPr>
              <w:t>′</w:t>
            </w:r>
            <w:r>
              <w:rPr>
                <w:rFonts w:hint="eastAsia"/>
                <w:sz w:val="24"/>
              </w:rPr>
              <w:t>14.042</w:t>
            </w:r>
            <w:r>
              <w:rPr>
                <w:sz w:val="24"/>
              </w:rPr>
              <w:t>″</w:t>
            </w:r>
            <w:r>
              <w:rPr>
                <w:rFonts w:hint="eastAsia"/>
                <w:sz w:val="24"/>
              </w:rPr>
              <w:t>。东、南侧为空地，西、北侧为废弃房屋。本项目用地为工业用地，项目地理位置详见附图1，项目区卫星图详见附图2。</w:t>
            </w:r>
          </w:p>
          <w:p>
            <w:pPr>
              <w:adjustRightInd w:val="0"/>
              <w:snapToGrid w:val="0"/>
              <w:spacing w:line="520" w:lineRule="exact"/>
              <w:ind w:firstLine="482" w:firstLineChars="200"/>
              <w:rPr>
                <w:b/>
                <w:sz w:val="24"/>
              </w:rPr>
            </w:pPr>
            <w:r>
              <w:rPr>
                <w:rFonts w:hint="eastAsia"/>
                <w:b/>
                <w:sz w:val="24"/>
                <w:lang w:val="en-US" w:eastAsia="zh-CN"/>
              </w:rPr>
              <w:t>3</w:t>
            </w:r>
            <w:r>
              <w:rPr>
                <w:b/>
                <w:sz w:val="24"/>
              </w:rPr>
              <w:t>、项目建设内容</w:t>
            </w:r>
          </w:p>
          <w:p>
            <w:pPr>
              <w:adjustRightInd w:val="0"/>
              <w:snapToGrid w:val="0"/>
              <w:spacing w:line="520" w:lineRule="exact"/>
              <w:ind w:firstLine="480" w:firstLineChars="200"/>
              <w:rPr>
                <w:sz w:val="24"/>
              </w:rPr>
            </w:pPr>
            <w:r>
              <w:rPr>
                <w:sz w:val="24"/>
              </w:rPr>
              <w:t>项目建设内容为</w:t>
            </w:r>
            <w:r>
              <w:rPr>
                <w:rFonts w:hint="eastAsia"/>
                <w:sz w:val="24"/>
              </w:rPr>
              <w:t>新建现场混装多孔粒状铵油炸药生产系统区及其配套措施和危险品储存库区，危险品储存库区位于现场混装多孔粒状铵油炸药生产系统区西侧</w:t>
            </w:r>
            <w:r>
              <w:rPr>
                <w:rFonts w:hint="eastAsia"/>
                <w:sz w:val="24"/>
                <w:lang w:val="en-US" w:eastAsia="zh-CN"/>
              </w:rPr>
              <w:t>317</w:t>
            </w:r>
            <w:r>
              <w:rPr>
                <w:rFonts w:hint="eastAsia"/>
                <w:sz w:val="24"/>
              </w:rPr>
              <w:t>m处。</w:t>
            </w:r>
          </w:p>
          <w:p>
            <w:pPr>
              <w:adjustRightInd w:val="0"/>
              <w:snapToGrid w:val="0"/>
              <w:spacing w:line="520" w:lineRule="exact"/>
              <w:ind w:firstLine="480" w:firstLineChars="200"/>
              <w:rPr>
                <w:sz w:val="24"/>
              </w:rPr>
            </w:pPr>
            <w:r>
              <w:rPr>
                <w:sz w:val="24"/>
              </w:rPr>
              <w:t>主要分为主体工程、辅助工程、公用工程、环保工程。工程项目组成见表2-1。</w:t>
            </w:r>
          </w:p>
          <w:p>
            <w:pPr>
              <w:pStyle w:val="60"/>
              <w:spacing w:line="240" w:lineRule="auto"/>
              <w:ind w:firstLine="480"/>
              <w:jc w:val="center"/>
              <w:rPr>
                <w:rFonts w:hAnsi="Times New Roman" w:eastAsia="黑体"/>
                <w:b w:val="0"/>
                <w:bCs w:val="0"/>
                <w:color w:val="auto"/>
                <w:szCs w:val="24"/>
              </w:rPr>
            </w:pPr>
            <w:r>
              <w:rPr>
                <w:rFonts w:hAnsi="Times New Roman" w:eastAsia="黑体"/>
                <w:b w:val="0"/>
                <w:bCs w:val="0"/>
                <w:color w:val="auto"/>
                <w:szCs w:val="24"/>
              </w:rPr>
              <w:t>表2-1  项目建设内容组成一览表</w:t>
            </w:r>
          </w:p>
          <w:tbl>
            <w:tblPr>
              <w:tblStyle w:val="2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908"/>
              <w:gridCol w:w="916"/>
              <w:gridCol w:w="58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6" w:type="pct"/>
                  <w:gridSpan w:val="3"/>
                  <w:vAlign w:val="center"/>
                </w:tcPr>
                <w:p>
                  <w:pPr>
                    <w:widowControl/>
                    <w:jc w:val="center"/>
                    <w:rPr>
                      <w:kern w:val="0"/>
                      <w:szCs w:val="21"/>
                    </w:rPr>
                  </w:pPr>
                  <w:r>
                    <w:rPr>
                      <w:kern w:val="0"/>
                      <w:szCs w:val="21"/>
                    </w:rPr>
                    <w:t>项目组成</w:t>
                  </w:r>
                </w:p>
              </w:tc>
              <w:tc>
                <w:tcPr>
                  <w:tcW w:w="3483" w:type="pct"/>
                  <w:vAlign w:val="center"/>
                </w:tcPr>
                <w:p>
                  <w:pPr>
                    <w:widowControl/>
                    <w:jc w:val="center"/>
                    <w:rPr>
                      <w:kern w:val="0"/>
                      <w:szCs w:val="21"/>
                    </w:rPr>
                  </w:pPr>
                  <w:r>
                    <w:rPr>
                      <w:kern w:val="0"/>
                      <w:szCs w:val="21"/>
                    </w:rPr>
                    <w:t>工程内容及规模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9" w:type="pct"/>
                  <w:vAlign w:val="center"/>
                </w:tcPr>
                <w:p>
                  <w:pPr>
                    <w:widowControl/>
                    <w:jc w:val="center"/>
                    <w:rPr>
                      <w:kern w:val="0"/>
                      <w:szCs w:val="21"/>
                    </w:rPr>
                  </w:pPr>
                  <w:r>
                    <w:rPr>
                      <w:kern w:val="0"/>
                      <w:szCs w:val="21"/>
                    </w:rPr>
                    <w:t>主体工程</w:t>
                  </w:r>
                </w:p>
              </w:tc>
              <w:tc>
                <w:tcPr>
                  <w:tcW w:w="1087" w:type="pct"/>
                  <w:gridSpan w:val="2"/>
                  <w:vAlign w:val="center"/>
                </w:tcPr>
                <w:p>
                  <w:pPr>
                    <w:widowControl/>
                    <w:jc w:val="center"/>
                    <w:rPr>
                      <w:kern w:val="0"/>
                      <w:szCs w:val="21"/>
                    </w:rPr>
                  </w:pPr>
                  <w:r>
                    <w:rPr>
                      <w:rFonts w:hint="eastAsia"/>
                      <w:kern w:val="0"/>
                      <w:szCs w:val="21"/>
                    </w:rPr>
                    <w:t>多孔粒状硝酸铵装车工房</w:t>
                  </w:r>
                </w:p>
              </w:tc>
              <w:tc>
                <w:tcPr>
                  <w:tcW w:w="3483" w:type="pct"/>
                  <w:vAlign w:val="center"/>
                </w:tcPr>
                <w:p>
                  <w:pPr>
                    <w:widowControl/>
                    <w:jc w:val="center"/>
                    <w:rPr>
                      <w:kern w:val="0"/>
                      <w:szCs w:val="21"/>
                    </w:rPr>
                  </w:pPr>
                  <w:r>
                    <w:rPr>
                      <w:rFonts w:hint="eastAsia"/>
                      <w:kern w:val="0"/>
                      <w:szCs w:val="21"/>
                    </w:rPr>
                    <w:t>位于现场混装炸药生产区占地面积81m</w:t>
                  </w:r>
                  <w:r>
                    <w:rPr>
                      <w:rFonts w:hint="eastAsia"/>
                      <w:kern w:val="0"/>
                      <w:szCs w:val="21"/>
                      <w:vertAlign w:val="superscript"/>
                    </w:rPr>
                    <w:t>2</w:t>
                  </w:r>
                  <w:r>
                    <w:rPr>
                      <w:rFonts w:hint="eastAsia"/>
                      <w:kern w:val="0"/>
                      <w:szCs w:val="21"/>
                    </w:rPr>
                    <w:t>，砖混结构，多孔粒状硝酸铵在该工房内进行装车工序；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429" w:type="pct"/>
                  <w:vMerge w:val="restart"/>
                  <w:vAlign w:val="center"/>
                </w:tcPr>
                <w:p>
                  <w:pPr>
                    <w:widowControl/>
                    <w:jc w:val="center"/>
                    <w:rPr>
                      <w:kern w:val="0"/>
                      <w:szCs w:val="21"/>
                    </w:rPr>
                  </w:pPr>
                  <w:r>
                    <w:rPr>
                      <w:kern w:val="0"/>
                      <w:szCs w:val="21"/>
                    </w:rPr>
                    <w:t>辅助工程</w:t>
                  </w:r>
                </w:p>
              </w:tc>
              <w:tc>
                <w:tcPr>
                  <w:tcW w:w="1087" w:type="pct"/>
                  <w:gridSpan w:val="2"/>
                  <w:vAlign w:val="center"/>
                </w:tcPr>
                <w:p>
                  <w:pPr>
                    <w:widowControl/>
                    <w:jc w:val="center"/>
                    <w:rPr>
                      <w:kern w:val="0"/>
                      <w:szCs w:val="21"/>
                    </w:rPr>
                  </w:pPr>
                  <w:r>
                    <w:rPr>
                      <w:rFonts w:hint="eastAsia"/>
                      <w:kern w:val="0"/>
                      <w:szCs w:val="21"/>
                    </w:rPr>
                    <w:t>综合楼</w:t>
                  </w:r>
                </w:p>
              </w:tc>
              <w:tc>
                <w:tcPr>
                  <w:tcW w:w="3483" w:type="pct"/>
                  <w:vAlign w:val="center"/>
                </w:tcPr>
                <w:p>
                  <w:pPr>
                    <w:widowControl/>
                    <w:jc w:val="center"/>
                    <w:rPr>
                      <w:rFonts w:eastAsiaTheme="minorEastAsia"/>
                      <w:kern w:val="0"/>
                      <w:szCs w:val="21"/>
                    </w:rPr>
                  </w:pPr>
                  <w:r>
                    <w:rPr>
                      <w:rFonts w:hint="eastAsia" w:eastAsiaTheme="minorEastAsia"/>
                      <w:szCs w:val="21"/>
                    </w:rPr>
                    <w:t>占地面积1152m</w:t>
                  </w:r>
                  <w:r>
                    <w:rPr>
                      <w:rFonts w:hint="eastAsia" w:eastAsiaTheme="minorEastAsia"/>
                      <w:szCs w:val="21"/>
                      <w:vertAlign w:val="superscript"/>
                    </w:rPr>
                    <w:t>2</w:t>
                  </w:r>
                  <w:r>
                    <w:rPr>
                      <w:rFonts w:hint="eastAsia" w:eastAsiaTheme="minorEastAsia"/>
                      <w:szCs w:val="21"/>
                    </w:rPr>
                    <w:t>，砖混结构，主要用于办公及员工休息；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429" w:type="pct"/>
                  <w:vMerge w:val="continue"/>
                  <w:vAlign w:val="center"/>
                </w:tcPr>
                <w:p>
                  <w:pPr>
                    <w:widowControl/>
                    <w:jc w:val="center"/>
                  </w:pPr>
                </w:p>
              </w:tc>
              <w:tc>
                <w:tcPr>
                  <w:tcW w:w="1087" w:type="pct"/>
                  <w:gridSpan w:val="2"/>
                  <w:vAlign w:val="center"/>
                </w:tcPr>
                <w:p>
                  <w:pPr>
                    <w:widowControl/>
                    <w:jc w:val="center"/>
                    <w:rPr>
                      <w:kern w:val="0"/>
                      <w:szCs w:val="21"/>
                    </w:rPr>
                  </w:pPr>
                  <w:r>
                    <w:rPr>
                      <w:rFonts w:hint="eastAsia"/>
                      <w:kern w:val="0"/>
                      <w:szCs w:val="21"/>
                    </w:rPr>
                    <w:t>职工食堂</w:t>
                  </w:r>
                </w:p>
              </w:tc>
              <w:tc>
                <w:tcPr>
                  <w:tcW w:w="3483" w:type="pct"/>
                  <w:vAlign w:val="center"/>
                </w:tcPr>
                <w:p>
                  <w:pPr>
                    <w:widowControl/>
                    <w:jc w:val="center"/>
                    <w:rPr>
                      <w:kern w:val="0"/>
                      <w:szCs w:val="21"/>
                    </w:rPr>
                  </w:pPr>
                  <w:r>
                    <w:rPr>
                      <w:rFonts w:hint="eastAsia"/>
                      <w:kern w:val="0"/>
                      <w:szCs w:val="21"/>
                    </w:rPr>
                    <w:t>占地面积540</w:t>
                  </w:r>
                  <w:r>
                    <w:rPr>
                      <w:rFonts w:hint="eastAsia" w:eastAsiaTheme="minorEastAsia"/>
                      <w:szCs w:val="21"/>
                    </w:rPr>
                    <w:t>m</w:t>
                  </w:r>
                  <w:r>
                    <w:rPr>
                      <w:rFonts w:hint="eastAsia" w:eastAsiaTheme="minorEastAsia"/>
                      <w:szCs w:val="21"/>
                      <w:vertAlign w:val="superscript"/>
                    </w:rPr>
                    <w:t>2</w:t>
                  </w:r>
                  <w:r>
                    <w:rPr>
                      <w:rFonts w:hint="eastAsia" w:eastAsiaTheme="minorEastAsia"/>
                      <w:szCs w:val="21"/>
                    </w:rPr>
                    <w:t>，砖混结构；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429" w:type="pct"/>
                  <w:vMerge w:val="continue"/>
                  <w:vAlign w:val="center"/>
                </w:tcPr>
                <w:p>
                  <w:pPr>
                    <w:widowControl/>
                    <w:jc w:val="center"/>
                  </w:pPr>
                </w:p>
              </w:tc>
              <w:tc>
                <w:tcPr>
                  <w:tcW w:w="1087" w:type="pct"/>
                  <w:gridSpan w:val="2"/>
                  <w:vAlign w:val="center"/>
                </w:tcPr>
                <w:p>
                  <w:pPr>
                    <w:widowControl/>
                    <w:jc w:val="center"/>
                    <w:rPr>
                      <w:kern w:val="0"/>
                      <w:szCs w:val="21"/>
                    </w:rPr>
                  </w:pPr>
                  <w:r>
                    <w:rPr>
                      <w:rFonts w:hint="eastAsia"/>
                      <w:kern w:val="0"/>
                      <w:szCs w:val="21"/>
                    </w:rPr>
                    <w:t>混装车库</w:t>
                  </w:r>
                </w:p>
              </w:tc>
              <w:tc>
                <w:tcPr>
                  <w:tcW w:w="3483" w:type="pct"/>
                  <w:vAlign w:val="center"/>
                </w:tcPr>
                <w:p>
                  <w:pPr>
                    <w:widowControl/>
                    <w:jc w:val="center"/>
                    <w:rPr>
                      <w:kern w:val="0"/>
                      <w:szCs w:val="21"/>
                    </w:rPr>
                  </w:pPr>
                  <w:r>
                    <w:rPr>
                      <w:rFonts w:hint="eastAsia"/>
                      <w:kern w:val="0"/>
                      <w:szCs w:val="21"/>
                    </w:rPr>
                    <w:t>占地面积</w:t>
                  </w:r>
                  <w:r>
                    <w:rPr>
                      <w:rFonts w:hint="eastAsia" w:eastAsiaTheme="minorEastAsia"/>
                      <w:szCs w:val="21"/>
                    </w:rPr>
                    <w:t>600m</w:t>
                  </w:r>
                  <w:r>
                    <w:rPr>
                      <w:rFonts w:hint="eastAsia" w:eastAsiaTheme="minorEastAsia"/>
                      <w:szCs w:val="21"/>
                      <w:vertAlign w:val="superscript"/>
                    </w:rPr>
                    <w:t>2</w:t>
                  </w:r>
                  <w:r>
                    <w:rPr>
                      <w:rFonts w:hint="eastAsia" w:eastAsiaTheme="minorEastAsia"/>
                      <w:szCs w:val="21"/>
                    </w:rPr>
                    <w:t>，砖混结构；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trPr>
              <w:tc>
                <w:tcPr>
                  <w:tcW w:w="429" w:type="pct"/>
                  <w:vMerge w:val="continue"/>
                  <w:vAlign w:val="center"/>
                </w:tcPr>
                <w:p>
                  <w:pPr>
                    <w:widowControl/>
                    <w:jc w:val="center"/>
                  </w:pPr>
                </w:p>
              </w:tc>
              <w:tc>
                <w:tcPr>
                  <w:tcW w:w="1087" w:type="pct"/>
                  <w:gridSpan w:val="2"/>
                  <w:vAlign w:val="center"/>
                </w:tcPr>
                <w:p>
                  <w:pPr>
                    <w:widowControl/>
                    <w:jc w:val="center"/>
                    <w:rPr>
                      <w:kern w:val="0"/>
                      <w:szCs w:val="21"/>
                    </w:rPr>
                  </w:pPr>
                  <w:r>
                    <w:rPr>
                      <w:rFonts w:hint="eastAsia"/>
                      <w:kern w:val="0"/>
                      <w:szCs w:val="21"/>
                    </w:rPr>
                    <w:t>叉车库及维修间</w:t>
                  </w:r>
                </w:p>
              </w:tc>
              <w:tc>
                <w:tcPr>
                  <w:tcW w:w="3483" w:type="pct"/>
                  <w:vAlign w:val="center"/>
                </w:tcPr>
                <w:p>
                  <w:pPr>
                    <w:widowControl/>
                    <w:jc w:val="center"/>
                    <w:rPr>
                      <w:kern w:val="0"/>
                      <w:szCs w:val="21"/>
                    </w:rPr>
                  </w:pPr>
                  <w:r>
                    <w:rPr>
                      <w:rFonts w:hint="eastAsia"/>
                      <w:kern w:val="0"/>
                      <w:szCs w:val="21"/>
                    </w:rPr>
                    <w:t>占地面积15</w:t>
                  </w:r>
                  <w:r>
                    <w:rPr>
                      <w:rFonts w:hint="eastAsia" w:eastAsiaTheme="minorEastAsia"/>
                      <w:szCs w:val="21"/>
                    </w:rPr>
                    <w:t>0m</w:t>
                  </w:r>
                  <w:r>
                    <w:rPr>
                      <w:rFonts w:hint="eastAsia" w:eastAsiaTheme="minorEastAsia"/>
                      <w:szCs w:val="21"/>
                      <w:vertAlign w:val="superscript"/>
                    </w:rPr>
                    <w:t>2</w:t>
                  </w:r>
                  <w:r>
                    <w:rPr>
                      <w:rFonts w:hint="eastAsia" w:eastAsiaTheme="minorEastAsia"/>
                      <w:szCs w:val="21"/>
                    </w:rPr>
                    <w:t>，砖混结构；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9" w:type="pct"/>
                  <w:vMerge w:val="restart"/>
                  <w:vAlign w:val="center"/>
                </w:tcPr>
                <w:p>
                  <w:pPr>
                    <w:widowControl/>
                    <w:jc w:val="center"/>
                    <w:rPr>
                      <w:kern w:val="0"/>
                      <w:szCs w:val="21"/>
                    </w:rPr>
                  </w:pPr>
                  <w:r>
                    <w:rPr>
                      <w:rFonts w:hint="eastAsia"/>
                      <w:kern w:val="0"/>
                      <w:szCs w:val="21"/>
                    </w:rPr>
                    <w:t>公用工程</w:t>
                  </w:r>
                </w:p>
              </w:tc>
              <w:tc>
                <w:tcPr>
                  <w:tcW w:w="1087" w:type="pct"/>
                  <w:gridSpan w:val="2"/>
                  <w:vAlign w:val="center"/>
                </w:tcPr>
                <w:p>
                  <w:pPr>
                    <w:widowControl/>
                    <w:jc w:val="center"/>
                    <w:rPr>
                      <w:kern w:val="0"/>
                      <w:szCs w:val="21"/>
                    </w:rPr>
                  </w:pPr>
                  <w:r>
                    <w:rPr>
                      <w:kern w:val="0"/>
                      <w:szCs w:val="21"/>
                    </w:rPr>
                    <w:t>供水</w:t>
                  </w:r>
                </w:p>
              </w:tc>
              <w:tc>
                <w:tcPr>
                  <w:tcW w:w="3483" w:type="pct"/>
                  <w:vAlign w:val="center"/>
                </w:tcPr>
                <w:p>
                  <w:pPr>
                    <w:widowControl/>
                    <w:jc w:val="center"/>
                    <w:rPr>
                      <w:kern w:val="0"/>
                      <w:szCs w:val="21"/>
                    </w:rPr>
                  </w:pPr>
                  <w:r>
                    <w:rPr>
                      <w:szCs w:val="21"/>
                    </w:rPr>
                    <w:t>项目用水由</w:t>
                  </w:r>
                  <w:r>
                    <w:rPr>
                      <w:rFonts w:hint="eastAsia"/>
                      <w:szCs w:val="21"/>
                      <w:lang w:val="en-US" w:eastAsia="zh-CN"/>
                    </w:rPr>
                    <w:t>供水管网</w:t>
                  </w:r>
                  <w:r>
                    <w:rPr>
                      <w:szCs w:val="21"/>
                    </w:rPr>
                    <w:t>供给</w:t>
                  </w: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429" w:type="pct"/>
                  <w:vMerge w:val="continue"/>
                  <w:vAlign w:val="center"/>
                </w:tcPr>
                <w:p>
                  <w:pPr>
                    <w:widowControl/>
                    <w:jc w:val="center"/>
                    <w:rPr>
                      <w:kern w:val="0"/>
                      <w:szCs w:val="21"/>
                    </w:rPr>
                  </w:pPr>
                </w:p>
              </w:tc>
              <w:tc>
                <w:tcPr>
                  <w:tcW w:w="1087" w:type="pct"/>
                  <w:gridSpan w:val="2"/>
                  <w:vAlign w:val="center"/>
                </w:tcPr>
                <w:p>
                  <w:pPr>
                    <w:widowControl/>
                    <w:jc w:val="center"/>
                    <w:rPr>
                      <w:kern w:val="0"/>
                      <w:szCs w:val="21"/>
                    </w:rPr>
                  </w:pPr>
                  <w:r>
                    <w:rPr>
                      <w:kern w:val="0"/>
                      <w:szCs w:val="21"/>
                    </w:rPr>
                    <w:t>供电</w:t>
                  </w:r>
                </w:p>
              </w:tc>
              <w:tc>
                <w:tcPr>
                  <w:tcW w:w="3483" w:type="pct"/>
                  <w:vAlign w:val="center"/>
                </w:tcPr>
                <w:p>
                  <w:pPr>
                    <w:widowControl/>
                    <w:jc w:val="center"/>
                    <w:rPr>
                      <w:szCs w:val="21"/>
                    </w:rPr>
                  </w:pPr>
                  <w:r>
                    <w:rPr>
                      <w:szCs w:val="21"/>
                    </w:rPr>
                    <w:t>项目用电</w:t>
                  </w:r>
                  <w:r>
                    <w:rPr>
                      <w:rFonts w:hint="eastAsia"/>
                      <w:szCs w:val="21"/>
                    </w:rPr>
                    <w:t>接入宝明矿区供电线缆</w:t>
                  </w:r>
                  <w:r>
                    <w:rPr>
                      <w:szCs w:val="21"/>
                    </w:rPr>
                    <w:t>供给；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429" w:type="pct"/>
                  <w:vMerge w:val="continue"/>
                  <w:vAlign w:val="center"/>
                </w:tcPr>
                <w:p>
                  <w:pPr>
                    <w:widowControl/>
                    <w:jc w:val="center"/>
                    <w:rPr>
                      <w:kern w:val="0"/>
                      <w:szCs w:val="21"/>
                    </w:rPr>
                  </w:pPr>
                </w:p>
              </w:tc>
              <w:tc>
                <w:tcPr>
                  <w:tcW w:w="1087" w:type="pct"/>
                  <w:gridSpan w:val="2"/>
                  <w:vAlign w:val="center"/>
                </w:tcPr>
                <w:p>
                  <w:pPr>
                    <w:widowControl/>
                    <w:jc w:val="center"/>
                    <w:rPr>
                      <w:kern w:val="0"/>
                      <w:szCs w:val="21"/>
                    </w:rPr>
                  </w:pPr>
                  <w:r>
                    <w:rPr>
                      <w:rFonts w:hint="eastAsia"/>
                      <w:kern w:val="0"/>
                      <w:szCs w:val="21"/>
                    </w:rPr>
                    <w:t>排水</w:t>
                  </w:r>
                </w:p>
              </w:tc>
              <w:tc>
                <w:tcPr>
                  <w:tcW w:w="3483" w:type="pct"/>
                  <w:vAlign w:val="center"/>
                </w:tcPr>
                <w:p>
                  <w:pPr>
                    <w:widowControl/>
                    <w:jc w:val="center"/>
                    <w:rPr>
                      <w:rFonts w:hint="default" w:eastAsia="宋体"/>
                      <w:szCs w:val="21"/>
                      <w:lang w:val="en-US" w:eastAsia="zh-CN"/>
                    </w:rPr>
                  </w:pPr>
                  <w:r>
                    <w:rPr>
                      <w:rFonts w:hint="eastAsia"/>
                      <w:szCs w:val="21"/>
                      <w:lang w:val="en-US" w:eastAsia="zh-CN"/>
                    </w:rPr>
                    <w:t>冲洗废水经隔油沉淀池处理后同生活污水一起排入地埋式一体化污水处理设施处理后用于厂区和周围绿化带绿化；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9" w:type="pct"/>
                  <w:vMerge w:val="continue"/>
                  <w:vAlign w:val="center"/>
                </w:tcPr>
                <w:p>
                  <w:pPr>
                    <w:widowControl/>
                    <w:jc w:val="center"/>
                    <w:rPr>
                      <w:kern w:val="0"/>
                      <w:szCs w:val="21"/>
                    </w:rPr>
                  </w:pPr>
                </w:p>
              </w:tc>
              <w:tc>
                <w:tcPr>
                  <w:tcW w:w="1087" w:type="pct"/>
                  <w:gridSpan w:val="2"/>
                  <w:vAlign w:val="center"/>
                </w:tcPr>
                <w:p>
                  <w:pPr>
                    <w:widowControl/>
                    <w:jc w:val="center"/>
                    <w:rPr>
                      <w:kern w:val="0"/>
                      <w:szCs w:val="21"/>
                    </w:rPr>
                  </w:pPr>
                  <w:r>
                    <w:rPr>
                      <w:rFonts w:hint="eastAsia"/>
                      <w:kern w:val="0"/>
                      <w:szCs w:val="21"/>
                    </w:rPr>
                    <w:t>供热</w:t>
                  </w:r>
                </w:p>
              </w:tc>
              <w:tc>
                <w:tcPr>
                  <w:tcW w:w="3483" w:type="pct"/>
                  <w:vAlign w:val="center"/>
                </w:tcPr>
                <w:p>
                  <w:pPr>
                    <w:widowControl/>
                    <w:jc w:val="center"/>
                    <w:rPr>
                      <w:kern w:val="0"/>
                      <w:szCs w:val="21"/>
                    </w:rPr>
                  </w:pPr>
                  <w:r>
                    <w:rPr>
                      <w:rFonts w:hint="eastAsia"/>
                      <w:kern w:val="0"/>
                      <w:szCs w:val="21"/>
                    </w:rPr>
                    <w:t>冬季供暖依托电采暖；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 w:hRule="atLeast"/>
              </w:trPr>
              <w:tc>
                <w:tcPr>
                  <w:tcW w:w="429" w:type="pct"/>
                  <w:vMerge w:val="restart"/>
                  <w:vAlign w:val="center"/>
                </w:tcPr>
                <w:p>
                  <w:pPr>
                    <w:widowControl/>
                    <w:jc w:val="center"/>
                    <w:rPr>
                      <w:kern w:val="0"/>
                      <w:szCs w:val="21"/>
                    </w:rPr>
                  </w:pPr>
                  <w:r>
                    <w:rPr>
                      <w:rFonts w:hint="eastAsia"/>
                      <w:kern w:val="0"/>
                      <w:szCs w:val="21"/>
                    </w:rPr>
                    <w:t>环保工程</w:t>
                  </w:r>
                </w:p>
              </w:tc>
              <w:tc>
                <w:tcPr>
                  <w:tcW w:w="1087" w:type="pct"/>
                  <w:gridSpan w:val="2"/>
                  <w:vAlign w:val="center"/>
                </w:tcPr>
                <w:p>
                  <w:pPr>
                    <w:widowControl/>
                    <w:jc w:val="center"/>
                    <w:rPr>
                      <w:kern w:val="0"/>
                      <w:szCs w:val="21"/>
                    </w:rPr>
                  </w:pPr>
                  <w:r>
                    <w:rPr>
                      <w:rFonts w:hint="eastAsia"/>
                      <w:kern w:val="0"/>
                      <w:szCs w:val="21"/>
                    </w:rPr>
                    <w:t>废气</w:t>
                  </w:r>
                </w:p>
              </w:tc>
              <w:tc>
                <w:tcPr>
                  <w:tcW w:w="3483" w:type="pct"/>
                  <w:vAlign w:val="center"/>
                </w:tcPr>
                <w:p>
                  <w:pPr>
                    <w:widowControl/>
                    <w:jc w:val="center"/>
                    <w:rPr>
                      <w:rFonts w:hint="eastAsia" w:eastAsia="宋体"/>
                      <w:kern w:val="0"/>
                      <w:szCs w:val="21"/>
                      <w:lang w:eastAsia="zh-CN"/>
                    </w:rPr>
                  </w:pPr>
                  <w:r>
                    <w:rPr>
                      <w:rFonts w:hint="eastAsia"/>
                      <w:kern w:val="0"/>
                      <w:szCs w:val="21"/>
                    </w:rPr>
                    <w:t>上料环节设置密闭上料仓（抑尘效率99%）</w:t>
                  </w:r>
                  <w:r>
                    <w:rPr>
                      <w:rFonts w:hint="eastAsia"/>
                      <w:kern w:val="0"/>
                      <w:szCs w:val="21"/>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429" w:type="pct"/>
                  <w:vMerge w:val="continue"/>
                  <w:vAlign w:val="center"/>
                </w:tcPr>
                <w:p>
                  <w:pPr>
                    <w:widowControl/>
                    <w:jc w:val="center"/>
                    <w:rPr>
                      <w:kern w:val="0"/>
                      <w:szCs w:val="21"/>
                    </w:rPr>
                  </w:pPr>
                </w:p>
              </w:tc>
              <w:tc>
                <w:tcPr>
                  <w:tcW w:w="1087" w:type="pct"/>
                  <w:gridSpan w:val="2"/>
                  <w:vMerge w:val="restart"/>
                  <w:vAlign w:val="center"/>
                </w:tcPr>
                <w:p>
                  <w:pPr>
                    <w:widowControl/>
                    <w:jc w:val="center"/>
                    <w:rPr>
                      <w:kern w:val="0"/>
                      <w:szCs w:val="21"/>
                    </w:rPr>
                  </w:pPr>
                  <w:r>
                    <w:rPr>
                      <w:rFonts w:hint="eastAsia"/>
                      <w:kern w:val="0"/>
                      <w:szCs w:val="21"/>
                    </w:rPr>
                    <w:t>废水</w:t>
                  </w:r>
                </w:p>
              </w:tc>
              <w:tc>
                <w:tcPr>
                  <w:tcW w:w="3483" w:type="pct"/>
                  <w:vAlign w:val="center"/>
                </w:tcPr>
                <w:p>
                  <w:pPr>
                    <w:widowControl/>
                    <w:jc w:val="center"/>
                    <w:rPr>
                      <w:rFonts w:hint="default" w:eastAsia="宋体"/>
                      <w:kern w:val="0"/>
                      <w:szCs w:val="21"/>
                      <w:lang w:val="en-US" w:eastAsia="zh-CN"/>
                    </w:rPr>
                  </w:pPr>
                  <w:r>
                    <w:rPr>
                      <w:rFonts w:hint="eastAsia"/>
                      <w:kern w:val="0"/>
                      <w:szCs w:val="21"/>
                    </w:rPr>
                    <w:t>地面冲洗废水、车辆冲洗废水经隔油沉淀池处理后</w:t>
                  </w:r>
                  <w:r>
                    <w:rPr>
                      <w:rFonts w:hint="eastAsia"/>
                      <w:szCs w:val="21"/>
                    </w:rPr>
                    <w:t>排入</w:t>
                  </w:r>
                  <w:r>
                    <w:rPr>
                      <w:rFonts w:hint="eastAsia"/>
                      <w:szCs w:val="21"/>
                      <w:lang w:val="en-US" w:eastAsia="zh-CN"/>
                    </w:rPr>
                    <w:t>地埋式一体化污水处理设施经处理后用于厂区和周围绿化带；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429" w:type="pct"/>
                  <w:vMerge w:val="continue"/>
                  <w:vAlign w:val="center"/>
                </w:tcPr>
                <w:p>
                  <w:pPr>
                    <w:widowControl/>
                    <w:jc w:val="center"/>
                    <w:rPr>
                      <w:kern w:val="0"/>
                      <w:szCs w:val="21"/>
                    </w:rPr>
                  </w:pPr>
                </w:p>
              </w:tc>
              <w:tc>
                <w:tcPr>
                  <w:tcW w:w="1087" w:type="pct"/>
                  <w:gridSpan w:val="2"/>
                  <w:vMerge w:val="continue"/>
                  <w:vAlign w:val="center"/>
                </w:tcPr>
                <w:p>
                  <w:pPr>
                    <w:widowControl/>
                    <w:jc w:val="center"/>
                    <w:rPr>
                      <w:kern w:val="0"/>
                      <w:szCs w:val="21"/>
                    </w:rPr>
                  </w:pPr>
                </w:p>
              </w:tc>
              <w:tc>
                <w:tcPr>
                  <w:tcW w:w="3483" w:type="pct"/>
                  <w:vAlign w:val="center"/>
                </w:tcPr>
                <w:p>
                  <w:pPr>
                    <w:widowControl/>
                    <w:jc w:val="center"/>
                    <w:rPr>
                      <w:kern w:val="0"/>
                      <w:szCs w:val="21"/>
                    </w:rPr>
                  </w:pPr>
                  <w:r>
                    <w:rPr>
                      <w:rFonts w:hint="eastAsia"/>
                      <w:kern w:val="0"/>
                      <w:szCs w:val="21"/>
                    </w:rPr>
                    <w:t>生活污水排入</w:t>
                  </w:r>
                  <w:r>
                    <w:rPr>
                      <w:rFonts w:hint="eastAsia"/>
                      <w:szCs w:val="21"/>
                      <w:lang w:val="en-US" w:eastAsia="zh-CN"/>
                    </w:rPr>
                    <w:t>地埋式一体化污水处理设施经处理后用于厂区绿化</w:t>
                  </w: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429" w:type="pct"/>
                  <w:vMerge w:val="continue"/>
                  <w:vAlign w:val="center"/>
                </w:tcPr>
                <w:p>
                  <w:pPr>
                    <w:widowControl/>
                    <w:jc w:val="center"/>
                    <w:rPr>
                      <w:kern w:val="0"/>
                      <w:szCs w:val="21"/>
                    </w:rPr>
                  </w:pPr>
                </w:p>
              </w:tc>
              <w:tc>
                <w:tcPr>
                  <w:tcW w:w="1087" w:type="pct"/>
                  <w:gridSpan w:val="2"/>
                  <w:vMerge w:val="continue"/>
                  <w:vAlign w:val="center"/>
                </w:tcPr>
                <w:p>
                  <w:pPr>
                    <w:widowControl/>
                    <w:jc w:val="center"/>
                    <w:rPr>
                      <w:kern w:val="0"/>
                      <w:szCs w:val="21"/>
                    </w:rPr>
                  </w:pPr>
                </w:p>
              </w:tc>
              <w:tc>
                <w:tcPr>
                  <w:tcW w:w="3483" w:type="pct"/>
                  <w:vAlign w:val="center"/>
                </w:tcPr>
                <w:p>
                  <w:pPr>
                    <w:widowControl/>
                    <w:jc w:val="center"/>
                    <w:rPr>
                      <w:kern w:val="0"/>
                      <w:szCs w:val="21"/>
                    </w:rPr>
                  </w:pPr>
                  <w:r>
                    <w:rPr>
                      <w:rFonts w:hint="eastAsia"/>
                      <w:kern w:val="0"/>
                      <w:szCs w:val="21"/>
                    </w:rPr>
                    <w:t>食堂废水经隔油池处理后</w:t>
                  </w:r>
                  <w:r>
                    <w:rPr>
                      <w:rFonts w:hint="eastAsia"/>
                      <w:szCs w:val="21"/>
                    </w:rPr>
                    <w:t>排入</w:t>
                  </w:r>
                  <w:r>
                    <w:rPr>
                      <w:rFonts w:hint="eastAsia"/>
                      <w:szCs w:val="21"/>
                      <w:lang w:val="en-US" w:eastAsia="zh-CN"/>
                    </w:rPr>
                    <w:t>地埋式一体化污水处理设施经处理后用于厂区绿化</w:t>
                  </w: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429" w:type="pct"/>
                  <w:vMerge w:val="continue"/>
                  <w:vAlign w:val="center"/>
                </w:tcPr>
                <w:p>
                  <w:pPr>
                    <w:widowControl/>
                    <w:jc w:val="center"/>
                    <w:rPr>
                      <w:kern w:val="0"/>
                      <w:szCs w:val="21"/>
                    </w:rPr>
                  </w:pPr>
                </w:p>
              </w:tc>
              <w:tc>
                <w:tcPr>
                  <w:tcW w:w="1087" w:type="pct"/>
                  <w:gridSpan w:val="2"/>
                  <w:vMerge w:val="restart"/>
                  <w:vAlign w:val="center"/>
                </w:tcPr>
                <w:p>
                  <w:pPr>
                    <w:widowControl/>
                    <w:jc w:val="center"/>
                    <w:rPr>
                      <w:kern w:val="0"/>
                      <w:szCs w:val="21"/>
                    </w:rPr>
                  </w:pPr>
                  <w:r>
                    <w:rPr>
                      <w:rFonts w:hint="eastAsia"/>
                      <w:kern w:val="0"/>
                      <w:szCs w:val="21"/>
                    </w:rPr>
                    <w:t>固废</w:t>
                  </w:r>
                </w:p>
              </w:tc>
              <w:tc>
                <w:tcPr>
                  <w:tcW w:w="3483" w:type="pct"/>
                  <w:vAlign w:val="center"/>
                </w:tcPr>
                <w:p>
                  <w:pPr>
                    <w:widowControl/>
                    <w:jc w:val="center"/>
                    <w:rPr>
                      <w:kern w:val="0"/>
                      <w:szCs w:val="21"/>
                    </w:rPr>
                  </w:pPr>
                  <w:r>
                    <w:rPr>
                      <w:rFonts w:hint="eastAsia"/>
                      <w:kern w:val="0"/>
                      <w:szCs w:val="21"/>
                    </w:rPr>
                    <w:t>废包装袋由厂家回收；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429" w:type="pct"/>
                  <w:vMerge w:val="continue"/>
                  <w:vAlign w:val="center"/>
                </w:tcPr>
                <w:p>
                  <w:pPr>
                    <w:widowControl/>
                    <w:jc w:val="center"/>
                  </w:pPr>
                </w:p>
              </w:tc>
              <w:tc>
                <w:tcPr>
                  <w:tcW w:w="1087" w:type="pct"/>
                  <w:gridSpan w:val="2"/>
                  <w:vMerge w:val="continue"/>
                  <w:vAlign w:val="center"/>
                </w:tcPr>
                <w:p>
                  <w:pPr>
                    <w:widowControl/>
                    <w:jc w:val="center"/>
                  </w:pPr>
                </w:p>
              </w:tc>
              <w:tc>
                <w:tcPr>
                  <w:tcW w:w="3483" w:type="pct"/>
                  <w:vAlign w:val="center"/>
                </w:tcPr>
                <w:p>
                  <w:pPr>
                    <w:widowControl/>
                    <w:jc w:val="center"/>
                    <w:rPr>
                      <w:kern w:val="0"/>
                      <w:szCs w:val="21"/>
                    </w:rPr>
                  </w:pPr>
                  <w:r>
                    <w:rPr>
                      <w:rFonts w:hint="eastAsia"/>
                      <w:kern w:val="0"/>
                      <w:szCs w:val="21"/>
                    </w:rPr>
                    <w:t>生活垃圾</w:t>
                  </w:r>
                  <w:r>
                    <w:rPr>
                      <w:szCs w:val="21"/>
                    </w:rPr>
                    <w:t>收集后交由环卫部门统一清理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429" w:type="pct"/>
                  <w:vMerge w:val="continue"/>
                  <w:vAlign w:val="center"/>
                </w:tcPr>
                <w:p>
                  <w:pPr>
                    <w:widowControl/>
                    <w:jc w:val="center"/>
                  </w:pPr>
                </w:p>
              </w:tc>
              <w:tc>
                <w:tcPr>
                  <w:tcW w:w="1087" w:type="pct"/>
                  <w:gridSpan w:val="2"/>
                  <w:vMerge w:val="continue"/>
                  <w:vAlign w:val="center"/>
                </w:tcPr>
                <w:p>
                  <w:pPr>
                    <w:widowControl/>
                    <w:jc w:val="center"/>
                  </w:pPr>
                </w:p>
              </w:tc>
              <w:tc>
                <w:tcPr>
                  <w:tcW w:w="3483" w:type="pct"/>
                  <w:vAlign w:val="center"/>
                </w:tcPr>
                <w:p>
                  <w:pPr>
                    <w:widowControl/>
                    <w:jc w:val="center"/>
                    <w:rPr>
                      <w:kern w:val="0"/>
                      <w:szCs w:val="21"/>
                    </w:rPr>
                  </w:pPr>
                  <w:r>
                    <w:rPr>
                      <w:rFonts w:hint="eastAsia"/>
                      <w:szCs w:val="21"/>
                    </w:rPr>
                    <w:t>厨余垃圾收集后交由厨余垃圾处理单位统一处置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429" w:type="pct"/>
                  <w:vMerge w:val="continue"/>
                  <w:vAlign w:val="center"/>
                </w:tcPr>
                <w:p>
                  <w:pPr>
                    <w:widowControl/>
                    <w:jc w:val="center"/>
                  </w:pPr>
                </w:p>
              </w:tc>
              <w:tc>
                <w:tcPr>
                  <w:tcW w:w="1087" w:type="pct"/>
                  <w:gridSpan w:val="2"/>
                  <w:vMerge w:val="continue"/>
                  <w:vAlign w:val="center"/>
                </w:tcPr>
                <w:p>
                  <w:pPr>
                    <w:widowControl/>
                    <w:jc w:val="center"/>
                  </w:pPr>
                </w:p>
              </w:tc>
              <w:tc>
                <w:tcPr>
                  <w:tcW w:w="3483" w:type="pct"/>
                  <w:vAlign w:val="center"/>
                </w:tcPr>
                <w:p>
                  <w:pPr>
                    <w:widowControl/>
                    <w:jc w:val="center"/>
                    <w:rPr>
                      <w:szCs w:val="21"/>
                    </w:rPr>
                  </w:pPr>
                  <w:r>
                    <w:rPr>
                      <w:rFonts w:hint="eastAsia"/>
                      <w:szCs w:val="21"/>
                    </w:rPr>
                    <w:t>设立危废暂存间暂存，暂存废机油、浮油渣，委托具有处理资质的单位处理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9" w:type="pct"/>
                  <w:vMerge w:val="continue"/>
                  <w:vAlign w:val="center"/>
                </w:tcPr>
                <w:p>
                  <w:pPr>
                    <w:widowControl/>
                    <w:jc w:val="center"/>
                    <w:rPr>
                      <w:kern w:val="0"/>
                      <w:szCs w:val="21"/>
                    </w:rPr>
                  </w:pPr>
                </w:p>
              </w:tc>
              <w:tc>
                <w:tcPr>
                  <w:tcW w:w="1087" w:type="pct"/>
                  <w:gridSpan w:val="2"/>
                  <w:vAlign w:val="center"/>
                </w:tcPr>
                <w:p>
                  <w:pPr>
                    <w:widowControl/>
                    <w:jc w:val="center"/>
                    <w:rPr>
                      <w:kern w:val="0"/>
                      <w:szCs w:val="21"/>
                    </w:rPr>
                  </w:pPr>
                  <w:r>
                    <w:rPr>
                      <w:rFonts w:hint="eastAsia"/>
                      <w:kern w:val="0"/>
                      <w:szCs w:val="21"/>
                    </w:rPr>
                    <w:t>噪声</w:t>
                  </w:r>
                </w:p>
              </w:tc>
              <w:tc>
                <w:tcPr>
                  <w:tcW w:w="3483" w:type="pct"/>
                  <w:vAlign w:val="center"/>
                </w:tcPr>
                <w:p>
                  <w:pPr>
                    <w:widowControl/>
                    <w:jc w:val="center"/>
                    <w:rPr>
                      <w:kern w:val="0"/>
                      <w:szCs w:val="21"/>
                    </w:rPr>
                  </w:pPr>
                  <w:r>
                    <w:rPr>
                      <w:szCs w:val="21"/>
                    </w:rPr>
                    <w:t>橡胶减震接头、减震垫、消声、隔声门窗、选用低噪声</w:t>
                  </w:r>
                  <w:r>
                    <w:rPr>
                      <w:rFonts w:hint="eastAsia"/>
                      <w:szCs w:val="21"/>
                    </w:rPr>
                    <w:t>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9" w:type="pct"/>
                  <w:vMerge w:val="continue"/>
                  <w:vAlign w:val="center"/>
                </w:tcPr>
                <w:p>
                  <w:pPr>
                    <w:widowControl/>
                    <w:jc w:val="center"/>
                    <w:rPr>
                      <w:kern w:val="0"/>
                      <w:szCs w:val="21"/>
                    </w:rPr>
                  </w:pPr>
                </w:p>
              </w:tc>
              <w:tc>
                <w:tcPr>
                  <w:tcW w:w="1087" w:type="pct"/>
                  <w:gridSpan w:val="2"/>
                  <w:vAlign w:val="center"/>
                </w:tcPr>
                <w:p>
                  <w:pPr>
                    <w:widowControl/>
                    <w:jc w:val="center"/>
                    <w:rPr>
                      <w:kern w:val="0"/>
                      <w:szCs w:val="21"/>
                    </w:rPr>
                  </w:pPr>
                  <w:r>
                    <w:rPr>
                      <w:rFonts w:hint="eastAsia"/>
                      <w:kern w:val="0"/>
                      <w:szCs w:val="21"/>
                    </w:rPr>
                    <w:t>生态</w:t>
                  </w:r>
                </w:p>
              </w:tc>
              <w:tc>
                <w:tcPr>
                  <w:tcW w:w="3483" w:type="pct"/>
                  <w:vAlign w:val="center"/>
                </w:tcPr>
                <w:p>
                  <w:pPr>
                    <w:widowControl/>
                    <w:jc w:val="center"/>
                    <w:rPr>
                      <w:kern w:val="0"/>
                      <w:szCs w:val="21"/>
                    </w:rPr>
                  </w:pPr>
                  <w:r>
                    <w:rPr>
                      <w:rFonts w:hint="eastAsia"/>
                      <w:kern w:val="0"/>
                      <w:szCs w:val="21"/>
                    </w:rPr>
                    <w:t>厂区内设置绿化带，总绿化面积2000m</w:t>
                  </w:r>
                  <w:r>
                    <w:rPr>
                      <w:rFonts w:hint="eastAsia"/>
                      <w:kern w:val="0"/>
                      <w:szCs w:val="21"/>
                      <w:vertAlign w:val="superscript"/>
                    </w:rPr>
                    <w:t>2</w:t>
                  </w:r>
                  <w:r>
                    <w:rPr>
                      <w:rFonts w:hint="eastAsia"/>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9" w:type="pct"/>
                  <w:vMerge w:val="restart"/>
                  <w:vAlign w:val="center"/>
                </w:tcPr>
                <w:p>
                  <w:pPr>
                    <w:widowControl/>
                    <w:jc w:val="center"/>
                    <w:rPr>
                      <w:kern w:val="0"/>
                      <w:szCs w:val="21"/>
                    </w:rPr>
                  </w:pPr>
                  <w:r>
                    <w:rPr>
                      <w:kern w:val="0"/>
                      <w:szCs w:val="21"/>
                    </w:rPr>
                    <w:t>储运工程</w:t>
                  </w:r>
                </w:p>
              </w:tc>
              <w:tc>
                <w:tcPr>
                  <w:tcW w:w="541" w:type="pct"/>
                  <w:vMerge w:val="restart"/>
                  <w:vAlign w:val="center"/>
                </w:tcPr>
                <w:p>
                  <w:pPr>
                    <w:widowControl/>
                    <w:jc w:val="center"/>
                    <w:rPr>
                      <w:kern w:val="0"/>
                      <w:szCs w:val="21"/>
                    </w:rPr>
                  </w:pPr>
                  <w:r>
                    <w:rPr>
                      <w:rFonts w:hint="eastAsia"/>
                      <w:szCs w:val="21"/>
                    </w:rPr>
                    <w:t>危险品储存库区</w:t>
                  </w:r>
                </w:p>
              </w:tc>
              <w:tc>
                <w:tcPr>
                  <w:tcW w:w="546" w:type="pct"/>
                  <w:vAlign w:val="center"/>
                </w:tcPr>
                <w:p>
                  <w:pPr>
                    <w:widowControl/>
                    <w:jc w:val="center"/>
                    <w:rPr>
                      <w:kern w:val="0"/>
                      <w:szCs w:val="21"/>
                    </w:rPr>
                  </w:pPr>
                  <w:r>
                    <w:rPr>
                      <w:rFonts w:hint="eastAsia"/>
                      <w:kern w:val="0"/>
                      <w:szCs w:val="21"/>
                    </w:rPr>
                    <w:t>工业炸药库</w:t>
                  </w:r>
                </w:p>
              </w:tc>
              <w:tc>
                <w:tcPr>
                  <w:tcW w:w="3483" w:type="pct"/>
                  <w:vAlign w:val="center"/>
                </w:tcPr>
                <w:p>
                  <w:pPr>
                    <w:widowControl/>
                    <w:jc w:val="center"/>
                    <w:rPr>
                      <w:kern w:val="0"/>
                      <w:szCs w:val="21"/>
                    </w:rPr>
                  </w:pPr>
                  <w:r>
                    <w:rPr>
                      <w:rFonts w:hint="eastAsia"/>
                      <w:kern w:val="0"/>
                      <w:szCs w:val="21"/>
                    </w:rPr>
                    <w:t>位于危险品储存库区，占地面积36m</w:t>
                  </w:r>
                  <w:r>
                    <w:rPr>
                      <w:rFonts w:hint="eastAsia"/>
                      <w:kern w:val="0"/>
                      <w:szCs w:val="21"/>
                      <w:vertAlign w:val="superscript"/>
                    </w:rPr>
                    <w:t>2</w:t>
                  </w:r>
                  <w:r>
                    <w:rPr>
                      <w:rFonts w:hint="eastAsia"/>
                      <w:kern w:val="0"/>
                      <w:szCs w:val="21"/>
                    </w:rPr>
                    <w:t>，砖混结构，用于储存炸药，最大储存量10t；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9" w:type="pct"/>
                  <w:vMerge w:val="continue"/>
                  <w:vAlign w:val="center"/>
                </w:tcPr>
                <w:p>
                  <w:pPr>
                    <w:widowControl/>
                    <w:jc w:val="center"/>
                    <w:rPr>
                      <w:kern w:val="0"/>
                      <w:szCs w:val="21"/>
                    </w:rPr>
                  </w:pPr>
                </w:p>
              </w:tc>
              <w:tc>
                <w:tcPr>
                  <w:tcW w:w="541" w:type="pct"/>
                  <w:vMerge w:val="continue"/>
                  <w:vAlign w:val="center"/>
                </w:tcPr>
                <w:p>
                  <w:pPr>
                    <w:widowControl/>
                    <w:jc w:val="center"/>
                    <w:rPr>
                      <w:kern w:val="0"/>
                      <w:szCs w:val="21"/>
                    </w:rPr>
                  </w:pPr>
                </w:p>
              </w:tc>
              <w:tc>
                <w:tcPr>
                  <w:tcW w:w="546" w:type="pct"/>
                  <w:vAlign w:val="center"/>
                </w:tcPr>
                <w:p>
                  <w:pPr>
                    <w:widowControl/>
                    <w:jc w:val="center"/>
                    <w:rPr>
                      <w:kern w:val="0"/>
                      <w:szCs w:val="21"/>
                    </w:rPr>
                  </w:pPr>
                  <w:r>
                    <w:rPr>
                      <w:rFonts w:hint="eastAsia"/>
                      <w:kern w:val="0"/>
                      <w:szCs w:val="21"/>
                    </w:rPr>
                    <w:t>工业雷管库</w:t>
                  </w:r>
                </w:p>
              </w:tc>
              <w:tc>
                <w:tcPr>
                  <w:tcW w:w="3483" w:type="pct"/>
                  <w:vAlign w:val="center"/>
                </w:tcPr>
                <w:p>
                  <w:pPr>
                    <w:widowControl/>
                    <w:jc w:val="center"/>
                    <w:rPr>
                      <w:kern w:val="0"/>
                      <w:szCs w:val="21"/>
                    </w:rPr>
                  </w:pPr>
                  <w:r>
                    <w:rPr>
                      <w:rFonts w:hint="eastAsia"/>
                      <w:kern w:val="0"/>
                      <w:szCs w:val="21"/>
                    </w:rPr>
                    <w:t>位于危险品储存库区，占地面积36m</w:t>
                  </w:r>
                  <w:r>
                    <w:rPr>
                      <w:rFonts w:hint="eastAsia"/>
                      <w:kern w:val="0"/>
                      <w:szCs w:val="21"/>
                      <w:vertAlign w:val="superscript"/>
                    </w:rPr>
                    <w:t>2</w:t>
                  </w:r>
                  <w:r>
                    <w:rPr>
                      <w:rFonts w:hint="eastAsia"/>
                      <w:kern w:val="0"/>
                      <w:szCs w:val="21"/>
                    </w:rPr>
                    <w:t>，砖混结构，用于储存雷管，最大储存量1万发；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9" w:type="pct"/>
                  <w:vMerge w:val="continue"/>
                  <w:vAlign w:val="center"/>
                </w:tcPr>
                <w:p>
                  <w:pPr>
                    <w:widowControl/>
                    <w:jc w:val="center"/>
                    <w:rPr>
                      <w:kern w:val="0"/>
                      <w:szCs w:val="21"/>
                    </w:rPr>
                  </w:pPr>
                </w:p>
              </w:tc>
              <w:tc>
                <w:tcPr>
                  <w:tcW w:w="1087" w:type="pct"/>
                  <w:gridSpan w:val="2"/>
                  <w:vAlign w:val="center"/>
                </w:tcPr>
                <w:p>
                  <w:pPr>
                    <w:widowControl/>
                    <w:jc w:val="center"/>
                    <w:rPr>
                      <w:kern w:val="0"/>
                      <w:szCs w:val="21"/>
                    </w:rPr>
                  </w:pPr>
                  <w:r>
                    <w:rPr>
                      <w:rFonts w:hint="eastAsia"/>
                      <w:kern w:val="0"/>
                      <w:szCs w:val="21"/>
                    </w:rPr>
                    <w:t>硝酸铵库</w:t>
                  </w:r>
                </w:p>
              </w:tc>
              <w:tc>
                <w:tcPr>
                  <w:tcW w:w="3483" w:type="pct"/>
                  <w:vAlign w:val="center"/>
                </w:tcPr>
                <w:p>
                  <w:pPr>
                    <w:widowControl/>
                    <w:jc w:val="center"/>
                    <w:rPr>
                      <w:kern w:val="0"/>
                      <w:szCs w:val="21"/>
                    </w:rPr>
                  </w:pPr>
                  <w:r>
                    <w:rPr>
                      <w:rFonts w:hint="eastAsia"/>
                      <w:kern w:val="0"/>
                      <w:szCs w:val="21"/>
                    </w:rPr>
                    <w:t>位于现场混装炸药生产区，占地面积900m</w:t>
                  </w:r>
                  <w:r>
                    <w:rPr>
                      <w:rFonts w:hint="eastAsia"/>
                      <w:kern w:val="0"/>
                      <w:szCs w:val="21"/>
                      <w:vertAlign w:val="superscript"/>
                    </w:rPr>
                    <w:t>2</w:t>
                  </w:r>
                  <w:r>
                    <w:rPr>
                      <w:rFonts w:hint="eastAsia"/>
                      <w:kern w:val="0"/>
                      <w:szCs w:val="21"/>
                    </w:rPr>
                    <w:t>，砖混结构，用于储存硝酸铵，最大储存量600t；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9" w:type="pct"/>
                  <w:vMerge w:val="continue"/>
                  <w:vAlign w:val="center"/>
                </w:tcPr>
                <w:p>
                  <w:pPr>
                    <w:widowControl/>
                    <w:jc w:val="center"/>
                    <w:rPr>
                      <w:kern w:val="0"/>
                      <w:szCs w:val="21"/>
                    </w:rPr>
                  </w:pPr>
                </w:p>
              </w:tc>
              <w:tc>
                <w:tcPr>
                  <w:tcW w:w="1087" w:type="pct"/>
                  <w:gridSpan w:val="2"/>
                  <w:vAlign w:val="center"/>
                </w:tcPr>
                <w:p>
                  <w:pPr>
                    <w:widowControl/>
                    <w:jc w:val="center"/>
                    <w:rPr>
                      <w:kern w:val="0"/>
                      <w:szCs w:val="21"/>
                    </w:rPr>
                  </w:pPr>
                  <w:r>
                    <w:rPr>
                      <w:rFonts w:hint="eastAsia"/>
                      <w:kern w:val="0"/>
                      <w:szCs w:val="21"/>
                    </w:rPr>
                    <w:t>综合材料库房</w:t>
                  </w:r>
                </w:p>
              </w:tc>
              <w:tc>
                <w:tcPr>
                  <w:tcW w:w="3483" w:type="pct"/>
                  <w:vAlign w:val="center"/>
                </w:tcPr>
                <w:p>
                  <w:pPr>
                    <w:widowControl/>
                    <w:jc w:val="center"/>
                    <w:rPr>
                      <w:kern w:val="0"/>
                      <w:szCs w:val="21"/>
                    </w:rPr>
                  </w:pPr>
                  <w:r>
                    <w:rPr>
                      <w:rFonts w:hint="eastAsia"/>
                      <w:kern w:val="0"/>
                      <w:szCs w:val="21"/>
                    </w:rPr>
                    <w:t>位于现场混装炸药生产区，占地面积360m</w:t>
                  </w:r>
                  <w:r>
                    <w:rPr>
                      <w:rFonts w:hint="eastAsia"/>
                      <w:kern w:val="0"/>
                      <w:szCs w:val="21"/>
                      <w:vertAlign w:val="superscript"/>
                    </w:rPr>
                    <w:t>2</w:t>
                  </w:r>
                  <w:r>
                    <w:rPr>
                      <w:rFonts w:hint="eastAsia"/>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9" w:type="pct"/>
                  <w:vMerge w:val="continue"/>
                  <w:vAlign w:val="center"/>
                </w:tcPr>
                <w:p>
                  <w:pPr>
                    <w:widowControl/>
                    <w:jc w:val="center"/>
                    <w:rPr>
                      <w:kern w:val="0"/>
                      <w:szCs w:val="21"/>
                    </w:rPr>
                  </w:pPr>
                </w:p>
              </w:tc>
              <w:tc>
                <w:tcPr>
                  <w:tcW w:w="1087" w:type="pct"/>
                  <w:gridSpan w:val="2"/>
                  <w:vAlign w:val="center"/>
                </w:tcPr>
                <w:p>
                  <w:pPr>
                    <w:widowControl/>
                    <w:jc w:val="center"/>
                    <w:rPr>
                      <w:kern w:val="0"/>
                      <w:szCs w:val="21"/>
                    </w:rPr>
                  </w:pPr>
                  <w:r>
                    <w:rPr>
                      <w:rFonts w:hint="eastAsia"/>
                      <w:kern w:val="0"/>
                      <w:szCs w:val="21"/>
                      <w:lang w:val="en-US" w:eastAsia="zh-CN"/>
                    </w:rPr>
                    <w:t>双层</w:t>
                  </w:r>
                  <w:r>
                    <w:rPr>
                      <w:rFonts w:hint="eastAsia"/>
                      <w:kern w:val="0"/>
                      <w:szCs w:val="21"/>
                    </w:rPr>
                    <w:t>柴油储罐</w:t>
                  </w:r>
                </w:p>
              </w:tc>
              <w:tc>
                <w:tcPr>
                  <w:tcW w:w="3483" w:type="pct"/>
                  <w:vAlign w:val="center"/>
                </w:tcPr>
                <w:p>
                  <w:pPr>
                    <w:widowControl/>
                    <w:jc w:val="center"/>
                    <w:rPr>
                      <w:kern w:val="0"/>
                      <w:szCs w:val="21"/>
                    </w:rPr>
                  </w:pPr>
                  <w:r>
                    <w:rPr>
                      <w:rFonts w:hint="eastAsia"/>
                      <w:kern w:val="0"/>
                      <w:szCs w:val="21"/>
                    </w:rPr>
                    <w:t>位于现场混装炸药生产区，容积50m</w:t>
                  </w:r>
                  <w:r>
                    <w:rPr>
                      <w:rFonts w:hint="eastAsia"/>
                      <w:kern w:val="0"/>
                      <w:szCs w:val="21"/>
                      <w:vertAlign w:val="superscript"/>
                    </w:rPr>
                    <w:t>3</w:t>
                  </w:r>
                  <w:r>
                    <w:rPr>
                      <w:rFonts w:hint="eastAsia"/>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429" w:type="pct"/>
                  <w:vAlign w:val="center"/>
                </w:tcPr>
                <w:p>
                  <w:pPr>
                    <w:widowControl/>
                    <w:jc w:val="center"/>
                    <w:rPr>
                      <w:kern w:val="0"/>
                      <w:szCs w:val="21"/>
                    </w:rPr>
                  </w:pPr>
                  <w:r>
                    <w:rPr>
                      <w:rFonts w:hint="eastAsia"/>
                      <w:kern w:val="0"/>
                      <w:szCs w:val="21"/>
                    </w:rPr>
                    <w:t>依托</w:t>
                  </w:r>
                  <w:r>
                    <w:rPr>
                      <w:kern w:val="0"/>
                      <w:szCs w:val="21"/>
                    </w:rPr>
                    <w:t>工程</w:t>
                  </w:r>
                </w:p>
              </w:tc>
              <w:tc>
                <w:tcPr>
                  <w:tcW w:w="1087" w:type="pct"/>
                  <w:gridSpan w:val="2"/>
                  <w:vAlign w:val="center"/>
                </w:tcPr>
                <w:p>
                  <w:pPr>
                    <w:widowControl/>
                    <w:jc w:val="center"/>
                    <w:rPr>
                      <w:kern w:val="0"/>
                      <w:szCs w:val="21"/>
                    </w:rPr>
                  </w:pPr>
                  <w:r>
                    <w:rPr>
                      <w:rFonts w:hint="eastAsia"/>
                      <w:kern w:val="0"/>
                      <w:szCs w:val="21"/>
                    </w:rPr>
                    <w:t>/</w:t>
                  </w:r>
                </w:p>
              </w:tc>
              <w:tc>
                <w:tcPr>
                  <w:tcW w:w="3483" w:type="pct"/>
                  <w:vAlign w:val="center"/>
                </w:tcPr>
                <w:p>
                  <w:pPr>
                    <w:widowControl/>
                    <w:jc w:val="center"/>
                    <w:rPr>
                      <w:kern w:val="0"/>
                      <w:szCs w:val="21"/>
                    </w:rPr>
                  </w:pPr>
                  <w:r>
                    <w:rPr>
                      <w:rFonts w:hint="eastAsia"/>
                      <w:kern w:val="0"/>
                      <w:szCs w:val="21"/>
                    </w:rPr>
                    <w:t>/</w:t>
                  </w:r>
                </w:p>
              </w:tc>
            </w:tr>
          </w:tbl>
          <w:p>
            <w:pPr>
              <w:adjustRightInd w:val="0"/>
              <w:snapToGrid w:val="0"/>
              <w:spacing w:line="520" w:lineRule="exact"/>
              <w:ind w:firstLine="482" w:firstLineChars="200"/>
              <w:rPr>
                <w:b/>
                <w:bCs/>
                <w:sz w:val="24"/>
              </w:rPr>
            </w:pPr>
            <w:r>
              <w:rPr>
                <w:rFonts w:hint="eastAsia"/>
                <w:b/>
                <w:bCs/>
                <w:sz w:val="24"/>
                <w:lang w:val="en-US" w:eastAsia="zh-CN"/>
              </w:rPr>
              <w:t>4</w:t>
            </w:r>
            <w:r>
              <w:rPr>
                <w:rFonts w:hint="eastAsia"/>
                <w:b/>
                <w:bCs/>
                <w:sz w:val="24"/>
              </w:rPr>
              <w:t>、主要产品</w:t>
            </w:r>
          </w:p>
          <w:p>
            <w:pPr>
              <w:adjustRightInd w:val="0"/>
              <w:snapToGrid w:val="0"/>
              <w:spacing w:line="520" w:lineRule="exact"/>
              <w:ind w:firstLine="480" w:firstLineChars="200"/>
              <w:rPr>
                <w:sz w:val="24"/>
              </w:rPr>
            </w:pPr>
            <w:r>
              <w:rPr>
                <w:rFonts w:hint="eastAsia"/>
                <w:sz w:val="24"/>
              </w:rPr>
              <w:t>本项目设计年产现场混装多孔粒铵油炸药7200t。</w:t>
            </w:r>
          </w:p>
          <w:p>
            <w:pPr>
              <w:autoSpaceDN w:val="0"/>
              <w:jc w:val="center"/>
              <w:textAlignment w:val="center"/>
              <w:rPr>
                <w:rFonts w:eastAsia="黑体"/>
                <w:bCs/>
                <w:sz w:val="24"/>
              </w:rPr>
            </w:pPr>
            <w:r>
              <w:rPr>
                <w:rFonts w:hint="eastAsia" w:eastAsia="黑体"/>
                <w:bCs/>
                <w:sz w:val="24"/>
              </w:rPr>
              <w:t>表2-2  多孔粒状铵油炸药组分</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38"/>
              <w:gridCol w:w="2900"/>
              <w:gridCol w:w="23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92" w:type="dxa"/>
                  <w:vAlign w:val="center"/>
                </w:tcPr>
                <w:p>
                  <w:pPr>
                    <w:pStyle w:val="15"/>
                    <w:adjustRightInd w:val="0"/>
                    <w:snapToGrid w:val="0"/>
                    <w:spacing w:after="0"/>
                    <w:ind w:left="0" w:leftChars="0"/>
                    <w:jc w:val="center"/>
                    <w:rPr>
                      <w:bCs/>
                      <w:sz w:val="21"/>
                      <w:szCs w:val="21"/>
                    </w:rPr>
                  </w:pPr>
                  <w:r>
                    <w:rPr>
                      <w:bCs/>
                      <w:sz w:val="21"/>
                      <w:szCs w:val="21"/>
                    </w:rPr>
                    <w:t>项目</w:t>
                  </w:r>
                </w:p>
              </w:tc>
              <w:tc>
                <w:tcPr>
                  <w:tcW w:w="3128" w:type="dxa"/>
                  <w:vAlign w:val="center"/>
                </w:tcPr>
                <w:p>
                  <w:pPr>
                    <w:pStyle w:val="15"/>
                    <w:adjustRightInd w:val="0"/>
                    <w:snapToGrid w:val="0"/>
                    <w:spacing w:after="0"/>
                    <w:ind w:left="0" w:leftChars="0"/>
                    <w:jc w:val="center"/>
                    <w:rPr>
                      <w:bCs/>
                      <w:sz w:val="21"/>
                      <w:szCs w:val="21"/>
                    </w:rPr>
                  </w:pPr>
                  <w:r>
                    <w:rPr>
                      <w:rFonts w:hint="eastAsia"/>
                      <w:bCs/>
                      <w:sz w:val="21"/>
                      <w:szCs w:val="21"/>
                    </w:rPr>
                    <w:t>硝酸铵</w:t>
                  </w:r>
                  <w:r>
                    <w:rPr>
                      <w:bCs/>
                      <w:sz w:val="21"/>
                      <w:szCs w:val="21"/>
                    </w:rPr>
                    <w:t>（</w:t>
                  </w:r>
                  <w:r>
                    <w:rPr>
                      <w:rFonts w:hint="eastAsia"/>
                      <w:bCs/>
                      <w:sz w:val="21"/>
                      <w:szCs w:val="21"/>
                    </w:rPr>
                    <w:t>%</w:t>
                  </w:r>
                  <w:r>
                    <w:rPr>
                      <w:bCs/>
                      <w:sz w:val="21"/>
                      <w:szCs w:val="21"/>
                    </w:rPr>
                    <w:t>）</w:t>
                  </w:r>
                </w:p>
              </w:tc>
              <w:tc>
                <w:tcPr>
                  <w:tcW w:w="2551" w:type="dxa"/>
                  <w:vAlign w:val="center"/>
                </w:tcPr>
                <w:p>
                  <w:pPr>
                    <w:pStyle w:val="15"/>
                    <w:adjustRightInd w:val="0"/>
                    <w:snapToGrid w:val="0"/>
                    <w:spacing w:after="0"/>
                    <w:ind w:left="0" w:leftChars="0"/>
                    <w:jc w:val="center"/>
                    <w:rPr>
                      <w:bCs/>
                      <w:sz w:val="21"/>
                      <w:szCs w:val="21"/>
                    </w:rPr>
                  </w:pPr>
                  <w:r>
                    <w:rPr>
                      <w:rFonts w:hint="eastAsia"/>
                      <w:bCs/>
                      <w:sz w:val="21"/>
                      <w:szCs w:val="21"/>
                    </w:rPr>
                    <w:t>柴油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3392" w:type="dxa"/>
                  <w:vAlign w:val="center"/>
                </w:tcPr>
                <w:p>
                  <w:pPr>
                    <w:pStyle w:val="15"/>
                    <w:adjustRightInd w:val="0"/>
                    <w:snapToGrid w:val="0"/>
                    <w:spacing w:after="0"/>
                    <w:ind w:left="0" w:leftChars="0"/>
                    <w:jc w:val="center"/>
                    <w:rPr>
                      <w:bCs/>
                      <w:sz w:val="21"/>
                      <w:szCs w:val="21"/>
                    </w:rPr>
                  </w:pPr>
                  <w:r>
                    <w:rPr>
                      <w:rFonts w:hint="eastAsia"/>
                      <w:bCs/>
                      <w:sz w:val="21"/>
                      <w:szCs w:val="21"/>
                    </w:rPr>
                    <w:t>配比（%）</w:t>
                  </w:r>
                </w:p>
              </w:tc>
              <w:tc>
                <w:tcPr>
                  <w:tcW w:w="3128" w:type="dxa"/>
                  <w:vAlign w:val="center"/>
                </w:tcPr>
                <w:p>
                  <w:pPr>
                    <w:pStyle w:val="15"/>
                    <w:adjustRightInd w:val="0"/>
                    <w:snapToGrid w:val="0"/>
                    <w:spacing w:after="0"/>
                    <w:ind w:left="0" w:leftChars="0"/>
                    <w:jc w:val="center"/>
                    <w:rPr>
                      <w:bCs/>
                      <w:sz w:val="21"/>
                      <w:szCs w:val="21"/>
                    </w:rPr>
                  </w:pPr>
                  <w:r>
                    <w:rPr>
                      <w:rFonts w:hint="eastAsia"/>
                      <w:bCs/>
                      <w:sz w:val="21"/>
                      <w:szCs w:val="21"/>
                    </w:rPr>
                    <w:t>94~95</w:t>
                  </w:r>
                </w:p>
              </w:tc>
              <w:tc>
                <w:tcPr>
                  <w:tcW w:w="2551" w:type="dxa"/>
                  <w:vAlign w:val="center"/>
                </w:tcPr>
                <w:p>
                  <w:pPr>
                    <w:pStyle w:val="15"/>
                    <w:adjustRightInd w:val="0"/>
                    <w:snapToGrid w:val="0"/>
                    <w:spacing w:after="0"/>
                    <w:ind w:left="0" w:leftChars="0"/>
                    <w:jc w:val="center"/>
                    <w:rPr>
                      <w:bCs/>
                      <w:sz w:val="21"/>
                      <w:szCs w:val="21"/>
                    </w:rPr>
                  </w:pPr>
                  <w:r>
                    <w:rPr>
                      <w:rFonts w:hint="eastAsia"/>
                      <w:bCs/>
                      <w:sz w:val="21"/>
                      <w:szCs w:val="21"/>
                    </w:rPr>
                    <w:t>5~6</w:t>
                  </w:r>
                </w:p>
              </w:tc>
            </w:tr>
          </w:tbl>
          <w:p>
            <w:pPr>
              <w:autoSpaceDN w:val="0"/>
              <w:jc w:val="center"/>
              <w:textAlignment w:val="center"/>
              <w:rPr>
                <w:rFonts w:eastAsia="黑体"/>
                <w:bCs/>
                <w:sz w:val="24"/>
              </w:rPr>
            </w:pPr>
            <w:r>
              <w:rPr>
                <w:rFonts w:eastAsia="黑体"/>
                <w:bCs/>
                <w:sz w:val="24"/>
              </w:rPr>
              <w:t>表</w:t>
            </w:r>
            <w:r>
              <w:rPr>
                <w:rFonts w:hint="eastAsia" w:eastAsia="黑体"/>
                <w:bCs/>
                <w:sz w:val="24"/>
              </w:rPr>
              <w:t xml:space="preserve">2-3  </w:t>
            </w:r>
            <w:r>
              <w:rPr>
                <w:rFonts w:eastAsia="黑体"/>
                <w:bCs/>
                <w:sz w:val="24"/>
              </w:rPr>
              <w:t>产品性能表</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47"/>
              <w:gridCol w:w="2118"/>
              <w:gridCol w:w="1759"/>
              <w:gridCol w:w="22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78" w:type="dxa"/>
                  <w:vAlign w:val="center"/>
                </w:tcPr>
                <w:p>
                  <w:pPr>
                    <w:pStyle w:val="15"/>
                    <w:adjustRightInd w:val="0"/>
                    <w:snapToGrid w:val="0"/>
                    <w:spacing w:after="0"/>
                    <w:ind w:left="0" w:leftChars="0"/>
                    <w:jc w:val="center"/>
                    <w:rPr>
                      <w:bCs/>
                      <w:sz w:val="21"/>
                      <w:szCs w:val="21"/>
                    </w:rPr>
                  </w:pPr>
                  <w:r>
                    <w:rPr>
                      <w:bCs/>
                      <w:sz w:val="21"/>
                      <w:szCs w:val="21"/>
                    </w:rPr>
                    <w:t>项目</w:t>
                  </w:r>
                </w:p>
              </w:tc>
              <w:tc>
                <w:tcPr>
                  <w:tcW w:w="2284" w:type="dxa"/>
                  <w:vAlign w:val="center"/>
                </w:tcPr>
                <w:p>
                  <w:pPr>
                    <w:pStyle w:val="15"/>
                    <w:adjustRightInd w:val="0"/>
                    <w:snapToGrid w:val="0"/>
                    <w:spacing w:after="0"/>
                    <w:ind w:left="0" w:leftChars="0"/>
                    <w:jc w:val="center"/>
                    <w:rPr>
                      <w:bCs/>
                      <w:sz w:val="21"/>
                      <w:szCs w:val="21"/>
                    </w:rPr>
                  </w:pPr>
                  <w:r>
                    <w:rPr>
                      <w:rFonts w:hint="eastAsia"/>
                      <w:bCs/>
                      <w:sz w:val="21"/>
                      <w:szCs w:val="21"/>
                    </w:rPr>
                    <w:t>水分</w:t>
                  </w:r>
                  <w:r>
                    <w:rPr>
                      <w:bCs/>
                      <w:sz w:val="21"/>
                      <w:szCs w:val="21"/>
                    </w:rPr>
                    <w:t>（</w:t>
                  </w:r>
                  <w:r>
                    <w:rPr>
                      <w:rFonts w:hint="eastAsia"/>
                      <w:bCs/>
                      <w:sz w:val="21"/>
                      <w:szCs w:val="21"/>
                    </w:rPr>
                    <w:t>%</w:t>
                  </w:r>
                  <w:r>
                    <w:rPr>
                      <w:bCs/>
                      <w:sz w:val="21"/>
                      <w:szCs w:val="21"/>
                    </w:rPr>
                    <w:t>）</w:t>
                  </w:r>
                </w:p>
              </w:tc>
              <w:tc>
                <w:tcPr>
                  <w:tcW w:w="1863" w:type="dxa"/>
                  <w:vAlign w:val="center"/>
                </w:tcPr>
                <w:p>
                  <w:pPr>
                    <w:pStyle w:val="15"/>
                    <w:adjustRightInd w:val="0"/>
                    <w:snapToGrid w:val="0"/>
                    <w:spacing w:after="0"/>
                    <w:ind w:left="0" w:leftChars="0"/>
                    <w:jc w:val="center"/>
                    <w:rPr>
                      <w:bCs/>
                      <w:sz w:val="21"/>
                      <w:szCs w:val="21"/>
                    </w:rPr>
                  </w:pPr>
                  <w:r>
                    <w:rPr>
                      <w:bCs/>
                      <w:sz w:val="21"/>
                      <w:szCs w:val="21"/>
                    </w:rPr>
                    <w:t>爆速（m/s）</w:t>
                  </w:r>
                </w:p>
              </w:tc>
              <w:tc>
                <w:tcPr>
                  <w:tcW w:w="2446" w:type="dxa"/>
                  <w:vAlign w:val="center"/>
                </w:tcPr>
                <w:p>
                  <w:pPr>
                    <w:pStyle w:val="15"/>
                    <w:adjustRightInd w:val="0"/>
                    <w:snapToGrid w:val="0"/>
                    <w:spacing w:after="0"/>
                    <w:ind w:left="0" w:leftChars="0"/>
                    <w:jc w:val="center"/>
                    <w:rPr>
                      <w:bCs/>
                      <w:sz w:val="21"/>
                      <w:szCs w:val="21"/>
                    </w:rPr>
                  </w:pPr>
                  <w:r>
                    <w:rPr>
                      <w:bCs/>
                      <w:sz w:val="21"/>
                      <w:szCs w:val="21"/>
                    </w:rPr>
                    <w:t>使用保证期（天）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78" w:type="dxa"/>
                  <w:vAlign w:val="center"/>
                </w:tcPr>
                <w:p>
                  <w:pPr>
                    <w:pStyle w:val="15"/>
                    <w:adjustRightInd w:val="0"/>
                    <w:snapToGrid w:val="0"/>
                    <w:spacing w:after="0"/>
                    <w:ind w:left="0" w:leftChars="0"/>
                    <w:jc w:val="center"/>
                    <w:rPr>
                      <w:bCs/>
                      <w:sz w:val="21"/>
                      <w:szCs w:val="21"/>
                    </w:rPr>
                  </w:pPr>
                  <w:r>
                    <w:rPr>
                      <w:rFonts w:hint="eastAsia"/>
                      <w:bCs/>
                      <w:sz w:val="21"/>
                      <w:szCs w:val="21"/>
                    </w:rPr>
                    <w:t>多孔</w:t>
                  </w:r>
                  <w:r>
                    <w:rPr>
                      <w:bCs/>
                      <w:sz w:val="21"/>
                      <w:szCs w:val="21"/>
                    </w:rPr>
                    <w:t>粒状铵油炸药</w:t>
                  </w:r>
                </w:p>
              </w:tc>
              <w:tc>
                <w:tcPr>
                  <w:tcW w:w="2284" w:type="dxa"/>
                  <w:vAlign w:val="center"/>
                </w:tcPr>
                <w:p>
                  <w:pPr>
                    <w:pStyle w:val="15"/>
                    <w:adjustRightInd w:val="0"/>
                    <w:snapToGrid w:val="0"/>
                    <w:spacing w:after="0"/>
                    <w:ind w:left="0" w:leftChars="0"/>
                    <w:jc w:val="center"/>
                    <w:rPr>
                      <w:bCs/>
                      <w:sz w:val="21"/>
                      <w:szCs w:val="21"/>
                    </w:rPr>
                  </w:pPr>
                  <w:r>
                    <w:rPr>
                      <w:rFonts w:hint="eastAsia"/>
                      <w:bCs/>
                      <w:sz w:val="21"/>
                      <w:szCs w:val="21"/>
                    </w:rPr>
                    <w:t>≤0.3</w:t>
                  </w:r>
                </w:p>
              </w:tc>
              <w:tc>
                <w:tcPr>
                  <w:tcW w:w="1863" w:type="dxa"/>
                  <w:vAlign w:val="center"/>
                </w:tcPr>
                <w:p>
                  <w:pPr>
                    <w:pStyle w:val="15"/>
                    <w:adjustRightInd w:val="0"/>
                    <w:snapToGrid w:val="0"/>
                    <w:spacing w:after="0"/>
                    <w:ind w:left="0" w:leftChars="0"/>
                    <w:jc w:val="center"/>
                    <w:rPr>
                      <w:bCs/>
                      <w:sz w:val="21"/>
                      <w:szCs w:val="21"/>
                    </w:rPr>
                  </w:pPr>
                  <w:r>
                    <w:rPr>
                      <w:bCs/>
                      <w:sz w:val="21"/>
                      <w:szCs w:val="21"/>
                    </w:rPr>
                    <w:t>≥3</w:t>
                  </w:r>
                  <w:r>
                    <w:rPr>
                      <w:rFonts w:hint="eastAsia"/>
                      <w:bCs/>
                      <w:sz w:val="21"/>
                      <w:szCs w:val="21"/>
                    </w:rPr>
                    <w:t>200</w:t>
                  </w:r>
                </w:p>
              </w:tc>
              <w:tc>
                <w:tcPr>
                  <w:tcW w:w="2446" w:type="dxa"/>
                  <w:vAlign w:val="center"/>
                </w:tcPr>
                <w:p>
                  <w:pPr>
                    <w:pStyle w:val="15"/>
                    <w:adjustRightInd w:val="0"/>
                    <w:snapToGrid w:val="0"/>
                    <w:spacing w:after="0"/>
                    <w:jc w:val="center"/>
                    <w:rPr>
                      <w:bCs/>
                      <w:sz w:val="21"/>
                      <w:szCs w:val="21"/>
                    </w:rPr>
                  </w:pPr>
                  <w:r>
                    <w:rPr>
                      <w:rFonts w:hint="eastAsia"/>
                      <w:bCs/>
                      <w:sz w:val="21"/>
                      <w:szCs w:val="21"/>
                    </w:rPr>
                    <w:t>≥7</w:t>
                  </w:r>
                </w:p>
              </w:tc>
            </w:tr>
          </w:tbl>
          <w:p>
            <w:pPr>
              <w:adjustRightInd w:val="0"/>
              <w:snapToGrid w:val="0"/>
              <w:spacing w:line="520" w:lineRule="exact"/>
              <w:ind w:firstLine="482" w:firstLineChars="200"/>
              <w:rPr>
                <w:b/>
                <w:bCs/>
                <w:sz w:val="24"/>
              </w:rPr>
            </w:pPr>
            <w:r>
              <w:rPr>
                <w:rFonts w:hint="eastAsia"/>
                <w:b/>
                <w:bCs/>
                <w:sz w:val="24"/>
                <w:lang w:val="en-US" w:eastAsia="zh-CN"/>
              </w:rPr>
              <w:t>5</w:t>
            </w:r>
            <w:r>
              <w:rPr>
                <w:b/>
                <w:bCs/>
                <w:sz w:val="24"/>
              </w:rPr>
              <w:t>、</w:t>
            </w:r>
            <w:r>
              <w:rPr>
                <w:rFonts w:hint="eastAsia"/>
                <w:b/>
                <w:bCs/>
                <w:sz w:val="24"/>
              </w:rPr>
              <w:t>主要生产单元及主要工艺</w:t>
            </w:r>
          </w:p>
          <w:p>
            <w:pPr>
              <w:adjustRightInd w:val="0"/>
              <w:snapToGrid w:val="0"/>
              <w:spacing w:line="520" w:lineRule="exact"/>
              <w:ind w:firstLine="482" w:firstLineChars="200"/>
              <w:rPr>
                <w:sz w:val="24"/>
              </w:rPr>
            </w:pPr>
            <w:r>
              <w:rPr>
                <w:rFonts w:hint="eastAsia"/>
                <w:b/>
                <w:bCs/>
                <w:sz w:val="24"/>
              </w:rPr>
              <w:t>主要生产单元</w:t>
            </w:r>
            <w:r>
              <w:rPr>
                <w:rFonts w:hint="eastAsia"/>
                <w:sz w:val="24"/>
              </w:rPr>
              <w:t>：</w:t>
            </w:r>
            <w:r>
              <w:rPr>
                <w:rFonts w:hint="eastAsia"/>
                <w:kern w:val="0"/>
                <w:sz w:val="24"/>
              </w:rPr>
              <w:t>多孔粒状硝酸铵装车工房</w:t>
            </w:r>
            <w:r>
              <w:rPr>
                <w:rFonts w:hint="eastAsia"/>
                <w:sz w:val="24"/>
              </w:rPr>
              <w:t>。</w:t>
            </w:r>
          </w:p>
          <w:p>
            <w:pPr>
              <w:adjustRightInd w:val="0"/>
              <w:snapToGrid w:val="0"/>
              <w:spacing w:line="520" w:lineRule="exact"/>
              <w:ind w:firstLine="482" w:firstLineChars="200"/>
              <w:rPr>
                <w:b/>
                <w:bCs/>
                <w:sz w:val="24"/>
              </w:rPr>
            </w:pPr>
            <w:r>
              <w:rPr>
                <w:rFonts w:hint="eastAsia"/>
                <w:b/>
                <w:bCs/>
                <w:sz w:val="24"/>
              </w:rPr>
              <w:t>主要工艺：</w:t>
            </w:r>
            <w:r>
              <w:rPr>
                <w:rFonts w:hint="eastAsia"/>
                <w:sz w:val="24"/>
              </w:rPr>
              <w:t>多孔粒状硝酸铵通过上料设备装至混装车内，柴油通过加油机输送至混装车中，拉往现场进行炸药混合填装。</w:t>
            </w:r>
          </w:p>
          <w:p>
            <w:pPr>
              <w:adjustRightInd w:val="0"/>
              <w:snapToGrid w:val="0"/>
              <w:spacing w:line="520" w:lineRule="exact"/>
              <w:ind w:firstLine="482" w:firstLineChars="200"/>
              <w:rPr>
                <w:b/>
                <w:bCs/>
                <w:sz w:val="24"/>
              </w:rPr>
            </w:pPr>
            <w:r>
              <w:rPr>
                <w:rFonts w:hint="eastAsia"/>
                <w:b/>
                <w:bCs/>
                <w:sz w:val="24"/>
                <w:lang w:val="en-US" w:eastAsia="zh-CN"/>
              </w:rPr>
              <w:t>6</w:t>
            </w:r>
            <w:r>
              <w:rPr>
                <w:rFonts w:hint="eastAsia"/>
                <w:b/>
                <w:bCs/>
                <w:sz w:val="24"/>
              </w:rPr>
              <w:t>、</w:t>
            </w:r>
            <w:r>
              <w:rPr>
                <w:b/>
                <w:bCs/>
                <w:sz w:val="24"/>
              </w:rPr>
              <w:t>主要生产设备</w:t>
            </w:r>
          </w:p>
          <w:p>
            <w:pPr>
              <w:adjustRightInd w:val="0"/>
              <w:snapToGrid w:val="0"/>
              <w:spacing w:line="520" w:lineRule="exact"/>
              <w:ind w:firstLine="480" w:firstLineChars="200"/>
              <w:rPr>
                <w:bCs/>
                <w:sz w:val="24"/>
              </w:rPr>
            </w:pPr>
            <w:r>
              <w:rPr>
                <w:bCs/>
                <w:sz w:val="24"/>
              </w:rPr>
              <w:t>本项目主要生产设备详见表2-</w:t>
            </w:r>
            <w:r>
              <w:rPr>
                <w:rFonts w:hint="eastAsia"/>
                <w:bCs/>
                <w:sz w:val="24"/>
              </w:rPr>
              <w:t>4</w:t>
            </w:r>
            <w:r>
              <w:rPr>
                <w:bCs/>
                <w:sz w:val="24"/>
              </w:rPr>
              <w:t>。</w:t>
            </w:r>
          </w:p>
          <w:p>
            <w:pPr>
              <w:pStyle w:val="60"/>
              <w:spacing w:line="240" w:lineRule="auto"/>
              <w:ind w:firstLine="480"/>
              <w:jc w:val="center"/>
              <w:rPr>
                <w:rFonts w:hAnsi="Times New Roman" w:eastAsia="黑体"/>
                <w:b w:val="0"/>
                <w:bCs w:val="0"/>
                <w:color w:val="auto"/>
                <w:szCs w:val="24"/>
              </w:rPr>
            </w:pPr>
            <w:r>
              <w:rPr>
                <w:rFonts w:hAnsi="Times New Roman" w:eastAsia="黑体"/>
                <w:b w:val="0"/>
                <w:bCs w:val="0"/>
                <w:color w:val="auto"/>
                <w:szCs w:val="24"/>
              </w:rPr>
              <w:t>表2-</w:t>
            </w:r>
            <w:r>
              <w:rPr>
                <w:rFonts w:hint="eastAsia" w:hAnsi="Times New Roman" w:eastAsia="黑体"/>
                <w:b w:val="0"/>
                <w:bCs w:val="0"/>
                <w:color w:val="auto"/>
                <w:szCs w:val="24"/>
              </w:rPr>
              <w:t>4</w:t>
            </w:r>
            <w:r>
              <w:rPr>
                <w:rFonts w:hAnsi="Times New Roman" w:eastAsia="黑体"/>
                <w:b w:val="0"/>
                <w:bCs w:val="0"/>
                <w:color w:val="auto"/>
                <w:szCs w:val="24"/>
              </w:rPr>
              <w:t xml:space="preserve">  主要生产设备一览表</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35"/>
              <w:gridCol w:w="1678"/>
              <w:gridCol w:w="1056"/>
              <w:gridCol w:w="1262"/>
              <w:gridCol w:w="1114"/>
              <w:gridCol w:w="254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blHeader/>
                <w:jc w:val="center"/>
              </w:trPr>
              <w:tc>
                <w:tcPr>
                  <w:tcW w:w="438" w:type="pct"/>
                  <w:tcBorders>
                    <w:tl2br w:val="nil"/>
                    <w:tr2bl w:val="nil"/>
                  </w:tcBorders>
                  <w:shd w:val="clear" w:color="auto" w:fill="auto"/>
                  <w:vAlign w:val="center"/>
                </w:tcPr>
                <w:p>
                  <w:pPr>
                    <w:widowControl/>
                    <w:adjustRightInd w:val="0"/>
                    <w:snapToGrid w:val="0"/>
                    <w:jc w:val="center"/>
                    <w:rPr>
                      <w:bCs/>
                      <w:szCs w:val="21"/>
                    </w:rPr>
                  </w:pPr>
                  <w:r>
                    <w:rPr>
                      <w:bCs/>
                      <w:color w:val="000000"/>
                      <w:kern w:val="0"/>
                      <w:szCs w:val="21"/>
                      <w:lang w:bidi="ar"/>
                    </w:rPr>
                    <w:t>序号</w:t>
                  </w:r>
                </w:p>
              </w:tc>
              <w:tc>
                <w:tcPr>
                  <w:tcW w:w="1000" w:type="pct"/>
                  <w:tcBorders>
                    <w:tl2br w:val="nil"/>
                    <w:tr2bl w:val="nil"/>
                  </w:tcBorders>
                  <w:shd w:val="clear" w:color="auto" w:fill="auto"/>
                  <w:vAlign w:val="center"/>
                </w:tcPr>
                <w:p>
                  <w:pPr>
                    <w:widowControl/>
                    <w:adjustRightInd w:val="0"/>
                    <w:snapToGrid w:val="0"/>
                    <w:jc w:val="center"/>
                    <w:rPr>
                      <w:bCs/>
                      <w:szCs w:val="21"/>
                    </w:rPr>
                  </w:pPr>
                  <w:r>
                    <w:rPr>
                      <w:bCs/>
                      <w:color w:val="000000"/>
                      <w:kern w:val="0"/>
                      <w:szCs w:val="21"/>
                      <w:lang w:bidi="ar"/>
                    </w:rPr>
                    <w:t>名 称</w:t>
                  </w:r>
                </w:p>
              </w:tc>
              <w:tc>
                <w:tcPr>
                  <w:tcW w:w="629" w:type="pct"/>
                  <w:tcBorders>
                    <w:tl2br w:val="nil"/>
                    <w:tr2bl w:val="nil"/>
                  </w:tcBorders>
                  <w:shd w:val="clear" w:color="auto" w:fill="auto"/>
                  <w:vAlign w:val="center"/>
                </w:tcPr>
                <w:p>
                  <w:pPr>
                    <w:widowControl/>
                    <w:adjustRightInd w:val="0"/>
                    <w:snapToGrid w:val="0"/>
                    <w:jc w:val="center"/>
                    <w:rPr>
                      <w:bCs/>
                      <w:szCs w:val="21"/>
                    </w:rPr>
                  </w:pPr>
                  <w:r>
                    <w:rPr>
                      <w:bCs/>
                      <w:color w:val="000000"/>
                      <w:kern w:val="0"/>
                      <w:szCs w:val="21"/>
                      <w:lang w:bidi="ar"/>
                    </w:rPr>
                    <w:t>规 格</w:t>
                  </w:r>
                </w:p>
              </w:tc>
              <w:tc>
                <w:tcPr>
                  <w:tcW w:w="752" w:type="pct"/>
                  <w:tcBorders>
                    <w:tl2br w:val="nil"/>
                    <w:tr2bl w:val="nil"/>
                  </w:tcBorders>
                  <w:shd w:val="clear" w:color="auto" w:fill="auto"/>
                  <w:vAlign w:val="center"/>
                </w:tcPr>
                <w:p>
                  <w:pPr>
                    <w:widowControl/>
                    <w:adjustRightInd w:val="0"/>
                    <w:snapToGrid w:val="0"/>
                    <w:jc w:val="center"/>
                    <w:rPr>
                      <w:bCs/>
                      <w:szCs w:val="21"/>
                    </w:rPr>
                  </w:pPr>
                  <w:r>
                    <w:rPr>
                      <w:bCs/>
                      <w:color w:val="000000"/>
                      <w:kern w:val="0"/>
                      <w:szCs w:val="21"/>
                      <w:lang w:bidi="ar"/>
                    </w:rPr>
                    <w:t>数量</w:t>
                  </w:r>
                </w:p>
              </w:tc>
              <w:tc>
                <w:tcPr>
                  <w:tcW w:w="664" w:type="pct"/>
                  <w:tcBorders>
                    <w:tl2br w:val="nil"/>
                    <w:tr2bl w:val="nil"/>
                  </w:tcBorders>
                  <w:shd w:val="clear" w:color="auto" w:fill="auto"/>
                  <w:vAlign w:val="center"/>
                </w:tcPr>
                <w:p>
                  <w:pPr>
                    <w:widowControl/>
                    <w:adjustRightInd w:val="0"/>
                    <w:snapToGrid w:val="0"/>
                    <w:jc w:val="center"/>
                    <w:rPr>
                      <w:bCs/>
                      <w:szCs w:val="21"/>
                    </w:rPr>
                  </w:pPr>
                  <w:r>
                    <w:rPr>
                      <w:bCs/>
                      <w:color w:val="000000"/>
                      <w:kern w:val="0"/>
                      <w:szCs w:val="21"/>
                      <w:lang w:bidi="ar"/>
                    </w:rPr>
                    <w:t>单位</w:t>
                  </w:r>
                </w:p>
              </w:tc>
              <w:tc>
                <w:tcPr>
                  <w:tcW w:w="1515" w:type="pct"/>
                  <w:tcBorders>
                    <w:tl2br w:val="nil"/>
                    <w:tr2bl w:val="nil"/>
                  </w:tcBorders>
                  <w:shd w:val="clear" w:color="auto" w:fill="auto"/>
                  <w:vAlign w:val="center"/>
                </w:tcPr>
                <w:p>
                  <w:pPr>
                    <w:pStyle w:val="14"/>
                    <w:adjustRightInd w:val="0"/>
                    <w:spacing w:before="0" w:after="0" w:line="240" w:lineRule="auto"/>
                    <w:ind w:right="0"/>
                    <w:jc w:val="center"/>
                    <w:rPr>
                      <w:bCs/>
                      <w:sz w:val="21"/>
                      <w:szCs w:val="21"/>
                    </w:rPr>
                  </w:pPr>
                  <w:r>
                    <w:rPr>
                      <w:bCs/>
                      <w:sz w:val="21"/>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8" w:hRule="atLeast"/>
                <w:jc w:val="center"/>
              </w:trPr>
              <w:tc>
                <w:tcPr>
                  <w:tcW w:w="438" w:type="pct"/>
                  <w:tcBorders>
                    <w:tl2br w:val="nil"/>
                    <w:tr2bl w:val="nil"/>
                  </w:tcBorders>
                  <w:shd w:val="clear" w:color="auto" w:fill="auto"/>
                  <w:vAlign w:val="center"/>
                </w:tcPr>
                <w:p>
                  <w:pPr>
                    <w:pStyle w:val="14"/>
                    <w:adjustRightInd w:val="0"/>
                    <w:spacing w:before="0" w:after="0" w:line="240" w:lineRule="auto"/>
                    <w:ind w:right="0"/>
                    <w:jc w:val="center"/>
                    <w:rPr>
                      <w:bCs/>
                      <w:sz w:val="21"/>
                      <w:szCs w:val="21"/>
                    </w:rPr>
                  </w:pPr>
                  <w:r>
                    <w:rPr>
                      <w:rFonts w:hint="eastAsia"/>
                      <w:bCs/>
                      <w:sz w:val="21"/>
                      <w:szCs w:val="21"/>
                    </w:rPr>
                    <w:t>1</w:t>
                  </w:r>
                </w:p>
              </w:tc>
              <w:tc>
                <w:tcPr>
                  <w:tcW w:w="1000" w:type="pct"/>
                  <w:tcBorders>
                    <w:tl2br w:val="nil"/>
                    <w:tr2bl w:val="nil"/>
                  </w:tcBorders>
                  <w:shd w:val="clear" w:color="auto" w:fill="auto"/>
                  <w:vAlign w:val="center"/>
                </w:tcPr>
                <w:p>
                  <w:pPr>
                    <w:pStyle w:val="14"/>
                    <w:adjustRightInd w:val="0"/>
                    <w:spacing w:before="0" w:after="0" w:line="240" w:lineRule="auto"/>
                    <w:ind w:right="0"/>
                    <w:jc w:val="center"/>
                    <w:rPr>
                      <w:bCs/>
                      <w:sz w:val="21"/>
                      <w:szCs w:val="21"/>
                    </w:rPr>
                  </w:pPr>
                  <w:r>
                    <w:rPr>
                      <w:rFonts w:hint="eastAsia"/>
                      <w:bCs/>
                      <w:sz w:val="21"/>
                      <w:szCs w:val="21"/>
                    </w:rPr>
                    <w:t>多孔粒状硝酸铵料仓</w:t>
                  </w:r>
                </w:p>
              </w:tc>
              <w:tc>
                <w:tcPr>
                  <w:tcW w:w="629" w:type="pct"/>
                  <w:tcBorders>
                    <w:tl2br w:val="nil"/>
                    <w:tr2bl w:val="nil"/>
                  </w:tcBorders>
                  <w:shd w:val="clear" w:color="auto" w:fill="auto"/>
                  <w:vAlign w:val="center"/>
                </w:tcPr>
                <w:p>
                  <w:pPr>
                    <w:pStyle w:val="14"/>
                    <w:adjustRightInd w:val="0"/>
                    <w:spacing w:before="0" w:after="0" w:line="240" w:lineRule="auto"/>
                    <w:ind w:right="0"/>
                    <w:jc w:val="center"/>
                    <w:rPr>
                      <w:bCs/>
                      <w:sz w:val="21"/>
                      <w:szCs w:val="21"/>
                      <w:vertAlign w:val="superscript"/>
                    </w:rPr>
                  </w:pPr>
                  <w:r>
                    <w:rPr>
                      <w:rFonts w:hint="eastAsia"/>
                      <w:bCs/>
                      <w:sz w:val="21"/>
                      <w:szCs w:val="21"/>
                    </w:rPr>
                    <w:t>20m</w:t>
                  </w:r>
                  <w:r>
                    <w:rPr>
                      <w:rFonts w:hint="eastAsia"/>
                      <w:bCs/>
                      <w:sz w:val="21"/>
                      <w:szCs w:val="21"/>
                      <w:vertAlign w:val="superscript"/>
                    </w:rPr>
                    <w:t>3</w:t>
                  </w:r>
                </w:p>
              </w:tc>
              <w:tc>
                <w:tcPr>
                  <w:tcW w:w="752" w:type="pct"/>
                  <w:tcBorders>
                    <w:tl2br w:val="nil"/>
                    <w:tr2bl w:val="nil"/>
                  </w:tcBorders>
                  <w:shd w:val="clear" w:color="auto" w:fill="auto"/>
                  <w:vAlign w:val="center"/>
                </w:tcPr>
                <w:p>
                  <w:pPr>
                    <w:adjustRightInd w:val="0"/>
                    <w:snapToGrid w:val="0"/>
                    <w:jc w:val="center"/>
                    <w:rPr>
                      <w:bCs/>
                      <w:szCs w:val="21"/>
                    </w:rPr>
                  </w:pPr>
                  <w:r>
                    <w:rPr>
                      <w:rFonts w:hint="eastAsia"/>
                      <w:bCs/>
                      <w:szCs w:val="21"/>
                    </w:rPr>
                    <w:t>1</w:t>
                  </w:r>
                </w:p>
              </w:tc>
              <w:tc>
                <w:tcPr>
                  <w:tcW w:w="664" w:type="pct"/>
                  <w:tcBorders>
                    <w:tl2br w:val="nil"/>
                    <w:tr2bl w:val="nil"/>
                  </w:tcBorders>
                  <w:shd w:val="clear" w:color="auto" w:fill="auto"/>
                  <w:vAlign w:val="center"/>
                </w:tcPr>
                <w:p>
                  <w:pPr>
                    <w:adjustRightInd w:val="0"/>
                    <w:snapToGrid w:val="0"/>
                    <w:jc w:val="center"/>
                    <w:rPr>
                      <w:bCs/>
                      <w:szCs w:val="21"/>
                    </w:rPr>
                  </w:pPr>
                  <w:r>
                    <w:rPr>
                      <w:rFonts w:hint="eastAsia"/>
                      <w:bCs/>
                      <w:szCs w:val="21"/>
                    </w:rPr>
                    <w:t>台</w:t>
                  </w:r>
                </w:p>
              </w:tc>
              <w:tc>
                <w:tcPr>
                  <w:tcW w:w="1515" w:type="pct"/>
                  <w:tcBorders>
                    <w:tl2br w:val="nil"/>
                    <w:tr2bl w:val="nil"/>
                  </w:tcBorders>
                  <w:shd w:val="clear" w:color="auto" w:fill="auto"/>
                  <w:vAlign w:val="center"/>
                </w:tcPr>
                <w:p>
                  <w:pPr>
                    <w:pStyle w:val="14"/>
                    <w:adjustRightInd w:val="0"/>
                    <w:spacing w:before="0" w:after="0" w:line="240" w:lineRule="auto"/>
                    <w:ind w:right="0"/>
                    <w:jc w:val="center"/>
                    <w:rPr>
                      <w:bCs/>
                      <w:sz w:val="21"/>
                      <w:szCs w:val="21"/>
                    </w:rPr>
                  </w:pPr>
                  <w:r>
                    <w:rPr>
                      <w:rFonts w:hint="eastAsia"/>
                      <w:bCs/>
                      <w:sz w:val="21"/>
                      <w:szCs w:val="21"/>
                    </w:rPr>
                    <w:t>位于多孔粒状硝酸铵装车工房内，上料时使用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8" w:hRule="atLeast"/>
                <w:jc w:val="center"/>
              </w:trPr>
              <w:tc>
                <w:tcPr>
                  <w:tcW w:w="438" w:type="pct"/>
                  <w:tcBorders>
                    <w:tl2br w:val="nil"/>
                    <w:tr2bl w:val="nil"/>
                  </w:tcBorders>
                  <w:shd w:val="clear" w:color="auto" w:fill="auto"/>
                  <w:vAlign w:val="center"/>
                </w:tcPr>
                <w:p>
                  <w:pPr>
                    <w:widowControl/>
                    <w:adjustRightInd w:val="0"/>
                    <w:snapToGrid w:val="0"/>
                    <w:jc w:val="center"/>
                    <w:rPr>
                      <w:bCs/>
                      <w:szCs w:val="21"/>
                    </w:rPr>
                  </w:pPr>
                  <w:r>
                    <w:rPr>
                      <w:rFonts w:hint="eastAsia"/>
                      <w:bCs/>
                      <w:szCs w:val="21"/>
                    </w:rPr>
                    <w:t>2</w:t>
                  </w:r>
                </w:p>
              </w:tc>
              <w:tc>
                <w:tcPr>
                  <w:tcW w:w="1000" w:type="pct"/>
                  <w:tcBorders>
                    <w:tl2br w:val="nil"/>
                    <w:tr2bl w:val="nil"/>
                  </w:tcBorders>
                  <w:shd w:val="clear" w:color="auto" w:fill="auto"/>
                  <w:vAlign w:val="center"/>
                </w:tcPr>
                <w:p>
                  <w:pPr>
                    <w:widowControl/>
                    <w:adjustRightInd w:val="0"/>
                    <w:snapToGrid w:val="0"/>
                    <w:jc w:val="center"/>
                    <w:rPr>
                      <w:bCs/>
                      <w:szCs w:val="21"/>
                    </w:rPr>
                  </w:pPr>
                  <w:r>
                    <w:rPr>
                      <w:rFonts w:hint="eastAsia"/>
                      <w:bCs/>
                      <w:szCs w:val="21"/>
                    </w:rPr>
                    <w:t>多孔粒状铵油炸药混装车</w:t>
                  </w:r>
                </w:p>
              </w:tc>
              <w:tc>
                <w:tcPr>
                  <w:tcW w:w="629" w:type="pct"/>
                  <w:tcBorders>
                    <w:tl2br w:val="nil"/>
                    <w:tr2bl w:val="nil"/>
                  </w:tcBorders>
                  <w:shd w:val="clear" w:color="auto" w:fill="auto"/>
                  <w:vAlign w:val="center"/>
                </w:tcPr>
                <w:p>
                  <w:pPr>
                    <w:widowControl/>
                    <w:adjustRightInd w:val="0"/>
                    <w:snapToGrid w:val="0"/>
                    <w:jc w:val="center"/>
                    <w:rPr>
                      <w:bCs/>
                      <w:szCs w:val="21"/>
                    </w:rPr>
                  </w:pPr>
                  <w:r>
                    <w:rPr>
                      <w:rFonts w:hint="eastAsia"/>
                      <w:bCs/>
                      <w:szCs w:val="21"/>
                    </w:rPr>
                    <w:t>BCLH-15</w:t>
                  </w:r>
                </w:p>
              </w:tc>
              <w:tc>
                <w:tcPr>
                  <w:tcW w:w="752" w:type="pct"/>
                  <w:tcBorders>
                    <w:tl2br w:val="nil"/>
                    <w:tr2bl w:val="nil"/>
                  </w:tcBorders>
                  <w:shd w:val="clear" w:color="auto" w:fill="auto"/>
                  <w:vAlign w:val="center"/>
                </w:tcPr>
                <w:p>
                  <w:pPr>
                    <w:adjustRightInd w:val="0"/>
                    <w:snapToGrid w:val="0"/>
                    <w:jc w:val="center"/>
                    <w:rPr>
                      <w:bCs/>
                      <w:szCs w:val="21"/>
                    </w:rPr>
                  </w:pPr>
                  <w:r>
                    <w:rPr>
                      <w:rFonts w:hint="eastAsia"/>
                      <w:bCs/>
                      <w:szCs w:val="21"/>
                    </w:rPr>
                    <w:t>2</w:t>
                  </w:r>
                </w:p>
              </w:tc>
              <w:tc>
                <w:tcPr>
                  <w:tcW w:w="664" w:type="pct"/>
                  <w:tcBorders>
                    <w:tl2br w:val="nil"/>
                    <w:tr2bl w:val="nil"/>
                  </w:tcBorders>
                  <w:shd w:val="clear" w:color="auto" w:fill="auto"/>
                  <w:vAlign w:val="center"/>
                </w:tcPr>
                <w:p>
                  <w:pPr>
                    <w:adjustRightInd w:val="0"/>
                    <w:snapToGrid w:val="0"/>
                    <w:jc w:val="center"/>
                    <w:rPr>
                      <w:bCs/>
                      <w:szCs w:val="21"/>
                    </w:rPr>
                  </w:pPr>
                  <w:r>
                    <w:rPr>
                      <w:rFonts w:hint="eastAsia"/>
                      <w:bCs/>
                      <w:szCs w:val="21"/>
                    </w:rPr>
                    <w:t>辆</w:t>
                  </w:r>
                </w:p>
              </w:tc>
              <w:tc>
                <w:tcPr>
                  <w:tcW w:w="1515" w:type="pct"/>
                  <w:tcBorders>
                    <w:tl2br w:val="nil"/>
                    <w:tr2bl w:val="nil"/>
                  </w:tcBorders>
                  <w:shd w:val="clear" w:color="auto" w:fill="auto"/>
                  <w:vAlign w:val="center"/>
                </w:tcPr>
                <w:p>
                  <w:pPr>
                    <w:pStyle w:val="14"/>
                    <w:adjustRightInd w:val="0"/>
                    <w:spacing w:before="0" w:after="0" w:line="240" w:lineRule="auto"/>
                    <w:ind w:right="0"/>
                    <w:jc w:val="center"/>
                    <w:rPr>
                      <w:bCs/>
                      <w:sz w:val="21"/>
                      <w:szCs w:val="21"/>
                    </w:rPr>
                  </w:pPr>
                  <w:r>
                    <w:rPr>
                      <w:rFonts w:hint="eastAsia"/>
                      <w:bCs/>
                      <w:sz w:val="21"/>
                      <w:szCs w:val="21"/>
                    </w:rPr>
                    <w:t>原料填装后拉运至现场进行混装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8" w:hRule="atLeast"/>
                <w:jc w:val="center"/>
              </w:trPr>
              <w:tc>
                <w:tcPr>
                  <w:tcW w:w="438" w:type="pct"/>
                  <w:tcBorders>
                    <w:tl2br w:val="nil"/>
                    <w:tr2bl w:val="nil"/>
                  </w:tcBorders>
                  <w:shd w:val="clear" w:color="auto" w:fill="auto"/>
                  <w:vAlign w:val="center"/>
                </w:tcPr>
                <w:p>
                  <w:pPr>
                    <w:widowControl/>
                    <w:adjustRightInd w:val="0"/>
                    <w:snapToGrid w:val="0"/>
                    <w:jc w:val="center"/>
                    <w:rPr>
                      <w:bCs/>
                      <w:szCs w:val="21"/>
                    </w:rPr>
                  </w:pPr>
                  <w:r>
                    <w:rPr>
                      <w:rFonts w:hint="eastAsia"/>
                      <w:bCs/>
                      <w:szCs w:val="21"/>
                    </w:rPr>
                    <w:t>3</w:t>
                  </w:r>
                </w:p>
              </w:tc>
              <w:tc>
                <w:tcPr>
                  <w:tcW w:w="1000" w:type="pct"/>
                  <w:tcBorders>
                    <w:tl2br w:val="nil"/>
                    <w:tr2bl w:val="nil"/>
                  </w:tcBorders>
                  <w:shd w:val="clear" w:color="auto" w:fill="auto"/>
                  <w:vAlign w:val="center"/>
                </w:tcPr>
                <w:p>
                  <w:pPr>
                    <w:widowControl/>
                    <w:adjustRightInd w:val="0"/>
                    <w:snapToGrid w:val="0"/>
                    <w:jc w:val="center"/>
                    <w:rPr>
                      <w:bCs/>
                      <w:szCs w:val="21"/>
                    </w:rPr>
                  </w:pPr>
                  <w:r>
                    <w:rPr>
                      <w:rFonts w:hint="eastAsia"/>
                      <w:bCs/>
                      <w:szCs w:val="21"/>
                      <w:lang w:val="en-US" w:eastAsia="zh-CN"/>
                    </w:rPr>
                    <w:t>双层</w:t>
                  </w:r>
                  <w:r>
                    <w:rPr>
                      <w:rFonts w:hint="eastAsia"/>
                      <w:bCs/>
                      <w:szCs w:val="21"/>
                    </w:rPr>
                    <w:t>柴油储罐</w:t>
                  </w:r>
                </w:p>
              </w:tc>
              <w:tc>
                <w:tcPr>
                  <w:tcW w:w="629" w:type="pct"/>
                  <w:tcBorders>
                    <w:tl2br w:val="nil"/>
                    <w:tr2bl w:val="nil"/>
                  </w:tcBorders>
                  <w:shd w:val="clear" w:color="auto" w:fill="auto"/>
                  <w:vAlign w:val="center"/>
                </w:tcPr>
                <w:p>
                  <w:pPr>
                    <w:widowControl/>
                    <w:adjustRightInd w:val="0"/>
                    <w:snapToGrid w:val="0"/>
                    <w:jc w:val="center"/>
                    <w:rPr>
                      <w:bCs/>
                      <w:szCs w:val="21"/>
                      <w:vertAlign w:val="superscript"/>
                    </w:rPr>
                  </w:pPr>
                  <w:r>
                    <w:rPr>
                      <w:rFonts w:hint="eastAsia"/>
                      <w:bCs/>
                      <w:szCs w:val="21"/>
                    </w:rPr>
                    <w:t>50m</w:t>
                  </w:r>
                  <w:r>
                    <w:rPr>
                      <w:rFonts w:hint="eastAsia"/>
                      <w:bCs/>
                      <w:szCs w:val="21"/>
                      <w:vertAlign w:val="superscript"/>
                    </w:rPr>
                    <w:t>3</w:t>
                  </w:r>
                </w:p>
              </w:tc>
              <w:tc>
                <w:tcPr>
                  <w:tcW w:w="752" w:type="pct"/>
                  <w:tcBorders>
                    <w:tl2br w:val="nil"/>
                    <w:tr2bl w:val="nil"/>
                  </w:tcBorders>
                  <w:shd w:val="clear" w:color="auto" w:fill="auto"/>
                  <w:vAlign w:val="center"/>
                </w:tcPr>
                <w:p>
                  <w:pPr>
                    <w:adjustRightInd w:val="0"/>
                    <w:snapToGrid w:val="0"/>
                    <w:jc w:val="center"/>
                    <w:rPr>
                      <w:bCs/>
                      <w:szCs w:val="21"/>
                    </w:rPr>
                  </w:pPr>
                  <w:r>
                    <w:rPr>
                      <w:rFonts w:hint="eastAsia"/>
                      <w:bCs/>
                      <w:szCs w:val="21"/>
                    </w:rPr>
                    <w:t>1</w:t>
                  </w:r>
                </w:p>
              </w:tc>
              <w:tc>
                <w:tcPr>
                  <w:tcW w:w="664" w:type="pct"/>
                  <w:tcBorders>
                    <w:tl2br w:val="nil"/>
                    <w:tr2bl w:val="nil"/>
                  </w:tcBorders>
                  <w:shd w:val="clear" w:color="auto" w:fill="auto"/>
                  <w:vAlign w:val="center"/>
                </w:tcPr>
                <w:p>
                  <w:pPr>
                    <w:adjustRightInd w:val="0"/>
                    <w:snapToGrid w:val="0"/>
                    <w:jc w:val="center"/>
                    <w:rPr>
                      <w:bCs/>
                      <w:szCs w:val="21"/>
                    </w:rPr>
                  </w:pPr>
                  <w:r>
                    <w:rPr>
                      <w:rFonts w:hint="eastAsia"/>
                      <w:bCs/>
                      <w:szCs w:val="21"/>
                    </w:rPr>
                    <w:t>套</w:t>
                  </w:r>
                </w:p>
              </w:tc>
              <w:tc>
                <w:tcPr>
                  <w:tcW w:w="1515" w:type="pct"/>
                  <w:tcBorders>
                    <w:tl2br w:val="nil"/>
                    <w:tr2bl w:val="nil"/>
                  </w:tcBorders>
                  <w:shd w:val="clear" w:color="auto" w:fill="auto"/>
                  <w:vAlign w:val="center"/>
                </w:tcPr>
                <w:p>
                  <w:pPr>
                    <w:pStyle w:val="14"/>
                    <w:adjustRightInd w:val="0"/>
                    <w:spacing w:before="0" w:after="0" w:line="240" w:lineRule="auto"/>
                    <w:ind w:right="0"/>
                    <w:jc w:val="center"/>
                    <w:rPr>
                      <w:bCs/>
                      <w:sz w:val="21"/>
                      <w:szCs w:val="21"/>
                    </w:rPr>
                  </w:pPr>
                  <w:r>
                    <w:rPr>
                      <w:rFonts w:hint="eastAsia"/>
                      <w:bCs/>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8" w:hRule="atLeast"/>
                <w:jc w:val="center"/>
              </w:trPr>
              <w:tc>
                <w:tcPr>
                  <w:tcW w:w="438" w:type="pct"/>
                  <w:tcBorders>
                    <w:tl2br w:val="nil"/>
                    <w:tr2bl w:val="nil"/>
                  </w:tcBorders>
                  <w:shd w:val="clear" w:color="auto" w:fill="auto"/>
                  <w:vAlign w:val="center"/>
                </w:tcPr>
                <w:p>
                  <w:pPr>
                    <w:widowControl/>
                    <w:adjustRightInd w:val="0"/>
                    <w:snapToGrid w:val="0"/>
                    <w:jc w:val="center"/>
                    <w:rPr>
                      <w:bCs/>
                      <w:color w:val="000000"/>
                      <w:kern w:val="0"/>
                      <w:szCs w:val="21"/>
                      <w:lang w:bidi="ar"/>
                    </w:rPr>
                  </w:pPr>
                  <w:r>
                    <w:rPr>
                      <w:rFonts w:hint="eastAsia"/>
                      <w:bCs/>
                      <w:color w:val="000000"/>
                      <w:kern w:val="0"/>
                      <w:szCs w:val="21"/>
                      <w:lang w:bidi="ar"/>
                    </w:rPr>
                    <w:t>4</w:t>
                  </w:r>
                </w:p>
              </w:tc>
              <w:tc>
                <w:tcPr>
                  <w:tcW w:w="1000" w:type="pct"/>
                  <w:tcBorders>
                    <w:tl2br w:val="nil"/>
                    <w:tr2bl w:val="nil"/>
                  </w:tcBorders>
                  <w:shd w:val="clear" w:color="auto" w:fill="auto"/>
                  <w:vAlign w:val="center"/>
                </w:tcPr>
                <w:p>
                  <w:pPr>
                    <w:widowControl/>
                    <w:adjustRightInd w:val="0"/>
                    <w:snapToGrid w:val="0"/>
                    <w:jc w:val="center"/>
                    <w:rPr>
                      <w:bCs/>
                      <w:color w:val="000000"/>
                      <w:kern w:val="0"/>
                      <w:szCs w:val="21"/>
                      <w:lang w:bidi="ar"/>
                    </w:rPr>
                  </w:pPr>
                  <w:r>
                    <w:rPr>
                      <w:rFonts w:hint="eastAsia"/>
                      <w:bCs/>
                      <w:color w:val="000000"/>
                      <w:kern w:val="0"/>
                      <w:szCs w:val="21"/>
                      <w:lang w:bidi="ar"/>
                    </w:rPr>
                    <w:t>加油机</w:t>
                  </w:r>
                </w:p>
              </w:tc>
              <w:tc>
                <w:tcPr>
                  <w:tcW w:w="629" w:type="pct"/>
                  <w:tcBorders>
                    <w:tl2br w:val="nil"/>
                    <w:tr2bl w:val="nil"/>
                  </w:tcBorders>
                  <w:shd w:val="clear" w:color="auto" w:fill="auto"/>
                  <w:vAlign w:val="center"/>
                </w:tcPr>
                <w:p>
                  <w:pPr>
                    <w:widowControl/>
                    <w:adjustRightInd w:val="0"/>
                    <w:snapToGrid w:val="0"/>
                    <w:jc w:val="center"/>
                    <w:rPr>
                      <w:bCs/>
                      <w:color w:val="000000"/>
                      <w:kern w:val="0"/>
                      <w:szCs w:val="21"/>
                      <w:lang w:bidi="ar"/>
                    </w:rPr>
                  </w:pPr>
                  <w:r>
                    <w:rPr>
                      <w:rFonts w:hint="eastAsia"/>
                      <w:bCs/>
                      <w:color w:val="000000"/>
                      <w:kern w:val="0"/>
                      <w:szCs w:val="21"/>
                      <w:lang w:bidi="ar"/>
                    </w:rPr>
                    <w:t>/</w:t>
                  </w:r>
                </w:p>
              </w:tc>
              <w:tc>
                <w:tcPr>
                  <w:tcW w:w="752" w:type="pct"/>
                  <w:tcBorders>
                    <w:tl2br w:val="nil"/>
                    <w:tr2bl w:val="nil"/>
                  </w:tcBorders>
                  <w:shd w:val="clear" w:color="auto" w:fill="auto"/>
                  <w:vAlign w:val="center"/>
                </w:tcPr>
                <w:p>
                  <w:pPr>
                    <w:adjustRightInd w:val="0"/>
                    <w:snapToGrid w:val="0"/>
                    <w:jc w:val="center"/>
                    <w:rPr>
                      <w:bCs/>
                      <w:szCs w:val="21"/>
                    </w:rPr>
                  </w:pPr>
                  <w:r>
                    <w:rPr>
                      <w:rFonts w:hint="eastAsia"/>
                      <w:bCs/>
                      <w:szCs w:val="21"/>
                    </w:rPr>
                    <w:t>1</w:t>
                  </w:r>
                </w:p>
              </w:tc>
              <w:tc>
                <w:tcPr>
                  <w:tcW w:w="664" w:type="pct"/>
                  <w:tcBorders>
                    <w:tl2br w:val="nil"/>
                    <w:tr2bl w:val="nil"/>
                  </w:tcBorders>
                  <w:shd w:val="clear" w:color="auto" w:fill="auto"/>
                  <w:vAlign w:val="center"/>
                </w:tcPr>
                <w:p>
                  <w:pPr>
                    <w:adjustRightInd w:val="0"/>
                    <w:snapToGrid w:val="0"/>
                    <w:jc w:val="center"/>
                    <w:rPr>
                      <w:bCs/>
                      <w:color w:val="000000"/>
                      <w:kern w:val="0"/>
                      <w:szCs w:val="21"/>
                      <w:lang w:bidi="ar"/>
                    </w:rPr>
                  </w:pPr>
                  <w:r>
                    <w:rPr>
                      <w:rFonts w:hint="eastAsia"/>
                      <w:bCs/>
                      <w:color w:val="000000"/>
                      <w:kern w:val="0"/>
                      <w:szCs w:val="21"/>
                      <w:lang w:bidi="ar"/>
                    </w:rPr>
                    <w:t>台</w:t>
                  </w:r>
                </w:p>
              </w:tc>
              <w:tc>
                <w:tcPr>
                  <w:tcW w:w="1515" w:type="pct"/>
                  <w:tcBorders>
                    <w:tl2br w:val="nil"/>
                    <w:tr2bl w:val="nil"/>
                  </w:tcBorders>
                  <w:shd w:val="clear" w:color="auto" w:fill="auto"/>
                  <w:vAlign w:val="center"/>
                </w:tcPr>
                <w:p>
                  <w:pPr>
                    <w:pStyle w:val="14"/>
                    <w:adjustRightInd w:val="0"/>
                    <w:spacing w:before="0" w:after="0" w:line="240" w:lineRule="auto"/>
                    <w:ind w:right="0"/>
                    <w:jc w:val="center"/>
                    <w:rPr>
                      <w:bCs/>
                      <w:sz w:val="21"/>
                      <w:szCs w:val="21"/>
                    </w:rPr>
                  </w:pPr>
                  <w:r>
                    <w:rPr>
                      <w:rFonts w:hint="eastAsia"/>
                      <w:bCs/>
                      <w:sz w:val="21"/>
                      <w:szCs w:val="21"/>
                    </w:rPr>
                    <w:t>/</w:t>
                  </w:r>
                </w:p>
              </w:tc>
            </w:tr>
          </w:tbl>
          <w:p>
            <w:pPr>
              <w:adjustRightInd w:val="0"/>
              <w:snapToGrid w:val="0"/>
              <w:spacing w:line="520" w:lineRule="exact"/>
              <w:ind w:firstLine="482" w:firstLineChars="200"/>
              <w:rPr>
                <w:b/>
                <w:bCs/>
                <w:sz w:val="24"/>
              </w:rPr>
            </w:pPr>
            <w:r>
              <w:rPr>
                <w:rFonts w:hint="eastAsia"/>
                <w:b/>
                <w:bCs/>
                <w:sz w:val="24"/>
                <w:lang w:val="en-US" w:eastAsia="zh-CN"/>
              </w:rPr>
              <w:t>7</w:t>
            </w:r>
            <w:r>
              <w:rPr>
                <w:rFonts w:hint="eastAsia"/>
                <w:b/>
                <w:bCs/>
                <w:sz w:val="24"/>
              </w:rPr>
              <w:t>、主要</w:t>
            </w:r>
            <w:r>
              <w:rPr>
                <w:b/>
                <w:bCs/>
                <w:sz w:val="24"/>
              </w:rPr>
              <w:t>原辅材料</w:t>
            </w:r>
            <w:r>
              <w:rPr>
                <w:rFonts w:hint="eastAsia"/>
                <w:b/>
                <w:bCs/>
                <w:sz w:val="24"/>
              </w:rPr>
              <w:t>及用量</w:t>
            </w:r>
          </w:p>
          <w:p>
            <w:pPr>
              <w:adjustRightInd w:val="0"/>
              <w:snapToGrid w:val="0"/>
              <w:spacing w:line="480" w:lineRule="exact"/>
              <w:ind w:firstLine="480" w:firstLineChars="200"/>
              <w:rPr>
                <w:sz w:val="24"/>
              </w:rPr>
            </w:pPr>
            <w:r>
              <w:rPr>
                <w:sz w:val="24"/>
              </w:rPr>
              <w:t>本项目</w:t>
            </w:r>
            <w:r>
              <w:rPr>
                <w:rFonts w:hint="eastAsia"/>
                <w:sz w:val="24"/>
              </w:rPr>
              <w:t>原辅材料用量</w:t>
            </w:r>
            <w:r>
              <w:rPr>
                <w:sz w:val="24"/>
              </w:rPr>
              <w:t>及存储情况见表2-</w:t>
            </w:r>
            <w:r>
              <w:rPr>
                <w:rFonts w:hint="eastAsia"/>
                <w:sz w:val="24"/>
              </w:rPr>
              <w:t>5</w:t>
            </w:r>
            <w:r>
              <w:rPr>
                <w:sz w:val="24"/>
              </w:rPr>
              <w:t>。</w:t>
            </w:r>
          </w:p>
          <w:p>
            <w:pPr>
              <w:spacing w:line="520" w:lineRule="exact"/>
              <w:ind w:firstLine="480" w:firstLineChars="200"/>
              <w:jc w:val="center"/>
              <w:rPr>
                <w:rFonts w:hAnsi="黑体" w:eastAsia="黑体"/>
                <w:sz w:val="24"/>
                <w:szCs w:val="32"/>
              </w:rPr>
            </w:pPr>
            <w:r>
              <w:rPr>
                <w:rFonts w:hint="eastAsia" w:hAnsi="黑体" w:eastAsia="黑体"/>
                <w:sz w:val="24"/>
                <w:szCs w:val="32"/>
              </w:rPr>
              <w:t>表2-5  主要原辅材料消耗一览表</w:t>
            </w:r>
          </w:p>
          <w:tbl>
            <w:tblPr>
              <w:tblStyle w:val="29"/>
              <w:tblW w:w="4998"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817"/>
              <w:gridCol w:w="1794"/>
              <w:gridCol w:w="1512"/>
              <w:gridCol w:w="1948"/>
              <w:gridCol w:w="2317"/>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487" w:type="pct"/>
                  <w:vAlign w:val="center"/>
                </w:tcPr>
                <w:p>
                  <w:pPr>
                    <w:adjustRightInd w:val="0"/>
                    <w:snapToGrid w:val="0"/>
                    <w:jc w:val="center"/>
                    <w:rPr>
                      <w:bCs/>
                      <w:szCs w:val="21"/>
                    </w:rPr>
                  </w:pPr>
                  <w:r>
                    <w:rPr>
                      <w:rFonts w:hint="eastAsia"/>
                      <w:bCs/>
                      <w:szCs w:val="21"/>
                      <w:lang w:val="zh-CN"/>
                    </w:rPr>
                    <w:t>序号</w:t>
                  </w:r>
                </w:p>
              </w:tc>
              <w:tc>
                <w:tcPr>
                  <w:tcW w:w="1069" w:type="pct"/>
                  <w:vAlign w:val="center"/>
                </w:tcPr>
                <w:p>
                  <w:pPr>
                    <w:adjustRightInd w:val="0"/>
                    <w:snapToGrid w:val="0"/>
                    <w:jc w:val="center"/>
                    <w:rPr>
                      <w:bCs/>
                      <w:szCs w:val="21"/>
                    </w:rPr>
                  </w:pPr>
                  <w:r>
                    <w:rPr>
                      <w:rFonts w:hint="eastAsia"/>
                      <w:bCs/>
                      <w:szCs w:val="21"/>
                      <w:lang w:val="zh-CN"/>
                    </w:rPr>
                    <w:t>原料名称</w:t>
                  </w:r>
                </w:p>
              </w:tc>
              <w:tc>
                <w:tcPr>
                  <w:tcW w:w="901" w:type="pct"/>
                  <w:vAlign w:val="center"/>
                </w:tcPr>
                <w:p>
                  <w:pPr>
                    <w:adjustRightInd w:val="0"/>
                    <w:snapToGrid w:val="0"/>
                    <w:jc w:val="center"/>
                    <w:rPr>
                      <w:bCs/>
                      <w:szCs w:val="21"/>
                    </w:rPr>
                  </w:pPr>
                  <w:r>
                    <w:rPr>
                      <w:rFonts w:hint="eastAsia"/>
                      <w:bCs/>
                      <w:szCs w:val="21"/>
                      <w:lang w:val="zh-CN"/>
                    </w:rPr>
                    <w:t>年用量</w:t>
                  </w:r>
                </w:p>
              </w:tc>
              <w:tc>
                <w:tcPr>
                  <w:tcW w:w="1161" w:type="pct"/>
                  <w:vAlign w:val="center"/>
                </w:tcPr>
                <w:p>
                  <w:pPr>
                    <w:adjustRightInd w:val="0"/>
                    <w:snapToGrid w:val="0"/>
                    <w:jc w:val="center"/>
                    <w:rPr>
                      <w:bCs/>
                      <w:szCs w:val="21"/>
                    </w:rPr>
                  </w:pPr>
                  <w:r>
                    <w:rPr>
                      <w:rFonts w:hint="eastAsia"/>
                      <w:bCs/>
                      <w:szCs w:val="21"/>
                      <w:lang w:val="zh-CN"/>
                    </w:rPr>
                    <w:t>来源</w:t>
                  </w:r>
                </w:p>
              </w:tc>
              <w:tc>
                <w:tcPr>
                  <w:tcW w:w="1381" w:type="pct"/>
                  <w:vAlign w:val="center"/>
                </w:tcPr>
                <w:p>
                  <w:pPr>
                    <w:adjustRightInd w:val="0"/>
                    <w:snapToGrid w:val="0"/>
                    <w:jc w:val="center"/>
                    <w:rPr>
                      <w:bCs/>
                      <w:szCs w:val="21"/>
                    </w:rPr>
                  </w:pPr>
                  <w:r>
                    <w:rPr>
                      <w:rFonts w:hint="eastAsia"/>
                      <w:bCs/>
                      <w:szCs w:val="21"/>
                    </w:rPr>
                    <w:t>备注</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73" w:hRule="atLeast"/>
              </w:trPr>
              <w:tc>
                <w:tcPr>
                  <w:tcW w:w="487" w:type="pct"/>
                  <w:vAlign w:val="center"/>
                </w:tcPr>
                <w:p>
                  <w:pPr>
                    <w:jc w:val="center"/>
                    <w:rPr>
                      <w:bCs/>
                      <w:szCs w:val="21"/>
                    </w:rPr>
                  </w:pPr>
                  <w:r>
                    <w:rPr>
                      <w:rFonts w:hint="eastAsia"/>
                      <w:bCs/>
                      <w:szCs w:val="21"/>
                    </w:rPr>
                    <w:t>1</w:t>
                  </w:r>
                </w:p>
              </w:tc>
              <w:tc>
                <w:tcPr>
                  <w:tcW w:w="1069" w:type="pct"/>
                  <w:vAlign w:val="center"/>
                </w:tcPr>
                <w:p>
                  <w:pPr>
                    <w:adjustRightInd w:val="0"/>
                    <w:snapToGrid w:val="0"/>
                    <w:jc w:val="center"/>
                    <w:rPr>
                      <w:szCs w:val="21"/>
                    </w:rPr>
                  </w:pPr>
                  <w:r>
                    <w:rPr>
                      <w:rFonts w:hint="eastAsia"/>
                      <w:szCs w:val="21"/>
                    </w:rPr>
                    <w:t>多孔粒状硝酸铵</w:t>
                  </w:r>
                </w:p>
              </w:tc>
              <w:tc>
                <w:tcPr>
                  <w:tcW w:w="901" w:type="pct"/>
                  <w:vAlign w:val="center"/>
                </w:tcPr>
                <w:p>
                  <w:pPr>
                    <w:adjustRightInd w:val="0"/>
                    <w:snapToGrid w:val="0"/>
                    <w:jc w:val="center"/>
                    <w:rPr>
                      <w:bCs/>
                      <w:szCs w:val="21"/>
                    </w:rPr>
                  </w:pPr>
                  <w:r>
                    <w:rPr>
                      <w:rFonts w:hint="eastAsia"/>
                      <w:bCs/>
                      <w:szCs w:val="21"/>
                    </w:rPr>
                    <w:t>6800t/a</w:t>
                  </w:r>
                </w:p>
              </w:tc>
              <w:tc>
                <w:tcPr>
                  <w:tcW w:w="1161" w:type="pct"/>
                  <w:vAlign w:val="center"/>
                </w:tcPr>
                <w:p>
                  <w:pPr>
                    <w:adjustRightInd w:val="0"/>
                    <w:snapToGrid w:val="0"/>
                    <w:jc w:val="center"/>
                    <w:rPr>
                      <w:bCs/>
                      <w:szCs w:val="21"/>
                    </w:rPr>
                  </w:pPr>
                  <w:r>
                    <w:rPr>
                      <w:rFonts w:hint="eastAsia"/>
                      <w:bCs/>
                      <w:szCs w:val="21"/>
                    </w:rPr>
                    <w:t>外购</w:t>
                  </w:r>
                </w:p>
              </w:tc>
              <w:tc>
                <w:tcPr>
                  <w:tcW w:w="1381" w:type="pct"/>
                  <w:vAlign w:val="center"/>
                </w:tcPr>
                <w:p>
                  <w:pPr>
                    <w:pStyle w:val="8"/>
                    <w:numPr>
                      <w:ilvl w:val="3"/>
                      <w:numId w:val="0"/>
                    </w:numPr>
                    <w:jc w:val="center"/>
                  </w:pPr>
                  <w:r>
                    <w:rPr>
                      <w:rFonts w:hint="eastAsia"/>
                    </w:rPr>
                    <w:t>硝酸铵库储存</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trPr>
              <w:tc>
                <w:tcPr>
                  <w:tcW w:w="487" w:type="pct"/>
                  <w:vAlign w:val="center"/>
                </w:tcPr>
                <w:p>
                  <w:pPr>
                    <w:jc w:val="center"/>
                    <w:rPr>
                      <w:bCs/>
                      <w:szCs w:val="21"/>
                    </w:rPr>
                  </w:pPr>
                  <w:r>
                    <w:rPr>
                      <w:rFonts w:hint="eastAsia"/>
                      <w:bCs/>
                      <w:szCs w:val="21"/>
                    </w:rPr>
                    <w:t>2</w:t>
                  </w:r>
                </w:p>
              </w:tc>
              <w:tc>
                <w:tcPr>
                  <w:tcW w:w="1069" w:type="pct"/>
                  <w:vAlign w:val="center"/>
                </w:tcPr>
                <w:p>
                  <w:pPr>
                    <w:adjustRightInd w:val="0"/>
                    <w:snapToGrid w:val="0"/>
                    <w:jc w:val="center"/>
                    <w:rPr>
                      <w:szCs w:val="21"/>
                    </w:rPr>
                  </w:pPr>
                  <w:r>
                    <w:rPr>
                      <w:rFonts w:hint="eastAsia"/>
                      <w:szCs w:val="21"/>
                    </w:rPr>
                    <w:t>柴油</w:t>
                  </w:r>
                </w:p>
              </w:tc>
              <w:tc>
                <w:tcPr>
                  <w:tcW w:w="901" w:type="pct"/>
                  <w:vAlign w:val="center"/>
                </w:tcPr>
                <w:p>
                  <w:pPr>
                    <w:adjustRightInd w:val="0"/>
                    <w:snapToGrid w:val="0"/>
                    <w:jc w:val="center"/>
                    <w:rPr>
                      <w:bCs/>
                      <w:szCs w:val="21"/>
                    </w:rPr>
                  </w:pPr>
                  <w:r>
                    <w:rPr>
                      <w:rFonts w:hint="eastAsia"/>
                      <w:bCs/>
                      <w:szCs w:val="21"/>
                    </w:rPr>
                    <w:t>400t/a</w:t>
                  </w:r>
                </w:p>
              </w:tc>
              <w:tc>
                <w:tcPr>
                  <w:tcW w:w="1161" w:type="pct"/>
                  <w:vAlign w:val="center"/>
                </w:tcPr>
                <w:p>
                  <w:pPr>
                    <w:adjustRightInd w:val="0"/>
                    <w:snapToGrid w:val="0"/>
                    <w:jc w:val="center"/>
                    <w:rPr>
                      <w:bCs/>
                      <w:szCs w:val="21"/>
                    </w:rPr>
                  </w:pPr>
                  <w:r>
                    <w:rPr>
                      <w:rFonts w:hint="eastAsia"/>
                      <w:bCs/>
                      <w:szCs w:val="21"/>
                    </w:rPr>
                    <w:t>外购</w:t>
                  </w:r>
                </w:p>
              </w:tc>
              <w:tc>
                <w:tcPr>
                  <w:tcW w:w="1381" w:type="pct"/>
                  <w:vAlign w:val="center"/>
                </w:tcPr>
                <w:p>
                  <w:pPr>
                    <w:adjustRightInd w:val="0"/>
                    <w:snapToGrid w:val="0"/>
                    <w:jc w:val="center"/>
                    <w:rPr>
                      <w:szCs w:val="21"/>
                    </w:rPr>
                  </w:pPr>
                  <w:r>
                    <w:rPr>
                      <w:rFonts w:hint="eastAsia"/>
                      <w:szCs w:val="21"/>
                    </w:rPr>
                    <w:t>柴油储罐储存</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trPr>
              <w:tc>
                <w:tcPr>
                  <w:tcW w:w="487" w:type="pct"/>
                  <w:vAlign w:val="center"/>
                </w:tcPr>
                <w:p>
                  <w:pPr>
                    <w:jc w:val="center"/>
                    <w:rPr>
                      <w:rFonts w:hint="eastAsia" w:eastAsia="宋体"/>
                      <w:bCs/>
                      <w:szCs w:val="21"/>
                      <w:lang w:val="en-US" w:eastAsia="zh-CN"/>
                    </w:rPr>
                  </w:pPr>
                  <w:r>
                    <w:rPr>
                      <w:rFonts w:hint="eastAsia"/>
                      <w:bCs/>
                      <w:szCs w:val="21"/>
                      <w:lang w:val="en-US" w:eastAsia="zh-CN"/>
                    </w:rPr>
                    <w:t>3</w:t>
                  </w:r>
                </w:p>
              </w:tc>
              <w:tc>
                <w:tcPr>
                  <w:tcW w:w="1069" w:type="pct"/>
                  <w:vAlign w:val="center"/>
                </w:tcPr>
                <w:p>
                  <w:pPr>
                    <w:adjustRightInd w:val="0"/>
                    <w:snapToGrid w:val="0"/>
                    <w:jc w:val="center"/>
                    <w:rPr>
                      <w:rFonts w:hint="default" w:eastAsia="宋体"/>
                      <w:szCs w:val="21"/>
                      <w:lang w:val="en-US" w:eastAsia="zh-CN"/>
                    </w:rPr>
                  </w:pPr>
                  <w:r>
                    <w:rPr>
                      <w:rFonts w:hint="eastAsia"/>
                      <w:szCs w:val="21"/>
                      <w:lang w:val="en-US" w:eastAsia="zh-CN"/>
                    </w:rPr>
                    <w:t>电子雷管</w:t>
                  </w:r>
                </w:p>
              </w:tc>
              <w:tc>
                <w:tcPr>
                  <w:tcW w:w="901" w:type="pct"/>
                  <w:vAlign w:val="center"/>
                </w:tcPr>
                <w:p>
                  <w:pPr>
                    <w:adjustRightInd w:val="0"/>
                    <w:snapToGrid w:val="0"/>
                    <w:jc w:val="center"/>
                    <w:rPr>
                      <w:rFonts w:hint="default" w:eastAsia="宋体"/>
                      <w:bCs/>
                      <w:szCs w:val="21"/>
                      <w:lang w:val="en-US" w:eastAsia="zh-CN"/>
                    </w:rPr>
                  </w:pPr>
                  <w:r>
                    <w:rPr>
                      <w:rFonts w:hint="eastAsia"/>
                      <w:bCs/>
                      <w:szCs w:val="21"/>
                      <w:lang w:val="en-US" w:eastAsia="zh-CN"/>
                    </w:rPr>
                    <w:t>10000发/a（0.01t/a）</w:t>
                  </w:r>
                </w:p>
              </w:tc>
              <w:tc>
                <w:tcPr>
                  <w:tcW w:w="1161" w:type="pct"/>
                  <w:vAlign w:val="center"/>
                </w:tcPr>
                <w:p>
                  <w:pPr>
                    <w:adjustRightInd w:val="0"/>
                    <w:snapToGrid w:val="0"/>
                    <w:jc w:val="center"/>
                    <w:rPr>
                      <w:rFonts w:hint="eastAsia" w:eastAsia="宋体"/>
                      <w:bCs/>
                      <w:szCs w:val="21"/>
                      <w:lang w:val="en-US" w:eastAsia="zh-CN"/>
                    </w:rPr>
                  </w:pPr>
                  <w:r>
                    <w:rPr>
                      <w:rFonts w:hint="eastAsia"/>
                      <w:bCs/>
                      <w:szCs w:val="21"/>
                      <w:lang w:val="en-US" w:eastAsia="zh-CN"/>
                    </w:rPr>
                    <w:t>外购</w:t>
                  </w:r>
                </w:p>
              </w:tc>
              <w:tc>
                <w:tcPr>
                  <w:tcW w:w="1381" w:type="pct"/>
                  <w:vAlign w:val="center"/>
                </w:tcPr>
                <w:p>
                  <w:pPr>
                    <w:adjustRightInd w:val="0"/>
                    <w:snapToGrid w:val="0"/>
                    <w:jc w:val="center"/>
                    <w:rPr>
                      <w:rFonts w:hint="default" w:eastAsia="宋体"/>
                      <w:szCs w:val="21"/>
                      <w:lang w:val="en-US" w:eastAsia="zh-CN"/>
                    </w:rPr>
                  </w:pPr>
                  <w:r>
                    <w:rPr>
                      <w:rFonts w:hint="eastAsia"/>
                      <w:szCs w:val="21"/>
                      <w:lang w:val="en-US" w:eastAsia="zh-CN"/>
                    </w:rPr>
                    <w:t>工业雷管库储存</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trPr>
              <w:tc>
                <w:tcPr>
                  <w:tcW w:w="487" w:type="pct"/>
                  <w:vAlign w:val="center"/>
                </w:tcPr>
                <w:p>
                  <w:pPr>
                    <w:jc w:val="center"/>
                    <w:rPr>
                      <w:rFonts w:hint="eastAsia" w:eastAsia="宋体"/>
                      <w:bCs/>
                      <w:szCs w:val="21"/>
                      <w:lang w:val="en-US" w:eastAsia="zh-CN"/>
                    </w:rPr>
                  </w:pPr>
                  <w:r>
                    <w:rPr>
                      <w:rFonts w:hint="eastAsia"/>
                      <w:bCs/>
                      <w:szCs w:val="21"/>
                      <w:lang w:val="en-US" w:eastAsia="zh-CN"/>
                    </w:rPr>
                    <w:t>4</w:t>
                  </w:r>
                </w:p>
              </w:tc>
              <w:tc>
                <w:tcPr>
                  <w:tcW w:w="1069" w:type="pct"/>
                  <w:vAlign w:val="center"/>
                </w:tcPr>
                <w:p>
                  <w:pPr>
                    <w:adjustRightInd w:val="0"/>
                    <w:snapToGrid w:val="0"/>
                    <w:jc w:val="center"/>
                    <w:rPr>
                      <w:szCs w:val="21"/>
                    </w:rPr>
                  </w:pPr>
                  <w:r>
                    <w:rPr>
                      <w:szCs w:val="21"/>
                    </w:rPr>
                    <w:t>水</w:t>
                  </w:r>
                </w:p>
              </w:tc>
              <w:tc>
                <w:tcPr>
                  <w:tcW w:w="901" w:type="pct"/>
                  <w:vAlign w:val="center"/>
                </w:tcPr>
                <w:p>
                  <w:pPr>
                    <w:adjustRightInd w:val="0"/>
                    <w:snapToGrid w:val="0"/>
                    <w:jc w:val="center"/>
                    <w:rPr>
                      <w:bCs/>
                      <w:szCs w:val="21"/>
                    </w:rPr>
                  </w:pPr>
                  <w:r>
                    <w:rPr>
                      <w:rFonts w:hint="eastAsia"/>
                      <w:szCs w:val="21"/>
                    </w:rPr>
                    <w:t>2150.375</w:t>
                  </w:r>
                  <w:r>
                    <w:rPr>
                      <w:szCs w:val="21"/>
                    </w:rPr>
                    <w:t>t/a</w:t>
                  </w:r>
                </w:p>
              </w:tc>
              <w:tc>
                <w:tcPr>
                  <w:tcW w:w="1161" w:type="pct"/>
                  <w:vAlign w:val="center"/>
                </w:tcPr>
                <w:p>
                  <w:pPr>
                    <w:adjustRightInd w:val="0"/>
                    <w:snapToGrid w:val="0"/>
                    <w:jc w:val="center"/>
                    <w:rPr>
                      <w:bCs/>
                      <w:szCs w:val="21"/>
                    </w:rPr>
                  </w:pPr>
                  <w:r>
                    <w:rPr>
                      <w:rFonts w:hint="eastAsia"/>
                      <w:szCs w:val="21"/>
                    </w:rPr>
                    <w:t>/</w:t>
                  </w:r>
                </w:p>
              </w:tc>
              <w:tc>
                <w:tcPr>
                  <w:tcW w:w="1381" w:type="pct"/>
                  <w:vAlign w:val="center"/>
                </w:tcPr>
                <w:p>
                  <w:pPr>
                    <w:adjustRightInd w:val="0"/>
                    <w:snapToGrid w:val="0"/>
                    <w:jc w:val="center"/>
                    <w:rPr>
                      <w:szCs w:val="21"/>
                    </w:rPr>
                  </w:pPr>
                  <w:r>
                    <w:rPr>
                      <w:szCs w:val="21"/>
                    </w:rPr>
                    <w:t>能源消耗</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trPr>
              <w:tc>
                <w:tcPr>
                  <w:tcW w:w="487" w:type="pct"/>
                  <w:vAlign w:val="center"/>
                </w:tcPr>
                <w:p>
                  <w:pPr>
                    <w:jc w:val="center"/>
                    <w:rPr>
                      <w:rFonts w:hint="eastAsia" w:eastAsia="宋体"/>
                      <w:bCs/>
                      <w:szCs w:val="21"/>
                      <w:lang w:val="en-US" w:eastAsia="zh-CN"/>
                    </w:rPr>
                  </w:pPr>
                  <w:r>
                    <w:rPr>
                      <w:rFonts w:hint="eastAsia"/>
                      <w:bCs/>
                      <w:szCs w:val="21"/>
                      <w:lang w:val="en-US" w:eastAsia="zh-CN"/>
                    </w:rPr>
                    <w:t>5</w:t>
                  </w:r>
                </w:p>
              </w:tc>
              <w:tc>
                <w:tcPr>
                  <w:tcW w:w="1069" w:type="pct"/>
                  <w:vAlign w:val="center"/>
                </w:tcPr>
                <w:p>
                  <w:pPr>
                    <w:adjustRightInd w:val="0"/>
                    <w:snapToGrid w:val="0"/>
                    <w:jc w:val="center"/>
                    <w:rPr>
                      <w:szCs w:val="21"/>
                    </w:rPr>
                  </w:pPr>
                  <w:r>
                    <w:rPr>
                      <w:szCs w:val="21"/>
                    </w:rPr>
                    <w:t>电</w:t>
                  </w:r>
                </w:p>
              </w:tc>
              <w:tc>
                <w:tcPr>
                  <w:tcW w:w="901" w:type="pct"/>
                  <w:vAlign w:val="center"/>
                </w:tcPr>
                <w:p>
                  <w:pPr>
                    <w:adjustRightInd w:val="0"/>
                    <w:snapToGrid w:val="0"/>
                    <w:jc w:val="center"/>
                    <w:rPr>
                      <w:bCs/>
                      <w:szCs w:val="21"/>
                    </w:rPr>
                  </w:pPr>
                  <w:r>
                    <w:rPr>
                      <w:rFonts w:hint="eastAsia"/>
                      <w:szCs w:val="21"/>
                    </w:rPr>
                    <w:t>1.1×10</w:t>
                  </w:r>
                  <w:r>
                    <w:rPr>
                      <w:rFonts w:hint="eastAsia"/>
                      <w:szCs w:val="21"/>
                      <w:vertAlign w:val="superscript"/>
                    </w:rPr>
                    <w:t>7</w:t>
                  </w:r>
                  <w:r>
                    <w:rPr>
                      <w:szCs w:val="21"/>
                    </w:rPr>
                    <w:t>kWh</w:t>
                  </w:r>
                </w:p>
              </w:tc>
              <w:tc>
                <w:tcPr>
                  <w:tcW w:w="1161" w:type="pct"/>
                  <w:vAlign w:val="center"/>
                </w:tcPr>
                <w:p>
                  <w:pPr>
                    <w:adjustRightInd w:val="0"/>
                    <w:snapToGrid w:val="0"/>
                    <w:jc w:val="center"/>
                    <w:rPr>
                      <w:bCs/>
                      <w:szCs w:val="21"/>
                    </w:rPr>
                  </w:pPr>
                  <w:r>
                    <w:rPr>
                      <w:rFonts w:hint="eastAsia"/>
                      <w:szCs w:val="21"/>
                    </w:rPr>
                    <w:t>/</w:t>
                  </w:r>
                </w:p>
              </w:tc>
              <w:tc>
                <w:tcPr>
                  <w:tcW w:w="1381" w:type="pct"/>
                  <w:vAlign w:val="center"/>
                </w:tcPr>
                <w:p>
                  <w:pPr>
                    <w:adjustRightInd w:val="0"/>
                    <w:snapToGrid w:val="0"/>
                    <w:jc w:val="center"/>
                    <w:rPr>
                      <w:szCs w:val="21"/>
                    </w:rPr>
                  </w:pPr>
                  <w:r>
                    <w:rPr>
                      <w:szCs w:val="21"/>
                    </w:rPr>
                    <w:t>能源消耗</w:t>
                  </w:r>
                </w:p>
              </w:tc>
            </w:tr>
          </w:tbl>
          <w:p>
            <w:pPr>
              <w:adjustRightInd w:val="0"/>
              <w:snapToGrid w:val="0"/>
              <w:spacing w:line="480" w:lineRule="exact"/>
              <w:ind w:firstLine="480" w:firstLineChars="200"/>
              <w:rPr>
                <w:sz w:val="24"/>
              </w:rPr>
            </w:pPr>
            <w:r>
              <w:rPr>
                <w:sz w:val="24"/>
              </w:rPr>
              <w:t>主要原辅材料理化性质详见表2-</w:t>
            </w:r>
            <w:r>
              <w:rPr>
                <w:rFonts w:hint="eastAsia"/>
                <w:sz w:val="24"/>
              </w:rPr>
              <w:t>6</w:t>
            </w:r>
            <w:r>
              <w:rPr>
                <w:sz w:val="24"/>
              </w:rPr>
              <w:t>。</w:t>
            </w:r>
          </w:p>
          <w:p>
            <w:pPr>
              <w:pStyle w:val="60"/>
              <w:spacing w:line="240" w:lineRule="auto"/>
              <w:ind w:firstLine="480"/>
              <w:jc w:val="center"/>
              <w:rPr>
                <w:rFonts w:hAnsi="Times New Roman" w:eastAsia="黑体"/>
                <w:b w:val="0"/>
                <w:bCs w:val="0"/>
                <w:color w:val="auto"/>
                <w:szCs w:val="24"/>
              </w:rPr>
            </w:pPr>
            <w:r>
              <w:rPr>
                <w:rFonts w:hAnsi="Times New Roman" w:eastAsia="黑体"/>
                <w:b w:val="0"/>
                <w:bCs w:val="0"/>
                <w:color w:val="auto"/>
                <w:szCs w:val="24"/>
              </w:rPr>
              <w:t>表2-</w:t>
            </w:r>
            <w:r>
              <w:rPr>
                <w:rFonts w:hint="eastAsia" w:hAnsi="Times New Roman" w:eastAsia="黑体"/>
                <w:b w:val="0"/>
                <w:bCs w:val="0"/>
                <w:color w:val="auto"/>
                <w:szCs w:val="24"/>
              </w:rPr>
              <w:t>6</w:t>
            </w:r>
            <w:r>
              <w:rPr>
                <w:rFonts w:hAnsi="Times New Roman" w:eastAsia="黑体"/>
                <w:b w:val="0"/>
                <w:bCs w:val="0"/>
                <w:color w:val="auto"/>
                <w:szCs w:val="24"/>
              </w:rPr>
              <w:t xml:space="preserve">  硝酸铵</w:t>
            </w:r>
            <w:r>
              <w:rPr>
                <w:rFonts w:hint="eastAsia" w:hAnsi="Times New Roman" w:eastAsia="黑体"/>
                <w:b w:val="0"/>
                <w:bCs w:val="0"/>
                <w:color w:val="auto"/>
                <w:szCs w:val="24"/>
              </w:rPr>
              <w:t>特性分析</w:t>
            </w:r>
            <w:r>
              <w:rPr>
                <w:rFonts w:hAnsi="Times New Roman" w:eastAsia="黑体"/>
                <w:b w:val="0"/>
                <w:bCs w:val="0"/>
                <w:color w:val="auto"/>
                <w:szCs w:val="24"/>
              </w:rPr>
              <w:t>表</w:t>
            </w:r>
          </w:p>
          <w:tbl>
            <w:tblPr>
              <w:tblStyle w:val="29"/>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3"/>
              <w:gridCol w:w="76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9" w:type="pct"/>
                  <w:vAlign w:val="center"/>
                </w:tcPr>
                <w:p>
                  <w:pPr>
                    <w:widowControl/>
                    <w:jc w:val="center"/>
                    <w:rPr>
                      <w:kern w:val="0"/>
                      <w:szCs w:val="21"/>
                    </w:rPr>
                  </w:pPr>
                  <w:r>
                    <w:rPr>
                      <w:kern w:val="0"/>
                      <w:szCs w:val="21"/>
                    </w:rPr>
                    <w:t>标识</w:t>
                  </w:r>
                </w:p>
              </w:tc>
              <w:tc>
                <w:tcPr>
                  <w:tcW w:w="4580" w:type="pct"/>
                </w:tcPr>
                <w:p>
                  <w:pPr>
                    <w:widowControl/>
                    <w:jc w:val="left"/>
                    <w:rPr>
                      <w:kern w:val="0"/>
                      <w:szCs w:val="21"/>
                    </w:rPr>
                  </w:pPr>
                  <w:r>
                    <w:rPr>
                      <w:kern w:val="0"/>
                      <w:szCs w:val="21"/>
                    </w:rPr>
                    <w:t>中文名：硝酸铵</w:t>
                  </w:r>
                  <w:r>
                    <w:rPr>
                      <w:rFonts w:hint="eastAsia"/>
                      <w:kern w:val="0"/>
                      <w:szCs w:val="21"/>
                    </w:rPr>
                    <w:t>，液体</w:t>
                  </w:r>
                  <w:r>
                    <w:rPr>
                      <w:kern w:val="0"/>
                      <w:szCs w:val="21"/>
                    </w:rPr>
                    <w:t xml:space="preserve">  英文名：Ammonium  nitrate</w:t>
                  </w:r>
                  <w:r>
                    <w:rPr>
                      <w:rFonts w:hint="eastAsia"/>
                      <w:kern w:val="0"/>
                      <w:szCs w:val="21"/>
                    </w:rPr>
                    <w:t>，liquid</w:t>
                  </w:r>
                  <w:r>
                    <w:rPr>
                      <w:kern w:val="0"/>
                      <w:szCs w:val="21"/>
                    </w:rPr>
                    <w:t xml:space="preserve">   分子式：NH</w:t>
                  </w:r>
                  <w:r>
                    <w:rPr>
                      <w:kern w:val="0"/>
                      <w:szCs w:val="21"/>
                      <w:vertAlign w:val="subscript"/>
                    </w:rPr>
                    <w:t>4</w:t>
                  </w:r>
                  <w:r>
                    <w:rPr>
                      <w:kern w:val="0"/>
                      <w:szCs w:val="21"/>
                    </w:rPr>
                    <w:t>NO</w:t>
                  </w:r>
                  <w:r>
                    <w:rPr>
                      <w:kern w:val="0"/>
                      <w:szCs w:val="21"/>
                      <w:vertAlign w:val="subscript"/>
                    </w:rPr>
                    <w:t>3</w:t>
                  </w:r>
                </w:p>
                <w:p>
                  <w:pPr>
                    <w:widowControl/>
                    <w:jc w:val="left"/>
                    <w:rPr>
                      <w:kern w:val="0"/>
                      <w:szCs w:val="21"/>
                    </w:rPr>
                  </w:pPr>
                  <w:r>
                    <w:rPr>
                      <w:kern w:val="0"/>
                      <w:szCs w:val="21"/>
                    </w:rPr>
                    <w:t>分子量：80.05     危规号：51069                 UN编号：</w:t>
                  </w:r>
                  <w:r>
                    <w:rPr>
                      <w:rFonts w:hint="eastAsia"/>
                      <w:kern w:val="0"/>
                      <w:szCs w:val="21"/>
                    </w:rPr>
                    <w:t>2426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3" w:hRule="atLeast"/>
                <w:jc w:val="center"/>
              </w:trPr>
              <w:tc>
                <w:tcPr>
                  <w:tcW w:w="419" w:type="pct"/>
                  <w:vAlign w:val="center"/>
                </w:tcPr>
                <w:p>
                  <w:pPr>
                    <w:widowControl/>
                    <w:jc w:val="center"/>
                    <w:rPr>
                      <w:kern w:val="0"/>
                      <w:szCs w:val="21"/>
                    </w:rPr>
                  </w:pPr>
                  <w:r>
                    <w:rPr>
                      <w:kern w:val="0"/>
                      <w:szCs w:val="21"/>
                    </w:rPr>
                    <w:t>理化特性</w:t>
                  </w:r>
                </w:p>
              </w:tc>
              <w:tc>
                <w:tcPr>
                  <w:tcW w:w="4580" w:type="pct"/>
                </w:tcPr>
                <w:p>
                  <w:pPr>
                    <w:widowControl/>
                    <w:rPr>
                      <w:kern w:val="0"/>
                      <w:szCs w:val="21"/>
                    </w:rPr>
                  </w:pPr>
                  <w:r>
                    <w:rPr>
                      <w:kern w:val="0"/>
                      <w:szCs w:val="21"/>
                    </w:rPr>
                    <w:t>含硝酸铵不超过93</w:t>
                  </w:r>
                  <w:r>
                    <w:rPr>
                      <w:rFonts w:hint="eastAsia"/>
                      <w:kern w:val="0"/>
                      <w:szCs w:val="21"/>
                    </w:rPr>
                    <w:t>%</w:t>
                  </w:r>
                  <w:r>
                    <w:rPr>
                      <w:kern w:val="0"/>
                      <w:szCs w:val="21"/>
                    </w:rPr>
                    <w:t>和可燃物（包括以碳计算的有机物）不超过0.2</w:t>
                  </w:r>
                  <w:r>
                    <w:rPr>
                      <w:rFonts w:hint="eastAsia"/>
                      <w:kern w:val="0"/>
                      <w:szCs w:val="21"/>
                    </w:rPr>
                    <w:t>%</w:t>
                  </w:r>
                  <w:r>
                    <w:rPr>
                      <w:kern w:val="0"/>
                      <w:szCs w:val="21"/>
                    </w:rPr>
                    <w:t>，无其他添加物，含水至少7</w:t>
                  </w:r>
                  <w:r>
                    <w:rPr>
                      <w:rFonts w:hint="eastAsia"/>
                      <w:kern w:val="0"/>
                      <w:szCs w:val="21"/>
                    </w:rPr>
                    <w:t>%</w:t>
                  </w:r>
                  <w:r>
                    <w:rPr>
                      <w:kern w:val="0"/>
                      <w:szCs w:val="21"/>
                    </w:rPr>
                    <w:t>，氯离子最大含量不得超过0.02</w:t>
                  </w:r>
                  <w:r>
                    <w:rPr>
                      <w:rFonts w:hint="eastAsia"/>
                      <w:kern w:val="0"/>
                      <w:szCs w:val="21"/>
                    </w:rPr>
                    <w:t>%</w:t>
                  </w:r>
                  <w:r>
                    <w:rPr>
                      <w:kern w:val="0"/>
                      <w:szCs w:val="21"/>
                    </w:rPr>
                    <w:t>的热水溶液。</w:t>
                  </w:r>
                </w:p>
                <w:p>
                  <w:pPr>
                    <w:widowControl/>
                    <w:rPr>
                      <w:kern w:val="0"/>
                      <w:szCs w:val="21"/>
                    </w:rPr>
                  </w:pPr>
                  <w:r>
                    <w:rPr>
                      <w:kern w:val="0"/>
                      <w:szCs w:val="21"/>
                    </w:rPr>
                    <w:t>熔点：169.6℃；分解温度：210℃；相对密度：1.72</w:t>
                  </w:r>
                </w:p>
                <w:p>
                  <w:pPr>
                    <w:widowControl/>
                    <w:rPr>
                      <w:kern w:val="0"/>
                      <w:szCs w:val="21"/>
                    </w:rPr>
                  </w:pPr>
                  <w:r>
                    <w:rPr>
                      <w:kern w:val="0"/>
                      <w:szCs w:val="21"/>
                    </w:rPr>
                    <w:t>主要用途：用于炸药的氧化剂等。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4" w:hRule="atLeast"/>
                <w:jc w:val="center"/>
              </w:trPr>
              <w:tc>
                <w:tcPr>
                  <w:tcW w:w="419" w:type="pct"/>
                  <w:vAlign w:val="center"/>
                </w:tcPr>
                <w:p>
                  <w:pPr>
                    <w:widowControl/>
                    <w:jc w:val="center"/>
                    <w:rPr>
                      <w:kern w:val="0"/>
                      <w:szCs w:val="21"/>
                    </w:rPr>
                  </w:pPr>
                  <w:r>
                    <w:rPr>
                      <w:kern w:val="0"/>
                      <w:szCs w:val="21"/>
                    </w:rPr>
                    <w:t>危险特性</w:t>
                  </w:r>
                </w:p>
              </w:tc>
              <w:tc>
                <w:tcPr>
                  <w:tcW w:w="4580" w:type="pct"/>
                </w:tcPr>
                <w:p>
                  <w:pPr>
                    <w:widowControl/>
                    <w:rPr>
                      <w:kern w:val="0"/>
                      <w:szCs w:val="21"/>
                    </w:rPr>
                  </w:pPr>
                  <w:r>
                    <w:rPr>
                      <w:kern w:val="0"/>
                      <w:szCs w:val="21"/>
                    </w:rPr>
                    <w:t>强氧化剂。遇可燃物着火时，能助长火势。与可燃物粉末混合能发生激烈反应而爆炸。受强烈震动也会引爆。剧烈加热时可发生爆炸。与还原剂、有机物、易燃物如硫、磷或金属粉末等混合可形成爆炸性混合物。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9" w:type="pct"/>
                  <w:vAlign w:val="center"/>
                </w:tcPr>
                <w:p>
                  <w:pPr>
                    <w:widowControl/>
                    <w:jc w:val="center"/>
                    <w:rPr>
                      <w:kern w:val="0"/>
                      <w:szCs w:val="21"/>
                    </w:rPr>
                  </w:pPr>
                  <w:r>
                    <w:rPr>
                      <w:kern w:val="0"/>
                      <w:szCs w:val="21"/>
                    </w:rPr>
                    <w:t>毒性</w:t>
                  </w:r>
                </w:p>
                <w:p>
                  <w:pPr>
                    <w:widowControl/>
                    <w:jc w:val="center"/>
                    <w:rPr>
                      <w:kern w:val="0"/>
                      <w:szCs w:val="21"/>
                    </w:rPr>
                  </w:pPr>
                  <w:r>
                    <w:rPr>
                      <w:kern w:val="0"/>
                      <w:szCs w:val="21"/>
                    </w:rPr>
                    <w:t>危害</w:t>
                  </w:r>
                </w:p>
              </w:tc>
              <w:tc>
                <w:tcPr>
                  <w:tcW w:w="4580" w:type="pct"/>
                </w:tcPr>
                <w:p>
                  <w:pPr>
                    <w:widowControl/>
                    <w:rPr>
                      <w:kern w:val="0"/>
                      <w:szCs w:val="21"/>
                    </w:rPr>
                  </w:pPr>
                  <w:r>
                    <w:rPr>
                      <w:kern w:val="0"/>
                      <w:szCs w:val="21"/>
                    </w:rPr>
                    <w:t>侵入途径：吸入、食入、经皮吸收。</w:t>
                  </w:r>
                </w:p>
                <w:p>
                  <w:pPr>
                    <w:widowControl/>
                    <w:rPr>
                      <w:kern w:val="0"/>
                      <w:szCs w:val="21"/>
                    </w:rPr>
                  </w:pPr>
                  <w:r>
                    <w:rPr>
                      <w:kern w:val="0"/>
                      <w:szCs w:val="21"/>
                    </w:rPr>
                    <w:t>对呼吸道、眼及皮肤有刺激性。接触后可引起恶心、呕吐、头痛、虚弱、无力和虚脱等。</w:t>
                  </w:r>
                </w:p>
                <w:p>
                  <w:pPr>
                    <w:widowControl/>
                    <w:rPr>
                      <w:kern w:val="0"/>
                      <w:szCs w:val="21"/>
                    </w:rPr>
                  </w:pPr>
                  <w:r>
                    <w:rPr>
                      <w:kern w:val="0"/>
                      <w:szCs w:val="21"/>
                    </w:rPr>
                    <w:t>大量接触可引起高铁血红蛋白血症，影响血液的携氧能力，出现紫绀、头痛、头晕、虚脱，甚至死亡。口服引起剧烈腹痛、呕吐、血便、休克、全身抽搐、昏迷，甚至死亡。</w:t>
                  </w:r>
                </w:p>
              </w:tc>
            </w:tr>
          </w:tbl>
          <w:p>
            <w:pPr>
              <w:adjustRightInd w:val="0"/>
              <w:snapToGrid w:val="0"/>
              <w:jc w:val="center"/>
              <w:rPr>
                <w:rFonts w:eastAsia="黑体"/>
                <w:bCs/>
                <w:sz w:val="24"/>
                <w:szCs w:val="32"/>
              </w:rPr>
            </w:pPr>
            <w:r>
              <w:rPr>
                <w:rFonts w:eastAsia="黑体"/>
                <w:bCs/>
                <w:sz w:val="24"/>
                <w:szCs w:val="32"/>
              </w:rPr>
              <w:t>表</w:t>
            </w:r>
            <w:r>
              <w:rPr>
                <w:rFonts w:hint="eastAsia" w:eastAsia="黑体"/>
                <w:bCs/>
                <w:sz w:val="24"/>
                <w:szCs w:val="32"/>
              </w:rPr>
              <w:t xml:space="preserve">2-7 </w:t>
            </w:r>
            <w:r>
              <w:rPr>
                <w:rFonts w:eastAsia="黑体"/>
                <w:bCs/>
                <w:sz w:val="24"/>
                <w:szCs w:val="32"/>
              </w:rPr>
              <w:t xml:space="preserve"> 柴油的理化性质和危险特性</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56"/>
              <w:gridCol w:w="2917"/>
              <w:gridCol w:w="1465"/>
              <w:gridCol w:w="25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4"/>
                  <w:vAlign w:val="center"/>
                </w:tcPr>
                <w:p>
                  <w:pPr>
                    <w:jc w:val="center"/>
                    <w:rPr>
                      <w:bCs/>
                      <w:szCs w:val="21"/>
                    </w:rPr>
                  </w:pPr>
                  <w:r>
                    <w:rPr>
                      <w:bCs/>
                      <w:szCs w:val="21"/>
                    </w:rPr>
                    <w:t>危险性概述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68" w:type="pct"/>
                  <w:vAlign w:val="center"/>
                </w:tcPr>
                <w:p>
                  <w:pPr>
                    <w:jc w:val="center"/>
                    <w:rPr>
                      <w:szCs w:val="21"/>
                    </w:rPr>
                  </w:pPr>
                  <w:r>
                    <w:rPr>
                      <w:szCs w:val="21"/>
                    </w:rPr>
                    <w:t>中文名称</w:t>
                  </w:r>
                </w:p>
              </w:tc>
              <w:tc>
                <w:tcPr>
                  <w:tcW w:w="1738" w:type="pct"/>
                  <w:vAlign w:val="center"/>
                </w:tcPr>
                <w:p>
                  <w:pPr>
                    <w:jc w:val="center"/>
                    <w:rPr>
                      <w:szCs w:val="21"/>
                    </w:rPr>
                  </w:pPr>
                  <w:r>
                    <w:rPr>
                      <w:rFonts w:hint="eastAsia"/>
                      <w:szCs w:val="21"/>
                    </w:rPr>
                    <w:t>柴油</w:t>
                  </w:r>
                </w:p>
              </w:tc>
              <w:tc>
                <w:tcPr>
                  <w:tcW w:w="873" w:type="pct"/>
                  <w:vAlign w:val="center"/>
                </w:tcPr>
                <w:p>
                  <w:pPr>
                    <w:jc w:val="center"/>
                    <w:rPr>
                      <w:szCs w:val="21"/>
                    </w:rPr>
                  </w:pPr>
                  <w:r>
                    <w:rPr>
                      <w:szCs w:val="21"/>
                    </w:rPr>
                    <w:t>英文名称</w:t>
                  </w:r>
                </w:p>
              </w:tc>
              <w:tc>
                <w:tcPr>
                  <w:tcW w:w="1521" w:type="pct"/>
                  <w:vAlign w:val="center"/>
                </w:tcPr>
                <w:p>
                  <w:pPr>
                    <w:jc w:val="center"/>
                    <w:rPr>
                      <w:szCs w:val="21"/>
                    </w:rPr>
                  </w:pPr>
                  <w:r>
                    <w:rPr>
                      <w:rFonts w:hint="eastAsia"/>
                      <w:szCs w:val="21"/>
                    </w:rPr>
                    <w:t>Dieseloil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68" w:type="pct"/>
                  <w:vAlign w:val="center"/>
                </w:tcPr>
                <w:p>
                  <w:pPr>
                    <w:jc w:val="center"/>
                    <w:rPr>
                      <w:szCs w:val="21"/>
                    </w:rPr>
                  </w:pPr>
                  <w:r>
                    <w:rPr>
                      <w:szCs w:val="21"/>
                    </w:rPr>
                    <w:t>分子式</w:t>
                  </w:r>
                </w:p>
              </w:tc>
              <w:tc>
                <w:tcPr>
                  <w:tcW w:w="1738" w:type="pct"/>
                  <w:vAlign w:val="center"/>
                </w:tcPr>
                <w:p>
                  <w:pPr>
                    <w:jc w:val="center"/>
                    <w:rPr>
                      <w:szCs w:val="21"/>
                    </w:rPr>
                  </w:pPr>
                  <w:r>
                    <w:rPr>
                      <w:szCs w:val="21"/>
                    </w:rPr>
                    <w:t>混合物</w:t>
                  </w:r>
                </w:p>
              </w:tc>
              <w:tc>
                <w:tcPr>
                  <w:tcW w:w="873" w:type="pct"/>
                  <w:vAlign w:val="center"/>
                </w:tcPr>
                <w:p>
                  <w:pPr>
                    <w:jc w:val="center"/>
                    <w:rPr>
                      <w:szCs w:val="21"/>
                    </w:rPr>
                  </w:pPr>
                  <w:r>
                    <w:rPr>
                      <w:szCs w:val="21"/>
                    </w:rPr>
                    <w:t>外观与性质</w:t>
                  </w:r>
                </w:p>
              </w:tc>
              <w:tc>
                <w:tcPr>
                  <w:tcW w:w="1521" w:type="pct"/>
                  <w:vAlign w:val="center"/>
                </w:tcPr>
                <w:p>
                  <w:pPr>
                    <w:jc w:val="center"/>
                    <w:rPr>
                      <w:szCs w:val="21"/>
                    </w:rPr>
                  </w:pPr>
                  <w:r>
                    <w:rPr>
                      <w:rFonts w:hint="eastAsia"/>
                      <w:szCs w:val="21"/>
                    </w:rPr>
                    <w:t>稍有粘稠性的棕色液体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68" w:type="pct"/>
                  <w:vAlign w:val="center"/>
                </w:tcPr>
                <w:p>
                  <w:pPr>
                    <w:spacing w:line="280" w:lineRule="exact"/>
                    <w:jc w:val="center"/>
                    <w:rPr>
                      <w:szCs w:val="21"/>
                    </w:rPr>
                  </w:pPr>
                  <w:r>
                    <w:rPr>
                      <w:rFonts w:hint="eastAsia"/>
                      <w:szCs w:val="21"/>
                    </w:rPr>
                    <w:t>熔点</w:t>
                  </w:r>
                  <w:r>
                    <w:rPr>
                      <w:szCs w:val="21"/>
                    </w:rPr>
                    <w:t>（℃）</w:t>
                  </w:r>
                </w:p>
              </w:tc>
              <w:tc>
                <w:tcPr>
                  <w:tcW w:w="1738" w:type="pct"/>
                  <w:vAlign w:val="center"/>
                </w:tcPr>
                <w:p>
                  <w:pPr>
                    <w:spacing w:line="280" w:lineRule="exact"/>
                    <w:jc w:val="center"/>
                    <w:rPr>
                      <w:szCs w:val="21"/>
                    </w:rPr>
                  </w:pPr>
                  <w:r>
                    <w:rPr>
                      <w:rFonts w:hint="eastAsia"/>
                      <w:szCs w:val="21"/>
                    </w:rPr>
                    <w:t>-18</w:t>
                  </w:r>
                </w:p>
              </w:tc>
              <w:tc>
                <w:tcPr>
                  <w:tcW w:w="873" w:type="pct"/>
                  <w:vAlign w:val="center"/>
                </w:tcPr>
                <w:p>
                  <w:pPr>
                    <w:spacing w:line="280" w:lineRule="exact"/>
                    <w:jc w:val="center"/>
                    <w:rPr>
                      <w:szCs w:val="21"/>
                    </w:rPr>
                  </w:pPr>
                  <w:r>
                    <w:rPr>
                      <w:szCs w:val="21"/>
                    </w:rPr>
                    <w:t>沸点（℃）</w:t>
                  </w:r>
                </w:p>
              </w:tc>
              <w:tc>
                <w:tcPr>
                  <w:tcW w:w="1521" w:type="pct"/>
                  <w:vAlign w:val="center"/>
                </w:tcPr>
                <w:p>
                  <w:pPr>
                    <w:spacing w:line="280" w:lineRule="exact"/>
                    <w:jc w:val="center"/>
                    <w:rPr>
                      <w:szCs w:val="21"/>
                    </w:rPr>
                  </w:pPr>
                  <w:r>
                    <w:rPr>
                      <w:rFonts w:hint="eastAsia"/>
                      <w:szCs w:val="21"/>
                    </w:rPr>
                    <w:t>282-338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68" w:type="pct"/>
                  <w:vAlign w:val="center"/>
                </w:tcPr>
                <w:p>
                  <w:pPr>
                    <w:jc w:val="center"/>
                    <w:rPr>
                      <w:szCs w:val="21"/>
                    </w:rPr>
                  </w:pPr>
                  <w:r>
                    <w:rPr>
                      <w:szCs w:val="21"/>
                    </w:rPr>
                    <w:t>密度</w:t>
                  </w:r>
                </w:p>
              </w:tc>
              <w:tc>
                <w:tcPr>
                  <w:tcW w:w="1738" w:type="pct"/>
                  <w:vAlign w:val="center"/>
                </w:tcPr>
                <w:p>
                  <w:pPr>
                    <w:jc w:val="center"/>
                    <w:rPr>
                      <w:szCs w:val="21"/>
                    </w:rPr>
                  </w:pPr>
                  <w:r>
                    <w:rPr>
                      <w:szCs w:val="21"/>
                    </w:rPr>
                    <w:t>相对密度（水＝1）</w:t>
                  </w:r>
                  <w:r>
                    <w:rPr>
                      <w:rFonts w:hint="eastAsia"/>
                      <w:szCs w:val="21"/>
                    </w:rPr>
                    <w:t>0.87-0.9</w:t>
                  </w:r>
                </w:p>
              </w:tc>
              <w:tc>
                <w:tcPr>
                  <w:tcW w:w="873" w:type="pct"/>
                  <w:vAlign w:val="center"/>
                </w:tcPr>
                <w:p>
                  <w:pPr>
                    <w:jc w:val="center"/>
                    <w:rPr>
                      <w:szCs w:val="21"/>
                    </w:rPr>
                  </w:pPr>
                  <w:r>
                    <w:rPr>
                      <w:szCs w:val="21"/>
                    </w:rPr>
                    <w:t>稳定性</w:t>
                  </w:r>
                </w:p>
              </w:tc>
              <w:tc>
                <w:tcPr>
                  <w:tcW w:w="1521" w:type="pct"/>
                  <w:vAlign w:val="center"/>
                </w:tcPr>
                <w:p>
                  <w:pPr>
                    <w:jc w:val="center"/>
                    <w:rPr>
                      <w:szCs w:val="21"/>
                    </w:rPr>
                  </w:pPr>
                  <w:r>
                    <w:rPr>
                      <w:szCs w:val="21"/>
                    </w:rPr>
                    <w:t>稳定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68" w:type="pct"/>
                  <w:vAlign w:val="center"/>
                </w:tcPr>
                <w:p>
                  <w:pPr>
                    <w:jc w:val="center"/>
                    <w:rPr>
                      <w:szCs w:val="21"/>
                    </w:rPr>
                  </w:pPr>
                  <w:r>
                    <w:rPr>
                      <w:szCs w:val="21"/>
                    </w:rPr>
                    <w:t>溶解性</w:t>
                  </w:r>
                </w:p>
              </w:tc>
              <w:tc>
                <w:tcPr>
                  <w:tcW w:w="4132" w:type="pct"/>
                  <w:gridSpan w:val="3"/>
                  <w:vAlign w:val="center"/>
                </w:tcPr>
                <w:p>
                  <w:pPr>
                    <w:jc w:val="center"/>
                    <w:rPr>
                      <w:szCs w:val="21"/>
                    </w:rPr>
                  </w:pP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68" w:type="pct"/>
                  <w:vAlign w:val="center"/>
                </w:tcPr>
                <w:p>
                  <w:pPr>
                    <w:jc w:val="center"/>
                    <w:rPr>
                      <w:szCs w:val="21"/>
                    </w:rPr>
                  </w:pPr>
                  <w:r>
                    <w:rPr>
                      <w:szCs w:val="21"/>
                    </w:rPr>
                    <w:t>主要用途</w:t>
                  </w:r>
                </w:p>
              </w:tc>
              <w:tc>
                <w:tcPr>
                  <w:tcW w:w="4132" w:type="pct"/>
                  <w:gridSpan w:val="3"/>
                  <w:vAlign w:val="center"/>
                </w:tcPr>
                <w:p>
                  <w:pPr>
                    <w:jc w:val="center"/>
                    <w:rPr>
                      <w:szCs w:val="21"/>
                    </w:rPr>
                  </w:pPr>
                  <w:r>
                    <w:rPr>
                      <w:rFonts w:hint="eastAsia"/>
                      <w:szCs w:val="21"/>
                    </w:rPr>
                    <w:t>用作柴油机的燃料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68" w:type="pct"/>
                  <w:vAlign w:val="center"/>
                </w:tcPr>
                <w:p>
                  <w:pPr>
                    <w:jc w:val="center"/>
                    <w:rPr>
                      <w:szCs w:val="21"/>
                    </w:rPr>
                  </w:pPr>
                  <w:r>
                    <w:rPr>
                      <w:szCs w:val="21"/>
                    </w:rPr>
                    <w:t>侵入途径</w:t>
                  </w:r>
                </w:p>
              </w:tc>
              <w:tc>
                <w:tcPr>
                  <w:tcW w:w="4132" w:type="pct"/>
                  <w:gridSpan w:val="3"/>
                  <w:vAlign w:val="center"/>
                </w:tcPr>
                <w:p>
                  <w:pPr>
                    <w:jc w:val="center"/>
                    <w:rPr>
                      <w:szCs w:val="21"/>
                    </w:rPr>
                  </w:pPr>
                  <w:r>
                    <w:rPr>
                      <w:szCs w:val="21"/>
                    </w:rPr>
                    <w:t>吸入、食入、经皮肤吸收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68" w:type="pct"/>
                  <w:vAlign w:val="center"/>
                </w:tcPr>
                <w:p>
                  <w:pPr>
                    <w:jc w:val="center"/>
                    <w:rPr>
                      <w:szCs w:val="21"/>
                    </w:rPr>
                  </w:pPr>
                  <w:r>
                    <w:rPr>
                      <w:szCs w:val="21"/>
                    </w:rPr>
                    <w:t>健康危害</w:t>
                  </w:r>
                </w:p>
              </w:tc>
              <w:tc>
                <w:tcPr>
                  <w:tcW w:w="4132" w:type="pct"/>
                  <w:gridSpan w:val="3"/>
                  <w:vAlign w:val="center"/>
                </w:tcPr>
                <w:p>
                  <w:pPr>
                    <w:pStyle w:val="26"/>
                    <w:tabs>
                      <w:tab w:val="clear" w:pos="5580"/>
                    </w:tabs>
                    <w:spacing w:line="240" w:lineRule="auto"/>
                    <w:jc w:val="center"/>
                    <w:rPr>
                      <w:rFonts w:ascii="Times New Roman" w:hAnsi="Times New Roman"/>
                      <w:spacing w:val="0"/>
                      <w:szCs w:val="21"/>
                    </w:rPr>
                  </w:pPr>
                  <w:r>
                    <w:rPr>
                      <w:rFonts w:hint="eastAsia" w:ascii="Times New Roman" w:hAnsi="Times New Roman"/>
                      <w:spacing w:val="0"/>
                      <w:szCs w:val="21"/>
                    </w:rPr>
                    <w:t>皮肤接触可为主要吸收途径，可致急性肾脏损害。柴油可引起接</w:t>
                  </w:r>
                </w:p>
                <w:p>
                  <w:pPr>
                    <w:pStyle w:val="26"/>
                    <w:tabs>
                      <w:tab w:val="clear" w:pos="5580"/>
                    </w:tabs>
                    <w:spacing w:line="240" w:lineRule="auto"/>
                    <w:jc w:val="center"/>
                    <w:rPr>
                      <w:rFonts w:ascii="Times New Roman" w:hAnsi="Times New Roman"/>
                      <w:spacing w:val="0"/>
                      <w:szCs w:val="21"/>
                    </w:rPr>
                  </w:pPr>
                  <w:r>
                    <w:rPr>
                      <w:rFonts w:hint="eastAsia" w:ascii="Times New Roman" w:hAnsi="Times New Roman"/>
                      <w:spacing w:val="0"/>
                      <w:szCs w:val="21"/>
                    </w:rPr>
                    <w:t>触性皮炎、油性痤疮。吸入其雾滴或液体呛入可引起吸入性肺炎。能经胎盘进入胎儿血中。柴油废气可引起眼、鼻刺激症状，头晕及头痛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68" w:type="pct"/>
                  <w:vAlign w:val="center"/>
                </w:tcPr>
                <w:p>
                  <w:pPr>
                    <w:jc w:val="center"/>
                    <w:rPr>
                      <w:szCs w:val="21"/>
                    </w:rPr>
                  </w:pPr>
                  <w:r>
                    <w:rPr>
                      <w:szCs w:val="21"/>
                    </w:rPr>
                    <w:t>毒性</w:t>
                  </w:r>
                </w:p>
              </w:tc>
              <w:tc>
                <w:tcPr>
                  <w:tcW w:w="4132" w:type="pct"/>
                  <w:gridSpan w:val="3"/>
                  <w:vAlign w:val="center"/>
                </w:tcPr>
                <w:p>
                  <w:pPr>
                    <w:jc w:val="center"/>
                    <w:rPr>
                      <w:szCs w:val="21"/>
                    </w:rPr>
                  </w:pP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68" w:type="pct"/>
                  <w:vAlign w:val="center"/>
                </w:tcPr>
                <w:p>
                  <w:pPr>
                    <w:jc w:val="center"/>
                    <w:rPr>
                      <w:szCs w:val="21"/>
                    </w:rPr>
                  </w:pPr>
                  <w:r>
                    <w:rPr>
                      <w:szCs w:val="21"/>
                    </w:rPr>
                    <w:t>危险特性</w:t>
                  </w:r>
                </w:p>
              </w:tc>
              <w:tc>
                <w:tcPr>
                  <w:tcW w:w="4132" w:type="pct"/>
                  <w:gridSpan w:val="3"/>
                  <w:vAlign w:val="center"/>
                </w:tcPr>
                <w:p>
                  <w:pPr>
                    <w:jc w:val="center"/>
                    <w:rPr>
                      <w:szCs w:val="21"/>
                    </w:rPr>
                  </w:pP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68" w:type="pct"/>
                  <w:vAlign w:val="center"/>
                </w:tcPr>
                <w:p>
                  <w:pPr>
                    <w:jc w:val="center"/>
                    <w:rPr>
                      <w:szCs w:val="21"/>
                    </w:rPr>
                  </w:pPr>
                  <w:r>
                    <w:rPr>
                      <w:rFonts w:hint="eastAsia"/>
                      <w:szCs w:val="21"/>
                    </w:rPr>
                    <w:t>有害燃烧物</w:t>
                  </w:r>
                </w:p>
              </w:tc>
              <w:tc>
                <w:tcPr>
                  <w:tcW w:w="4132" w:type="pct"/>
                  <w:gridSpan w:val="3"/>
                  <w:vAlign w:val="center"/>
                </w:tcPr>
                <w:p>
                  <w:pPr>
                    <w:jc w:val="center"/>
                    <w:rPr>
                      <w:szCs w:val="21"/>
                    </w:rPr>
                  </w:pPr>
                  <w:r>
                    <w:rPr>
                      <w:szCs w:val="21"/>
                    </w:rPr>
                    <w:t>一氧化碳、二氧化碳</w:t>
                  </w:r>
                </w:p>
              </w:tc>
            </w:tr>
          </w:tbl>
          <w:p>
            <w:pPr>
              <w:tabs>
                <w:tab w:val="left" w:pos="337"/>
              </w:tabs>
              <w:adjustRightInd w:val="0"/>
              <w:snapToGrid w:val="0"/>
              <w:spacing w:line="520" w:lineRule="exact"/>
              <w:ind w:firstLine="482" w:firstLineChars="200"/>
              <w:rPr>
                <w:b/>
                <w:bCs/>
                <w:sz w:val="24"/>
              </w:rPr>
            </w:pPr>
            <w:r>
              <w:rPr>
                <w:rFonts w:hint="eastAsia"/>
                <w:b/>
                <w:bCs/>
                <w:sz w:val="24"/>
                <w:lang w:val="en-US" w:eastAsia="zh-CN"/>
              </w:rPr>
              <w:t>8</w:t>
            </w:r>
            <w:r>
              <w:rPr>
                <w:b/>
                <w:bCs/>
                <w:sz w:val="24"/>
              </w:rPr>
              <w:t>、公用工程</w:t>
            </w:r>
          </w:p>
          <w:p>
            <w:pPr>
              <w:adjustRightInd w:val="0"/>
              <w:snapToGrid w:val="0"/>
              <w:spacing w:line="520" w:lineRule="exact"/>
              <w:ind w:firstLine="480" w:firstLineChars="200"/>
              <w:rPr>
                <w:sz w:val="24"/>
              </w:rPr>
            </w:pPr>
            <w:r>
              <w:rPr>
                <w:sz w:val="24"/>
              </w:rPr>
              <w:t>（1）给水</w:t>
            </w:r>
          </w:p>
          <w:p>
            <w:pPr>
              <w:adjustRightInd w:val="0"/>
              <w:snapToGrid w:val="0"/>
              <w:spacing w:line="520" w:lineRule="exact"/>
              <w:ind w:firstLine="480" w:firstLineChars="200"/>
              <w:rPr>
                <w:sz w:val="24"/>
              </w:rPr>
            </w:pPr>
            <w:r>
              <w:rPr>
                <w:rFonts w:hint="eastAsia"/>
                <w:sz w:val="24"/>
              </w:rPr>
              <w:t>本项目用水由</w:t>
            </w:r>
            <w:r>
              <w:rPr>
                <w:rFonts w:hint="eastAsia"/>
                <w:sz w:val="24"/>
                <w:lang w:val="en-US" w:eastAsia="zh-CN"/>
              </w:rPr>
              <w:t>供水管网供给</w:t>
            </w:r>
            <w:r>
              <w:rPr>
                <w:rFonts w:hint="eastAsia"/>
                <w:sz w:val="24"/>
              </w:rPr>
              <w:t>，主要为职工日常生活用水、生产用水和绿化用水。</w:t>
            </w:r>
          </w:p>
          <w:p>
            <w:pPr>
              <w:pStyle w:val="63"/>
            </w:pPr>
            <w:r>
              <w:rPr>
                <w:rFonts w:hint="eastAsia"/>
              </w:rPr>
              <w:t>生活用水：</w:t>
            </w:r>
            <w:r>
              <w:t>本项目劳动定员</w:t>
            </w:r>
            <w:r>
              <w:rPr>
                <w:rFonts w:hint="eastAsia"/>
              </w:rPr>
              <w:t>70</w:t>
            </w:r>
            <w:r>
              <w:t>人</w:t>
            </w:r>
            <w:r>
              <w:rPr>
                <w:rFonts w:hint="eastAsia"/>
              </w:rPr>
              <w:t>（均在厂区食宿）</w:t>
            </w:r>
            <w:r>
              <w:t>，</w:t>
            </w:r>
            <w:r>
              <w:rPr>
                <w:rFonts w:hint="eastAsia"/>
              </w:rPr>
              <w:t>年工作时间为250d，</w:t>
            </w:r>
            <w:r>
              <w:rPr>
                <w:rFonts w:hAnsi="宋体"/>
              </w:rPr>
              <w:t>根据《新疆维吾尔自治区生活用水定额》，</w:t>
            </w:r>
            <w:r>
              <w:rPr>
                <w:rFonts w:hint="eastAsia"/>
              </w:rPr>
              <w:t>员工的生活用水按80L/人</w:t>
            </w:r>
            <w:r>
              <w:t>·</w:t>
            </w:r>
            <w:r>
              <w:rPr>
                <w:rFonts w:hint="eastAsia"/>
              </w:rPr>
              <w:t>d计</w:t>
            </w:r>
            <w:r>
              <w:rPr>
                <w:rFonts w:hAnsi="宋体"/>
              </w:rPr>
              <w:t>，故项目生活用水量为</w:t>
            </w:r>
            <w:r>
              <w:rPr>
                <w:rFonts w:hint="eastAsia" w:hAnsi="宋体"/>
              </w:rPr>
              <w:t>5.6</w:t>
            </w:r>
            <w:r>
              <w:t>m</w:t>
            </w:r>
            <w:r>
              <w:rPr>
                <w:vertAlign w:val="superscript"/>
              </w:rPr>
              <w:t>3</w:t>
            </w:r>
            <w:r>
              <w:t>/d</w:t>
            </w:r>
            <w:r>
              <w:rPr>
                <w:rFonts w:hAnsi="宋体"/>
              </w:rPr>
              <w:t>（</w:t>
            </w:r>
            <w:r>
              <w:rPr>
                <w:rFonts w:hint="eastAsia" w:hAnsi="宋体"/>
              </w:rPr>
              <w:t>1400</w:t>
            </w:r>
            <w:r>
              <w:t>m</w:t>
            </w:r>
            <w:r>
              <w:rPr>
                <w:vertAlign w:val="superscript"/>
              </w:rPr>
              <w:t>3</w:t>
            </w:r>
            <w:r>
              <w:t>/a</w:t>
            </w:r>
            <w:r>
              <w:rPr>
                <w:rFonts w:hAnsi="宋体"/>
              </w:rPr>
              <w:t>）</w:t>
            </w:r>
            <w:r>
              <w:t>。</w:t>
            </w:r>
          </w:p>
          <w:p>
            <w:pPr>
              <w:pStyle w:val="63"/>
            </w:pPr>
            <w:r>
              <w:rPr>
                <w:rFonts w:hint="eastAsia"/>
              </w:rPr>
              <w:t>食堂用水：本项目设有员工食堂，根据《新疆维吾尔自治区生活用水定额》，员工食堂用水按10L/人·餐计，则项目生活用水为2.1m</w:t>
            </w:r>
            <w:r>
              <w:rPr>
                <w:rFonts w:hint="eastAsia"/>
                <w:vertAlign w:val="superscript"/>
              </w:rPr>
              <w:t>3</w:t>
            </w:r>
            <w:r>
              <w:rPr>
                <w:rFonts w:hint="eastAsia"/>
              </w:rPr>
              <w:t>/d（525m</w:t>
            </w:r>
            <w:r>
              <w:rPr>
                <w:rFonts w:hint="eastAsia"/>
                <w:vertAlign w:val="superscript"/>
              </w:rPr>
              <w:t>3</w:t>
            </w:r>
            <w:r>
              <w:rPr>
                <w:rFonts w:hint="eastAsia"/>
              </w:rPr>
              <w:t>/a）。</w:t>
            </w:r>
          </w:p>
          <w:p>
            <w:pPr>
              <w:pStyle w:val="63"/>
            </w:pPr>
            <w:r>
              <w:rPr>
                <w:rFonts w:hint="eastAsia"/>
              </w:rPr>
              <w:t>本项目生产用水主要为车间地面冲洗用水和车辆冲洗用水。</w:t>
            </w:r>
          </w:p>
          <w:p>
            <w:pPr>
              <w:adjustRightInd w:val="0"/>
              <w:snapToGrid w:val="0"/>
              <w:spacing w:line="520" w:lineRule="exact"/>
              <w:ind w:firstLine="480" w:firstLineChars="200"/>
              <w:rPr>
                <w:sz w:val="24"/>
                <w:szCs w:val="32"/>
              </w:rPr>
            </w:pPr>
            <w:r>
              <w:rPr>
                <w:rFonts w:hint="eastAsia"/>
                <w:sz w:val="24"/>
                <w:szCs w:val="32"/>
              </w:rPr>
              <w:t>车间地面冲洗用水：地面冲洗用水参考《建筑给排水设计规范》（GB50015-2019）中停车库地面冲洗水：每平方米每次2~3L，本环评取2.5L，本项目地面冲洗共681m</w:t>
            </w:r>
            <w:r>
              <w:rPr>
                <w:rFonts w:hint="eastAsia"/>
                <w:sz w:val="24"/>
                <w:szCs w:val="32"/>
                <w:vertAlign w:val="superscript"/>
              </w:rPr>
              <w:t>2</w:t>
            </w:r>
            <w:r>
              <w:rPr>
                <w:rFonts w:hint="eastAsia"/>
                <w:sz w:val="24"/>
                <w:szCs w:val="32"/>
              </w:rPr>
              <w:t>，预计两天冲洗一次地面，则地面冲洗用水量为212.875m</w:t>
            </w:r>
            <w:r>
              <w:rPr>
                <w:rFonts w:hint="eastAsia"/>
                <w:sz w:val="24"/>
                <w:szCs w:val="32"/>
                <w:vertAlign w:val="superscript"/>
              </w:rPr>
              <w:t>3</w:t>
            </w:r>
            <w:r>
              <w:rPr>
                <w:rFonts w:hint="eastAsia"/>
                <w:sz w:val="24"/>
                <w:szCs w:val="32"/>
              </w:rPr>
              <w:t>/a。</w:t>
            </w:r>
          </w:p>
          <w:p>
            <w:pPr>
              <w:adjustRightInd w:val="0"/>
              <w:snapToGrid w:val="0"/>
              <w:spacing w:line="520" w:lineRule="exact"/>
              <w:ind w:firstLine="480" w:firstLineChars="200"/>
              <w:rPr>
                <w:sz w:val="24"/>
                <w:szCs w:val="32"/>
              </w:rPr>
            </w:pPr>
            <w:r>
              <w:rPr>
                <w:rFonts w:hint="eastAsia"/>
                <w:sz w:val="24"/>
                <w:szCs w:val="32"/>
              </w:rPr>
              <w:t>车辆冲洗用水：混装车辆冲洗用水约为0.05m</w:t>
            </w:r>
            <w:r>
              <w:rPr>
                <w:rFonts w:hint="eastAsia"/>
                <w:sz w:val="24"/>
                <w:szCs w:val="32"/>
                <w:vertAlign w:val="superscript"/>
              </w:rPr>
              <w:t>3</w:t>
            </w:r>
            <w:r>
              <w:rPr>
                <w:rFonts w:hint="eastAsia"/>
                <w:sz w:val="24"/>
                <w:szCs w:val="32"/>
              </w:rPr>
              <w:t>/辆·次，本项目设置两辆混装车，平均2天冲洗一次，用水量为12.5m</w:t>
            </w:r>
            <w:r>
              <w:rPr>
                <w:rFonts w:hint="eastAsia"/>
                <w:sz w:val="24"/>
                <w:szCs w:val="32"/>
                <w:vertAlign w:val="superscript"/>
              </w:rPr>
              <w:t>3</w:t>
            </w:r>
            <w:r>
              <w:rPr>
                <w:rFonts w:hint="eastAsia"/>
                <w:sz w:val="24"/>
                <w:szCs w:val="32"/>
              </w:rPr>
              <w:t>/a。</w:t>
            </w:r>
          </w:p>
          <w:p>
            <w:pPr>
              <w:adjustRightInd w:val="0"/>
              <w:snapToGrid w:val="0"/>
              <w:spacing w:line="520" w:lineRule="exact"/>
              <w:ind w:firstLine="480" w:firstLineChars="200"/>
              <w:rPr>
                <w:sz w:val="24"/>
                <w:szCs w:val="32"/>
              </w:rPr>
            </w:pPr>
            <w:r>
              <w:rPr>
                <w:rFonts w:hint="eastAsia"/>
                <w:sz w:val="24"/>
                <w:szCs w:val="32"/>
              </w:rPr>
              <w:t>绿化用水：</w:t>
            </w:r>
            <w:r>
              <w:rPr>
                <w:sz w:val="24"/>
                <w:szCs w:val="32"/>
              </w:rPr>
              <w:t>根据《建筑给水排水设计规范》（GB50015-2010）及《新疆维吾尔自治区生活用水定额》（2007.7.31发布），绿化用水定额为500m</w:t>
            </w:r>
            <w:r>
              <w:rPr>
                <w:sz w:val="24"/>
                <w:szCs w:val="32"/>
                <w:vertAlign w:val="superscript"/>
              </w:rPr>
              <w:t>3</w:t>
            </w:r>
            <w:r>
              <w:rPr>
                <w:sz w:val="24"/>
                <w:szCs w:val="32"/>
              </w:rPr>
              <w:t>/亩</w:t>
            </w:r>
            <w:r>
              <w:rPr>
                <w:rFonts w:hint="eastAsia"/>
                <w:sz w:val="24"/>
                <w:szCs w:val="32"/>
              </w:rPr>
              <w:t>·</w:t>
            </w:r>
            <w:r>
              <w:rPr>
                <w:sz w:val="24"/>
                <w:szCs w:val="32"/>
              </w:rPr>
              <w:t>a，本项目绿化面积约为</w:t>
            </w:r>
            <w:r>
              <w:rPr>
                <w:rFonts w:hint="eastAsia"/>
                <w:sz w:val="24"/>
                <w:szCs w:val="32"/>
              </w:rPr>
              <w:t>2000</w:t>
            </w:r>
            <w:r>
              <w:rPr>
                <w:sz w:val="24"/>
                <w:szCs w:val="32"/>
              </w:rPr>
              <w:t>m</w:t>
            </w:r>
            <w:r>
              <w:rPr>
                <w:sz w:val="24"/>
                <w:szCs w:val="32"/>
                <w:vertAlign w:val="superscript"/>
              </w:rPr>
              <w:t>2</w:t>
            </w:r>
            <w:r>
              <w:rPr>
                <w:sz w:val="24"/>
                <w:szCs w:val="32"/>
              </w:rPr>
              <w:t>，</w:t>
            </w:r>
            <w:r>
              <w:rPr>
                <w:rFonts w:hint="eastAsia"/>
                <w:sz w:val="24"/>
                <w:szCs w:val="32"/>
                <w:lang w:val="en-US" w:eastAsia="zh-CN"/>
              </w:rPr>
              <w:t>每年绿化洒水210d，</w:t>
            </w:r>
            <w:r>
              <w:rPr>
                <w:sz w:val="24"/>
                <w:szCs w:val="32"/>
              </w:rPr>
              <w:t>故绿化用水约</w:t>
            </w:r>
            <w:r>
              <w:rPr>
                <w:rFonts w:hint="eastAsia"/>
                <w:sz w:val="24"/>
                <w:szCs w:val="32"/>
              </w:rPr>
              <w:t>1500</w:t>
            </w:r>
            <w:r>
              <w:rPr>
                <w:sz w:val="24"/>
                <w:szCs w:val="32"/>
              </w:rPr>
              <w:t>m</w:t>
            </w:r>
            <w:r>
              <w:rPr>
                <w:sz w:val="24"/>
                <w:szCs w:val="32"/>
                <w:vertAlign w:val="superscript"/>
              </w:rPr>
              <w:t>3</w:t>
            </w:r>
            <w:r>
              <w:rPr>
                <w:sz w:val="24"/>
                <w:szCs w:val="32"/>
              </w:rPr>
              <w:t>/a</w:t>
            </w:r>
            <w:r>
              <w:rPr>
                <w:rFonts w:hint="eastAsia"/>
                <w:sz w:val="24"/>
                <w:szCs w:val="32"/>
                <w:lang w:eastAsia="zh-CN"/>
              </w:rPr>
              <w:t>（</w:t>
            </w:r>
            <w:r>
              <w:rPr>
                <w:rFonts w:hint="eastAsia"/>
                <w:sz w:val="24"/>
                <w:szCs w:val="32"/>
                <w:lang w:val="en-US" w:eastAsia="zh-CN"/>
              </w:rPr>
              <w:t>7.14m</w:t>
            </w:r>
            <w:r>
              <w:rPr>
                <w:rFonts w:hint="eastAsia"/>
                <w:sz w:val="24"/>
                <w:szCs w:val="32"/>
                <w:vertAlign w:val="superscript"/>
                <w:lang w:val="en-US" w:eastAsia="zh-CN"/>
              </w:rPr>
              <w:t>3</w:t>
            </w:r>
            <w:r>
              <w:rPr>
                <w:rFonts w:hint="eastAsia"/>
                <w:sz w:val="24"/>
                <w:szCs w:val="32"/>
                <w:vertAlign w:val="baseline"/>
                <w:lang w:val="en-US" w:eastAsia="zh-CN"/>
              </w:rPr>
              <w:t>/d</w:t>
            </w:r>
            <w:r>
              <w:rPr>
                <w:rFonts w:hint="eastAsia"/>
                <w:sz w:val="24"/>
                <w:szCs w:val="32"/>
                <w:lang w:eastAsia="zh-CN"/>
              </w:rPr>
              <w:t>）</w:t>
            </w:r>
            <w:r>
              <w:rPr>
                <w:sz w:val="24"/>
                <w:szCs w:val="32"/>
              </w:rPr>
              <w:t>。</w:t>
            </w:r>
          </w:p>
          <w:p>
            <w:pPr>
              <w:adjustRightInd w:val="0"/>
              <w:snapToGrid w:val="0"/>
              <w:spacing w:line="520" w:lineRule="exact"/>
              <w:ind w:firstLine="480" w:firstLineChars="200"/>
              <w:rPr>
                <w:sz w:val="24"/>
              </w:rPr>
            </w:pPr>
            <w:r>
              <w:rPr>
                <w:sz w:val="24"/>
              </w:rPr>
              <w:t>（2）排水</w:t>
            </w:r>
          </w:p>
          <w:p>
            <w:pPr>
              <w:adjustRightInd w:val="0"/>
              <w:snapToGrid w:val="0"/>
              <w:spacing w:line="520" w:lineRule="exact"/>
              <w:ind w:firstLine="480" w:firstLineChars="200"/>
              <w:rPr>
                <w:sz w:val="24"/>
              </w:rPr>
            </w:pPr>
            <w:r>
              <w:rPr>
                <w:rFonts w:hint="eastAsia"/>
                <w:sz w:val="24"/>
              </w:rPr>
              <w:t>本项目废水为生活污水、食堂废水、地面冲洗废水和车辆冲洗废水。</w:t>
            </w:r>
          </w:p>
          <w:p>
            <w:pPr>
              <w:adjustRightInd w:val="0"/>
              <w:snapToGrid w:val="0"/>
              <w:spacing w:line="520" w:lineRule="exact"/>
              <w:ind w:firstLine="480" w:firstLineChars="200"/>
              <w:rPr>
                <w:sz w:val="24"/>
              </w:rPr>
            </w:pPr>
            <w:r>
              <w:rPr>
                <w:rFonts w:hint="eastAsia"/>
                <w:sz w:val="24"/>
              </w:rPr>
              <w:t>生活污水：本项目生活污水按80%计，则项目生活废水共计4.48</w:t>
            </w:r>
            <w:r>
              <w:rPr>
                <w:sz w:val="24"/>
              </w:rPr>
              <w:t>m</w:t>
            </w:r>
            <w:r>
              <w:rPr>
                <w:sz w:val="24"/>
                <w:vertAlign w:val="superscript"/>
              </w:rPr>
              <w:t>3</w:t>
            </w:r>
            <w:r>
              <w:rPr>
                <w:sz w:val="24"/>
              </w:rPr>
              <w:t>/d（</w:t>
            </w:r>
            <w:r>
              <w:rPr>
                <w:rFonts w:hint="eastAsia"/>
                <w:sz w:val="24"/>
              </w:rPr>
              <w:t>1120</w:t>
            </w:r>
            <w:r>
              <w:rPr>
                <w:sz w:val="24"/>
              </w:rPr>
              <w:t>m</w:t>
            </w:r>
            <w:r>
              <w:rPr>
                <w:sz w:val="24"/>
                <w:vertAlign w:val="superscript"/>
              </w:rPr>
              <w:t>3</w:t>
            </w:r>
            <w:r>
              <w:rPr>
                <w:sz w:val="24"/>
              </w:rPr>
              <w:t>/a）</w:t>
            </w:r>
            <w:r>
              <w:rPr>
                <w:rFonts w:hint="eastAsia"/>
                <w:sz w:val="24"/>
              </w:rPr>
              <w:t>，生活污水排入厂区</w:t>
            </w:r>
            <w:r>
              <w:rPr>
                <w:rFonts w:hint="eastAsia"/>
                <w:sz w:val="24"/>
                <w:lang w:val="en-US" w:eastAsia="zh-CN"/>
              </w:rPr>
              <w:t>地埋式一体化污水处理设施，经处理后用于厂区绿化</w:t>
            </w:r>
            <w:r>
              <w:rPr>
                <w:rFonts w:hint="eastAsia"/>
                <w:sz w:val="24"/>
              </w:rPr>
              <w:t>。</w:t>
            </w:r>
          </w:p>
          <w:p>
            <w:pPr>
              <w:adjustRightInd w:val="0"/>
              <w:snapToGrid w:val="0"/>
              <w:spacing w:line="520" w:lineRule="exact"/>
              <w:ind w:firstLine="480" w:firstLineChars="200"/>
              <w:rPr>
                <w:sz w:val="24"/>
              </w:rPr>
            </w:pPr>
            <w:r>
              <w:rPr>
                <w:rFonts w:hint="eastAsia"/>
                <w:sz w:val="24"/>
              </w:rPr>
              <w:t>食堂废水：本项目废水按80%计，则项目食堂废水共计1.68m</w:t>
            </w:r>
            <w:r>
              <w:rPr>
                <w:rFonts w:hint="eastAsia"/>
                <w:sz w:val="24"/>
                <w:vertAlign w:val="superscript"/>
              </w:rPr>
              <w:t>3</w:t>
            </w:r>
            <w:r>
              <w:rPr>
                <w:rFonts w:hint="eastAsia"/>
                <w:sz w:val="24"/>
              </w:rPr>
              <w:t>/d（420</w:t>
            </w:r>
            <w:r>
              <w:rPr>
                <w:sz w:val="24"/>
              </w:rPr>
              <w:t>m</w:t>
            </w:r>
            <w:r>
              <w:rPr>
                <w:sz w:val="24"/>
                <w:vertAlign w:val="superscript"/>
              </w:rPr>
              <w:t>3</w:t>
            </w:r>
            <w:r>
              <w:rPr>
                <w:sz w:val="24"/>
              </w:rPr>
              <w:t>/a</w:t>
            </w:r>
            <w:r>
              <w:rPr>
                <w:rFonts w:hint="eastAsia"/>
                <w:sz w:val="24"/>
              </w:rPr>
              <w:t>），食堂废水经隔油池处理后排入</w:t>
            </w:r>
            <w:r>
              <w:rPr>
                <w:rFonts w:hint="eastAsia"/>
                <w:sz w:val="24"/>
                <w:lang w:val="en-US" w:eastAsia="zh-CN"/>
              </w:rPr>
              <w:t>地埋式一体化污水处理设施，经处理后用于厂区绿化</w:t>
            </w:r>
            <w:r>
              <w:rPr>
                <w:rFonts w:hint="eastAsia"/>
                <w:sz w:val="24"/>
              </w:rPr>
              <w:t>。</w:t>
            </w:r>
          </w:p>
          <w:p>
            <w:pPr>
              <w:adjustRightInd w:val="0"/>
              <w:snapToGrid w:val="0"/>
              <w:spacing w:line="520" w:lineRule="exact"/>
              <w:ind w:firstLine="480" w:firstLineChars="200"/>
              <w:rPr>
                <w:sz w:val="24"/>
              </w:rPr>
            </w:pPr>
            <w:r>
              <w:rPr>
                <w:rFonts w:hint="eastAsia"/>
                <w:sz w:val="24"/>
              </w:rPr>
              <w:t>地面冲洗废水：地面冲洗废水产污系数按90%计，则地面冲洗废水产生量为191.588m</w:t>
            </w:r>
            <w:r>
              <w:rPr>
                <w:rFonts w:hint="eastAsia"/>
                <w:sz w:val="24"/>
                <w:vertAlign w:val="superscript"/>
              </w:rPr>
              <w:t>3</w:t>
            </w:r>
            <w:r>
              <w:rPr>
                <w:rFonts w:hint="eastAsia"/>
                <w:sz w:val="24"/>
              </w:rPr>
              <w:t>/a。地面冲洗废水经隔油沉淀池处理后排入厂区</w:t>
            </w:r>
            <w:r>
              <w:rPr>
                <w:rFonts w:hint="eastAsia"/>
                <w:sz w:val="24"/>
                <w:lang w:val="en-US" w:eastAsia="zh-CN"/>
              </w:rPr>
              <w:t>地埋式一体化污水处理设施，经处理后用于厂区绿化</w:t>
            </w:r>
            <w:r>
              <w:rPr>
                <w:rFonts w:hint="eastAsia"/>
                <w:sz w:val="24"/>
              </w:rPr>
              <w:t>。</w:t>
            </w:r>
          </w:p>
          <w:p>
            <w:pPr>
              <w:adjustRightInd w:val="0"/>
              <w:snapToGrid w:val="0"/>
              <w:spacing w:line="520" w:lineRule="exact"/>
              <w:ind w:firstLine="480" w:firstLineChars="200"/>
              <w:rPr>
                <w:sz w:val="24"/>
              </w:rPr>
            </w:pPr>
            <w:r>
              <w:rPr>
                <w:rFonts w:hint="eastAsia"/>
                <w:sz w:val="24"/>
              </w:rPr>
              <w:t>车辆冲洗废水：车辆冲洗废水产污系数按90%计，则车辆冲洗废水产生量为11.25m</w:t>
            </w:r>
            <w:r>
              <w:rPr>
                <w:rFonts w:hint="eastAsia"/>
                <w:sz w:val="24"/>
                <w:vertAlign w:val="superscript"/>
              </w:rPr>
              <w:t>3</w:t>
            </w:r>
            <w:r>
              <w:rPr>
                <w:rFonts w:hint="eastAsia"/>
                <w:sz w:val="24"/>
              </w:rPr>
              <w:t>/a。地面冲洗废水经隔油沉淀池处理后排入厂区内</w:t>
            </w:r>
            <w:r>
              <w:rPr>
                <w:rFonts w:hint="eastAsia"/>
                <w:sz w:val="24"/>
                <w:lang w:val="en-US" w:eastAsia="zh-CN"/>
              </w:rPr>
              <w:t>地埋式一体化污水处理设施，经处理后用于厂区绿化</w:t>
            </w:r>
            <w:r>
              <w:rPr>
                <w:rFonts w:hint="eastAsia"/>
                <w:sz w:val="24"/>
              </w:rPr>
              <w:t>。</w:t>
            </w:r>
          </w:p>
          <w:p>
            <w:pPr>
              <w:adjustRightInd w:val="0"/>
              <w:snapToGrid w:val="0"/>
              <w:spacing w:line="520" w:lineRule="exact"/>
              <w:ind w:firstLine="480" w:firstLineChars="200"/>
              <w:rPr>
                <w:sz w:val="24"/>
              </w:rPr>
            </w:pPr>
            <w:r>
              <w:rPr>
                <w:rFonts w:hint="eastAsia"/>
                <w:sz w:val="24"/>
              </w:rPr>
              <w:t>本</w:t>
            </w:r>
            <w:r>
              <w:rPr>
                <w:sz w:val="24"/>
              </w:rPr>
              <w:t>项目水平衡</w:t>
            </w:r>
            <w:r>
              <w:rPr>
                <w:rFonts w:hint="eastAsia"/>
                <w:sz w:val="24"/>
              </w:rPr>
              <w:t>见表2-8，</w:t>
            </w:r>
            <w:r>
              <w:rPr>
                <w:sz w:val="24"/>
              </w:rPr>
              <w:t>图</w:t>
            </w:r>
            <w:r>
              <w:rPr>
                <w:rFonts w:hint="eastAsia"/>
                <w:sz w:val="24"/>
              </w:rPr>
              <w:t>2-1</w:t>
            </w:r>
            <w:r>
              <w:rPr>
                <w:sz w:val="24"/>
              </w:rPr>
              <w:t>。</w:t>
            </w:r>
          </w:p>
          <w:p>
            <w:pPr>
              <w:pStyle w:val="79"/>
              <w:ind w:firstLine="480"/>
            </w:pPr>
            <w:r>
              <w:t>表</w:t>
            </w:r>
            <w:r>
              <w:rPr>
                <w:rFonts w:hint="eastAsia"/>
              </w:rPr>
              <w:t>2</w:t>
            </w:r>
            <w:r>
              <w:t>-</w:t>
            </w:r>
            <w:r>
              <w:rPr>
                <w:rFonts w:hint="eastAsia"/>
              </w:rPr>
              <w:t>8</w:t>
            </w:r>
            <w:r>
              <w:t xml:space="preserve">  项目用、排水量概况</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4"/>
              <w:gridCol w:w="1576"/>
              <w:gridCol w:w="1484"/>
              <w:gridCol w:w="804"/>
              <w:gridCol w:w="945"/>
              <w:gridCol w:w="1069"/>
              <w:gridCol w:w="839"/>
              <w:gridCol w:w="10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360" w:type="pct"/>
                  <w:vMerge w:val="restart"/>
                  <w:vAlign w:val="center"/>
                </w:tcPr>
                <w:p>
                  <w:pPr>
                    <w:pStyle w:val="20"/>
                    <w:adjustRightInd w:val="0"/>
                    <w:snapToGrid w:val="0"/>
                    <w:jc w:val="center"/>
                    <w:rPr>
                      <w:rFonts w:ascii="Times New Roman" w:hAnsi="Times New Roman"/>
                      <w:spacing w:val="8"/>
                      <w:szCs w:val="21"/>
                    </w:rPr>
                  </w:pPr>
                  <w:r>
                    <w:rPr>
                      <w:rFonts w:ascii="Times New Roman" w:hAnsi="Times New Roman"/>
                      <w:spacing w:val="8"/>
                      <w:szCs w:val="21"/>
                    </w:rPr>
                    <w:t>序号</w:t>
                  </w:r>
                </w:p>
              </w:tc>
              <w:tc>
                <w:tcPr>
                  <w:tcW w:w="939" w:type="pct"/>
                  <w:vMerge w:val="restart"/>
                  <w:vAlign w:val="center"/>
                </w:tcPr>
                <w:p>
                  <w:pPr>
                    <w:widowControl/>
                    <w:tabs>
                      <w:tab w:val="left" w:pos="3077"/>
                      <w:tab w:val="center" w:pos="4770"/>
                    </w:tabs>
                    <w:jc w:val="center"/>
                    <w:rPr>
                      <w:spacing w:val="8"/>
                      <w:szCs w:val="21"/>
                    </w:rPr>
                  </w:pPr>
                  <w:r>
                    <w:rPr>
                      <w:spacing w:val="8"/>
                      <w:szCs w:val="21"/>
                    </w:rPr>
                    <w:t>用水类别</w:t>
                  </w:r>
                </w:p>
              </w:tc>
              <w:tc>
                <w:tcPr>
                  <w:tcW w:w="883" w:type="pct"/>
                  <w:vMerge w:val="restart"/>
                  <w:vAlign w:val="center"/>
                </w:tcPr>
                <w:p>
                  <w:pPr>
                    <w:widowControl/>
                    <w:tabs>
                      <w:tab w:val="left" w:pos="3077"/>
                      <w:tab w:val="center" w:pos="4770"/>
                    </w:tabs>
                    <w:jc w:val="center"/>
                    <w:rPr>
                      <w:spacing w:val="8"/>
                      <w:szCs w:val="21"/>
                    </w:rPr>
                  </w:pPr>
                  <w:r>
                    <w:rPr>
                      <w:spacing w:val="8"/>
                      <w:szCs w:val="21"/>
                    </w:rPr>
                    <w:t>用水定额</w:t>
                  </w:r>
                </w:p>
              </w:tc>
              <w:tc>
                <w:tcPr>
                  <w:tcW w:w="479" w:type="pct"/>
                  <w:vMerge w:val="restart"/>
                  <w:vAlign w:val="center"/>
                </w:tcPr>
                <w:p>
                  <w:pPr>
                    <w:widowControl/>
                    <w:tabs>
                      <w:tab w:val="left" w:pos="3077"/>
                      <w:tab w:val="center" w:pos="4770"/>
                    </w:tabs>
                    <w:jc w:val="center"/>
                    <w:rPr>
                      <w:spacing w:val="8"/>
                      <w:szCs w:val="21"/>
                    </w:rPr>
                  </w:pPr>
                  <w:r>
                    <w:rPr>
                      <w:spacing w:val="8"/>
                      <w:szCs w:val="21"/>
                    </w:rPr>
                    <w:t>用水</w:t>
                  </w:r>
                </w:p>
                <w:p>
                  <w:pPr>
                    <w:widowControl/>
                    <w:tabs>
                      <w:tab w:val="left" w:pos="3077"/>
                      <w:tab w:val="center" w:pos="4770"/>
                    </w:tabs>
                    <w:jc w:val="center"/>
                    <w:rPr>
                      <w:b/>
                      <w:bCs/>
                      <w:spacing w:val="8"/>
                      <w:szCs w:val="21"/>
                    </w:rPr>
                  </w:pPr>
                  <w:r>
                    <w:rPr>
                      <w:spacing w:val="8"/>
                      <w:szCs w:val="21"/>
                    </w:rPr>
                    <w:t>规模</w:t>
                  </w:r>
                </w:p>
              </w:tc>
              <w:tc>
                <w:tcPr>
                  <w:tcW w:w="1200" w:type="pct"/>
                  <w:gridSpan w:val="2"/>
                  <w:vAlign w:val="center"/>
                </w:tcPr>
                <w:p>
                  <w:pPr>
                    <w:widowControl/>
                    <w:tabs>
                      <w:tab w:val="left" w:pos="3077"/>
                      <w:tab w:val="center" w:pos="4770"/>
                    </w:tabs>
                    <w:jc w:val="center"/>
                    <w:rPr>
                      <w:b/>
                      <w:bCs/>
                      <w:spacing w:val="8"/>
                      <w:szCs w:val="21"/>
                    </w:rPr>
                  </w:pPr>
                  <w:r>
                    <w:rPr>
                      <w:spacing w:val="8"/>
                      <w:szCs w:val="21"/>
                    </w:rPr>
                    <w:t>用水量</w:t>
                  </w:r>
                </w:p>
              </w:tc>
              <w:tc>
                <w:tcPr>
                  <w:tcW w:w="1136" w:type="pct"/>
                  <w:gridSpan w:val="2"/>
                  <w:vAlign w:val="center"/>
                </w:tcPr>
                <w:p>
                  <w:pPr>
                    <w:widowControl/>
                    <w:tabs>
                      <w:tab w:val="left" w:pos="3077"/>
                      <w:tab w:val="center" w:pos="4770"/>
                    </w:tabs>
                    <w:jc w:val="center"/>
                    <w:rPr>
                      <w:spacing w:val="8"/>
                      <w:szCs w:val="21"/>
                    </w:rPr>
                  </w:pPr>
                  <w:r>
                    <w:rPr>
                      <w:spacing w:val="8"/>
                      <w:szCs w:val="21"/>
                    </w:rPr>
                    <w:t>排水量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360" w:type="pct"/>
                  <w:vMerge w:val="continue"/>
                  <w:vAlign w:val="center"/>
                </w:tcPr>
                <w:p>
                  <w:pPr>
                    <w:widowControl/>
                    <w:tabs>
                      <w:tab w:val="center" w:pos="4770"/>
                    </w:tabs>
                    <w:ind w:firstLine="517"/>
                    <w:jc w:val="center"/>
                    <w:rPr>
                      <w:szCs w:val="21"/>
                    </w:rPr>
                  </w:pPr>
                </w:p>
              </w:tc>
              <w:tc>
                <w:tcPr>
                  <w:tcW w:w="939" w:type="pct"/>
                  <w:vMerge w:val="continue"/>
                  <w:vAlign w:val="center"/>
                </w:tcPr>
                <w:p>
                  <w:pPr>
                    <w:widowControl/>
                    <w:tabs>
                      <w:tab w:val="center" w:pos="4770"/>
                    </w:tabs>
                    <w:ind w:firstLine="517"/>
                    <w:jc w:val="center"/>
                    <w:rPr>
                      <w:szCs w:val="21"/>
                    </w:rPr>
                  </w:pPr>
                </w:p>
              </w:tc>
              <w:tc>
                <w:tcPr>
                  <w:tcW w:w="883" w:type="pct"/>
                  <w:vMerge w:val="continue"/>
                  <w:vAlign w:val="center"/>
                </w:tcPr>
                <w:p>
                  <w:pPr>
                    <w:widowControl/>
                    <w:tabs>
                      <w:tab w:val="center" w:pos="4770"/>
                    </w:tabs>
                    <w:ind w:firstLine="517"/>
                    <w:jc w:val="center"/>
                    <w:rPr>
                      <w:szCs w:val="21"/>
                    </w:rPr>
                  </w:pPr>
                </w:p>
              </w:tc>
              <w:tc>
                <w:tcPr>
                  <w:tcW w:w="479" w:type="pct"/>
                  <w:vMerge w:val="continue"/>
                  <w:vAlign w:val="center"/>
                </w:tcPr>
                <w:p>
                  <w:pPr>
                    <w:widowControl/>
                    <w:tabs>
                      <w:tab w:val="center" w:pos="4770"/>
                    </w:tabs>
                    <w:ind w:firstLine="517"/>
                    <w:jc w:val="center"/>
                    <w:rPr>
                      <w:szCs w:val="21"/>
                    </w:rPr>
                  </w:pPr>
                </w:p>
              </w:tc>
              <w:tc>
                <w:tcPr>
                  <w:tcW w:w="563" w:type="pct"/>
                  <w:vAlign w:val="center"/>
                </w:tcPr>
                <w:p>
                  <w:pPr>
                    <w:widowControl/>
                    <w:tabs>
                      <w:tab w:val="center" w:pos="4770"/>
                    </w:tabs>
                    <w:jc w:val="center"/>
                    <w:rPr>
                      <w:b/>
                      <w:bCs/>
                      <w:spacing w:val="8"/>
                      <w:szCs w:val="21"/>
                    </w:rPr>
                  </w:pPr>
                  <w:r>
                    <w:rPr>
                      <w:szCs w:val="21"/>
                    </w:rPr>
                    <w:t>m</w:t>
                  </w:r>
                  <w:r>
                    <w:rPr>
                      <w:szCs w:val="21"/>
                      <w:vertAlign w:val="superscript"/>
                    </w:rPr>
                    <w:t>3</w:t>
                  </w:r>
                  <w:r>
                    <w:rPr>
                      <w:szCs w:val="21"/>
                    </w:rPr>
                    <w:t>/d</w:t>
                  </w:r>
                </w:p>
              </w:tc>
              <w:tc>
                <w:tcPr>
                  <w:tcW w:w="636" w:type="pct"/>
                  <w:vAlign w:val="center"/>
                </w:tcPr>
                <w:p>
                  <w:pPr>
                    <w:widowControl/>
                    <w:tabs>
                      <w:tab w:val="center" w:pos="4770"/>
                    </w:tabs>
                    <w:jc w:val="center"/>
                    <w:rPr>
                      <w:b/>
                      <w:bCs/>
                      <w:spacing w:val="8"/>
                      <w:szCs w:val="21"/>
                    </w:rPr>
                  </w:pPr>
                  <w:r>
                    <w:rPr>
                      <w:szCs w:val="21"/>
                    </w:rPr>
                    <w:t>m</w:t>
                  </w:r>
                  <w:r>
                    <w:rPr>
                      <w:szCs w:val="21"/>
                      <w:vertAlign w:val="superscript"/>
                    </w:rPr>
                    <w:t>3</w:t>
                  </w:r>
                  <w:r>
                    <w:rPr>
                      <w:szCs w:val="21"/>
                    </w:rPr>
                    <w:t>/a</w:t>
                  </w:r>
                </w:p>
              </w:tc>
              <w:tc>
                <w:tcPr>
                  <w:tcW w:w="499" w:type="pct"/>
                  <w:vAlign w:val="center"/>
                </w:tcPr>
                <w:p>
                  <w:pPr>
                    <w:widowControl/>
                    <w:tabs>
                      <w:tab w:val="center" w:pos="4770"/>
                    </w:tabs>
                    <w:jc w:val="center"/>
                    <w:rPr>
                      <w:szCs w:val="21"/>
                    </w:rPr>
                  </w:pPr>
                  <w:r>
                    <w:rPr>
                      <w:szCs w:val="21"/>
                    </w:rPr>
                    <w:t>m</w:t>
                  </w:r>
                  <w:r>
                    <w:rPr>
                      <w:szCs w:val="21"/>
                      <w:vertAlign w:val="superscript"/>
                    </w:rPr>
                    <w:t>3</w:t>
                  </w:r>
                  <w:r>
                    <w:rPr>
                      <w:szCs w:val="21"/>
                    </w:rPr>
                    <w:t>/d</w:t>
                  </w:r>
                </w:p>
              </w:tc>
              <w:tc>
                <w:tcPr>
                  <w:tcW w:w="636" w:type="pct"/>
                  <w:vAlign w:val="center"/>
                </w:tcPr>
                <w:p>
                  <w:pPr>
                    <w:widowControl/>
                    <w:tabs>
                      <w:tab w:val="center" w:pos="4770"/>
                    </w:tabs>
                    <w:jc w:val="center"/>
                    <w:rPr>
                      <w:szCs w:val="21"/>
                    </w:rPr>
                  </w:pPr>
                  <w:r>
                    <w:rPr>
                      <w:szCs w:val="21"/>
                    </w:rPr>
                    <w:t>m</w:t>
                  </w:r>
                  <w:r>
                    <w:rPr>
                      <w:szCs w:val="21"/>
                      <w:vertAlign w:val="superscript"/>
                    </w:rPr>
                    <w:t>3</w:t>
                  </w:r>
                  <w:r>
                    <w:rPr>
                      <w:szCs w:val="21"/>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360" w:type="pct"/>
                  <w:vAlign w:val="center"/>
                </w:tcPr>
                <w:p>
                  <w:pPr>
                    <w:pStyle w:val="20"/>
                    <w:adjustRightInd w:val="0"/>
                    <w:snapToGrid w:val="0"/>
                    <w:ind w:firstLine="29" w:firstLineChars="13"/>
                    <w:jc w:val="center"/>
                    <w:rPr>
                      <w:rFonts w:ascii="Times New Roman" w:hAnsi="Times New Roman"/>
                      <w:spacing w:val="8"/>
                      <w:szCs w:val="21"/>
                    </w:rPr>
                  </w:pPr>
                  <w:r>
                    <w:rPr>
                      <w:rFonts w:ascii="Times New Roman" w:hAnsi="Times New Roman"/>
                      <w:spacing w:val="8"/>
                      <w:szCs w:val="21"/>
                    </w:rPr>
                    <w:t>1</w:t>
                  </w:r>
                </w:p>
              </w:tc>
              <w:tc>
                <w:tcPr>
                  <w:tcW w:w="939" w:type="pct"/>
                  <w:vAlign w:val="center"/>
                </w:tcPr>
                <w:p>
                  <w:pPr>
                    <w:widowControl/>
                    <w:tabs>
                      <w:tab w:val="left" w:pos="3077"/>
                      <w:tab w:val="center" w:pos="4770"/>
                    </w:tabs>
                    <w:jc w:val="center"/>
                    <w:rPr>
                      <w:spacing w:val="8"/>
                      <w:szCs w:val="21"/>
                    </w:rPr>
                  </w:pPr>
                  <w:r>
                    <w:rPr>
                      <w:spacing w:val="8"/>
                      <w:szCs w:val="21"/>
                    </w:rPr>
                    <w:t>员工生活用水</w:t>
                  </w:r>
                </w:p>
              </w:tc>
              <w:tc>
                <w:tcPr>
                  <w:tcW w:w="883" w:type="pct"/>
                  <w:vAlign w:val="center"/>
                </w:tcPr>
                <w:p>
                  <w:pPr>
                    <w:widowControl/>
                    <w:tabs>
                      <w:tab w:val="left" w:pos="3077"/>
                      <w:tab w:val="center" w:pos="4770"/>
                    </w:tabs>
                    <w:jc w:val="center"/>
                    <w:rPr>
                      <w:spacing w:val="8"/>
                      <w:szCs w:val="21"/>
                    </w:rPr>
                  </w:pPr>
                  <w:r>
                    <w:rPr>
                      <w:rFonts w:hint="eastAsia"/>
                      <w:szCs w:val="21"/>
                    </w:rPr>
                    <w:t>80</w:t>
                  </w:r>
                  <w:r>
                    <w:rPr>
                      <w:szCs w:val="21"/>
                    </w:rPr>
                    <w:t>L/d·人</w:t>
                  </w:r>
                </w:p>
              </w:tc>
              <w:tc>
                <w:tcPr>
                  <w:tcW w:w="479" w:type="pct"/>
                  <w:vAlign w:val="center"/>
                </w:tcPr>
                <w:p>
                  <w:pPr>
                    <w:widowControl/>
                    <w:tabs>
                      <w:tab w:val="left" w:pos="3077"/>
                      <w:tab w:val="center" w:pos="4770"/>
                    </w:tabs>
                    <w:jc w:val="center"/>
                    <w:rPr>
                      <w:spacing w:val="8"/>
                      <w:szCs w:val="21"/>
                    </w:rPr>
                  </w:pPr>
                  <w:r>
                    <w:rPr>
                      <w:rFonts w:hint="eastAsia"/>
                      <w:szCs w:val="21"/>
                    </w:rPr>
                    <w:t>70</w:t>
                  </w:r>
                  <w:r>
                    <w:rPr>
                      <w:szCs w:val="21"/>
                    </w:rPr>
                    <w:t>人</w:t>
                  </w:r>
                </w:p>
              </w:tc>
              <w:tc>
                <w:tcPr>
                  <w:tcW w:w="563" w:type="pct"/>
                  <w:vAlign w:val="center"/>
                </w:tcPr>
                <w:p>
                  <w:pPr>
                    <w:widowControl/>
                    <w:tabs>
                      <w:tab w:val="left" w:pos="3077"/>
                      <w:tab w:val="center" w:pos="4770"/>
                    </w:tabs>
                    <w:jc w:val="center"/>
                    <w:rPr>
                      <w:spacing w:val="8"/>
                      <w:szCs w:val="21"/>
                    </w:rPr>
                  </w:pPr>
                  <w:r>
                    <w:rPr>
                      <w:rFonts w:hint="eastAsia"/>
                      <w:spacing w:val="8"/>
                      <w:szCs w:val="21"/>
                    </w:rPr>
                    <w:t>5.6</w:t>
                  </w:r>
                </w:p>
              </w:tc>
              <w:tc>
                <w:tcPr>
                  <w:tcW w:w="636" w:type="pct"/>
                  <w:vAlign w:val="center"/>
                </w:tcPr>
                <w:p>
                  <w:pPr>
                    <w:widowControl/>
                    <w:tabs>
                      <w:tab w:val="left" w:pos="420"/>
                      <w:tab w:val="center" w:pos="626"/>
                      <w:tab w:val="left" w:pos="3077"/>
                      <w:tab w:val="center" w:pos="4770"/>
                    </w:tabs>
                    <w:jc w:val="center"/>
                    <w:rPr>
                      <w:spacing w:val="8"/>
                      <w:szCs w:val="21"/>
                    </w:rPr>
                  </w:pPr>
                  <w:r>
                    <w:rPr>
                      <w:rFonts w:hint="eastAsia"/>
                      <w:spacing w:val="8"/>
                      <w:szCs w:val="21"/>
                    </w:rPr>
                    <w:t>1400</w:t>
                  </w:r>
                </w:p>
              </w:tc>
              <w:tc>
                <w:tcPr>
                  <w:tcW w:w="499" w:type="pct"/>
                  <w:vAlign w:val="center"/>
                </w:tcPr>
                <w:p>
                  <w:pPr>
                    <w:widowControl/>
                    <w:tabs>
                      <w:tab w:val="left" w:pos="3077"/>
                      <w:tab w:val="center" w:pos="4770"/>
                    </w:tabs>
                    <w:jc w:val="center"/>
                    <w:rPr>
                      <w:spacing w:val="8"/>
                      <w:szCs w:val="21"/>
                    </w:rPr>
                  </w:pPr>
                  <w:r>
                    <w:rPr>
                      <w:rFonts w:hint="eastAsia"/>
                      <w:spacing w:val="8"/>
                      <w:szCs w:val="21"/>
                    </w:rPr>
                    <w:t>4.48</w:t>
                  </w:r>
                </w:p>
              </w:tc>
              <w:tc>
                <w:tcPr>
                  <w:tcW w:w="636" w:type="pct"/>
                  <w:vAlign w:val="center"/>
                </w:tcPr>
                <w:p>
                  <w:pPr>
                    <w:widowControl/>
                    <w:tabs>
                      <w:tab w:val="left" w:pos="3077"/>
                      <w:tab w:val="center" w:pos="4770"/>
                    </w:tabs>
                    <w:jc w:val="center"/>
                    <w:rPr>
                      <w:spacing w:val="8"/>
                      <w:szCs w:val="21"/>
                    </w:rPr>
                  </w:pPr>
                  <w:r>
                    <w:rPr>
                      <w:rFonts w:hint="eastAsia"/>
                      <w:spacing w:val="8"/>
                      <w:szCs w:val="21"/>
                    </w:rPr>
                    <w:t>1120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360" w:type="pct"/>
                  <w:vAlign w:val="center"/>
                </w:tcPr>
                <w:p>
                  <w:pPr>
                    <w:pStyle w:val="20"/>
                    <w:adjustRightInd w:val="0"/>
                    <w:snapToGrid w:val="0"/>
                    <w:ind w:firstLine="29" w:firstLineChars="13"/>
                    <w:jc w:val="center"/>
                    <w:rPr>
                      <w:rFonts w:ascii="Times New Roman" w:hAnsi="Times New Roman"/>
                      <w:spacing w:val="8"/>
                      <w:szCs w:val="21"/>
                    </w:rPr>
                  </w:pPr>
                  <w:r>
                    <w:rPr>
                      <w:rFonts w:ascii="Times New Roman" w:hAnsi="Times New Roman"/>
                      <w:spacing w:val="8"/>
                      <w:szCs w:val="21"/>
                    </w:rPr>
                    <w:t>2</w:t>
                  </w:r>
                </w:p>
              </w:tc>
              <w:tc>
                <w:tcPr>
                  <w:tcW w:w="939" w:type="pct"/>
                  <w:vAlign w:val="center"/>
                </w:tcPr>
                <w:p>
                  <w:pPr>
                    <w:widowControl/>
                    <w:tabs>
                      <w:tab w:val="left" w:pos="3077"/>
                      <w:tab w:val="center" w:pos="4770"/>
                    </w:tabs>
                    <w:jc w:val="center"/>
                    <w:rPr>
                      <w:szCs w:val="21"/>
                    </w:rPr>
                  </w:pPr>
                  <w:r>
                    <w:rPr>
                      <w:rFonts w:hint="eastAsia"/>
                      <w:szCs w:val="21"/>
                    </w:rPr>
                    <w:t>食堂用水</w:t>
                  </w:r>
                </w:p>
              </w:tc>
              <w:tc>
                <w:tcPr>
                  <w:tcW w:w="883" w:type="pct"/>
                  <w:vAlign w:val="center"/>
                </w:tcPr>
                <w:p>
                  <w:pPr>
                    <w:widowControl/>
                    <w:tabs>
                      <w:tab w:val="left" w:pos="3077"/>
                      <w:tab w:val="center" w:pos="4770"/>
                    </w:tabs>
                    <w:jc w:val="center"/>
                    <w:rPr>
                      <w:rFonts w:hint="default" w:eastAsia="宋体"/>
                      <w:spacing w:val="8"/>
                      <w:szCs w:val="21"/>
                      <w:lang w:val="en-US" w:eastAsia="zh-CN"/>
                    </w:rPr>
                  </w:pPr>
                  <w:r>
                    <w:rPr>
                      <w:rFonts w:hint="eastAsia"/>
                    </w:rPr>
                    <w:t>10L/人·餐</w:t>
                  </w:r>
                </w:p>
              </w:tc>
              <w:tc>
                <w:tcPr>
                  <w:tcW w:w="479" w:type="pct"/>
                  <w:vAlign w:val="center"/>
                </w:tcPr>
                <w:p>
                  <w:pPr>
                    <w:widowControl/>
                    <w:tabs>
                      <w:tab w:val="left" w:pos="3077"/>
                      <w:tab w:val="center" w:pos="4770"/>
                    </w:tabs>
                    <w:jc w:val="center"/>
                    <w:rPr>
                      <w:rFonts w:hint="default" w:eastAsia="宋体"/>
                      <w:spacing w:val="8"/>
                      <w:szCs w:val="21"/>
                      <w:lang w:val="en-US" w:eastAsia="zh-CN"/>
                    </w:rPr>
                  </w:pPr>
                  <w:r>
                    <w:rPr>
                      <w:rFonts w:hint="eastAsia"/>
                      <w:spacing w:val="8"/>
                      <w:szCs w:val="21"/>
                      <w:lang w:val="en-US" w:eastAsia="zh-CN"/>
                    </w:rPr>
                    <w:t>70人</w:t>
                  </w:r>
                </w:p>
              </w:tc>
              <w:tc>
                <w:tcPr>
                  <w:tcW w:w="563" w:type="pct"/>
                  <w:vAlign w:val="center"/>
                </w:tcPr>
                <w:p>
                  <w:pPr>
                    <w:widowControl/>
                    <w:tabs>
                      <w:tab w:val="left" w:pos="420"/>
                      <w:tab w:val="center" w:pos="626"/>
                      <w:tab w:val="left" w:pos="3077"/>
                      <w:tab w:val="center" w:pos="4770"/>
                    </w:tabs>
                    <w:jc w:val="center"/>
                    <w:rPr>
                      <w:spacing w:val="8"/>
                      <w:szCs w:val="21"/>
                    </w:rPr>
                  </w:pPr>
                  <w:r>
                    <w:rPr>
                      <w:rFonts w:hint="eastAsia"/>
                      <w:spacing w:val="8"/>
                      <w:szCs w:val="21"/>
                    </w:rPr>
                    <w:t>2.1</w:t>
                  </w:r>
                </w:p>
              </w:tc>
              <w:tc>
                <w:tcPr>
                  <w:tcW w:w="636" w:type="pct"/>
                  <w:vAlign w:val="center"/>
                </w:tcPr>
                <w:p>
                  <w:pPr>
                    <w:widowControl/>
                    <w:tabs>
                      <w:tab w:val="left" w:pos="420"/>
                      <w:tab w:val="center" w:pos="626"/>
                      <w:tab w:val="left" w:pos="3077"/>
                      <w:tab w:val="center" w:pos="4770"/>
                    </w:tabs>
                    <w:jc w:val="center"/>
                    <w:rPr>
                      <w:spacing w:val="8"/>
                      <w:szCs w:val="21"/>
                    </w:rPr>
                  </w:pPr>
                  <w:r>
                    <w:rPr>
                      <w:rFonts w:hint="eastAsia"/>
                      <w:spacing w:val="8"/>
                      <w:szCs w:val="21"/>
                    </w:rPr>
                    <w:t>525</w:t>
                  </w:r>
                </w:p>
              </w:tc>
              <w:tc>
                <w:tcPr>
                  <w:tcW w:w="499" w:type="pct"/>
                  <w:vAlign w:val="center"/>
                </w:tcPr>
                <w:p>
                  <w:pPr>
                    <w:widowControl/>
                    <w:tabs>
                      <w:tab w:val="left" w:pos="420"/>
                      <w:tab w:val="center" w:pos="626"/>
                      <w:tab w:val="left" w:pos="3077"/>
                      <w:tab w:val="center" w:pos="4770"/>
                    </w:tabs>
                    <w:jc w:val="center"/>
                    <w:rPr>
                      <w:spacing w:val="8"/>
                      <w:szCs w:val="21"/>
                    </w:rPr>
                  </w:pPr>
                  <w:r>
                    <w:rPr>
                      <w:rFonts w:hint="eastAsia"/>
                      <w:spacing w:val="8"/>
                      <w:szCs w:val="21"/>
                    </w:rPr>
                    <w:t>1.68</w:t>
                  </w:r>
                </w:p>
              </w:tc>
              <w:tc>
                <w:tcPr>
                  <w:tcW w:w="636" w:type="pct"/>
                  <w:vAlign w:val="center"/>
                </w:tcPr>
                <w:p>
                  <w:pPr>
                    <w:widowControl/>
                    <w:tabs>
                      <w:tab w:val="left" w:pos="420"/>
                      <w:tab w:val="center" w:pos="626"/>
                      <w:tab w:val="left" w:pos="3077"/>
                      <w:tab w:val="center" w:pos="4770"/>
                    </w:tabs>
                    <w:jc w:val="center"/>
                    <w:rPr>
                      <w:spacing w:val="8"/>
                      <w:szCs w:val="21"/>
                    </w:rPr>
                  </w:pPr>
                  <w:r>
                    <w:rPr>
                      <w:rFonts w:hint="eastAsia"/>
                      <w:spacing w:val="8"/>
                      <w:szCs w:val="21"/>
                    </w:rPr>
                    <w:t>420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360" w:type="pct"/>
                  <w:vAlign w:val="center"/>
                </w:tcPr>
                <w:p>
                  <w:pPr>
                    <w:pStyle w:val="20"/>
                    <w:adjustRightInd w:val="0"/>
                    <w:snapToGrid w:val="0"/>
                    <w:ind w:firstLine="29" w:firstLineChars="13"/>
                    <w:jc w:val="center"/>
                    <w:rPr>
                      <w:rFonts w:hint="eastAsia" w:ascii="Times New Roman" w:hAnsi="Times New Roman" w:eastAsia="宋体"/>
                      <w:spacing w:val="8"/>
                      <w:szCs w:val="21"/>
                      <w:lang w:val="en-US" w:eastAsia="zh-CN"/>
                    </w:rPr>
                  </w:pPr>
                  <w:r>
                    <w:rPr>
                      <w:rFonts w:hint="eastAsia" w:ascii="Times New Roman" w:hAnsi="Times New Roman"/>
                      <w:spacing w:val="8"/>
                      <w:szCs w:val="21"/>
                      <w:lang w:val="en-US" w:eastAsia="zh-CN"/>
                    </w:rPr>
                    <w:t>3</w:t>
                  </w:r>
                </w:p>
              </w:tc>
              <w:tc>
                <w:tcPr>
                  <w:tcW w:w="939" w:type="pct"/>
                  <w:vAlign w:val="center"/>
                </w:tcPr>
                <w:p>
                  <w:pPr>
                    <w:widowControl/>
                    <w:tabs>
                      <w:tab w:val="left" w:pos="3077"/>
                      <w:tab w:val="center" w:pos="4770"/>
                    </w:tabs>
                    <w:jc w:val="center"/>
                    <w:rPr>
                      <w:szCs w:val="21"/>
                    </w:rPr>
                  </w:pPr>
                  <w:r>
                    <w:rPr>
                      <w:rFonts w:hint="eastAsia"/>
                      <w:szCs w:val="21"/>
                    </w:rPr>
                    <w:t>地面冲洗用水</w:t>
                  </w:r>
                </w:p>
              </w:tc>
              <w:tc>
                <w:tcPr>
                  <w:tcW w:w="883" w:type="pct"/>
                  <w:vAlign w:val="center"/>
                </w:tcPr>
                <w:p>
                  <w:pPr>
                    <w:widowControl/>
                    <w:tabs>
                      <w:tab w:val="left" w:pos="3077"/>
                      <w:tab w:val="center" w:pos="4770"/>
                    </w:tabs>
                    <w:jc w:val="center"/>
                    <w:rPr>
                      <w:szCs w:val="21"/>
                    </w:rPr>
                  </w:pPr>
                  <w:r>
                    <w:rPr>
                      <w:rFonts w:hint="eastAsia"/>
                      <w:szCs w:val="21"/>
                    </w:rPr>
                    <w:t>2.5L/m</w:t>
                  </w:r>
                  <w:r>
                    <w:rPr>
                      <w:rFonts w:hint="eastAsia"/>
                      <w:szCs w:val="21"/>
                      <w:vertAlign w:val="superscript"/>
                    </w:rPr>
                    <w:t>2</w:t>
                  </w:r>
                  <w:r>
                    <w:rPr>
                      <w:rFonts w:hint="eastAsia"/>
                      <w:szCs w:val="21"/>
                    </w:rPr>
                    <w:t>·次</w:t>
                  </w:r>
                </w:p>
              </w:tc>
              <w:tc>
                <w:tcPr>
                  <w:tcW w:w="479" w:type="pct"/>
                  <w:vAlign w:val="center"/>
                </w:tcPr>
                <w:p>
                  <w:pPr>
                    <w:widowControl/>
                    <w:tabs>
                      <w:tab w:val="left" w:pos="3077"/>
                      <w:tab w:val="center" w:pos="4770"/>
                    </w:tabs>
                    <w:jc w:val="center"/>
                    <w:rPr>
                      <w:spacing w:val="8"/>
                      <w:szCs w:val="21"/>
                      <w:vertAlign w:val="superscript"/>
                    </w:rPr>
                  </w:pPr>
                  <w:r>
                    <w:rPr>
                      <w:rFonts w:hint="eastAsia"/>
                      <w:spacing w:val="8"/>
                      <w:szCs w:val="21"/>
                    </w:rPr>
                    <w:t>681m</w:t>
                  </w:r>
                  <w:r>
                    <w:rPr>
                      <w:rFonts w:hint="eastAsia"/>
                      <w:spacing w:val="8"/>
                      <w:szCs w:val="21"/>
                      <w:vertAlign w:val="superscript"/>
                    </w:rPr>
                    <w:t>2</w:t>
                  </w:r>
                </w:p>
              </w:tc>
              <w:tc>
                <w:tcPr>
                  <w:tcW w:w="563" w:type="pct"/>
                  <w:vAlign w:val="center"/>
                </w:tcPr>
                <w:p>
                  <w:pPr>
                    <w:widowControl/>
                    <w:tabs>
                      <w:tab w:val="left" w:pos="420"/>
                      <w:tab w:val="center" w:pos="626"/>
                      <w:tab w:val="left" w:pos="3077"/>
                      <w:tab w:val="center" w:pos="4770"/>
                    </w:tabs>
                    <w:jc w:val="center"/>
                    <w:rPr>
                      <w:spacing w:val="8"/>
                      <w:szCs w:val="21"/>
                    </w:rPr>
                  </w:pPr>
                  <w:r>
                    <w:rPr>
                      <w:rFonts w:hint="eastAsia"/>
                      <w:spacing w:val="8"/>
                      <w:szCs w:val="21"/>
                    </w:rPr>
                    <w:t>0.852</w:t>
                  </w:r>
                </w:p>
              </w:tc>
              <w:tc>
                <w:tcPr>
                  <w:tcW w:w="636" w:type="pct"/>
                  <w:vAlign w:val="center"/>
                </w:tcPr>
                <w:p>
                  <w:pPr>
                    <w:widowControl/>
                    <w:tabs>
                      <w:tab w:val="left" w:pos="420"/>
                      <w:tab w:val="center" w:pos="626"/>
                      <w:tab w:val="left" w:pos="3077"/>
                      <w:tab w:val="center" w:pos="4770"/>
                    </w:tabs>
                    <w:jc w:val="center"/>
                    <w:rPr>
                      <w:spacing w:val="8"/>
                      <w:szCs w:val="21"/>
                    </w:rPr>
                  </w:pPr>
                  <w:r>
                    <w:rPr>
                      <w:rFonts w:hint="eastAsia"/>
                      <w:spacing w:val="8"/>
                      <w:szCs w:val="21"/>
                    </w:rPr>
                    <w:t>212.875</w:t>
                  </w:r>
                </w:p>
              </w:tc>
              <w:tc>
                <w:tcPr>
                  <w:tcW w:w="499" w:type="pct"/>
                  <w:vAlign w:val="center"/>
                </w:tcPr>
                <w:p>
                  <w:pPr>
                    <w:widowControl/>
                    <w:tabs>
                      <w:tab w:val="left" w:pos="420"/>
                      <w:tab w:val="center" w:pos="626"/>
                      <w:tab w:val="left" w:pos="3077"/>
                      <w:tab w:val="center" w:pos="4770"/>
                    </w:tabs>
                    <w:jc w:val="center"/>
                    <w:rPr>
                      <w:spacing w:val="8"/>
                      <w:szCs w:val="21"/>
                    </w:rPr>
                  </w:pPr>
                  <w:r>
                    <w:rPr>
                      <w:rFonts w:hint="eastAsia"/>
                      <w:spacing w:val="8"/>
                      <w:szCs w:val="21"/>
                    </w:rPr>
                    <w:t>0.766</w:t>
                  </w:r>
                </w:p>
              </w:tc>
              <w:tc>
                <w:tcPr>
                  <w:tcW w:w="636" w:type="pct"/>
                  <w:vAlign w:val="center"/>
                </w:tcPr>
                <w:p>
                  <w:pPr>
                    <w:widowControl/>
                    <w:tabs>
                      <w:tab w:val="left" w:pos="420"/>
                      <w:tab w:val="center" w:pos="626"/>
                      <w:tab w:val="left" w:pos="3077"/>
                      <w:tab w:val="center" w:pos="4770"/>
                    </w:tabs>
                    <w:jc w:val="center"/>
                    <w:rPr>
                      <w:spacing w:val="8"/>
                      <w:szCs w:val="21"/>
                    </w:rPr>
                  </w:pPr>
                  <w:r>
                    <w:rPr>
                      <w:rFonts w:hint="eastAsia"/>
                      <w:spacing w:val="8"/>
                      <w:szCs w:val="21"/>
                    </w:rPr>
                    <w:t>191.588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360" w:type="pct"/>
                  <w:vAlign w:val="center"/>
                </w:tcPr>
                <w:p>
                  <w:pPr>
                    <w:pStyle w:val="20"/>
                    <w:adjustRightInd w:val="0"/>
                    <w:snapToGrid w:val="0"/>
                    <w:ind w:firstLine="29" w:firstLineChars="13"/>
                    <w:jc w:val="center"/>
                    <w:rPr>
                      <w:rFonts w:hint="eastAsia" w:ascii="Times New Roman" w:hAnsi="Times New Roman" w:eastAsia="宋体"/>
                      <w:spacing w:val="8"/>
                      <w:szCs w:val="21"/>
                      <w:lang w:val="en-US" w:eastAsia="zh-CN"/>
                    </w:rPr>
                  </w:pPr>
                  <w:r>
                    <w:rPr>
                      <w:rFonts w:hint="eastAsia" w:ascii="Times New Roman" w:hAnsi="Times New Roman"/>
                      <w:spacing w:val="8"/>
                      <w:szCs w:val="21"/>
                      <w:lang w:val="en-US" w:eastAsia="zh-CN"/>
                    </w:rPr>
                    <w:t>4</w:t>
                  </w:r>
                </w:p>
              </w:tc>
              <w:tc>
                <w:tcPr>
                  <w:tcW w:w="939" w:type="pct"/>
                  <w:vAlign w:val="center"/>
                </w:tcPr>
                <w:p>
                  <w:pPr>
                    <w:widowControl/>
                    <w:tabs>
                      <w:tab w:val="left" w:pos="3077"/>
                      <w:tab w:val="center" w:pos="4770"/>
                    </w:tabs>
                    <w:jc w:val="center"/>
                    <w:rPr>
                      <w:szCs w:val="21"/>
                    </w:rPr>
                  </w:pPr>
                  <w:r>
                    <w:rPr>
                      <w:rFonts w:hint="eastAsia"/>
                      <w:szCs w:val="21"/>
                    </w:rPr>
                    <w:t>车辆冲洗用水</w:t>
                  </w:r>
                </w:p>
              </w:tc>
              <w:tc>
                <w:tcPr>
                  <w:tcW w:w="883" w:type="pct"/>
                  <w:vAlign w:val="center"/>
                </w:tcPr>
                <w:p>
                  <w:pPr>
                    <w:widowControl/>
                    <w:tabs>
                      <w:tab w:val="left" w:pos="3077"/>
                      <w:tab w:val="center" w:pos="4770"/>
                    </w:tabs>
                    <w:jc w:val="center"/>
                    <w:rPr>
                      <w:szCs w:val="21"/>
                    </w:rPr>
                  </w:pPr>
                  <w:r>
                    <w:rPr>
                      <w:rFonts w:hint="eastAsia"/>
                    </w:rPr>
                    <w:t>0.05m</w:t>
                  </w:r>
                  <w:r>
                    <w:rPr>
                      <w:rFonts w:hint="eastAsia"/>
                      <w:vertAlign w:val="superscript"/>
                    </w:rPr>
                    <w:t>3</w:t>
                  </w:r>
                  <w:r>
                    <w:rPr>
                      <w:rFonts w:hint="eastAsia"/>
                    </w:rPr>
                    <w:t>/辆·次</w:t>
                  </w:r>
                </w:p>
              </w:tc>
              <w:tc>
                <w:tcPr>
                  <w:tcW w:w="479" w:type="pct"/>
                  <w:vAlign w:val="center"/>
                </w:tcPr>
                <w:p>
                  <w:pPr>
                    <w:widowControl/>
                    <w:tabs>
                      <w:tab w:val="left" w:pos="3077"/>
                      <w:tab w:val="center" w:pos="4770"/>
                    </w:tabs>
                    <w:jc w:val="center"/>
                    <w:rPr>
                      <w:spacing w:val="8"/>
                      <w:szCs w:val="21"/>
                    </w:rPr>
                  </w:pPr>
                  <w:r>
                    <w:rPr>
                      <w:rFonts w:hint="eastAsia"/>
                      <w:spacing w:val="8"/>
                      <w:szCs w:val="21"/>
                    </w:rPr>
                    <w:t>2辆</w:t>
                  </w:r>
                </w:p>
              </w:tc>
              <w:tc>
                <w:tcPr>
                  <w:tcW w:w="563" w:type="pct"/>
                  <w:vAlign w:val="center"/>
                </w:tcPr>
                <w:p>
                  <w:pPr>
                    <w:widowControl/>
                    <w:tabs>
                      <w:tab w:val="left" w:pos="420"/>
                      <w:tab w:val="center" w:pos="626"/>
                      <w:tab w:val="left" w:pos="3077"/>
                      <w:tab w:val="center" w:pos="4770"/>
                    </w:tabs>
                    <w:jc w:val="center"/>
                    <w:rPr>
                      <w:spacing w:val="8"/>
                      <w:szCs w:val="21"/>
                    </w:rPr>
                  </w:pPr>
                  <w:r>
                    <w:rPr>
                      <w:rFonts w:hint="eastAsia"/>
                      <w:spacing w:val="8"/>
                      <w:szCs w:val="21"/>
                    </w:rPr>
                    <w:t>0.05</w:t>
                  </w:r>
                </w:p>
              </w:tc>
              <w:tc>
                <w:tcPr>
                  <w:tcW w:w="636" w:type="pct"/>
                  <w:vAlign w:val="center"/>
                </w:tcPr>
                <w:p>
                  <w:pPr>
                    <w:widowControl/>
                    <w:tabs>
                      <w:tab w:val="left" w:pos="420"/>
                      <w:tab w:val="center" w:pos="626"/>
                      <w:tab w:val="left" w:pos="3077"/>
                      <w:tab w:val="center" w:pos="4770"/>
                    </w:tabs>
                    <w:jc w:val="center"/>
                    <w:rPr>
                      <w:spacing w:val="8"/>
                      <w:szCs w:val="21"/>
                    </w:rPr>
                  </w:pPr>
                  <w:r>
                    <w:rPr>
                      <w:rFonts w:hint="eastAsia"/>
                      <w:spacing w:val="8"/>
                      <w:szCs w:val="21"/>
                    </w:rPr>
                    <w:t>12.5</w:t>
                  </w:r>
                </w:p>
              </w:tc>
              <w:tc>
                <w:tcPr>
                  <w:tcW w:w="499" w:type="pct"/>
                  <w:vAlign w:val="center"/>
                </w:tcPr>
                <w:p>
                  <w:pPr>
                    <w:widowControl/>
                    <w:tabs>
                      <w:tab w:val="left" w:pos="420"/>
                      <w:tab w:val="center" w:pos="626"/>
                      <w:tab w:val="left" w:pos="3077"/>
                      <w:tab w:val="center" w:pos="4770"/>
                    </w:tabs>
                    <w:jc w:val="center"/>
                    <w:rPr>
                      <w:spacing w:val="8"/>
                      <w:szCs w:val="21"/>
                    </w:rPr>
                  </w:pPr>
                  <w:r>
                    <w:rPr>
                      <w:rFonts w:hint="eastAsia"/>
                      <w:spacing w:val="8"/>
                      <w:szCs w:val="21"/>
                    </w:rPr>
                    <w:t>0.045</w:t>
                  </w:r>
                </w:p>
              </w:tc>
              <w:tc>
                <w:tcPr>
                  <w:tcW w:w="636" w:type="pct"/>
                  <w:vAlign w:val="center"/>
                </w:tcPr>
                <w:p>
                  <w:pPr>
                    <w:widowControl/>
                    <w:tabs>
                      <w:tab w:val="left" w:pos="420"/>
                      <w:tab w:val="center" w:pos="626"/>
                      <w:tab w:val="left" w:pos="3077"/>
                      <w:tab w:val="center" w:pos="4770"/>
                    </w:tabs>
                    <w:jc w:val="center"/>
                    <w:rPr>
                      <w:spacing w:val="8"/>
                      <w:szCs w:val="21"/>
                    </w:rPr>
                  </w:pPr>
                  <w:r>
                    <w:rPr>
                      <w:rFonts w:hint="eastAsia"/>
                      <w:spacing w:val="8"/>
                      <w:szCs w:val="21"/>
                    </w:rPr>
                    <w:t>11.25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2183" w:type="pct"/>
                  <w:gridSpan w:val="3"/>
                  <w:vAlign w:val="center"/>
                </w:tcPr>
                <w:p>
                  <w:pPr>
                    <w:widowControl/>
                    <w:tabs>
                      <w:tab w:val="left" w:pos="3077"/>
                      <w:tab w:val="center" w:pos="4770"/>
                    </w:tabs>
                    <w:jc w:val="center"/>
                    <w:rPr>
                      <w:b/>
                      <w:bCs/>
                      <w:spacing w:val="8"/>
                      <w:szCs w:val="21"/>
                    </w:rPr>
                  </w:pPr>
                  <w:r>
                    <w:rPr>
                      <w:spacing w:val="8"/>
                      <w:szCs w:val="21"/>
                    </w:rPr>
                    <w:t>合计</w:t>
                  </w:r>
                </w:p>
              </w:tc>
              <w:tc>
                <w:tcPr>
                  <w:tcW w:w="479" w:type="pct"/>
                  <w:vAlign w:val="center"/>
                </w:tcPr>
                <w:p>
                  <w:pPr>
                    <w:widowControl/>
                    <w:tabs>
                      <w:tab w:val="left" w:pos="3077"/>
                      <w:tab w:val="center" w:pos="4770"/>
                    </w:tabs>
                    <w:jc w:val="center"/>
                    <w:rPr>
                      <w:spacing w:val="8"/>
                      <w:szCs w:val="21"/>
                    </w:rPr>
                  </w:pPr>
                  <w:r>
                    <w:rPr>
                      <w:rFonts w:hint="eastAsia"/>
                      <w:spacing w:val="8"/>
                      <w:szCs w:val="21"/>
                    </w:rPr>
                    <w:t>/</w:t>
                  </w:r>
                </w:p>
              </w:tc>
              <w:tc>
                <w:tcPr>
                  <w:tcW w:w="563" w:type="pct"/>
                  <w:vAlign w:val="center"/>
                </w:tcPr>
                <w:p>
                  <w:pPr>
                    <w:widowControl/>
                    <w:tabs>
                      <w:tab w:val="left" w:pos="3077"/>
                      <w:tab w:val="center" w:pos="4770"/>
                    </w:tabs>
                    <w:jc w:val="center"/>
                    <w:rPr>
                      <w:rFonts w:hint="default" w:eastAsia="宋体"/>
                      <w:spacing w:val="8"/>
                      <w:szCs w:val="21"/>
                      <w:lang w:val="en-US" w:eastAsia="zh-CN"/>
                    </w:rPr>
                  </w:pPr>
                  <w:r>
                    <w:rPr>
                      <w:rFonts w:hint="eastAsia"/>
                      <w:spacing w:val="8"/>
                      <w:szCs w:val="21"/>
                      <w:lang w:val="en-US" w:eastAsia="zh-CN"/>
                    </w:rPr>
                    <w:t>8.602</w:t>
                  </w:r>
                </w:p>
              </w:tc>
              <w:tc>
                <w:tcPr>
                  <w:tcW w:w="636" w:type="pct"/>
                  <w:vAlign w:val="center"/>
                </w:tcPr>
                <w:p>
                  <w:pPr>
                    <w:widowControl/>
                    <w:tabs>
                      <w:tab w:val="left" w:pos="3077"/>
                      <w:tab w:val="center" w:pos="4770"/>
                    </w:tabs>
                    <w:jc w:val="center"/>
                    <w:rPr>
                      <w:rFonts w:hint="default" w:eastAsia="宋体"/>
                      <w:spacing w:val="8"/>
                      <w:szCs w:val="21"/>
                      <w:lang w:val="en-US" w:eastAsia="zh-CN"/>
                    </w:rPr>
                  </w:pPr>
                  <w:r>
                    <w:rPr>
                      <w:rFonts w:hint="eastAsia"/>
                      <w:spacing w:val="8"/>
                      <w:szCs w:val="21"/>
                      <w:lang w:val="en-US" w:eastAsia="zh-CN"/>
                    </w:rPr>
                    <w:t>2150.375</w:t>
                  </w:r>
                </w:p>
              </w:tc>
              <w:tc>
                <w:tcPr>
                  <w:tcW w:w="499" w:type="pct"/>
                  <w:vAlign w:val="center"/>
                </w:tcPr>
                <w:p>
                  <w:pPr>
                    <w:widowControl/>
                    <w:tabs>
                      <w:tab w:val="left" w:pos="3077"/>
                      <w:tab w:val="center" w:pos="4770"/>
                    </w:tabs>
                    <w:jc w:val="center"/>
                    <w:rPr>
                      <w:spacing w:val="8"/>
                      <w:szCs w:val="21"/>
                    </w:rPr>
                  </w:pPr>
                  <w:r>
                    <w:rPr>
                      <w:rFonts w:hint="eastAsia"/>
                      <w:spacing w:val="8"/>
                      <w:szCs w:val="21"/>
                    </w:rPr>
                    <w:t>6.971</w:t>
                  </w:r>
                </w:p>
              </w:tc>
              <w:tc>
                <w:tcPr>
                  <w:tcW w:w="636" w:type="pct"/>
                  <w:vAlign w:val="center"/>
                </w:tcPr>
                <w:p>
                  <w:pPr>
                    <w:widowControl/>
                    <w:tabs>
                      <w:tab w:val="left" w:pos="3077"/>
                      <w:tab w:val="center" w:pos="4770"/>
                    </w:tabs>
                    <w:jc w:val="center"/>
                    <w:rPr>
                      <w:spacing w:val="8"/>
                      <w:szCs w:val="21"/>
                    </w:rPr>
                  </w:pPr>
                  <w:r>
                    <w:rPr>
                      <w:rFonts w:hint="eastAsia"/>
                      <w:spacing w:val="8"/>
                      <w:szCs w:val="21"/>
                    </w:rPr>
                    <w:t>1742.838</w:t>
                  </w:r>
                </w:p>
              </w:tc>
            </w:tr>
          </w:tbl>
          <w:p>
            <w:pPr>
              <w:pStyle w:val="60"/>
              <w:adjustRightInd/>
              <w:spacing w:line="240" w:lineRule="auto"/>
              <w:ind w:firstLine="0" w:firstLineChars="0"/>
              <w:jc w:val="center"/>
              <w:rPr>
                <w:rFonts w:hAnsi="Times New Roman" w:eastAsia="黑体"/>
                <w:b w:val="0"/>
                <w:bCs w:val="0"/>
                <w:color w:val="auto"/>
                <w:szCs w:val="24"/>
              </w:rPr>
            </w:pPr>
            <w:r>
              <w:object>
                <v:shape id="_x0000_i1025" o:spt="75" type="#_x0000_t75" style="height:154.55pt;width:419.6pt;" o:ole="t" filled="f" o:preferrelative="t" stroked="t" coordsize="21600,21600">
                  <v:path/>
                  <v:fill on="f" focussize="0,0"/>
                  <v:stroke weight="1.5pt" color="#000000" joinstyle="miter"/>
                  <v:imagedata r:id="rId19" o:title=""/>
                  <o:lock v:ext="edit" aspectratio="f"/>
                  <w10:wrap type="none"/>
                  <w10:anchorlock/>
                </v:shape>
                <o:OLEObject Type="Embed" ProgID="Visio.Drawing.11" ShapeID="_x0000_i1025" DrawAspect="Content" ObjectID="_1468075725" r:id="rId18">
                  <o:LockedField>false</o:LockedField>
                </o:OLEObject>
              </w:object>
            </w:r>
            <w:r>
              <w:rPr>
                <w:rFonts w:hint="eastAsia" w:hAnsi="Times New Roman" w:eastAsia="黑体"/>
                <w:b w:val="0"/>
                <w:bCs w:val="0"/>
                <w:color w:val="auto"/>
                <w:szCs w:val="24"/>
              </w:rPr>
              <w:t xml:space="preserve">图2-1 </w:t>
            </w:r>
            <w:r>
              <w:rPr>
                <w:rFonts w:hAnsi="Times New Roman" w:eastAsia="黑体"/>
                <w:b w:val="0"/>
                <w:bCs w:val="0"/>
                <w:color w:val="auto"/>
                <w:szCs w:val="24"/>
              </w:rPr>
              <w:t xml:space="preserve"> </w:t>
            </w:r>
            <w:r>
              <w:rPr>
                <w:rFonts w:hint="eastAsia" w:hAnsi="Times New Roman" w:eastAsia="黑体"/>
                <w:b w:val="0"/>
                <w:bCs w:val="0"/>
                <w:color w:val="auto"/>
                <w:szCs w:val="24"/>
              </w:rPr>
              <w:t>项目水平衡图（m</w:t>
            </w:r>
            <w:r>
              <w:rPr>
                <w:rFonts w:hint="eastAsia" w:hAnsi="Times New Roman" w:eastAsia="黑体"/>
                <w:b w:val="0"/>
                <w:bCs w:val="0"/>
                <w:color w:val="auto"/>
                <w:szCs w:val="24"/>
                <w:vertAlign w:val="superscript"/>
              </w:rPr>
              <w:t>3</w:t>
            </w:r>
            <w:r>
              <w:rPr>
                <w:rFonts w:hint="eastAsia" w:hAnsi="Times New Roman" w:eastAsia="黑体"/>
                <w:b w:val="0"/>
                <w:bCs w:val="0"/>
                <w:color w:val="auto"/>
                <w:szCs w:val="24"/>
              </w:rPr>
              <w:t>/a）</w:t>
            </w:r>
          </w:p>
          <w:p>
            <w:pPr>
              <w:numPr>
                <w:ilvl w:val="0"/>
                <w:numId w:val="7"/>
              </w:numPr>
              <w:adjustRightInd w:val="0"/>
              <w:snapToGrid w:val="0"/>
              <w:spacing w:line="520" w:lineRule="exact"/>
              <w:ind w:firstLine="480" w:firstLineChars="200"/>
              <w:rPr>
                <w:sz w:val="24"/>
              </w:rPr>
            </w:pPr>
            <w:r>
              <w:rPr>
                <w:sz w:val="24"/>
              </w:rPr>
              <w:t>供电</w:t>
            </w:r>
          </w:p>
          <w:p>
            <w:pPr>
              <w:adjustRightInd w:val="0"/>
              <w:snapToGrid w:val="0"/>
              <w:spacing w:line="520" w:lineRule="exact"/>
              <w:ind w:firstLine="480" w:firstLineChars="200"/>
              <w:rPr>
                <w:sz w:val="24"/>
              </w:rPr>
            </w:pPr>
            <w:r>
              <w:rPr>
                <w:rFonts w:hint="eastAsia"/>
                <w:sz w:val="24"/>
              </w:rPr>
              <w:t>项目用电由宝明矿区供电线缆供给。</w:t>
            </w:r>
          </w:p>
          <w:p>
            <w:pPr>
              <w:numPr>
                <w:ilvl w:val="0"/>
                <w:numId w:val="7"/>
              </w:numPr>
              <w:adjustRightInd w:val="0"/>
              <w:snapToGrid w:val="0"/>
              <w:spacing w:line="520" w:lineRule="exact"/>
              <w:ind w:firstLine="480" w:firstLineChars="200"/>
              <w:rPr>
                <w:sz w:val="24"/>
              </w:rPr>
            </w:pPr>
            <w:r>
              <w:rPr>
                <w:rFonts w:hint="eastAsia"/>
                <w:sz w:val="24"/>
              </w:rPr>
              <w:t>供热</w:t>
            </w:r>
          </w:p>
          <w:p>
            <w:pPr>
              <w:pStyle w:val="8"/>
              <w:numPr>
                <w:ilvl w:val="3"/>
                <w:numId w:val="0"/>
              </w:numPr>
              <w:spacing w:line="520" w:lineRule="exact"/>
              <w:ind w:firstLine="480" w:firstLineChars="200"/>
              <w:rPr>
                <w:sz w:val="24"/>
                <w:szCs w:val="32"/>
              </w:rPr>
            </w:pPr>
            <w:r>
              <w:rPr>
                <w:rFonts w:hint="eastAsia"/>
                <w:sz w:val="24"/>
                <w:szCs w:val="32"/>
              </w:rPr>
              <w:t>本项目冬季生产，采暖设施为电采暖。</w:t>
            </w:r>
          </w:p>
          <w:p>
            <w:pPr>
              <w:adjustRightInd w:val="0"/>
              <w:snapToGrid w:val="0"/>
              <w:spacing w:line="520" w:lineRule="exact"/>
              <w:ind w:firstLine="482" w:firstLineChars="200"/>
              <w:rPr>
                <w:sz w:val="24"/>
              </w:rPr>
            </w:pPr>
            <w:r>
              <w:rPr>
                <w:rFonts w:hint="eastAsia"/>
                <w:b/>
                <w:bCs/>
                <w:sz w:val="24"/>
                <w:lang w:val="en-US" w:eastAsia="zh-CN"/>
              </w:rPr>
              <w:t>9</w:t>
            </w:r>
            <w:r>
              <w:rPr>
                <w:b/>
                <w:bCs/>
                <w:sz w:val="24"/>
              </w:rPr>
              <w:t>、劳动定员及工作制度</w:t>
            </w:r>
          </w:p>
          <w:p>
            <w:pPr>
              <w:adjustRightInd w:val="0"/>
              <w:snapToGrid w:val="0"/>
              <w:spacing w:line="520" w:lineRule="exact"/>
              <w:ind w:firstLine="480" w:firstLineChars="200"/>
              <w:rPr>
                <w:sz w:val="24"/>
              </w:rPr>
            </w:pPr>
            <w:r>
              <w:rPr>
                <w:sz w:val="24"/>
              </w:rPr>
              <w:t>本项目</w:t>
            </w:r>
            <w:r>
              <w:rPr>
                <w:rFonts w:hint="eastAsia"/>
                <w:sz w:val="24"/>
              </w:rPr>
              <w:t>定员70</w:t>
            </w:r>
            <w:r>
              <w:rPr>
                <w:sz w:val="24"/>
              </w:rPr>
              <w:t>人，</w:t>
            </w:r>
            <w:r>
              <w:rPr>
                <w:rFonts w:hint="eastAsia"/>
                <w:sz w:val="24"/>
              </w:rPr>
              <w:t>工作制度为单班制，每班7.5h，</w:t>
            </w:r>
            <w:r>
              <w:rPr>
                <w:sz w:val="24"/>
              </w:rPr>
              <w:t>年工作时间为</w:t>
            </w:r>
            <w:r>
              <w:rPr>
                <w:rFonts w:hint="eastAsia"/>
                <w:sz w:val="24"/>
              </w:rPr>
              <w:t>250</w:t>
            </w:r>
            <w:r>
              <w:rPr>
                <w:sz w:val="24"/>
              </w:rPr>
              <w:t>天。</w:t>
            </w:r>
          </w:p>
          <w:p>
            <w:pPr>
              <w:adjustRightInd w:val="0"/>
              <w:snapToGrid w:val="0"/>
              <w:spacing w:line="520" w:lineRule="exact"/>
              <w:ind w:firstLine="482" w:firstLineChars="200"/>
              <w:rPr>
                <w:sz w:val="24"/>
              </w:rPr>
            </w:pPr>
            <w:r>
              <w:rPr>
                <w:rFonts w:hint="eastAsia"/>
                <w:b/>
                <w:bCs/>
                <w:sz w:val="24"/>
                <w:lang w:val="en-US" w:eastAsia="zh-CN"/>
              </w:rPr>
              <w:t>10</w:t>
            </w:r>
            <w:r>
              <w:rPr>
                <w:b/>
                <w:bCs/>
                <w:sz w:val="24"/>
              </w:rPr>
              <w:t>、项目平面布置</w:t>
            </w:r>
          </w:p>
          <w:p>
            <w:pPr>
              <w:adjustRightInd w:val="0"/>
              <w:snapToGrid w:val="0"/>
              <w:spacing w:line="520" w:lineRule="exact"/>
              <w:ind w:firstLine="480" w:firstLineChars="200"/>
              <w:rPr>
                <w:bCs/>
                <w:sz w:val="24"/>
                <w:lang w:bidi="en-US"/>
              </w:rPr>
            </w:pPr>
            <w:r>
              <w:rPr>
                <w:bCs/>
                <w:sz w:val="24"/>
                <w:lang w:bidi="en-US"/>
              </w:rPr>
              <w:t>（1）总图布置设计规整紧凑，功能区划清楚，各功能区间衔接适当，物流顺畅，符合《工业企业总平面设计规范》（GB50187-</w:t>
            </w:r>
            <w:r>
              <w:rPr>
                <w:rFonts w:hint="eastAsia"/>
                <w:bCs/>
                <w:sz w:val="24"/>
                <w:lang w:bidi="en-US"/>
              </w:rPr>
              <w:t>2012</w:t>
            </w:r>
            <w:r>
              <w:rPr>
                <w:bCs/>
                <w:sz w:val="24"/>
                <w:lang w:bidi="en-US"/>
              </w:rPr>
              <w:t>）要求。总图布置综合考虑了建筑朝向、防火等因素的影响。</w:t>
            </w:r>
          </w:p>
          <w:p>
            <w:pPr>
              <w:adjustRightInd w:val="0"/>
              <w:snapToGrid w:val="0"/>
              <w:spacing w:line="520" w:lineRule="exact"/>
              <w:ind w:firstLine="480" w:firstLineChars="200"/>
              <w:rPr>
                <w:bCs/>
                <w:sz w:val="24"/>
                <w:lang w:bidi="en-US"/>
              </w:rPr>
            </w:pPr>
            <w:r>
              <w:rPr>
                <w:rFonts w:hint="eastAsia"/>
                <w:bCs/>
                <w:sz w:val="24"/>
                <w:lang w:bidi="en-US"/>
              </w:rPr>
              <w:t>（2）厂内交通道路分布合理，设有2个出入口，可实现人流物流分离，利于厂内秩序和安全生产要求，各功能区间由道路间隔同时形成厂内道路网，各建筑之间留有足够的安全防护间距，便于检修和人员活动，一旦发生危险时利于消防、安全疏散。厂区平面布置符合安全生产的基本要求。</w:t>
            </w:r>
          </w:p>
          <w:p>
            <w:pPr>
              <w:adjustRightInd w:val="0"/>
              <w:snapToGrid w:val="0"/>
              <w:spacing w:line="520" w:lineRule="exact"/>
              <w:ind w:firstLine="480" w:firstLineChars="200"/>
              <w:rPr>
                <w:bCs/>
                <w:sz w:val="24"/>
                <w:lang w:bidi="en-US"/>
              </w:rPr>
            </w:pPr>
            <w:r>
              <w:rPr>
                <w:rFonts w:hint="eastAsia"/>
                <w:bCs/>
                <w:sz w:val="24"/>
                <w:lang w:bidi="en-US"/>
              </w:rPr>
              <w:t>（3）厂内生产车间、噪声源安排相对集中，与厂边界均保持有较大距离，为实现厂界噪声达标创造了有利条件；生产线集中布置，方便生产管理。</w:t>
            </w:r>
          </w:p>
          <w:p>
            <w:pPr>
              <w:adjustRightInd w:val="0"/>
              <w:snapToGrid w:val="0"/>
              <w:spacing w:line="520" w:lineRule="exact"/>
              <w:ind w:firstLine="480" w:firstLineChars="200"/>
              <w:rPr>
                <w:bCs/>
                <w:sz w:val="24"/>
                <w:lang w:bidi="en-US"/>
              </w:rPr>
            </w:pPr>
            <w:r>
              <w:rPr>
                <w:rFonts w:hint="eastAsia"/>
                <w:bCs/>
                <w:sz w:val="24"/>
                <w:lang w:bidi="en-US"/>
              </w:rPr>
              <w:t>（4）办公区位于厂区东侧，生产区位于厂区的西侧，当地的主导风向为西风，办公区在主导风向的</w:t>
            </w:r>
            <w:r>
              <w:rPr>
                <w:rFonts w:hint="eastAsia"/>
                <w:bCs/>
                <w:sz w:val="24"/>
                <w:lang w:val="en-US" w:eastAsia="zh-CN" w:bidi="en-US"/>
              </w:rPr>
              <w:t>下</w:t>
            </w:r>
            <w:r>
              <w:rPr>
                <w:rFonts w:hint="eastAsia"/>
                <w:bCs/>
                <w:sz w:val="24"/>
                <w:lang w:bidi="en-US"/>
              </w:rPr>
              <w:t>游，</w:t>
            </w:r>
            <w:r>
              <w:rPr>
                <w:rFonts w:hint="eastAsia"/>
                <w:bCs/>
                <w:sz w:val="24"/>
                <w:lang w:val="en-US" w:eastAsia="zh-CN" w:bidi="en-US"/>
              </w:rPr>
              <w:t>由于本项目产生的大气污染物量极少，生产区和工作生活区中间设有绿化带，对工作生活区影响不大</w:t>
            </w:r>
            <w:r>
              <w:rPr>
                <w:rFonts w:hint="eastAsia"/>
                <w:bCs/>
                <w:sz w:val="24"/>
                <w:lang w:bidi="en-US"/>
              </w:rPr>
              <w:t>。</w:t>
            </w:r>
          </w:p>
          <w:p>
            <w:pPr>
              <w:adjustRightInd w:val="0"/>
              <w:snapToGrid w:val="0"/>
              <w:spacing w:line="520" w:lineRule="exact"/>
              <w:ind w:firstLine="480" w:firstLineChars="200"/>
            </w:pPr>
            <w:r>
              <w:rPr>
                <w:rFonts w:hint="eastAsia"/>
                <w:bCs/>
                <w:sz w:val="24"/>
                <w:lang w:bidi="en-US"/>
              </w:rPr>
              <w:t>项目总平面布置遵照国家颁布的现行的有关设计规范、规定及技术标准，按照联合集中，紧凑合理，留有发展用地的原则进行布置。从项目平面布置分析，本项目总图布置充分考虑了当地的气象条件，紧密结合了生产流程，因地制宜，使新建设施紧凑布置，少占地；考虑了公用工程的配套便利性，确保了各个生产单元间物料流向畅通，运距最短，效率最高，实现了厂内运输最佳经济合理性；节约投资同时满足防火、防爆、安全、卫生等有关规范要求，为生产创造有利条件，力求工艺流程顺畅，项目平面布置较为合理。</w:t>
            </w:r>
            <w:r>
              <w:rPr>
                <w:sz w:val="24"/>
              </w:rPr>
              <w:t>项目平面布置图见</w:t>
            </w:r>
            <w:r>
              <w:rPr>
                <w:rFonts w:hint="eastAsia"/>
                <w:sz w:val="24"/>
              </w:rPr>
              <w:t>附图3。</w:t>
            </w:r>
            <w:r>
              <w:drawing>
                <wp:anchor distT="0" distB="0" distL="114300" distR="114300" simplePos="0" relativeHeight="251664384" behindDoc="0" locked="0" layoutInCell="1" allowOverlap="1">
                  <wp:simplePos x="0" y="0"/>
                  <wp:positionH relativeFrom="column">
                    <wp:posOffset>11824335</wp:posOffset>
                  </wp:positionH>
                  <wp:positionV relativeFrom="paragraph">
                    <wp:posOffset>451485</wp:posOffset>
                  </wp:positionV>
                  <wp:extent cx="895985" cy="914400"/>
                  <wp:effectExtent l="9525" t="9525" r="27940" b="9525"/>
                  <wp:wrapNone/>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20"/>
                          <a:stretch>
                            <a:fillRect/>
                          </a:stretch>
                        </pic:blipFill>
                        <pic:spPr>
                          <a:xfrm>
                            <a:off x="0" y="0"/>
                            <a:ext cx="895985" cy="914400"/>
                          </a:xfrm>
                          <a:prstGeom prst="rect">
                            <a:avLst/>
                          </a:prstGeom>
                          <a:noFill/>
                          <a:ln w="3175" cap="flat" cmpd="sng">
                            <a:solidFill>
                              <a:srgbClr val="000000"/>
                            </a:solidFill>
                            <a:prstDash val="solid"/>
                            <a:miter/>
                            <a:headEnd type="none" w="med" len="med"/>
                            <a:tailEnd type="none" w="med" len="med"/>
                          </a:ln>
                        </pic:spPr>
                      </pic:pic>
                    </a:graphicData>
                  </a:graphic>
                </wp:anchor>
              </w:drawing>
            </w:r>
          </w:p>
          <w:p>
            <w:pPr>
              <w:pStyle w:val="39"/>
              <w:ind w:firstLine="0" w:firstLineChars="0"/>
              <w:jc w:val="center"/>
              <w:rPr>
                <w:rFonts w:eastAsia="黑体"/>
                <w:sz w:val="24"/>
                <w:szCs w:val="32"/>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74" w:hRule="atLeast"/>
          <w:jc w:val="center"/>
        </w:trPr>
        <w:tc>
          <w:tcPr>
            <w:tcW w:w="533" w:type="dxa"/>
            <w:vAlign w:val="center"/>
          </w:tcPr>
          <w:p>
            <w:pPr>
              <w:pStyle w:val="25"/>
              <w:adjustRightInd w:val="0"/>
              <w:snapToGrid w:val="0"/>
              <w:spacing w:before="0" w:beforeAutospacing="0" w:after="0" w:afterAutospacing="0"/>
              <w:jc w:val="center"/>
              <w:rPr>
                <w:rFonts w:ascii="Times New Roman" w:hAnsi="Times New Roman"/>
                <w:szCs w:val="24"/>
              </w:rPr>
            </w:pPr>
            <w:r>
              <w:rPr>
                <w:rFonts w:ascii="Times New Roman" w:hAnsi="Times New Roman"/>
                <w:szCs w:val="24"/>
              </w:rPr>
              <w:t>工艺流程和产排污环节</w:t>
            </w:r>
          </w:p>
        </w:tc>
        <w:tc>
          <w:tcPr>
            <w:tcW w:w="8527" w:type="dxa"/>
          </w:tcPr>
          <w:p>
            <w:pPr>
              <w:adjustRightInd w:val="0"/>
              <w:snapToGrid w:val="0"/>
              <w:spacing w:line="520" w:lineRule="exact"/>
              <w:ind w:firstLine="482" w:firstLineChars="200"/>
              <w:rPr>
                <w:b/>
                <w:bCs/>
                <w:sz w:val="24"/>
              </w:rPr>
            </w:pPr>
            <w:r>
              <w:rPr>
                <w:b/>
                <w:bCs/>
                <w:sz w:val="24"/>
              </w:rPr>
              <w:t>1、施工期</w:t>
            </w:r>
          </w:p>
          <w:p>
            <w:pPr>
              <w:adjustRightInd w:val="0"/>
              <w:snapToGrid w:val="0"/>
              <w:spacing w:line="520" w:lineRule="exact"/>
              <w:ind w:firstLine="420" w:firstLineChars="200"/>
              <w:rPr>
                <w:sz w:val="24"/>
              </w:rPr>
            </w:pPr>
            <w:r>
              <w:rPr>
                <w:rFonts w:hAnsi="Times New Roman" w:eastAsia="黑体"/>
                <w:color w:val="auto"/>
                <w:szCs w:val="24"/>
              </w:rPr>
              <w:pict>
                <v:shape id="对象 101" o:spid="_x0000_s1027" o:spt="75" type="#_x0000_t75" style="position:absolute;left:0pt;margin-left:-4.5pt;margin-top:80.65pt;height:67.6pt;width:425.9pt;mso-wrap-distance-bottom:0pt;mso-wrap-distance-left:9pt;mso-wrap-distance-right:9pt;mso-wrap-distance-top:0pt;z-index:251674624;mso-width-relative:page;mso-height-relative:page;" o:ole="t" filled="f" o:preferrelative="t" stroked="t" coordsize="21600,21600">
                  <v:path/>
                  <v:fill on="f" focussize="0,0"/>
                  <v:stroke weight="1.5pt" color="#000000" joinstyle="miter"/>
                  <v:imagedata r:id="rId22" o:title=""/>
                  <o:lock v:ext="edit" aspectratio="f"/>
                  <w10:wrap type="square"/>
                </v:shape>
                <o:OLEObject Type="Embed" ProgID="Visio.Drawing.11" ShapeID="对象 101" DrawAspect="Content" ObjectID="_1468075726" r:id="rId21">
                  <o:LockedField>false</o:LockedField>
                </o:OLEObject>
              </w:pict>
            </w:r>
            <w:r>
              <w:rPr>
                <w:sz w:val="24"/>
              </w:rPr>
              <w:t>施工期间</w:t>
            </w:r>
            <w:r>
              <w:rPr>
                <w:rFonts w:hint="eastAsia"/>
                <w:sz w:val="24"/>
                <w:lang w:val="en-US" w:eastAsia="zh-CN"/>
              </w:rPr>
              <w:t>建筑物拆除、</w:t>
            </w:r>
            <w:r>
              <w:rPr>
                <w:sz w:val="24"/>
              </w:rPr>
              <w:t>平整场地、建筑物建设、设备安装等，不可避免的对项目区所在地周围环境产生一定的影响。施工期主要是产生噪声、扬尘、固体废物（生活垃圾、建筑垃圾）等。</w:t>
            </w:r>
          </w:p>
          <w:p>
            <w:pPr>
              <w:pStyle w:val="60"/>
              <w:spacing w:line="240" w:lineRule="auto"/>
              <w:ind w:firstLine="0" w:firstLineChars="0"/>
              <w:jc w:val="center"/>
              <w:rPr>
                <w:color w:val="auto"/>
              </w:rPr>
            </w:pPr>
            <w:r>
              <w:rPr>
                <w:rFonts w:hint="eastAsia" w:hAnsi="Times New Roman" w:eastAsia="黑体"/>
                <w:b w:val="0"/>
                <w:bCs w:val="0"/>
                <w:color w:val="auto"/>
                <w:szCs w:val="24"/>
              </w:rPr>
              <w:t>图2-2  施工期工艺流程及产污环节</w:t>
            </w:r>
          </w:p>
          <w:p>
            <w:pPr>
              <w:adjustRightInd w:val="0"/>
              <w:snapToGrid w:val="0"/>
              <w:spacing w:line="520" w:lineRule="exact"/>
              <w:ind w:firstLine="480" w:firstLineChars="200"/>
              <w:rPr>
                <w:sz w:val="24"/>
              </w:rPr>
            </w:pPr>
            <w:r>
              <w:rPr>
                <w:sz w:val="24"/>
              </w:rPr>
              <w:t>建设过程中的挖掘、堆放、清运、回填和场地平整等过程会造成生态破坏；</w:t>
            </w:r>
            <w:r>
              <w:rPr>
                <w:rFonts w:hint="eastAsia"/>
                <w:sz w:val="24"/>
                <w:lang w:val="en-US" w:eastAsia="zh-CN"/>
              </w:rPr>
              <w:t>遗留建筑拆除、</w:t>
            </w:r>
            <w:r>
              <w:rPr>
                <w:sz w:val="24"/>
              </w:rPr>
              <w:t>建筑材料水泥、白灰、砂子以及土方等在其装卸、运输、堆放、车辆来往、施工垃圾及清运等过程均会产生扬尘污染、机械尾气；各种施工机械设备运行时会产生噪声。</w:t>
            </w:r>
          </w:p>
          <w:p>
            <w:pPr>
              <w:adjustRightInd w:val="0"/>
              <w:snapToGrid w:val="0"/>
              <w:spacing w:line="520" w:lineRule="exact"/>
              <w:ind w:firstLine="482" w:firstLineChars="200"/>
              <w:rPr>
                <w:b/>
                <w:bCs/>
                <w:sz w:val="24"/>
              </w:rPr>
            </w:pPr>
            <w:r>
              <w:rPr>
                <w:b/>
                <w:bCs/>
                <w:sz w:val="24"/>
              </w:rPr>
              <w:t>2、运营期</w:t>
            </w:r>
          </w:p>
          <w:p>
            <w:pPr>
              <w:pStyle w:val="63"/>
              <w:ind w:firstLine="482"/>
              <w:rPr>
                <w:b/>
                <w:bCs/>
              </w:rPr>
            </w:pPr>
            <w:r>
              <w:rPr>
                <w:rFonts w:hint="eastAsia"/>
                <w:b/>
                <w:bCs/>
              </w:rPr>
              <w:t>2</w:t>
            </w:r>
            <w:r>
              <w:rPr>
                <w:b/>
                <w:bCs/>
              </w:rPr>
              <w:t>.1</w:t>
            </w:r>
            <w:r>
              <w:rPr>
                <w:rFonts w:hint="eastAsia"/>
                <w:b/>
                <w:bCs/>
              </w:rPr>
              <w:t>运营期工艺流程</w:t>
            </w:r>
          </w:p>
          <w:p>
            <w:pPr>
              <w:pStyle w:val="63"/>
            </w:pPr>
            <w:r>
              <w:rPr>
                <w:rFonts w:hint="eastAsia"/>
              </w:rPr>
              <w:t>多孔粒状铵油炸药地面站生产系统主要由硝酸铵库、多孔粒状硝酸铵上料工房、多孔粒状铵油炸药现场混装车、混装车车库、柴油储存及加油系统等组成。</w:t>
            </w:r>
          </w:p>
          <w:p>
            <w:pPr>
              <w:pStyle w:val="63"/>
            </w:pPr>
            <w:r>
              <w:rPr>
                <w:rFonts w:hint="eastAsia"/>
              </w:rPr>
              <w:t>（1）多孔粒状硝酸铵上料</w:t>
            </w:r>
          </w:p>
          <w:p>
            <w:pPr>
              <w:pStyle w:val="63"/>
            </w:pPr>
            <w:r>
              <w:rPr>
                <w:rFonts w:hint="eastAsia"/>
              </w:rPr>
              <w:t>本工程由硝酸铵库至多孔粒状硝酸铵上料工房采用防爆叉车（</w:t>
            </w:r>
            <w:r>
              <w:rPr>
                <w:rFonts w:hint="eastAsia"/>
                <w:lang w:val="en-US" w:eastAsia="zh-CN"/>
              </w:rPr>
              <w:t>电动叉车</w:t>
            </w:r>
            <w:r>
              <w:rPr>
                <w:rFonts w:hint="eastAsia"/>
              </w:rPr>
              <w:t>）运料的方式，将多孔粒状硝酸铵由硝酸铵库运至多孔粒状硝酸铵上料工房进行投料，在工房内将袋装多孔粒硝酸铵搬运至投料口，投料口料斗设置有尖状破袋器和栅格，利用硝酸铵自重划破编织袋，袋底部破裂后多孔粒硝酸铵投入到料仓中用于生产，该环节全程密闭。多孔粒状硝酸铵上料工房布置有1个料仓，有效容积为20m</w:t>
            </w:r>
            <w:r>
              <w:rPr>
                <w:rFonts w:hint="eastAsia"/>
                <w:vertAlign w:val="superscript"/>
              </w:rPr>
              <w:t>3</w:t>
            </w:r>
            <w:r>
              <w:rPr>
                <w:rFonts w:hint="eastAsia"/>
              </w:rPr>
              <w:t>，（内设扎包器和除铁装置），其投料口位于6.5m标高平面，炸药混装车停靠在料仓阀门下，通过开启卸料门完成装车。</w:t>
            </w:r>
          </w:p>
          <w:p>
            <w:pPr>
              <w:pStyle w:val="63"/>
            </w:pPr>
            <w:r>
              <w:rPr>
                <w:rFonts w:hint="eastAsia"/>
              </w:rPr>
              <w:t>多孔粒状硝酸铵上料仓电器控制系统硬件采用可编程逻辑控制器和工业触摸屏作为控制中心，通过称重系统和电动闸阀等机构，实现设备自动化控制。控制软件主要包含PLC和触摸屏控制程序，操作人员通过使用触摸屏实现人机交互，PLC完成逻辑运算，将运行结果通过内部电路传递至各执行机构。控制系统实现一键启动，实时计量放料重量，到达设定值之后，自动停机。</w:t>
            </w:r>
          </w:p>
          <w:p>
            <w:pPr>
              <w:pStyle w:val="63"/>
            </w:pPr>
            <w:r>
              <w:rPr>
                <w:rFonts w:hint="eastAsia"/>
              </w:rPr>
              <w:t>（2）加装柴油</w:t>
            </w:r>
          </w:p>
          <w:p>
            <w:pPr>
              <w:pStyle w:val="63"/>
            </w:pPr>
            <w:r>
              <w:rPr>
                <w:rFonts w:hint="eastAsia"/>
              </w:rPr>
              <w:t>在地埋式柴油罐场地由加油机将合格的柴油装入炸药混装车中相应的罐内。炸药混装车开往爆破现场进行作业。</w:t>
            </w:r>
          </w:p>
          <w:p>
            <w:pPr>
              <w:pStyle w:val="63"/>
            </w:pPr>
            <w:r>
              <w:rPr>
                <w:rFonts w:hint="eastAsia"/>
              </w:rPr>
              <w:t>（3）现场炸药混装</w:t>
            </w:r>
          </w:p>
          <w:p>
            <w:pPr>
              <w:pStyle w:val="63"/>
            </w:pPr>
            <w:r>
              <w:rPr>
                <w:rFonts w:hint="eastAsia"/>
                <w:bCs/>
                <w:sz w:val="24"/>
                <w:lang w:eastAsia="zh-CN"/>
              </w:rPr>
              <w:t>现场混装炸药车开至爆破施工现场，启动液压系统，在计量控制器上置入生产工艺参数后，开启工作开关，上盘各工作机构即开始工作。多孔粒状硝酸铵、柴油通过各自的输送和计量系统进入混药螺旋，再经过输药螺旋的充分混合后成为铵油炸药并直接输送到爆破孔内。</w:t>
            </w:r>
          </w:p>
          <w:p>
            <w:pPr>
              <w:pStyle w:val="63"/>
            </w:pPr>
            <w:r>
              <w:t>项目运营期工艺流程及产污环节详见下图。</w:t>
            </w:r>
          </w:p>
          <w:p>
            <w:pPr>
              <w:pStyle w:val="60"/>
              <w:spacing w:line="240" w:lineRule="auto"/>
              <w:ind w:firstLine="0" w:firstLineChars="0"/>
              <w:jc w:val="center"/>
              <w:rPr>
                <w:rFonts w:hAnsi="Times New Roman" w:eastAsia="黑体"/>
                <w:b w:val="0"/>
                <w:bCs w:val="0"/>
                <w:color w:val="auto"/>
                <w:szCs w:val="24"/>
              </w:rPr>
            </w:pPr>
            <w:r>
              <w:rPr>
                <w:rFonts w:hAnsi="Times New Roman" w:eastAsia="黑体"/>
                <w:b w:val="0"/>
                <w:bCs w:val="0"/>
                <w:color w:val="auto"/>
                <w:szCs w:val="24"/>
              </w:rPr>
              <w:object>
                <v:shape id="_x0000_i1026" o:spt="75" type="#_x0000_t75" style="height:273pt;width:422.25pt;" o:ole="t" filled="f" o:preferrelative="t" stroked="t" coordsize="21600,21600">
                  <v:path/>
                  <v:fill on="f" focussize="0,0"/>
                  <v:stroke weight="1.5pt" color="#000000"/>
                  <v:imagedata r:id="rId24" o:title=""/>
                  <o:lock v:ext="edit" aspectratio="f"/>
                  <w10:wrap type="none"/>
                  <w10:anchorlock/>
                </v:shape>
                <o:OLEObject Type="Embed" ProgID="Visio.Drawing.11" ShapeID="_x0000_i1026" DrawAspect="Content" ObjectID="_1468075727" r:id="rId23">
                  <o:LockedField>false</o:LockedField>
                </o:OLEObject>
              </w:object>
            </w:r>
            <w:r>
              <w:rPr>
                <w:rFonts w:hAnsi="Times New Roman" w:eastAsia="黑体"/>
                <w:b w:val="0"/>
                <w:bCs w:val="0"/>
                <w:color w:val="auto"/>
                <w:szCs w:val="24"/>
              </w:rPr>
              <w:t>图2-</w:t>
            </w:r>
            <w:r>
              <w:rPr>
                <w:rFonts w:hint="eastAsia" w:hAnsi="Times New Roman" w:eastAsia="黑体"/>
                <w:b w:val="0"/>
                <w:bCs w:val="0"/>
                <w:color w:val="auto"/>
                <w:szCs w:val="24"/>
              </w:rPr>
              <w:t>3</w:t>
            </w:r>
            <w:r>
              <w:rPr>
                <w:rFonts w:hAnsi="Times New Roman" w:eastAsia="黑体"/>
                <w:b w:val="0"/>
                <w:bCs w:val="0"/>
                <w:color w:val="auto"/>
                <w:szCs w:val="24"/>
              </w:rPr>
              <w:t xml:space="preserve">  运营期工艺流程及产污环节</w:t>
            </w:r>
          </w:p>
          <w:p>
            <w:pPr>
              <w:adjustRightInd w:val="0"/>
              <w:snapToGrid w:val="0"/>
              <w:spacing w:line="520" w:lineRule="exact"/>
              <w:ind w:firstLine="482" w:firstLineChars="200"/>
              <w:rPr>
                <w:b/>
                <w:bCs/>
                <w:sz w:val="24"/>
              </w:rPr>
            </w:pPr>
            <w:r>
              <w:rPr>
                <w:b/>
                <w:bCs/>
                <w:sz w:val="24"/>
              </w:rPr>
              <w:t>2.2</w:t>
            </w:r>
            <w:r>
              <w:rPr>
                <w:rFonts w:hint="eastAsia"/>
                <w:b/>
                <w:bCs/>
                <w:sz w:val="24"/>
              </w:rPr>
              <w:t>运营期</w:t>
            </w:r>
            <w:r>
              <w:rPr>
                <w:b/>
                <w:bCs/>
                <w:sz w:val="24"/>
              </w:rPr>
              <w:t>产污环节</w:t>
            </w:r>
          </w:p>
          <w:p>
            <w:pPr>
              <w:adjustRightInd w:val="0"/>
              <w:snapToGrid w:val="0"/>
              <w:spacing w:line="520" w:lineRule="exact"/>
              <w:ind w:firstLine="482" w:firstLineChars="200"/>
              <w:rPr>
                <w:b/>
                <w:bCs/>
                <w:sz w:val="24"/>
              </w:rPr>
            </w:pPr>
            <w:r>
              <w:rPr>
                <w:rFonts w:hint="eastAsia"/>
                <w:b/>
                <w:bCs/>
                <w:sz w:val="24"/>
              </w:rPr>
              <w:t>2.2.1</w:t>
            </w:r>
            <w:r>
              <w:rPr>
                <w:b/>
                <w:bCs/>
                <w:sz w:val="24"/>
              </w:rPr>
              <w:t>废气</w:t>
            </w:r>
          </w:p>
          <w:p>
            <w:pPr>
              <w:numPr>
                <w:ilvl w:val="0"/>
                <w:numId w:val="8"/>
              </w:numPr>
              <w:adjustRightInd w:val="0"/>
              <w:snapToGrid w:val="0"/>
              <w:spacing w:line="520" w:lineRule="exact"/>
              <w:ind w:firstLine="480" w:firstLineChars="200"/>
              <w:rPr>
                <w:sz w:val="24"/>
              </w:rPr>
            </w:pPr>
            <w:r>
              <w:rPr>
                <w:rFonts w:hint="eastAsia"/>
                <w:sz w:val="24"/>
              </w:rPr>
              <w:t>多孔粒状硝酸铵上料废气</w:t>
            </w:r>
          </w:p>
          <w:p>
            <w:pPr>
              <w:adjustRightInd w:val="0"/>
              <w:snapToGrid w:val="0"/>
              <w:spacing w:line="520" w:lineRule="exact"/>
              <w:ind w:firstLine="480" w:firstLineChars="200"/>
              <w:rPr>
                <w:sz w:val="24"/>
              </w:rPr>
            </w:pPr>
            <w:r>
              <w:rPr>
                <w:rFonts w:hint="eastAsia"/>
                <w:sz w:val="24"/>
              </w:rPr>
              <w:t>将多孔粒状硝酸铵填装至混装车时会产生粉尘。</w:t>
            </w:r>
          </w:p>
          <w:p>
            <w:pPr>
              <w:numPr>
                <w:ilvl w:val="0"/>
                <w:numId w:val="8"/>
              </w:numPr>
              <w:adjustRightInd w:val="0"/>
              <w:snapToGrid w:val="0"/>
              <w:spacing w:line="520" w:lineRule="exact"/>
              <w:ind w:firstLine="480" w:firstLineChars="200"/>
              <w:rPr>
                <w:rFonts w:hAnsi="宋体"/>
                <w:kern w:val="0"/>
                <w:sz w:val="24"/>
              </w:rPr>
            </w:pPr>
            <w:r>
              <w:rPr>
                <w:rFonts w:hint="eastAsia" w:hAnsi="宋体"/>
                <w:kern w:val="0"/>
                <w:sz w:val="24"/>
              </w:rPr>
              <w:t>输送粉尘</w:t>
            </w:r>
          </w:p>
          <w:p>
            <w:pPr>
              <w:adjustRightInd w:val="0"/>
              <w:snapToGrid w:val="0"/>
              <w:spacing w:line="520" w:lineRule="exact"/>
              <w:ind w:firstLine="480" w:firstLineChars="200"/>
              <w:rPr>
                <w:snapToGrid w:val="0"/>
                <w:kern w:val="0"/>
                <w:sz w:val="24"/>
              </w:rPr>
            </w:pPr>
            <w:r>
              <w:rPr>
                <w:rFonts w:hint="eastAsia"/>
                <w:sz w:val="24"/>
              </w:rPr>
              <w:t>物料运输过程中会产生粉尘，本项目采用密闭运输，则产生粉尘量可忽略不计</w:t>
            </w:r>
            <w:r>
              <w:rPr>
                <w:sz w:val="24"/>
              </w:rPr>
              <w:t>。</w:t>
            </w:r>
          </w:p>
          <w:p>
            <w:pPr>
              <w:adjustRightInd w:val="0"/>
              <w:snapToGrid w:val="0"/>
              <w:spacing w:line="520" w:lineRule="exact"/>
              <w:ind w:firstLine="480" w:firstLineChars="200"/>
              <w:rPr>
                <w:rFonts w:hAnsi="宋体"/>
                <w:kern w:val="0"/>
                <w:sz w:val="24"/>
              </w:rPr>
            </w:pPr>
            <w:r>
              <w:rPr>
                <w:rFonts w:hint="eastAsia" w:hAnsi="宋体"/>
                <w:kern w:val="0"/>
                <w:sz w:val="24"/>
              </w:rPr>
              <w:t>（3）柴油装卸、储存废气</w:t>
            </w:r>
          </w:p>
          <w:p>
            <w:pPr>
              <w:spacing w:line="520" w:lineRule="exact"/>
              <w:ind w:firstLine="480" w:firstLineChars="200"/>
              <w:rPr>
                <w:rFonts w:hAnsi="宋体"/>
                <w:sz w:val="24"/>
              </w:rPr>
            </w:pPr>
            <w:r>
              <w:rPr>
                <w:rFonts w:hint="eastAsia" w:hAnsi="宋体"/>
                <w:sz w:val="24"/>
              </w:rPr>
              <w:t>柴油装卸及储罐储存时会产生有机废气。</w:t>
            </w:r>
          </w:p>
          <w:p>
            <w:pPr>
              <w:adjustRightInd w:val="0"/>
              <w:snapToGrid w:val="0"/>
              <w:spacing w:line="520" w:lineRule="exact"/>
              <w:ind w:firstLine="480" w:firstLineChars="200"/>
              <w:rPr>
                <w:sz w:val="24"/>
              </w:rPr>
            </w:pPr>
            <w:r>
              <w:rPr>
                <w:rFonts w:hint="eastAsia"/>
                <w:sz w:val="24"/>
              </w:rPr>
              <w:t>（4）食堂油烟</w:t>
            </w:r>
          </w:p>
          <w:p>
            <w:pPr>
              <w:adjustRightInd w:val="0"/>
              <w:snapToGrid w:val="0"/>
              <w:spacing w:line="520" w:lineRule="exact"/>
              <w:ind w:firstLine="480" w:firstLineChars="200"/>
              <w:rPr>
                <w:sz w:val="24"/>
              </w:rPr>
            </w:pPr>
            <w:r>
              <w:rPr>
                <w:rFonts w:hint="eastAsia"/>
                <w:sz w:val="24"/>
              </w:rPr>
              <w:t>食堂烹饪时会产生油烟。</w:t>
            </w:r>
          </w:p>
          <w:p>
            <w:pPr>
              <w:adjustRightInd w:val="0"/>
              <w:snapToGrid w:val="0"/>
              <w:spacing w:line="520" w:lineRule="exact"/>
              <w:ind w:firstLine="482" w:firstLineChars="200"/>
              <w:rPr>
                <w:sz w:val="24"/>
              </w:rPr>
            </w:pPr>
            <w:r>
              <w:rPr>
                <w:rFonts w:hint="eastAsia"/>
                <w:b/>
                <w:bCs/>
                <w:sz w:val="24"/>
              </w:rPr>
              <w:t>2.2.2</w:t>
            </w:r>
            <w:r>
              <w:rPr>
                <w:b/>
                <w:bCs/>
                <w:sz w:val="24"/>
              </w:rPr>
              <w:t>废水</w:t>
            </w:r>
          </w:p>
          <w:p>
            <w:pPr>
              <w:adjustRightInd w:val="0"/>
              <w:snapToGrid w:val="0"/>
              <w:spacing w:line="520" w:lineRule="exact"/>
              <w:ind w:firstLine="480" w:firstLineChars="200"/>
              <w:rPr>
                <w:sz w:val="24"/>
              </w:rPr>
            </w:pPr>
            <w:r>
              <w:rPr>
                <w:rFonts w:hint="eastAsia"/>
                <w:sz w:val="24"/>
              </w:rPr>
              <w:t>本项目废水主要为生产废水和生活污水。</w:t>
            </w:r>
          </w:p>
          <w:p>
            <w:pPr>
              <w:numPr>
                <w:ilvl w:val="0"/>
                <w:numId w:val="9"/>
              </w:numPr>
              <w:adjustRightInd w:val="0"/>
              <w:snapToGrid w:val="0"/>
              <w:spacing w:line="520" w:lineRule="exact"/>
              <w:ind w:firstLine="480" w:firstLineChars="200"/>
              <w:rPr>
                <w:sz w:val="24"/>
              </w:rPr>
            </w:pPr>
            <w:r>
              <w:rPr>
                <w:rFonts w:hint="eastAsia"/>
                <w:sz w:val="24"/>
              </w:rPr>
              <w:t>生活污水</w:t>
            </w:r>
          </w:p>
          <w:p>
            <w:pPr>
              <w:adjustRightInd w:val="0"/>
              <w:snapToGrid w:val="0"/>
              <w:spacing w:line="520" w:lineRule="exact"/>
              <w:ind w:firstLine="480" w:firstLineChars="200"/>
            </w:pPr>
            <w:r>
              <w:rPr>
                <w:sz w:val="24"/>
              </w:rPr>
              <w:t>生活污水中主要污染因子COD</w:t>
            </w:r>
            <w:r>
              <w:rPr>
                <w:rFonts w:hint="eastAsia"/>
                <w:sz w:val="24"/>
                <w:vertAlign w:val="subscript"/>
              </w:rPr>
              <w:t>Cr</w:t>
            </w:r>
            <w:r>
              <w:rPr>
                <w:sz w:val="24"/>
              </w:rPr>
              <w:t>、BOD</w:t>
            </w:r>
            <w:r>
              <w:rPr>
                <w:rFonts w:hint="eastAsia"/>
                <w:sz w:val="24"/>
                <w:vertAlign w:val="subscript"/>
              </w:rPr>
              <w:t>5</w:t>
            </w:r>
            <w:r>
              <w:rPr>
                <w:sz w:val="24"/>
              </w:rPr>
              <w:t>、SS、氨氮</w:t>
            </w:r>
            <w:r>
              <w:rPr>
                <w:rFonts w:hint="eastAsia"/>
                <w:sz w:val="24"/>
              </w:rPr>
              <w:t>。</w:t>
            </w:r>
          </w:p>
          <w:p>
            <w:pPr>
              <w:adjustRightInd w:val="0"/>
              <w:snapToGrid w:val="0"/>
              <w:spacing w:line="520" w:lineRule="exact"/>
              <w:ind w:firstLine="480" w:firstLineChars="200"/>
              <w:rPr>
                <w:sz w:val="24"/>
              </w:rPr>
            </w:pPr>
            <w:r>
              <w:rPr>
                <w:rFonts w:hint="eastAsia"/>
                <w:sz w:val="24"/>
              </w:rPr>
              <w:t>（2）食堂废水</w:t>
            </w:r>
          </w:p>
          <w:p>
            <w:pPr>
              <w:adjustRightInd w:val="0"/>
              <w:snapToGrid w:val="0"/>
              <w:spacing w:line="520" w:lineRule="exact"/>
              <w:ind w:firstLine="480" w:firstLineChars="200"/>
              <w:rPr>
                <w:sz w:val="24"/>
              </w:rPr>
            </w:pPr>
            <w:r>
              <w:rPr>
                <w:rFonts w:hint="eastAsia"/>
                <w:sz w:val="24"/>
              </w:rPr>
              <w:t>食堂废水中主要污染因子为</w:t>
            </w:r>
            <w:r>
              <w:rPr>
                <w:sz w:val="24"/>
              </w:rPr>
              <w:t>COD</w:t>
            </w:r>
            <w:r>
              <w:rPr>
                <w:rFonts w:hint="eastAsia"/>
                <w:sz w:val="24"/>
                <w:vertAlign w:val="subscript"/>
              </w:rPr>
              <w:t>Cr</w:t>
            </w:r>
            <w:r>
              <w:rPr>
                <w:sz w:val="24"/>
              </w:rPr>
              <w:t>、BOD</w:t>
            </w:r>
            <w:r>
              <w:rPr>
                <w:rFonts w:hint="eastAsia"/>
                <w:sz w:val="24"/>
                <w:vertAlign w:val="subscript"/>
              </w:rPr>
              <w:t>5</w:t>
            </w:r>
            <w:r>
              <w:rPr>
                <w:sz w:val="24"/>
              </w:rPr>
              <w:t>、SS、氨氮</w:t>
            </w:r>
            <w:r>
              <w:rPr>
                <w:rFonts w:hint="eastAsia"/>
                <w:sz w:val="24"/>
              </w:rPr>
              <w:t>、动植物油。</w:t>
            </w:r>
          </w:p>
          <w:p>
            <w:pPr>
              <w:adjustRightInd w:val="0"/>
              <w:snapToGrid w:val="0"/>
              <w:spacing w:line="520" w:lineRule="exact"/>
              <w:ind w:firstLine="480" w:firstLineChars="200"/>
              <w:rPr>
                <w:sz w:val="24"/>
              </w:rPr>
            </w:pPr>
            <w:r>
              <w:rPr>
                <w:rFonts w:hint="eastAsia"/>
                <w:sz w:val="24"/>
              </w:rPr>
              <w:t>（3）地面冲洗废水</w:t>
            </w:r>
          </w:p>
          <w:p>
            <w:pPr>
              <w:adjustRightInd w:val="0"/>
              <w:snapToGrid w:val="0"/>
              <w:spacing w:line="520" w:lineRule="exact"/>
              <w:ind w:firstLine="480" w:firstLineChars="200"/>
              <w:rPr>
                <w:sz w:val="24"/>
              </w:rPr>
            </w:pPr>
            <w:r>
              <w:rPr>
                <w:rFonts w:hint="eastAsia"/>
                <w:sz w:val="24"/>
              </w:rPr>
              <w:t>地面冲洗废水中主要污染因子为SS、石油类。</w:t>
            </w:r>
          </w:p>
          <w:p>
            <w:pPr>
              <w:adjustRightInd w:val="0"/>
              <w:snapToGrid w:val="0"/>
              <w:spacing w:line="520" w:lineRule="exact"/>
              <w:ind w:firstLine="480" w:firstLineChars="200"/>
              <w:rPr>
                <w:sz w:val="24"/>
              </w:rPr>
            </w:pPr>
            <w:r>
              <w:rPr>
                <w:rFonts w:hint="eastAsia"/>
                <w:sz w:val="24"/>
              </w:rPr>
              <w:t>（4）车辆冲洗废水</w:t>
            </w:r>
          </w:p>
          <w:p>
            <w:pPr>
              <w:adjustRightInd w:val="0"/>
              <w:snapToGrid w:val="0"/>
              <w:spacing w:line="520" w:lineRule="exact"/>
              <w:ind w:firstLine="480" w:firstLineChars="200"/>
              <w:rPr>
                <w:sz w:val="24"/>
              </w:rPr>
            </w:pPr>
            <w:r>
              <w:rPr>
                <w:rFonts w:hint="eastAsia"/>
                <w:sz w:val="24"/>
              </w:rPr>
              <w:t>车辆冲洗废水中主要污染因子为SS、石油类。</w:t>
            </w:r>
          </w:p>
          <w:p>
            <w:pPr>
              <w:adjustRightInd w:val="0"/>
              <w:snapToGrid w:val="0"/>
              <w:spacing w:line="520" w:lineRule="exact"/>
              <w:ind w:firstLine="482" w:firstLineChars="200"/>
              <w:rPr>
                <w:b/>
                <w:bCs/>
                <w:sz w:val="24"/>
              </w:rPr>
            </w:pPr>
            <w:r>
              <w:rPr>
                <w:rFonts w:hint="eastAsia"/>
                <w:b/>
                <w:bCs/>
                <w:sz w:val="24"/>
              </w:rPr>
              <w:t>2.2.3</w:t>
            </w:r>
            <w:r>
              <w:rPr>
                <w:b/>
                <w:bCs/>
                <w:sz w:val="24"/>
              </w:rPr>
              <w:t>噪声</w:t>
            </w:r>
          </w:p>
          <w:p>
            <w:pPr>
              <w:adjustRightInd w:val="0"/>
              <w:snapToGrid w:val="0"/>
              <w:spacing w:line="520" w:lineRule="exact"/>
              <w:ind w:firstLine="480" w:firstLineChars="200"/>
              <w:rPr>
                <w:sz w:val="24"/>
              </w:rPr>
            </w:pPr>
            <w:r>
              <w:rPr>
                <w:rFonts w:hint="eastAsia"/>
                <w:sz w:val="24"/>
              </w:rPr>
              <w:t>本项目运行后，对声环境的影响主要是提升机、柴油输送泵等的噪声</w:t>
            </w:r>
            <w:r>
              <w:rPr>
                <w:sz w:val="24"/>
              </w:rPr>
              <w:t>，其源强声级为</w:t>
            </w:r>
            <w:r>
              <w:rPr>
                <w:rFonts w:hint="eastAsia"/>
                <w:sz w:val="24"/>
              </w:rPr>
              <w:t>70</w:t>
            </w:r>
            <w:r>
              <w:rPr>
                <w:sz w:val="24"/>
              </w:rPr>
              <w:t>~</w:t>
            </w:r>
            <w:r>
              <w:rPr>
                <w:rFonts w:hint="eastAsia"/>
                <w:sz w:val="24"/>
              </w:rPr>
              <w:t>80</w:t>
            </w:r>
            <w:r>
              <w:rPr>
                <w:sz w:val="24"/>
              </w:rPr>
              <w:t>dB（A）</w:t>
            </w:r>
            <w:r>
              <w:rPr>
                <w:rFonts w:hint="eastAsia"/>
                <w:sz w:val="24"/>
              </w:rPr>
              <w:t>。</w:t>
            </w:r>
          </w:p>
          <w:p>
            <w:pPr>
              <w:adjustRightInd w:val="0"/>
              <w:snapToGrid w:val="0"/>
              <w:spacing w:line="520" w:lineRule="exact"/>
              <w:ind w:firstLine="482" w:firstLineChars="200"/>
              <w:rPr>
                <w:b/>
                <w:bCs/>
                <w:sz w:val="24"/>
              </w:rPr>
            </w:pPr>
            <w:r>
              <w:rPr>
                <w:rFonts w:hint="eastAsia"/>
                <w:b/>
                <w:bCs/>
                <w:sz w:val="24"/>
              </w:rPr>
              <w:t>2.2.4</w:t>
            </w:r>
            <w:r>
              <w:rPr>
                <w:b/>
                <w:bCs/>
                <w:sz w:val="24"/>
              </w:rPr>
              <w:t>固废</w:t>
            </w:r>
          </w:p>
          <w:p>
            <w:pPr>
              <w:widowControl/>
              <w:spacing w:line="520" w:lineRule="exact"/>
              <w:ind w:firstLine="480" w:firstLineChars="200"/>
              <w:rPr>
                <w:sz w:val="24"/>
              </w:rPr>
            </w:pPr>
            <w:r>
              <w:rPr>
                <w:rFonts w:hint="eastAsia"/>
                <w:sz w:val="24"/>
              </w:rPr>
              <w:t>（1）废包装袋</w:t>
            </w:r>
          </w:p>
          <w:p>
            <w:pPr>
              <w:widowControl/>
              <w:spacing w:line="520" w:lineRule="exact"/>
              <w:ind w:firstLine="480" w:firstLineChars="200"/>
              <w:rPr>
                <w:sz w:val="32"/>
                <w:szCs w:val="32"/>
              </w:rPr>
            </w:pPr>
            <w:r>
              <w:rPr>
                <w:rFonts w:hint="eastAsia"/>
                <w:sz w:val="24"/>
                <w:szCs w:val="32"/>
              </w:rPr>
              <w:t>多孔粒状硝酸铵废弃包装袋。</w:t>
            </w:r>
          </w:p>
          <w:p>
            <w:pPr>
              <w:adjustRightInd w:val="0"/>
              <w:snapToGrid w:val="0"/>
              <w:spacing w:line="520" w:lineRule="exact"/>
              <w:ind w:firstLine="480" w:firstLineChars="200"/>
              <w:rPr>
                <w:bCs/>
                <w:sz w:val="24"/>
              </w:rPr>
            </w:pPr>
            <w:r>
              <w:rPr>
                <w:rFonts w:hint="eastAsia"/>
                <w:bCs/>
                <w:sz w:val="24"/>
              </w:rPr>
              <w:t>（2）废机油</w:t>
            </w:r>
          </w:p>
          <w:p>
            <w:pPr>
              <w:adjustRightInd w:val="0"/>
              <w:snapToGrid w:val="0"/>
              <w:spacing w:line="520" w:lineRule="exact"/>
              <w:ind w:firstLine="480" w:firstLineChars="200"/>
              <w:rPr>
                <w:bCs/>
                <w:sz w:val="24"/>
              </w:rPr>
            </w:pPr>
            <w:r>
              <w:rPr>
                <w:rFonts w:hint="eastAsia"/>
                <w:bCs/>
                <w:sz w:val="24"/>
              </w:rPr>
              <w:t>设备运维过程中产生的废机油。</w:t>
            </w:r>
          </w:p>
          <w:p>
            <w:pPr>
              <w:adjustRightInd w:val="0"/>
              <w:snapToGrid w:val="0"/>
              <w:spacing w:line="520" w:lineRule="exact"/>
              <w:ind w:firstLine="480" w:firstLineChars="200"/>
              <w:rPr>
                <w:bCs/>
                <w:sz w:val="24"/>
              </w:rPr>
            </w:pPr>
            <w:r>
              <w:rPr>
                <w:rFonts w:hint="eastAsia"/>
                <w:bCs/>
                <w:sz w:val="24"/>
              </w:rPr>
              <w:t>（3）浮油渣</w:t>
            </w:r>
          </w:p>
          <w:p>
            <w:pPr>
              <w:pStyle w:val="7"/>
              <w:spacing w:before="0" w:after="0" w:line="520" w:lineRule="exact"/>
              <w:ind w:firstLine="480" w:firstLineChars="200"/>
              <w:rPr>
                <w:b w:val="0"/>
                <w:bCs w:val="0"/>
                <w:sz w:val="24"/>
                <w:szCs w:val="24"/>
              </w:rPr>
            </w:pPr>
            <w:r>
              <w:rPr>
                <w:rFonts w:hint="eastAsia"/>
                <w:b w:val="0"/>
                <w:bCs w:val="0"/>
                <w:sz w:val="24"/>
                <w:szCs w:val="24"/>
              </w:rPr>
              <w:t>隔油沉淀池分离出的浮油渣。</w:t>
            </w:r>
          </w:p>
          <w:p>
            <w:pPr>
              <w:adjustRightInd w:val="0"/>
              <w:snapToGrid w:val="0"/>
              <w:spacing w:line="520" w:lineRule="exact"/>
              <w:ind w:firstLine="480" w:firstLineChars="200"/>
              <w:rPr>
                <w:bCs/>
                <w:sz w:val="24"/>
              </w:rPr>
            </w:pPr>
            <w:r>
              <w:rPr>
                <w:rFonts w:hint="eastAsia"/>
                <w:bCs/>
                <w:sz w:val="24"/>
              </w:rPr>
              <w:t>（4）</w:t>
            </w:r>
            <w:r>
              <w:rPr>
                <w:bCs/>
                <w:sz w:val="24"/>
              </w:rPr>
              <w:t>生活垃圾</w:t>
            </w:r>
          </w:p>
          <w:p>
            <w:pPr>
              <w:adjustRightInd w:val="0"/>
              <w:snapToGrid w:val="0"/>
              <w:spacing w:line="520" w:lineRule="exact"/>
              <w:ind w:firstLine="480" w:firstLineChars="200"/>
              <w:rPr>
                <w:sz w:val="24"/>
              </w:rPr>
            </w:pPr>
            <w:r>
              <w:rPr>
                <w:rFonts w:hint="eastAsia"/>
                <w:bCs/>
                <w:sz w:val="24"/>
              </w:rPr>
              <w:t>员工工作生活中产生的生活垃圾</w:t>
            </w:r>
            <w:r>
              <w:rPr>
                <w:rFonts w:hint="eastAsia"/>
                <w:sz w:val="24"/>
              </w:rPr>
              <w:t>。</w:t>
            </w:r>
          </w:p>
          <w:p>
            <w:pPr>
              <w:numPr>
                <w:ilvl w:val="0"/>
                <w:numId w:val="7"/>
              </w:numPr>
              <w:adjustRightInd w:val="0"/>
              <w:snapToGrid w:val="0"/>
              <w:spacing w:line="520" w:lineRule="exact"/>
              <w:ind w:firstLine="480" w:firstLineChars="200"/>
              <w:rPr>
                <w:sz w:val="24"/>
              </w:rPr>
            </w:pPr>
            <w:r>
              <w:rPr>
                <w:rFonts w:hint="eastAsia"/>
                <w:sz w:val="24"/>
              </w:rPr>
              <w:t>柴油储罐油泥</w:t>
            </w:r>
          </w:p>
          <w:p>
            <w:pPr>
              <w:adjustRightInd w:val="0"/>
              <w:snapToGrid w:val="0"/>
              <w:spacing w:line="520" w:lineRule="exact"/>
              <w:ind w:firstLine="480" w:firstLineChars="200"/>
              <w:rPr>
                <w:sz w:val="24"/>
              </w:rPr>
            </w:pPr>
            <w:r>
              <w:rPr>
                <w:rFonts w:hint="eastAsia"/>
                <w:sz w:val="24"/>
              </w:rPr>
              <w:t>柴油储存过程中储罐中会产生油泥。</w:t>
            </w:r>
          </w:p>
          <w:p>
            <w:pPr>
              <w:adjustRightInd w:val="0"/>
              <w:snapToGrid w:val="0"/>
              <w:spacing w:line="520" w:lineRule="exact"/>
              <w:ind w:firstLine="480" w:firstLineChars="200"/>
              <w:rPr>
                <w:sz w:val="24"/>
              </w:rPr>
            </w:pPr>
            <w:r>
              <w:rPr>
                <w:rFonts w:hint="eastAsia"/>
                <w:sz w:val="24"/>
              </w:rPr>
              <w:t>（6）厨余垃圾</w:t>
            </w:r>
          </w:p>
          <w:p>
            <w:pPr>
              <w:pStyle w:val="2"/>
              <w:keepNext w:val="0"/>
              <w:keepLines w:val="0"/>
              <w:pageBreakBefore w:val="0"/>
              <w:widowControl w:val="0"/>
              <w:kinsoku/>
              <w:wordWrap/>
              <w:overflowPunct/>
              <w:topLinePunct w:val="0"/>
              <w:autoSpaceDE w:val="0"/>
              <w:autoSpaceDN w:val="0"/>
              <w:bidi w:val="0"/>
              <w:adjustRightInd w:val="0"/>
              <w:snapToGrid/>
              <w:spacing w:before="0" w:beforeLines="0" w:line="520" w:lineRule="exact"/>
              <w:ind w:firstLine="480" w:firstLineChars="200"/>
              <w:jc w:val="both"/>
              <w:textAlignment w:val="auto"/>
            </w:pPr>
            <w:r>
              <w:rPr>
                <w:rFonts w:hint="default" w:ascii="Times New Roman" w:hAnsi="Times New Roman" w:eastAsia="宋体" w:cs="Times New Roman"/>
              </w:rPr>
              <w:t>烹饪时产生的厨余垃圾。</w:t>
            </w:r>
          </w:p>
          <w:p>
            <w:pPr>
              <w:adjustRightInd w:val="0"/>
              <w:snapToGrid w:val="0"/>
              <w:spacing w:line="520" w:lineRule="exact"/>
              <w:ind w:firstLine="480" w:firstLineChars="200"/>
              <w:rPr>
                <w:sz w:val="24"/>
              </w:rPr>
            </w:pPr>
            <w:r>
              <w:rPr>
                <w:rFonts w:hint="eastAsia"/>
                <w:sz w:val="24"/>
              </w:rPr>
              <w:t>综上所述，本项目产污环节见表2-9。</w:t>
            </w:r>
          </w:p>
          <w:p>
            <w:pPr>
              <w:adjustRightInd w:val="0"/>
              <w:snapToGrid w:val="0"/>
              <w:ind w:firstLine="480" w:firstLineChars="200"/>
              <w:jc w:val="center"/>
              <w:rPr>
                <w:rFonts w:eastAsia="黑体"/>
                <w:sz w:val="24"/>
              </w:rPr>
            </w:pPr>
            <w:r>
              <w:rPr>
                <w:rFonts w:hint="eastAsia" w:eastAsia="黑体"/>
                <w:sz w:val="24"/>
              </w:rPr>
              <w:t>表2-9  运营期主要产污环节一览表</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7"/>
              <w:gridCol w:w="2509"/>
              <w:gridCol w:w="2259"/>
              <w:gridCol w:w="28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5" w:type="pct"/>
                  <w:vAlign w:val="center"/>
                </w:tcPr>
                <w:p>
                  <w:pPr>
                    <w:adjustRightInd w:val="0"/>
                    <w:snapToGrid w:val="0"/>
                    <w:jc w:val="center"/>
                    <w:rPr>
                      <w:szCs w:val="21"/>
                    </w:rPr>
                  </w:pPr>
                  <w:r>
                    <w:rPr>
                      <w:szCs w:val="21"/>
                    </w:rPr>
                    <w:t>排放类别</w:t>
                  </w:r>
                </w:p>
              </w:tc>
              <w:tc>
                <w:tcPr>
                  <w:tcW w:w="1495" w:type="pct"/>
                  <w:vAlign w:val="center"/>
                </w:tcPr>
                <w:p>
                  <w:pPr>
                    <w:adjustRightInd w:val="0"/>
                    <w:snapToGrid w:val="0"/>
                    <w:jc w:val="center"/>
                    <w:rPr>
                      <w:szCs w:val="21"/>
                    </w:rPr>
                  </w:pPr>
                  <w:r>
                    <w:rPr>
                      <w:szCs w:val="21"/>
                    </w:rPr>
                    <w:t>污染物</w:t>
                  </w:r>
                </w:p>
              </w:tc>
              <w:tc>
                <w:tcPr>
                  <w:tcW w:w="1346" w:type="pct"/>
                  <w:vAlign w:val="center"/>
                </w:tcPr>
                <w:p>
                  <w:pPr>
                    <w:adjustRightInd w:val="0"/>
                    <w:snapToGrid w:val="0"/>
                    <w:jc w:val="center"/>
                    <w:rPr>
                      <w:szCs w:val="21"/>
                    </w:rPr>
                  </w:pPr>
                  <w:r>
                    <w:rPr>
                      <w:szCs w:val="21"/>
                    </w:rPr>
                    <w:t>污染工序</w:t>
                  </w:r>
                </w:p>
              </w:tc>
              <w:tc>
                <w:tcPr>
                  <w:tcW w:w="1712" w:type="pct"/>
                  <w:vAlign w:val="center"/>
                </w:tcPr>
                <w:p>
                  <w:pPr>
                    <w:adjustRightInd w:val="0"/>
                    <w:snapToGrid w:val="0"/>
                    <w:jc w:val="center"/>
                    <w:rPr>
                      <w:szCs w:val="21"/>
                    </w:rPr>
                  </w:pPr>
                  <w:r>
                    <w:rPr>
                      <w:szCs w:val="21"/>
                    </w:rPr>
                    <w:t>污染因子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5" w:type="pct"/>
                  <w:vMerge w:val="restart"/>
                  <w:vAlign w:val="center"/>
                </w:tcPr>
                <w:p>
                  <w:pPr>
                    <w:adjustRightInd w:val="0"/>
                    <w:snapToGrid w:val="0"/>
                    <w:jc w:val="center"/>
                    <w:rPr>
                      <w:szCs w:val="21"/>
                    </w:rPr>
                  </w:pPr>
                  <w:r>
                    <w:rPr>
                      <w:rFonts w:hint="eastAsia"/>
                      <w:szCs w:val="21"/>
                    </w:rPr>
                    <w:t>废气</w:t>
                  </w:r>
                </w:p>
              </w:tc>
              <w:tc>
                <w:tcPr>
                  <w:tcW w:w="1495" w:type="pct"/>
                  <w:vAlign w:val="center"/>
                </w:tcPr>
                <w:p>
                  <w:pPr>
                    <w:adjustRightInd w:val="0"/>
                    <w:snapToGrid w:val="0"/>
                    <w:jc w:val="center"/>
                    <w:rPr>
                      <w:szCs w:val="21"/>
                    </w:rPr>
                  </w:pPr>
                  <w:r>
                    <w:rPr>
                      <w:rFonts w:hint="eastAsia"/>
                      <w:szCs w:val="21"/>
                    </w:rPr>
                    <w:t>上料废气</w:t>
                  </w:r>
                </w:p>
              </w:tc>
              <w:tc>
                <w:tcPr>
                  <w:tcW w:w="1346" w:type="pct"/>
                  <w:vAlign w:val="center"/>
                </w:tcPr>
                <w:p>
                  <w:pPr>
                    <w:adjustRightInd w:val="0"/>
                    <w:snapToGrid w:val="0"/>
                    <w:jc w:val="center"/>
                    <w:rPr>
                      <w:szCs w:val="21"/>
                    </w:rPr>
                  </w:pPr>
                  <w:r>
                    <w:rPr>
                      <w:rFonts w:hint="eastAsia"/>
                      <w:szCs w:val="21"/>
                    </w:rPr>
                    <w:t>投料</w:t>
                  </w:r>
                </w:p>
              </w:tc>
              <w:tc>
                <w:tcPr>
                  <w:tcW w:w="1712" w:type="pct"/>
                  <w:vAlign w:val="center"/>
                </w:tcPr>
                <w:p>
                  <w:pPr>
                    <w:adjustRightInd w:val="0"/>
                    <w:snapToGrid w:val="0"/>
                    <w:jc w:val="center"/>
                    <w:rPr>
                      <w:szCs w:val="21"/>
                    </w:rPr>
                  </w:pPr>
                  <w:r>
                    <w:rPr>
                      <w:rFonts w:hint="eastAsia"/>
                      <w:szCs w:val="21"/>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5" w:type="pct"/>
                  <w:vMerge w:val="continue"/>
                  <w:vAlign w:val="center"/>
                </w:tcPr>
                <w:p>
                  <w:pPr>
                    <w:adjustRightInd w:val="0"/>
                    <w:snapToGrid w:val="0"/>
                    <w:jc w:val="center"/>
                    <w:rPr>
                      <w:szCs w:val="21"/>
                    </w:rPr>
                  </w:pPr>
                </w:p>
              </w:tc>
              <w:tc>
                <w:tcPr>
                  <w:tcW w:w="1495" w:type="pct"/>
                  <w:vAlign w:val="center"/>
                </w:tcPr>
                <w:p>
                  <w:pPr>
                    <w:adjustRightInd w:val="0"/>
                    <w:snapToGrid w:val="0"/>
                    <w:jc w:val="center"/>
                    <w:rPr>
                      <w:szCs w:val="21"/>
                    </w:rPr>
                  </w:pPr>
                  <w:r>
                    <w:rPr>
                      <w:rFonts w:hint="eastAsia"/>
                      <w:szCs w:val="21"/>
                    </w:rPr>
                    <w:t>柴油储罐装卸、储存废气</w:t>
                  </w:r>
                </w:p>
              </w:tc>
              <w:tc>
                <w:tcPr>
                  <w:tcW w:w="1346" w:type="pct"/>
                  <w:vAlign w:val="center"/>
                </w:tcPr>
                <w:p>
                  <w:pPr>
                    <w:adjustRightInd w:val="0"/>
                    <w:snapToGrid w:val="0"/>
                    <w:jc w:val="center"/>
                    <w:rPr>
                      <w:szCs w:val="21"/>
                    </w:rPr>
                  </w:pPr>
                  <w:r>
                    <w:rPr>
                      <w:rFonts w:hint="eastAsia"/>
                      <w:szCs w:val="21"/>
                    </w:rPr>
                    <w:t>加油、储存</w:t>
                  </w:r>
                </w:p>
              </w:tc>
              <w:tc>
                <w:tcPr>
                  <w:tcW w:w="1712" w:type="pct"/>
                  <w:vAlign w:val="center"/>
                </w:tcPr>
                <w:p>
                  <w:pPr>
                    <w:adjustRightInd w:val="0"/>
                    <w:snapToGrid w:val="0"/>
                    <w:jc w:val="center"/>
                    <w:rPr>
                      <w:szCs w:val="21"/>
                    </w:rPr>
                  </w:pPr>
                  <w:r>
                    <w:rPr>
                      <w:rFonts w:hint="eastAsia"/>
                      <w:szCs w:val="21"/>
                    </w:rPr>
                    <w:t>VOCs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5" w:type="pct"/>
                  <w:vMerge w:val="continue"/>
                  <w:vAlign w:val="center"/>
                </w:tcPr>
                <w:p>
                  <w:pPr>
                    <w:adjustRightInd w:val="0"/>
                    <w:snapToGrid w:val="0"/>
                    <w:jc w:val="center"/>
                    <w:rPr>
                      <w:szCs w:val="21"/>
                    </w:rPr>
                  </w:pPr>
                </w:p>
              </w:tc>
              <w:tc>
                <w:tcPr>
                  <w:tcW w:w="1495" w:type="pct"/>
                  <w:vAlign w:val="center"/>
                </w:tcPr>
                <w:p>
                  <w:pPr>
                    <w:adjustRightInd w:val="0"/>
                    <w:snapToGrid w:val="0"/>
                    <w:jc w:val="center"/>
                    <w:rPr>
                      <w:szCs w:val="21"/>
                    </w:rPr>
                  </w:pPr>
                  <w:r>
                    <w:rPr>
                      <w:rFonts w:hint="eastAsia"/>
                      <w:szCs w:val="21"/>
                    </w:rPr>
                    <w:t>食堂油烟</w:t>
                  </w:r>
                </w:p>
              </w:tc>
              <w:tc>
                <w:tcPr>
                  <w:tcW w:w="1346" w:type="pct"/>
                  <w:vAlign w:val="center"/>
                </w:tcPr>
                <w:p>
                  <w:pPr>
                    <w:adjustRightInd w:val="0"/>
                    <w:snapToGrid w:val="0"/>
                    <w:jc w:val="center"/>
                    <w:rPr>
                      <w:szCs w:val="21"/>
                    </w:rPr>
                  </w:pPr>
                  <w:r>
                    <w:rPr>
                      <w:rFonts w:hint="eastAsia"/>
                      <w:szCs w:val="21"/>
                    </w:rPr>
                    <w:t>烹饪</w:t>
                  </w:r>
                </w:p>
              </w:tc>
              <w:tc>
                <w:tcPr>
                  <w:tcW w:w="1712" w:type="pct"/>
                  <w:vAlign w:val="center"/>
                </w:tcPr>
                <w:p>
                  <w:pPr>
                    <w:adjustRightInd w:val="0"/>
                    <w:snapToGrid w:val="0"/>
                    <w:jc w:val="center"/>
                    <w:rPr>
                      <w:szCs w:val="21"/>
                    </w:rPr>
                  </w:pPr>
                  <w:r>
                    <w:rPr>
                      <w:rFonts w:hint="eastAsia"/>
                      <w:szCs w:val="21"/>
                    </w:rPr>
                    <w:t>食堂油烟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5" w:type="pct"/>
                  <w:vMerge w:val="restart"/>
                  <w:vAlign w:val="center"/>
                </w:tcPr>
                <w:p>
                  <w:pPr>
                    <w:adjustRightInd w:val="0"/>
                    <w:snapToGrid w:val="0"/>
                    <w:jc w:val="center"/>
                    <w:rPr>
                      <w:szCs w:val="21"/>
                    </w:rPr>
                  </w:pPr>
                  <w:r>
                    <w:rPr>
                      <w:szCs w:val="21"/>
                    </w:rPr>
                    <w:t>废水</w:t>
                  </w:r>
                </w:p>
              </w:tc>
              <w:tc>
                <w:tcPr>
                  <w:tcW w:w="1495" w:type="pct"/>
                  <w:vAlign w:val="center"/>
                </w:tcPr>
                <w:p>
                  <w:pPr>
                    <w:adjustRightInd w:val="0"/>
                    <w:snapToGrid w:val="0"/>
                    <w:jc w:val="center"/>
                    <w:rPr>
                      <w:szCs w:val="21"/>
                    </w:rPr>
                  </w:pPr>
                  <w:r>
                    <w:rPr>
                      <w:szCs w:val="21"/>
                    </w:rPr>
                    <w:t>生活污水</w:t>
                  </w:r>
                </w:p>
              </w:tc>
              <w:tc>
                <w:tcPr>
                  <w:tcW w:w="1346" w:type="pct"/>
                  <w:vAlign w:val="center"/>
                </w:tcPr>
                <w:p>
                  <w:pPr>
                    <w:adjustRightInd w:val="0"/>
                    <w:snapToGrid w:val="0"/>
                    <w:jc w:val="center"/>
                    <w:rPr>
                      <w:szCs w:val="21"/>
                    </w:rPr>
                  </w:pPr>
                  <w:r>
                    <w:rPr>
                      <w:szCs w:val="21"/>
                    </w:rPr>
                    <w:t>办公、生活过程</w:t>
                  </w:r>
                </w:p>
              </w:tc>
              <w:tc>
                <w:tcPr>
                  <w:tcW w:w="1712" w:type="pct"/>
                  <w:vAlign w:val="center"/>
                </w:tcPr>
                <w:p>
                  <w:pPr>
                    <w:adjustRightInd w:val="0"/>
                    <w:snapToGrid w:val="0"/>
                    <w:jc w:val="center"/>
                    <w:rPr>
                      <w:szCs w:val="21"/>
                    </w:rPr>
                  </w:pPr>
                  <w:r>
                    <w:rPr>
                      <w:szCs w:val="21"/>
                    </w:rPr>
                    <w:t>COD</w:t>
                  </w:r>
                  <w:r>
                    <w:rPr>
                      <w:szCs w:val="21"/>
                      <w:vertAlign w:val="subscript"/>
                    </w:rPr>
                    <w:t>Cr</w:t>
                  </w:r>
                  <w:r>
                    <w:rPr>
                      <w:szCs w:val="21"/>
                    </w:rPr>
                    <w:t>、BOD</w:t>
                  </w:r>
                  <w:r>
                    <w:rPr>
                      <w:szCs w:val="21"/>
                      <w:vertAlign w:val="subscript"/>
                    </w:rPr>
                    <w:t>5</w:t>
                  </w:r>
                  <w:r>
                    <w:rPr>
                      <w:szCs w:val="21"/>
                    </w:rPr>
                    <w:t>、SS、NH</w:t>
                  </w:r>
                  <w:r>
                    <w:rPr>
                      <w:szCs w:val="21"/>
                      <w:vertAlign w:val="subscript"/>
                    </w:rPr>
                    <w:t>3</w:t>
                  </w:r>
                  <w:r>
                    <w:rPr>
                      <w:szCs w:val="21"/>
                    </w:rPr>
                    <w: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5" w:type="pct"/>
                  <w:vMerge w:val="continue"/>
                  <w:vAlign w:val="center"/>
                </w:tcPr>
                <w:p>
                  <w:pPr>
                    <w:adjustRightInd w:val="0"/>
                    <w:snapToGrid w:val="0"/>
                    <w:jc w:val="center"/>
                    <w:rPr>
                      <w:szCs w:val="21"/>
                    </w:rPr>
                  </w:pPr>
                </w:p>
              </w:tc>
              <w:tc>
                <w:tcPr>
                  <w:tcW w:w="1495" w:type="pct"/>
                  <w:vAlign w:val="center"/>
                </w:tcPr>
                <w:p>
                  <w:pPr>
                    <w:adjustRightInd w:val="0"/>
                    <w:snapToGrid w:val="0"/>
                    <w:jc w:val="center"/>
                    <w:rPr>
                      <w:szCs w:val="21"/>
                    </w:rPr>
                  </w:pPr>
                  <w:r>
                    <w:rPr>
                      <w:rFonts w:hint="eastAsia"/>
                      <w:szCs w:val="21"/>
                    </w:rPr>
                    <w:t>食堂废水</w:t>
                  </w:r>
                </w:p>
              </w:tc>
              <w:tc>
                <w:tcPr>
                  <w:tcW w:w="1346" w:type="pct"/>
                  <w:vAlign w:val="center"/>
                </w:tcPr>
                <w:p>
                  <w:pPr>
                    <w:adjustRightInd w:val="0"/>
                    <w:snapToGrid w:val="0"/>
                    <w:jc w:val="center"/>
                    <w:rPr>
                      <w:szCs w:val="21"/>
                    </w:rPr>
                  </w:pPr>
                  <w:r>
                    <w:rPr>
                      <w:rFonts w:hint="eastAsia"/>
                      <w:szCs w:val="21"/>
                    </w:rPr>
                    <w:t>烹饪</w:t>
                  </w:r>
                </w:p>
              </w:tc>
              <w:tc>
                <w:tcPr>
                  <w:tcW w:w="1712" w:type="pct"/>
                  <w:vAlign w:val="center"/>
                </w:tcPr>
                <w:p>
                  <w:pPr>
                    <w:adjustRightInd w:val="0"/>
                    <w:snapToGrid w:val="0"/>
                    <w:jc w:val="center"/>
                    <w:rPr>
                      <w:szCs w:val="21"/>
                    </w:rPr>
                  </w:pPr>
                  <w:r>
                    <w:rPr>
                      <w:szCs w:val="21"/>
                    </w:rPr>
                    <w:t>COD</w:t>
                  </w:r>
                  <w:r>
                    <w:rPr>
                      <w:szCs w:val="21"/>
                      <w:vertAlign w:val="subscript"/>
                    </w:rPr>
                    <w:t>Cr</w:t>
                  </w:r>
                  <w:r>
                    <w:rPr>
                      <w:szCs w:val="21"/>
                    </w:rPr>
                    <w:t>、BOD</w:t>
                  </w:r>
                  <w:r>
                    <w:rPr>
                      <w:szCs w:val="21"/>
                      <w:vertAlign w:val="subscript"/>
                    </w:rPr>
                    <w:t>5</w:t>
                  </w:r>
                  <w:r>
                    <w:rPr>
                      <w:szCs w:val="21"/>
                    </w:rPr>
                    <w:t>、SS、NH</w:t>
                  </w:r>
                  <w:r>
                    <w:rPr>
                      <w:szCs w:val="21"/>
                      <w:vertAlign w:val="subscript"/>
                    </w:rPr>
                    <w:t>3</w:t>
                  </w:r>
                  <w:r>
                    <w:rPr>
                      <w:szCs w:val="21"/>
                    </w:rPr>
                    <w:t>-N</w:t>
                  </w:r>
                  <w:r>
                    <w:rPr>
                      <w:rFonts w:hint="eastAsia"/>
                      <w:szCs w:val="21"/>
                    </w:rPr>
                    <w:t>、动植物油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5" w:type="pct"/>
                  <w:vMerge w:val="continue"/>
                  <w:vAlign w:val="center"/>
                </w:tcPr>
                <w:p>
                  <w:pPr>
                    <w:adjustRightInd w:val="0"/>
                    <w:snapToGrid w:val="0"/>
                    <w:jc w:val="center"/>
                    <w:rPr>
                      <w:szCs w:val="21"/>
                    </w:rPr>
                  </w:pPr>
                </w:p>
              </w:tc>
              <w:tc>
                <w:tcPr>
                  <w:tcW w:w="1495" w:type="pct"/>
                  <w:vAlign w:val="center"/>
                </w:tcPr>
                <w:p>
                  <w:pPr>
                    <w:adjustRightInd w:val="0"/>
                    <w:snapToGrid w:val="0"/>
                    <w:jc w:val="center"/>
                    <w:rPr>
                      <w:szCs w:val="21"/>
                    </w:rPr>
                  </w:pPr>
                  <w:r>
                    <w:rPr>
                      <w:rFonts w:hint="eastAsia"/>
                      <w:szCs w:val="21"/>
                    </w:rPr>
                    <w:t>地面冲洗废水</w:t>
                  </w:r>
                </w:p>
              </w:tc>
              <w:tc>
                <w:tcPr>
                  <w:tcW w:w="1346" w:type="pct"/>
                  <w:vAlign w:val="center"/>
                </w:tcPr>
                <w:p>
                  <w:pPr>
                    <w:adjustRightInd w:val="0"/>
                    <w:snapToGrid w:val="0"/>
                    <w:jc w:val="center"/>
                    <w:rPr>
                      <w:szCs w:val="21"/>
                    </w:rPr>
                  </w:pPr>
                  <w:r>
                    <w:rPr>
                      <w:rFonts w:hint="eastAsia"/>
                      <w:szCs w:val="21"/>
                    </w:rPr>
                    <w:t>地面冲洗</w:t>
                  </w:r>
                </w:p>
              </w:tc>
              <w:tc>
                <w:tcPr>
                  <w:tcW w:w="1712" w:type="pct"/>
                  <w:vAlign w:val="center"/>
                </w:tcPr>
                <w:p>
                  <w:pPr>
                    <w:adjustRightInd w:val="0"/>
                    <w:snapToGrid w:val="0"/>
                    <w:jc w:val="center"/>
                    <w:rPr>
                      <w:szCs w:val="21"/>
                    </w:rPr>
                  </w:pPr>
                  <w:r>
                    <w:rPr>
                      <w:rFonts w:hint="eastAsia"/>
                      <w:szCs w:val="21"/>
                    </w:rPr>
                    <w:t>SS、石油类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5" w:type="pct"/>
                  <w:vMerge w:val="continue"/>
                  <w:vAlign w:val="center"/>
                </w:tcPr>
                <w:p>
                  <w:pPr>
                    <w:adjustRightInd w:val="0"/>
                    <w:snapToGrid w:val="0"/>
                    <w:jc w:val="center"/>
                    <w:rPr>
                      <w:szCs w:val="21"/>
                    </w:rPr>
                  </w:pPr>
                </w:p>
              </w:tc>
              <w:tc>
                <w:tcPr>
                  <w:tcW w:w="1495" w:type="pct"/>
                  <w:vAlign w:val="center"/>
                </w:tcPr>
                <w:p>
                  <w:pPr>
                    <w:adjustRightInd w:val="0"/>
                    <w:snapToGrid w:val="0"/>
                    <w:jc w:val="center"/>
                    <w:rPr>
                      <w:szCs w:val="21"/>
                    </w:rPr>
                  </w:pPr>
                  <w:r>
                    <w:rPr>
                      <w:rFonts w:hint="eastAsia"/>
                      <w:szCs w:val="21"/>
                    </w:rPr>
                    <w:t>车辆冲洗废水</w:t>
                  </w:r>
                </w:p>
              </w:tc>
              <w:tc>
                <w:tcPr>
                  <w:tcW w:w="1346" w:type="pct"/>
                  <w:vAlign w:val="center"/>
                </w:tcPr>
                <w:p>
                  <w:pPr>
                    <w:adjustRightInd w:val="0"/>
                    <w:snapToGrid w:val="0"/>
                    <w:jc w:val="center"/>
                    <w:rPr>
                      <w:szCs w:val="21"/>
                    </w:rPr>
                  </w:pPr>
                  <w:r>
                    <w:rPr>
                      <w:rFonts w:hint="eastAsia"/>
                      <w:szCs w:val="21"/>
                    </w:rPr>
                    <w:t>车辆冲洗</w:t>
                  </w:r>
                </w:p>
              </w:tc>
              <w:tc>
                <w:tcPr>
                  <w:tcW w:w="1712" w:type="pct"/>
                  <w:vAlign w:val="center"/>
                </w:tcPr>
                <w:p>
                  <w:pPr>
                    <w:adjustRightInd w:val="0"/>
                    <w:snapToGrid w:val="0"/>
                    <w:jc w:val="center"/>
                    <w:rPr>
                      <w:szCs w:val="21"/>
                    </w:rPr>
                  </w:pPr>
                  <w:r>
                    <w:rPr>
                      <w:rFonts w:hint="eastAsia"/>
                      <w:szCs w:val="21"/>
                    </w:rPr>
                    <w:t>SS、石油类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5" w:type="pct"/>
                  <w:vAlign w:val="center"/>
                </w:tcPr>
                <w:p>
                  <w:pPr>
                    <w:adjustRightInd w:val="0"/>
                    <w:snapToGrid w:val="0"/>
                    <w:jc w:val="center"/>
                    <w:rPr>
                      <w:szCs w:val="21"/>
                    </w:rPr>
                  </w:pPr>
                  <w:r>
                    <w:rPr>
                      <w:szCs w:val="21"/>
                    </w:rPr>
                    <w:t>噪声</w:t>
                  </w:r>
                </w:p>
              </w:tc>
              <w:tc>
                <w:tcPr>
                  <w:tcW w:w="1495" w:type="pct"/>
                  <w:vAlign w:val="center"/>
                </w:tcPr>
                <w:p>
                  <w:pPr>
                    <w:adjustRightInd w:val="0"/>
                    <w:snapToGrid w:val="0"/>
                    <w:jc w:val="center"/>
                    <w:rPr>
                      <w:szCs w:val="21"/>
                    </w:rPr>
                  </w:pPr>
                  <w:r>
                    <w:rPr>
                      <w:szCs w:val="21"/>
                    </w:rPr>
                    <w:t>机械噪声</w:t>
                  </w:r>
                </w:p>
              </w:tc>
              <w:tc>
                <w:tcPr>
                  <w:tcW w:w="1346" w:type="pct"/>
                  <w:vAlign w:val="center"/>
                </w:tcPr>
                <w:p>
                  <w:pPr>
                    <w:adjustRightInd w:val="0"/>
                    <w:snapToGrid w:val="0"/>
                    <w:jc w:val="center"/>
                    <w:rPr>
                      <w:szCs w:val="21"/>
                    </w:rPr>
                  </w:pPr>
                  <w:r>
                    <w:rPr>
                      <w:szCs w:val="21"/>
                    </w:rPr>
                    <w:t>各类设备运转过程</w:t>
                  </w:r>
                </w:p>
              </w:tc>
              <w:tc>
                <w:tcPr>
                  <w:tcW w:w="1712" w:type="pct"/>
                  <w:vAlign w:val="center"/>
                </w:tcPr>
                <w:p>
                  <w:pPr>
                    <w:adjustRightInd w:val="0"/>
                    <w:snapToGrid w:val="0"/>
                    <w:jc w:val="center"/>
                    <w:rPr>
                      <w:szCs w:val="21"/>
                    </w:rPr>
                  </w:pPr>
                  <w:r>
                    <w:rPr>
                      <w:szCs w:val="21"/>
                    </w:rPr>
                    <w:t>设备噪声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5" w:type="pct"/>
                  <w:vMerge w:val="restart"/>
                  <w:vAlign w:val="center"/>
                </w:tcPr>
                <w:p>
                  <w:pPr>
                    <w:adjustRightInd w:val="0"/>
                    <w:snapToGrid w:val="0"/>
                    <w:jc w:val="center"/>
                    <w:rPr>
                      <w:szCs w:val="21"/>
                    </w:rPr>
                  </w:pPr>
                  <w:r>
                    <w:rPr>
                      <w:szCs w:val="21"/>
                    </w:rPr>
                    <w:t>固废</w:t>
                  </w:r>
                </w:p>
              </w:tc>
              <w:tc>
                <w:tcPr>
                  <w:tcW w:w="1495" w:type="pct"/>
                  <w:vAlign w:val="center"/>
                </w:tcPr>
                <w:p>
                  <w:pPr>
                    <w:adjustRightInd w:val="0"/>
                    <w:snapToGrid w:val="0"/>
                    <w:jc w:val="center"/>
                    <w:rPr>
                      <w:szCs w:val="21"/>
                    </w:rPr>
                  </w:pPr>
                  <w:r>
                    <w:rPr>
                      <w:rFonts w:hint="eastAsia"/>
                      <w:szCs w:val="21"/>
                    </w:rPr>
                    <w:t>废包装袋</w:t>
                  </w:r>
                </w:p>
              </w:tc>
              <w:tc>
                <w:tcPr>
                  <w:tcW w:w="1346" w:type="pct"/>
                  <w:vAlign w:val="center"/>
                </w:tcPr>
                <w:p>
                  <w:pPr>
                    <w:adjustRightInd w:val="0"/>
                    <w:snapToGrid w:val="0"/>
                    <w:jc w:val="center"/>
                    <w:rPr>
                      <w:szCs w:val="21"/>
                    </w:rPr>
                  </w:pPr>
                  <w:r>
                    <w:rPr>
                      <w:rFonts w:hint="eastAsia"/>
                      <w:szCs w:val="21"/>
                    </w:rPr>
                    <w:t>投料</w:t>
                  </w:r>
                </w:p>
              </w:tc>
              <w:tc>
                <w:tcPr>
                  <w:tcW w:w="1712" w:type="pct"/>
                  <w:vAlign w:val="center"/>
                </w:tcPr>
                <w:p>
                  <w:pPr>
                    <w:adjustRightInd w:val="0"/>
                    <w:snapToGrid w:val="0"/>
                    <w:jc w:val="center"/>
                    <w:rPr>
                      <w:szCs w:val="21"/>
                    </w:rPr>
                  </w:pPr>
                  <w:r>
                    <w:rPr>
                      <w:rFonts w:hint="eastAsia"/>
                      <w:szCs w:val="21"/>
                    </w:rPr>
                    <w:t>废包装袋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5" w:type="pct"/>
                  <w:vMerge w:val="continue"/>
                  <w:vAlign w:val="center"/>
                </w:tcPr>
                <w:p>
                  <w:pPr>
                    <w:adjustRightInd w:val="0"/>
                    <w:snapToGrid w:val="0"/>
                    <w:jc w:val="center"/>
                    <w:rPr>
                      <w:szCs w:val="21"/>
                    </w:rPr>
                  </w:pPr>
                </w:p>
              </w:tc>
              <w:tc>
                <w:tcPr>
                  <w:tcW w:w="1495" w:type="pct"/>
                  <w:vAlign w:val="center"/>
                </w:tcPr>
                <w:p>
                  <w:pPr>
                    <w:adjustRightInd w:val="0"/>
                    <w:snapToGrid w:val="0"/>
                    <w:jc w:val="center"/>
                    <w:rPr>
                      <w:szCs w:val="21"/>
                    </w:rPr>
                  </w:pPr>
                  <w:r>
                    <w:rPr>
                      <w:szCs w:val="21"/>
                    </w:rPr>
                    <w:t>生活垃圾</w:t>
                  </w:r>
                </w:p>
              </w:tc>
              <w:tc>
                <w:tcPr>
                  <w:tcW w:w="1346" w:type="pct"/>
                  <w:vAlign w:val="center"/>
                </w:tcPr>
                <w:p>
                  <w:pPr>
                    <w:adjustRightInd w:val="0"/>
                    <w:snapToGrid w:val="0"/>
                    <w:jc w:val="center"/>
                    <w:rPr>
                      <w:szCs w:val="21"/>
                    </w:rPr>
                  </w:pPr>
                  <w:r>
                    <w:rPr>
                      <w:szCs w:val="21"/>
                    </w:rPr>
                    <w:t>生活、办公过程</w:t>
                  </w:r>
                </w:p>
              </w:tc>
              <w:tc>
                <w:tcPr>
                  <w:tcW w:w="1712" w:type="pct"/>
                  <w:vAlign w:val="center"/>
                </w:tcPr>
                <w:p>
                  <w:pPr>
                    <w:adjustRightInd w:val="0"/>
                    <w:snapToGrid w:val="0"/>
                    <w:jc w:val="center"/>
                    <w:rPr>
                      <w:szCs w:val="21"/>
                    </w:rPr>
                  </w:pPr>
                  <w:r>
                    <w:rPr>
                      <w:szCs w:val="21"/>
                    </w:rPr>
                    <w:t>生活垃圾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5" w:type="pct"/>
                  <w:vMerge w:val="continue"/>
                  <w:vAlign w:val="center"/>
                </w:tcPr>
                <w:p>
                  <w:pPr>
                    <w:adjustRightInd w:val="0"/>
                    <w:snapToGrid w:val="0"/>
                    <w:jc w:val="center"/>
                    <w:rPr>
                      <w:szCs w:val="21"/>
                    </w:rPr>
                  </w:pPr>
                </w:p>
              </w:tc>
              <w:tc>
                <w:tcPr>
                  <w:tcW w:w="1495" w:type="pct"/>
                  <w:vAlign w:val="center"/>
                </w:tcPr>
                <w:p>
                  <w:pPr>
                    <w:adjustRightInd w:val="0"/>
                    <w:snapToGrid w:val="0"/>
                    <w:jc w:val="center"/>
                    <w:rPr>
                      <w:szCs w:val="21"/>
                    </w:rPr>
                  </w:pPr>
                  <w:r>
                    <w:rPr>
                      <w:rFonts w:hint="eastAsia"/>
                      <w:szCs w:val="21"/>
                    </w:rPr>
                    <w:t>厨余垃圾</w:t>
                  </w:r>
                </w:p>
              </w:tc>
              <w:tc>
                <w:tcPr>
                  <w:tcW w:w="1346" w:type="pct"/>
                  <w:vAlign w:val="center"/>
                </w:tcPr>
                <w:p>
                  <w:pPr>
                    <w:adjustRightInd w:val="0"/>
                    <w:snapToGrid w:val="0"/>
                    <w:jc w:val="center"/>
                    <w:rPr>
                      <w:szCs w:val="21"/>
                    </w:rPr>
                  </w:pPr>
                  <w:r>
                    <w:rPr>
                      <w:rFonts w:hint="eastAsia"/>
                      <w:szCs w:val="21"/>
                    </w:rPr>
                    <w:t>烹饪</w:t>
                  </w:r>
                </w:p>
              </w:tc>
              <w:tc>
                <w:tcPr>
                  <w:tcW w:w="1712" w:type="pct"/>
                  <w:vAlign w:val="center"/>
                </w:tcPr>
                <w:p>
                  <w:pPr>
                    <w:adjustRightInd w:val="0"/>
                    <w:snapToGrid w:val="0"/>
                    <w:jc w:val="center"/>
                    <w:rPr>
                      <w:szCs w:val="21"/>
                    </w:rPr>
                  </w:pPr>
                  <w:r>
                    <w:rPr>
                      <w:rFonts w:hint="eastAsia"/>
                      <w:szCs w:val="21"/>
                    </w:rPr>
                    <w:t>厨余垃圾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5" w:type="pct"/>
                  <w:vMerge w:val="continue"/>
                  <w:vAlign w:val="center"/>
                </w:tcPr>
                <w:p>
                  <w:pPr>
                    <w:adjustRightInd w:val="0"/>
                    <w:snapToGrid w:val="0"/>
                    <w:jc w:val="center"/>
                    <w:rPr>
                      <w:szCs w:val="21"/>
                    </w:rPr>
                  </w:pPr>
                </w:p>
              </w:tc>
              <w:tc>
                <w:tcPr>
                  <w:tcW w:w="1495" w:type="pct"/>
                  <w:vAlign w:val="center"/>
                </w:tcPr>
                <w:p>
                  <w:pPr>
                    <w:adjustRightInd w:val="0"/>
                    <w:snapToGrid w:val="0"/>
                    <w:jc w:val="center"/>
                    <w:rPr>
                      <w:szCs w:val="21"/>
                    </w:rPr>
                  </w:pPr>
                  <w:r>
                    <w:rPr>
                      <w:rFonts w:hint="eastAsia"/>
                      <w:szCs w:val="21"/>
                    </w:rPr>
                    <w:t>废机油</w:t>
                  </w:r>
                </w:p>
              </w:tc>
              <w:tc>
                <w:tcPr>
                  <w:tcW w:w="1346" w:type="pct"/>
                  <w:vAlign w:val="center"/>
                </w:tcPr>
                <w:p>
                  <w:pPr>
                    <w:adjustRightInd w:val="0"/>
                    <w:snapToGrid w:val="0"/>
                    <w:jc w:val="center"/>
                    <w:rPr>
                      <w:szCs w:val="21"/>
                    </w:rPr>
                  </w:pPr>
                  <w:r>
                    <w:rPr>
                      <w:rFonts w:hint="eastAsia"/>
                      <w:szCs w:val="21"/>
                    </w:rPr>
                    <w:t>设备运维</w:t>
                  </w:r>
                </w:p>
              </w:tc>
              <w:tc>
                <w:tcPr>
                  <w:tcW w:w="1712" w:type="pct"/>
                  <w:vAlign w:val="center"/>
                </w:tcPr>
                <w:p>
                  <w:pPr>
                    <w:adjustRightInd w:val="0"/>
                    <w:snapToGrid w:val="0"/>
                    <w:jc w:val="center"/>
                    <w:rPr>
                      <w:szCs w:val="21"/>
                    </w:rPr>
                  </w:pPr>
                  <w:r>
                    <w:rPr>
                      <w:rFonts w:hint="eastAsia"/>
                      <w:szCs w:val="21"/>
                    </w:rPr>
                    <w:t>废机油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5" w:type="pct"/>
                  <w:vMerge w:val="continue"/>
                  <w:vAlign w:val="center"/>
                </w:tcPr>
                <w:p>
                  <w:pPr>
                    <w:adjustRightInd w:val="0"/>
                    <w:snapToGrid w:val="0"/>
                    <w:jc w:val="center"/>
                    <w:rPr>
                      <w:szCs w:val="21"/>
                    </w:rPr>
                  </w:pPr>
                </w:p>
              </w:tc>
              <w:tc>
                <w:tcPr>
                  <w:tcW w:w="1495" w:type="pct"/>
                  <w:vAlign w:val="center"/>
                </w:tcPr>
                <w:p>
                  <w:pPr>
                    <w:adjustRightInd w:val="0"/>
                    <w:snapToGrid w:val="0"/>
                    <w:jc w:val="center"/>
                    <w:rPr>
                      <w:szCs w:val="21"/>
                    </w:rPr>
                  </w:pPr>
                  <w:r>
                    <w:rPr>
                      <w:rFonts w:hint="eastAsia"/>
                      <w:szCs w:val="21"/>
                    </w:rPr>
                    <w:t>浮油渣</w:t>
                  </w:r>
                </w:p>
              </w:tc>
              <w:tc>
                <w:tcPr>
                  <w:tcW w:w="1346" w:type="pct"/>
                  <w:vAlign w:val="center"/>
                </w:tcPr>
                <w:p>
                  <w:pPr>
                    <w:adjustRightInd w:val="0"/>
                    <w:snapToGrid w:val="0"/>
                    <w:jc w:val="center"/>
                    <w:rPr>
                      <w:szCs w:val="21"/>
                    </w:rPr>
                  </w:pPr>
                  <w:r>
                    <w:rPr>
                      <w:rFonts w:hint="eastAsia"/>
                      <w:szCs w:val="21"/>
                    </w:rPr>
                    <w:t>废水处理</w:t>
                  </w:r>
                </w:p>
              </w:tc>
              <w:tc>
                <w:tcPr>
                  <w:tcW w:w="1712" w:type="pct"/>
                  <w:vAlign w:val="center"/>
                </w:tcPr>
                <w:p>
                  <w:pPr>
                    <w:adjustRightInd w:val="0"/>
                    <w:snapToGrid w:val="0"/>
                    <w:jc w:val="center"/>
                    <w:rPr>
                      <w:szCs w:val="21"/>
                    </w:rPr>
                  </w:pPr>
                  <w:r>
                    <w:rPr>
                      <w:rFonts w:hint="eastAsia"/>
                      <w:szCs w:val="21"/>
                    </w:rPr>
                    <w:t>浮油渣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5" w:type="pct"/>
                  <w:vMerge w:val="continue"/>
                  <w:vAlign w:val="center"/>
                </w:tcPr>
                <w:p>
                  <w:pPr>
                    <w:adjustRightInd w:val="0"/>
                    <w:snapToGrid w:val="0"/>
                    <w:jc w:val="center"/>
                    <w:rPr>
                      <w:szCs w:val="21"/>
                    </w:rPr>
                  </w:pPr>
                </w:p>
              </w:tc>
              <w:tc>
                <w:tcPr>
                  <w:tcW w:w="1495" w:type="pct"/>
                  <w:vAlign w:val="center"/>
                </w:tcPr>
                <w:p>
                  <w:pPr>
                    <w:adjustRightInd w:val="0"/>
                    <w:snapToGrid w:val="0"/>
                    <w:jc w:val="center"/>
                    <w:rPr>
                      <w:szCs w:val="21"/>
                    </w:rPr>
                  </w:pPr>
                  <w:r>
                    <w:rPr>
                      <w:rFonts w:hint="eastAsia"/>
                      <w:szCs w:val="21"/>
                    </w:rPr>
                    <w:t>柴油储罐油泥</w:t>
                  </w:r>
                </w:p>
              </w:tc>
              <w:tc>
                <w:tcPr>
                  <w:tcW w:w="1346" w:type="pct"/>
                  <w:vAlign w:val="center"/>
                </w:tcPr>
                <w:p>
                  <w:pPr>
                    <w:adjustRightInd w:val="0"/>
                    <w:snapToGrid w:val="0"/>
                    <w:jc w:val="center"/>
                    <w:rPr>
                      <w:szCs w:val="21"/>
                    </w:rPr>
                  </w:pPr>
                  <w:r>
                    <w:rPr>
                      <w:rFonts w:hint="eastAsia"/>
                      <w:szCs w:val="21"/>
                    </w:rPr>
                    <w:t>柴油储存</w:t>
                  </w:r>
                </w:p>
              </w:tc>
              <w:tc>
                <w:tcPr>
                  <w:tcW w:w="1712" w:type="pct"/>
                  <w:vAlign w:val="center"/>
                </w:tcPr>
                <w:p>
                  <w:pPr>
                    <w:adjustRightInd w:val="0"/>
                    <w:snapToGrid w:val="0"/>
                    <w:jc w:val="center"/>
                    <w:rPr>
                      <w:szCs w:val="21"/>
                    </w:rPr>
                  </w:pPr>
                  <w:r>
                    <w:rPr>
                      <w:rFonts w:hint="eastAsia"/>
                      <w:szCs w:val="21"/>
                    </w:rPr>
                    <w:t>油泥</w:t>
                  </w:r>
                </w:p>
              </w:tc>
            </w:tr>
          </w:tbl>
          <w:p>
            <w:pPr>
              <w:pStyle w:val="28"/>
              <w:ind w:left="0" w:leftChars="0" w:firstLine="0" w:firstLineChars="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71" w:hRule="atLeast"/>
          <w:jc w:val="center"/>
        </w:trPr>
        <w:tc>
          <w:tcPr>
            <w:tcW w:w="533" w:type="dxa"/>
            <w:vAlign w:val="center"/>
          </w:tcPr>
          <w:p>
            <w:pPr>
              <w:pStyle w:val="25"/>
              <w:adjustRightInd w:val="0"/>
              <w:snapToGrid w:val="0"/>
              <w:spacing w:before="0" w:beforeAutospacing="0" w:after="0" w:afterAutospacing="0"/>
              <w:jc w:val="center"/>
              <w:rPr>
                <w:rFonts w:ascii="Times New Roman" w:hAnsi="Times New Roman"/>
                <w:bCs/>
                <w:kern w:val="2"/>
                <w:szCs w:val="24"/>
              </w:rPr>
            </w:pPr>
            <w:r>
              <w:rPr>
                <w:rFonts w:ascii="Times New Roman" w:hAnsi="Times New Roman"/>
                <w:bCs/>
                <w:kern w:val="2"/>
                <w:szCs w:val="24"/>
              </w:rPr>
              <w:t>与项目有关的原有环境污染问题</w:t>
            </w:r>
          </w:p>
        </w:tc>
        <w:tc>
          <w:tcPr>
            <w:tcW w:w="8527" w:type="dxa"/>
          </w:tcPr>
          <w:p>
            <w:pPr>
              <w:spacing w:line="520" w:lineRule="exact"/>
              <w:ind w:firstLine="482" w:firstLineChars="200"/>
              <w:rPr>
                <w:rFonts w:hint="default" w:eastAsia="宋体"/>
                <w:sz w:val="24"/>
                <w:lang w:val="en-US" w:eastAsia="zh-CN"/>
              </w:rPr>
            </w:pPr>
            <w:r>
              <w:rPr>
                <w:rFonts w:hint="eastAsia"/>
                <w:b/>
                <w:bCs/>
                <w:sz w:val="24"/>
                <w:lang w:val="en-US" w:eastAsia="zh-CN"/>
              </w:rPr>
              <w:t>1、迁建地址现状</w:t>
            </w:r>
          </w:p>
          <w:p>
            <w:pPr>
              <w:spacing w:line="520" w:lineRule="exact"/>
              <w:ind w:firstLine="480" w:firstLineChars="200"/>
              <w:rPr>
                <w:sz w:val="24"/>
              </w:rPr>
            </w:pPr>
            <w:r>
              <w:rPr>
                <w:rFonts w:hint="eastAsia"/>
                <w:sz w:val="24"/>
              </w:rPr>
              <w:t>本项目为</w:t>
            </w:r>
            <w:r>
              <w:rPr>
                <w:rFonts w:hint="eastAsia"/>
                <w:sz w:val="24"/>
                <w:lang w:val="en-US" w:eastAsia="zh-CN"/>
              </w:rPr>
              <w:t>迁</w:t>
            </w:r>
            <w:r>
              <w:rPr>
                <w:rFonts w:hint="eastAsia"/>
                <w:sz w:val="24"/>
              </w:rPr>
              <w:t>建项目，选址</w:t>
            </w:r>
            <w:r>
              <w:rPr>
                <w:rFonts w:hint="eastAsia"/>
                <w:sz w:val="24"/>
                <w:lang w:val="en-US" w:eastAsia="zh-CN"/>
              </w:rPr>
              <w:t>位于</w:t>
            </w:r>
            <w:r>
              <w:rPr>
                <w:rFonts w:hint="eastAsia"/>
                <w:sz w:val="24"/>
              </w:rPr>
              <w:t>吉木萨尔县庆阳湖乡水溪沟</w:t>
            </w:r>
            <w:r>
              <w:rPr>
                <w:rFonts w:hint="default" w:ascii="Times New Roman" w:hAnsi="Times New Roman" w:eastAsia="宋体" w:cs="Times New Roman"/>
                <w:sz w:val="24"/>
                <w:szCs w:val="24"/>
                <w:lang w:val="en-US" w:eastAsia="zh-CN"/>
              </w:rPr>
              <w:t>原</w:t>
            </w:r>
            <w:r>
              <w:rPr>
                <w:rFonts w:hint="default" w:ascii="Times New Roman" w:hAnsi="Times New Roman" w:eastAsia="宋体" w:cs="Times New Roman"/>
                <w:sz w:val="24"/>
                <w:szCs w:val="24"/>
              </w:rPr>
              <w:t>吉木萨尔县弘光金属冶炼有限公司</w:t>
            </w:r>
            <w:r>
              <w:rPr>
                <w:rFonts w:hint="default" w:ascii="Times New Roman" w:hAnsi="Times New Roman" w:eastAsia="宋体" w:cs="Times New Roman"/>
                <w:sz w:val="24"/>
                <w:szCs w:val="24"/>
                <w:lang w:val="en-US" w:eastAsia="zh-CN"/>
              </w:rPr>
              <w:t>厂区内</w:t>
            </w:r>
            <w:r>
              <w:rPr>
                <w:rFonts w:hint="eastAsia" w:ascii="Times New Roman" w:hAnsi="Times New Roman" w:eastAsia="宋体" w:cs="Times New Roman"/>
                <w:sz w:val="24"/>
                <w:szCs w:val="24"/>
                <w:lang w:val="en-US" w:eastAsia="zh-CN"/>
              </w:rPr>
              <w:t>，现有废弃平房4栋，废弃二层楼1栋，废弃大理石大门1座，废弃门卫室等。</w:t>
            </w:r>
            <w:r>
              <w:rPr>
                <w:rStyle w:val="35"/>
                <w:rFonts w:hint="eastAsia"/>
                <w:kern w:val="0"/>
                <w:sz w:val="24"/>
                <w:szCs w:val="22"/>
              </w:rPr>
              <w:t>项目区内只有遗留建筑，无植物植被等，不存在其他原有污染问题</w:t>
            </w:r>
            <w:r>
              <w:rPr>
                <w:rFonts w:hint="eastAsia"/>
                <w:sz w:val="24"/>
              </w:rPr>
              <w:t>。本项目开工建设前须对选址内原有遗留建筑进行拆除，会产生一定量的建筑废渣。要求建筑拆除阶段产生的建筑垃圾集中堆置于临时弃渣场，然后集中统一送指定建筑垃圾场填埋处理，不会对环境产生显著影响。</w:t>
            </w:r>
          </w:p>
          <w:p>
            <w:pPr>
              <w:adjustRightInd w:val="0"/>
              <w:snapToGrid w:val="0"/>
              <w:spacing w:line="520" w:lineRule="exact"/>
              <w:ind w:firstLine="482" w:firstLineChars="200"/>
              <w:rPr>
                <w:b/>
                <w:sz w:val="24"/>
              </w:rPr>
            </w:pPr>
            <w:r>
              <w:rPr>
                <w:rFonts w:hint="eastAsia"/>
                <w:b/>
                <w:sz w:val="24"/>
                <w:lang w:val="en-US" w:eastAsia="zh-CN"/>
              </w:rPr>
              <w:t>2</w:t>
            </w:r>
            <w:r>
              <w:rPr>
                <w:b/>
                <w:sz w:val="24"/>
              </w:rPr>
              <w:t>、</w:t>
            </w:r>
            <w:r>
              <w:rPr>
                <w:rFonts w:hint="eastAsia"/>
                <w:b/>
                <w:sz w:val="24"/>
                <w:lang w:val="en-US" w:eastAsia="zh-CN"/>
              </w:rPr>
              <w:t>迁建前</w:t>
            </w:r>
            <w:r>
              <w:rPr>
                <w:b/>
                <w:sz w:val="24"/>
              </w:rPr>
              <w:t>工程环保手续情况</w:t>
            </w:r>
          </w:p>
          <w:p>
            <w:pPr>
              <w:adjustRightInd w:val="0"/>
              <w:snapToGrid w:val="0"/>
              <w:spacing w:line="520" w:lineRule="exact"/>
              <w:ind w:firstLine="480" w:firstLineChars="200"/>
              <w:rPr>
                <w:bCs/>
                <w:sz w:val="24"/>
              </w:rPr>
            </w:pPr>
            <w:r>
              <w:rPr>
                <w:bCs/>
                <w:sz w:val="24"/>
              </w:rPr>
              <w:t>企业现有项目环保手续执行情况具体见表</w:t>
            </w:r>
            <w:r>
              <w:rPr>
                <w:rFonts w:hint="eastAsia"/>
                <w:bCs/>
                <w:sz w:val="24"/>
                <w:lang w:val="en-US" w:eastAsia="zh-CN"/>
              </w:rPr>
              <w:t>2-10</w:t>
            </w:r>
            <w:r>
              <w:rPr>
                <w:bCs/>
                <w:sz w:val="24"/>
              </w:rPr>
              <w:t>。</w:t>
            </w:r>
          </w:p>
          <w:p>
            <w:pPr>
              <w:adjustRightInd w:val="0"/>
              <w:snapToGrid w:val="0"/>
              <w:jc w:val="center"/>
              <w:rPr>
                <w:b/>
                <w:szCs w:val="21"/>
              </w:rPr>
            </w:pPr>
            <w:r>
              <w:rPr>
                <w:rFonts w:hint="eastAsia" w:ascii="黑体" w:hAnsi="黑体" w:eastAsia="黑体" w:cs="黑体"/>
                <w:bCs/>
                <w:sz w:val="24"/>
              </w:rPr>
              <w:t>表</w:t>
            </w:r>
            <w:r>
              <w:rPr>
                <w:rFonts w:hint="eastAsia" w:ascii="黑体" w:hAnsi="黑体" w:eastAsia="黑体" w:cs="黑体"/>
                <w:bCs/>
                <w:sz w:val="24"/>
                <w:lang w:val="en-US" w:eastAsia="zh-CN"/>
              </w:rPr>
              <w:t>2-10</w:t>
            </w:r>
            <w:r>
              <w:rPr>
                <w:rFonts w:hint="eastAsia" w:ascii="黑体" w:hAnsi="黑体" w:eastAsia="黑体" w:cs="黑体"/>
                <w:bCs/>
                <w:sz w:val="24"/>
              </w:rPr>
              <w:t xml:space="preserve">  现有项目环保手续执行情况表</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162"/>
              <w:gridCol w:w="2999"/>
              <w:gridCol w:w="322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1289" w:type="pct"/>
                  <w:tcBorders>
                    <w:tl2br w:val="nil"/>
                    <w:tr2bl w:val="nil"/>
                  </w:tcBorders>
                  <w:noWrap w:val="0"/>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项目名称</w:t>
                  </w:r>
                </w:p>
              </w:tc>
              <w:tc>
                <w:tcPr>
                  <w:tcW w:w="1787" w:type="pct"/>
                  <w:tcBorders>
                    <w:tl2br w:val="nil"/>
                    <w:tr2bl w:val="nil"/>
                  </w:tcBorders>
                  <w:noWrap w:val="0"/>
                  <w:vAlign w:val="center"/>
                </w:tcPr>
                <w:p>
                  <w:pPr>
                    <w:adjustRightInd w:val="0"/>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环评手续</w:t>
                  </w:r>
                </w:p>
              </w:tc>
              <w:tc>
                <w:tcPr>
                  <w:tcW w:w="1923" w:type="pct"/>
                  <w:tcBorders>
                    <w:tl2br w:val="nil"/>
                    <w:tr2bl w:val="nil"/>
                  </w:tcBorders>
                  <w:noWrap w:val="0"/>
                  <w:vAlign w:val="center"/>
                </w:tcPr>
                <w:p>
                  <w:pPr>
                    <w:adjustRightInd w:val="0"/>
                    <w:snapToGrid w:val="0"/>
                    <w:jc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lang w:eastAsia="zh-CN"/>
                    </w:rPr>
                    <w:t>验收手续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89" w:type="pct"/>
                  <w:tcBorders>
                    <w:tl2br w:val="nil"/>
                    <w:tr2bl w:val="nil"/>
                  </w:tcBorders>
                  <w:noWrap w:val="0"/>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 w:val="0"/>
                      <w:bCs/>
                      <w:sz w:val="21"/>
                      <w:szCs w:val="21"/>
                      <w:lang w:val="en-US" w:eastAsia="zh-CN"/>
                    </w:rPr>
                    <w:t>多孔粒状铵油炸药地面站（新疆吉木萨尔）建设项目</w:t>
                  </w:r>
                </w:p>
              </w:tc>
              <w:tc>
                <w:tcPr>
                  <w:tcW w:w="1787" w:type="pct"/>
                  <w:tcBorders>
                    <w:tl2br w:val="nil"/>
                    <w:tr2bl w:val="nil"/>
                  </w:tcBorders>
                  <w:noWrap w:val="0"/>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 w:val="0"/>
                      <w:bCs/>
                      <w:sz w:val="21"/>
                      <w:szCs w:val="21"/>
                      <w:lang w:val="en-US" w:eastAsia="zh-CN"/>
                    </w:rPr>
                    <w:t>《关于多孔粒状铵油炸药地面站（新疆吉木萨尔）建设项目环境影响报告书的批复》（新环评价函〔2013〕312号）</w:t>
                  </w:r>
                </w:p>
              </w:tc>
              <w:tc>
                <w:tcPr>
                  <w:tcW w:w="1923" w:type="pct"/>
                  <w:tcBorders>
                    <w:tl2br w:val="nil"/>
                    <w:tr2bl w:val="nil"/>
                  </w:tcBorders>
                  <w:noWrap w:val="0"/>
                  <w:vAlign w:val="center"/>
                </w:tcPr>
                <w:p>
                  <w:pPr>
                    <w:adjustRightInd w:val="0"/>
                    <w:snapToGrid w:val="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sz w:val="21"/>
                      <w:szCs w:val="21"/>
                      <w:lang w:val="en-US" w:eastAsia="zh-CN"/>
                    </w:rPr>
                    <w:t>《关于多孔粒状铵油炸药地面站（新疆吉木萨尔）建设项目竣工环境保护验收意见的函》（新环函〔2014〕1327号）</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13" w:hRule="atLeast"/>
                <w:jc w:val="center"/>
              </w:trPr>
              <w:tc>
                <w:tcPr>
                  <w:tcW w:w="1289" w:type="pct"/>
                  <w:tcBorders>
                    <w:tl2br w:val="nil"/>
                    <w:tr2bl w:val="nil"/>
                  </w:tcBorders>
                  <w:noWrap w:val="0"/>
                  <w:vAlign w:val="center"/>
                </w:tcPr>
                <w:p>
                  <w:pPr>
                    <w:adjustRightInd w:val="0"/>
                    <w:snapToGrid w:val="0"/>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多孔粒状铵油炸药地面站（新疆吉木萨尔）地面站扩能项目</w:t>
                  </w:r>
                </w:p>
              </w:tc>
              <w:tc>
                <w:tcPr>
                  <w:tcW w:w="1787" w:type="pct"/>
                  <w:tcBorders>
                    <w:tl2br w:val="nil"/>
                    <w:tr2bl w:val="nil"/>
                  </w:tcBorders>
                  <w:noWrap w:val="0"/>
                  <w:vAlign w:val="center"/>
                </w:tcPr>
                <w:p>
                  <w:pPr>
                    <w:adjustRightInd w:val="0"/>
                    <w:snapToGrid w:val="0"/>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《关于多孔粒状铵油炸药地面站（新疆吉木萨尔）地面站扩能项目环境影响报告表的批复》（昌州环评〔2019〕98号）</w:t>
                  </w:r>
                </w:p>
              </w:tc>
              <w:tc>
                <w:tcPr>
                  <w:tcW w:w="1923" w:type="pct"/>
                  <w:tcBorders>
                    <w:tl2br w:val="nil"/>
                    <w:tr2bl w:val="nil"/>
                  </w:tcBorders>
                  <w:noWrap w:val="0"/>
                  <w:vAlign w:val="center"/>
                </w:tcPr>
                <w:p>
                  <w:pPr>
                    <w:adjustRightInd w:val="0"/>
                    <w:snapToGrid w:val="0"/>
                    <w:jc w:val="both"/>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《多孔粒状铵油炸药地面站（新疆吉木萨尔）地面站扩能项目竣工环境保护验收意见》</w:t>
                  </w:r>
                </w:p>
              </w:tc>
            </w:tr>
          </w:tbl>
          <w:p>
            <w:pPr>
              <w:snapToGrid w:val="0"/>
              <w:spacing w:line="520" w:lineRule="exact"/>
              <w:ind w:firstLine="482" w:firstLineChars="200"/>
              <w:rPr>
                <w:b/>
                <w:sz w:val="24"/>
              </w:rPr>
            </w:pPr>
            <w:r>
              <w:rPr>
                <w:rFonts w:hint="eastAsia"/>
                <w:b/>
                <w:sz w:val="24"/>
                <w:lang w:val="en-US" w:eastAsia="zh-CN"/>
              </w:rPr>
              <w:t>3</w:t>
            </w:r>
            <w:r>
              <w:rPr>
                <w:b/>
                <w:sz w:val="24"/>
              </w:rPr>
              <w:t>、</w:t>
            </w:r>
            <w:r>
              <w:rPr>
                <w:rFonts w:hint="eastAsia"/>
                <w:b/>
                <w:sz w:val="24"/>
                <w:lang w:val="en-US" w:eastAsia="zh-CN"/>
              </w:rPr>
              <w:t>迁建前</w:t>
            </w:r>
            <w:r>
              <w:rPr>
                <w:b/>
                <w:sz w:val="24"/>
              </w:rPr>
              <w:t>工程基本情况</w:t>
            </w:r>
          </w:p>
          <w:p>
            <w:pPr>
              <w:snapToGrid w:val="0"/>
              <w:spacing w:line="520" w:lineRule="exact"/>
              <w:ind w:firstLine="482" w:firstLineChars="200"/>
              <w:rPr>
                <w:b/>
                <w:sz w:val="24"/>
              </w:rPr>
            </w:pPr>
            <w:r>
              <w:rPr>
                <w:rFonts w:hint="eastAsia"/>
                <w:b/>
                <w:sz w:val="24"/>
                <w:lang w:val="en-US" w:eastAsia="zh-CN"/>
              </w:rPr>
              <w:t>3</w:t>
            </w:r>
            <w:r>
              <w:rPr>
                <w:b/>
                <w:sz w:val="24"/>
              </w:rPr>
              <w:t>.1项目概况</w:t>
            </w:r>
          </w:p>
          <w:p>
            <w:pPr>
              <w:adjustRightInd w:val="0"/>
              <w:snapToGrid w:val="0"/>
              <w:spacing w:line="520" w:lineRule="exact"/>
              <w:ind w:firstLine="480" w:firstLineChars="200"/>
              <w:rPr>
                <w:bCs/>
                <w:sz w:val="24"/>
              </w:rPr>
            </w:pPr>
            <w:r>
              <w:rPr>
                <w:rFonts w:hint="eastAsia"/>
                <w:bCs/>
                <w:sz w:val="24"/>
                <w:szCs w:val="24"/>
              </w:rPr>
              <w:t>新疆天宝混装炸药制造有限公司吉木萨尔分公司多孔粒状铵油炸药地面站</w:t>
            </w:r>
            <w:r>
              <w:rPr>
                <w:bCs/>
                <w:sz w:val="24"/>
                <w:szCs w:val="24"/>
              </w:rPr>
              <w:t>位于</w:t>
            </w:r>
            <w:r>
              <w:rPr>
                <w:rFonts w:hint="eastAsia"/>
                <w:b w:val="0"/>
                <w:bCs/>
                <w:sz w:val="24"/>
                <w:szCs w:val="24"/>
                <w:lang w:val="en-US" w:eastAsia="zh-CN"/>
              </w:rPr>
              <w:t>新疆宝明矿业有限公司油页岩矿区首采区北面</w:t>
            </w:r>
            <w:r>
              <w:rPr>
                <w:bCs/>
                <w:sz w:val="24"/>
                <w:szCs w:val="24"/>
              </w:rPr>
              <w:t>，</w:t>
            </w:r>
            <w:r>
              <w:rPr>
                <w:rFonts w:hint="eastAsia"/>
                <w:bCs/>
                <w:sz w:val="24"/>
                <w:szCs w:val="24"/>
              </w:rPr>
              <w:t>吉木萨尔县城西南方向，直线距离约9km</w:t>
            </w:r>
            <w:r>
              <w:rPr>
                <w:rFonts w:hint="eastAsia"/>
                <w:bCs/>
                <w:sz w:val="24"/>
                <w:szCs w:val="24"/>
                <w:lang w:val="en-US" w:eastAsia="zh-CN"/>
              </w:rPr>
              <w:t>处。厂区</w:t>
            </w:r>
            <w:r>
              <w:rPr>
                <w:bCs/>
                <w:sz w:val="24"/>
                <w:szCs w:val="24"/>
              </w:rPr>
              <w:t>中心地理坐标位置为东经8</w:t>
            </w:r>
            <w:r>
              <w:rPr>
                <w:rFonts w:hint="eastAsia"/>
                <w:bCs/>
                <w:sz w:val="24"/>
                <w:szCs w:val="24"/>
                <w:lang w:val="en-US" w:eastAsia="zh-CN"/>
              </w:rPr>
              <w:t>9</w:t>
            </w:r>
            <w:r>
              <w:rPr>
                <w:bCs/>
                <w:sz w:val="24"/>
                <w:szCs w:val="24"/>
              </w:rPr>
              <w:t>°</w:t>
            </w:r>
            <w:r>
              <w:rPr>
                <w:rFonts w:hint="eastAsia"/>
                <w:bCs/>
                <w:sz w:val="24"/>
                <w:szCs w:val="24"/>
                <w:lang w:val="en-US" w:eastAsia="zh-CN"/>
              </w:rPr>
              <w:t>04</w:t>
            </w:r>
            <w:r>
              <w:rPr>
                <w:bCs/>
                <w:sz w:val="24"/>
                <w:szCs w:val="24"/>
              </w:rPr>
              <w:t>′</w:t>
            </w:r>
            <w:r>
              <w:rPr>
                <w:rFonts w:hint="eastAsia"/>
                <w:bCs/>
                <w:sz w:val="24"/>
                <w:szCs w:val="24"/>
                <w:lang w:val="en-US" w:eastAsia="zh-CN"/>
              </w:rPr>
              <w:t>44.58</w:t>
            </w:r>
            <w:r>
              <w:rPr>
                <w:bCs/>
                <w:sz w:val="24"/>
                <w:szCs w:val="24"/>
              </w:rPr>
              <w:t>″，北纬</w:t>
            </w:r>
            <w:r>
              <w:rPr>
                <w:rFonts w:hint="eastAsia"/>
                <w:bCs/>
                <w:sz w:val="24"/>
                <w:szCs w:val="24"/>
                <w:lang w:val="en-US" w:eastAsia="zh-CN"/>
              </w:rPr>
              <w:t>43</w:t>
            </w:r>
            <w:r>
              <w:rPr>
                <w:bCs/>
                <w:sz w:val="24"/>
                <w:szCs w:val="24"/>
              </w:rPr>
              <w:t>°</w:t>
            </w:r>
            <w:r>
              <w:rPr>
                <w:rFonts w:hint="eastAsia"/>
                <w:bCs/>
                <w:sz w:val="24"/>
                <w:szCs w:val="24"/>
                <w:lang w:val="en-US" w:eastAsia="zh-CN"/>
              </w:rPr>
              <w:t>57</w:t>
            </w:r>
            <w:r>
              <w:rPr>
                <w:bCs/>
                <w:sz w:val="24"/>
                <w:szCs w:val="24"/>
              </w:rPr>
              <w:t>′</w:t>
            </w:r>
            <w:r>
              <w:rPr>
                <w:rFonts w:hint="eastAsia"/>
                <w:bCs/>
                <w:sz w:val="24"/>
                <w:szCs w:val="24"/>
                <w:lang w:val="en-US" w:eastAsia="zh-CN"/>
              </w:rPr>
              <w:t>14.30</w:t>
            </w:r>
            <w:r>
              <w:rPr>
                <w:bCs/>
                <w:sz w:val="24"/>
                <w:szCs w:val="24"/>
              </w:rPr>
              <w:t>″。</w:t>
            </w:r>
            <w:r>
              <w:rPr>
                <w:rFonts w:hint="eastAsia"/>
                <w:bCs/>
                <w:sz w:val="24"/>
                <w:szCs w:val="24"/>
                <w:lang w:val="en-US" w:eastAsia="zh-CN"/>
              </w:rPr>
              <w:t>主要建设内容为建设年产</w:t>
            </w:r>
            <w:r>
              <w:rPr>
                <w:rFonts w:cs="Times New Roman"/>
                <w:kern w:val="0"/>
                <w:sz w:val="24"/>
                <w:szCs w:val="24"/>
              </w:rPr>
              <w:t>7200</w:t>
            </w:r>
            <w:r>
              <w:rPr>
                <w:rFonts w:hint="eastAsia" w:cs="Times New Roman"/>
                <w:kern w:val="0"/>
                <w:sz w:val="24"/>
                <w:szCs w:val="24"/>
              </w:rPr>
              <w:t>t</w:t>
            </w:r>
            <w:r>
              <w:rPr>
                <w:rFonts w:cs="Times New Roman"/>
                <w:kern w:val="0"/>
                <w:sz w:val="24"/>
                <w:szCs w:val="24"/>
              </w:rPr>
              <w:t>/</w:t>
            </w:r>
            <w:r>
              <w:rPr>
                <w:rFonts w:hint="eastAsia" w:cs="Times New Roman"/>
                <w:kern w:val="0"/>
                <w:sz w:val="24"/>
                <w:szCs w:val="24"/>
              </w:rPr>
              <w:t>a现场混装多孔粒状铵油炸药</w:t>
            </w:r>
            <w:r>
              <w:rPr>
                <w:rFonts w:hint="eastAsia" w:cs="Times New Roman"/>
                <w:kern w:val="0"/>
                <w:sz w:val="24"/>
                <w:szCs w:val="24"/>
                <w:lang w:val="en-US" w:eastAsia="zh-CN"/>
              </w:rPr>
              <w:t>生产线及其配套措施</w:t>
            </w:r>
            <w:r>
              <w:rPr>
                <w:bCs/>
                <w:sz w:val="24"/>
                <w:szCs w:val="24"/>
              </w:rPr>
              <w:t>。</w:t>
            </w:r>
          </w:p>
          <w:p>
            <w:pPr>
              <w:adjustRightInd w:val="0"/>
              <w:snapToGrid w:val="0"/>
              <w:spacing w:line="520" w:lineRule="exact"/>
              <w:ind w:firstLine="482" w:firstLineChars="200"/>
              <w:rPr>
                <w:b/>
                <w:sz w:val="24"/>
              </w:rPr>
            </w:pPr>
            <w:r>
              <w:rPr>
                <w:rFonts w:hint="eastAsia"/>
                <w:b/>
                <w:sz w:val="24"/>
                <w:lang w:val="en-US" w:eastAsia="zh-CN"/>
              </w:rPr>
              <w:t>3.</w:t>
            </w:r>
            <w:r>
              <w:rPr>
                <w:b/>
                <w:sz w:val="24"/>
              </w:rPr>
              <w:t>2</w:t>
            </w:r>
            <w:r>
              <w:rPr>
                <w:rFonts w:hint="eastAsia"/>
                <w:b/>
                <w:sz w:val="24"/>
                <w:lang w:val="en-US" w:eastAsia="zh-CN"/>
              </w:rPr>
              <w:t>迁建前</w:t>
            </w:r>
            <w:r>
              <w:rPr>
                <w:b/>
                <w:sz w:val="24"/>
              </w:rPr>
              <w:t>工程主要生产设备</w:t>
            </w:r>
          </w:p>
          <w:p>
            <w:pPr>
              <w:adjustRightInd w:val="0"/>
              <w:snapToGrid w:val="0"/>
              <w:spacing w:line="520" w:lineRule="exact"/>
              <w:ind w:firstLine="480" w:firstLineChars="200"/>
              <w:rPr>
                <w:bCs/>
                <w:sz w:val="24"/>
              </w:rPr>
            </w:pPr>
            <w:r>
              <w:rPr>
                <w:rFonts w:hint="eastAsia"/>
                <w:bCs/>
                <w:sz w:val="24"/>
              </w:rPr>
              <w:t>迁建前</w:t>
            </w:r>
            <w:r>
              <w:rPr>
                <w:bCs/>
                <w:sz w:val="24"/>
              </w:rPr>
              <w:t>工程主要设备见表</w:t>
            </w:r>
            <w:r>
              <w:rPr>
                <w:rFonts w:hint="eastAsia"/>
                <w:bCs/>
                <w:sz w:val="24"/>
                <w:lang w:val="en-US" w:eastAsia="zh-CN"/>
              </w:rPr>
              <w:t>2-11</w:t>
            </w:r>
            <w:r>
              <w:rPr>
                <w:bCs/>
                <w:sz w:val="24"/>
              </w:rPr>
              <w:t>。</w:t>
            </w:r>
          </w:p>
          <w:p>
            <w:pPr>
              <w:adjustRightInd w:val="0"/>
              <w:snapToGrid w:val="0"/>
              <w:ind w:firstLine="480" w:firstLineChars="200"/>
              <w:jc w:val="center"/>
              <w:rPr>
                <w:b/>
                <w:sz w:val="24"/>
              </w:rPr>
            </w:pPr>
            <w:r>
              <w:rPr>
                <w:rFonts w:hint="eastAsia" w:ascii="黑体" w:hAnsi="黑体" w:eastAsia="黑体" w:cs="黑体"/>
                <w:bCs/>
                <w:sz w:val="24"/>
              </w:rPr>
              <w:t>表</w:t>
            </w:r>
            <w:r>
              <w:rPr>
                <w:rFonts w:hint="eastAsia" w:ascii="黑体" w:hAnsi="黑体" w:eastAsia="黑体" w:cs="黑体"/>
                <w:bCs/>
                <w:sz w:val="24"/>
                <w:lang w:val="en-US" w:eastAsia="zh-CN"/>
              </w:rPr>
              <w:t>2-11</w:t>
            </w:r>
            <w:r>
              <w:rPr>
                <w:rFonts w:hint="eastAsia" w:ascii="黑体" w:hAnsi="黑体" w:eastAsia="黑体" w:cs="黑体"/>
                <w:bCs/>
                <w:sz w:val="24"/>
              </w:rPr>
              <w:t xml:space="preserve">  主要工艺设备一览表</w:t>
            </w:r>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759"/>
              <w:gridCol w:w="1710"/>
              <w:gridCol w:w="2317"/>
              <w:gridCol w:w="751"/>
              <w:gridCol w:w="907"/>
              <w:gridCol w:w="1493"/>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blHeader/>
                <w:jc w:val="center"/>
              </w:trPr>
              <w:tc>
                <w:tcPr>
                  <w:tcW w:w="759" w:type="dxa"/>
                  <w:tcBorders>
                    <w:top w:val="single" w:color="auto" w:sz="12" w:space="0"/>
                    <w:left w:val="nil"/>
                    <w:bottom w:val="single" w:color="auto" w:sz="6" w:space="0"/>
                    <w:right w:val="single" w:color="auto" w:sz="6" w:space="0"/>
                  </w:tcBorders>
                  <w:noWrap w:val="0"/>
                  <w:vAlign w:val="center"/>
                </w:tcPr>
                <w:p>
                  <w:pPr>
                    <w:adjustRightInd w:val="0"/>
                    <w:snapToGrid w:val="0"/>
                    <w:jc w:val="center"/>
                    <w:rPr>
                      <w:bCs/>
                      <w:sz w:val="21"/>
                      <w:szCs w:val="21"/>
                    </w:rPr>
                  </w:pPr>
                  <w:r>
                    <w:rPr>
                      <w:bCs/>
                      <w:sz w:val="21"/>
                      <w:szCs w:val="21"/>
                    </w:rPr>
                    <w:t>序号</w:t>
                  </w:r>
                </w:p>
              </w:tc>
              <w:tc>
                <w:tcPr>
                  <w:tcW w:w="1710" w:type="dxa"/>
                  <w:tcBorders>
                    <w:top w:val="single" w:color="auto" w:sz="12" w:space="0"/>
                    <w:left w:val="single" w:color="auto" w:sz="6" w:space="0"/>
                    <w:bottom w:val="single" w:color="auto" w:sz="6" w:space="0"/>
                    <w:right w:val="single" w:color="auto" w:sz="6" w:space="0"/>
                  </w:tcBorders>
                  <w:noWrap w:val="0"/>
                  <w:vAlign w:val="center"/>
                </w:tcPr>
                <w:p>
                  <w:pPr>
                    <w:adjustRightInd w:val="0"/>
                    <w:snapToGrid w:val="0"/>
                    <w:jc w:val="center"/>
                    <w:rPr>
                      <w:bCs/>
                      <w:sz w:val="21"/>
                      <w:szCs w:val="21"/>
                    </w:rPr>
                  </w:pPr>
                  <w:r>
                    <w:rPr>
                      <w:bCs/>
                      <w:sz w:val="21"/>
                      <w:szCs w:val="21"/>
                    </w:rPr>
                    <w:t>设备名称</w:t>
                  </w:r>
                </w:p>
              </w:tc>
              <w:tc>
                <w:tcPr>
                  <w:tcW w:w="2317" w:type="dxa"/>
                  <w:tcBorders>
                    <w:top w:val="single" w:color="auto" w:sz="12" w:space="0"/>
                    <w:left w:val="single" w:color="auto" w:sz="6" w:space="0"/>
                    <w:bottom w:val="single" w:color="auto" w:sz="6" w:space="0"/>
                    <w:right w:val="single" w:color="auto" w:sz="6" w:space="0"/>
                  </w:tcBorders>
                  <w:noWrap w:val="0"/>
                  <w:vAlign w:val="center"/>
                </w:tcPr>
                <w:p>
                  <w:pPr>
                    <w:adjustRightInd w:val="0"/>
                    <w:snapToGrid w:val="0"/>
                    <w:jc w:val="center"/>
                    <w:rPr>
                      <w:bCs/>
                      <w:sz w:val="21"/>
                      <w:szCs w:val="21"/>
                    </w:rPr>
                  </w:pPr>
                  <w:r>
                    <w:rPr>
                      <w:bCs/>
                      <w:sz w:val="21"/>
                      <w:szCs w:val="21"/>
                    </w:rPr>
                    <w:t>型号规格</w:t>
                  </w:r>
                </w:p>
              </w:tc>
              <w:tc>
                <w:tcPr>
                  <w:tcW w:w="751" w:type="dxa"/>
                  <w:tcBorders>
                    <w:top w:val="single" w:color="auto" w:sz="12" w:space="0"/>
                    <w:left w:val="single" w:color="auto" w:sz="6" w:space="0"/>
                    <w:bottom w:val="single" w:color="auto" w:sz="6" w:space="0"/>
                    <w:right w:val="single" w:color="auto" w:sz="6" w:space="0"/>
                  </w:tcBorders>
                  <w:noWrap w:val="0"/>
                  <w:vAlign w:val="center"/>
                </w:tcPr>
                <w:p>
                  <w:pPr>
                    <w:adjustRightInd w:val="0"/>
                    <w:snapToGrid w:val="0"/>
                    <w:jc w:val="center"/>
                    <w:rPr>
                      <w:bCs/>
                      <w:sz w:val="21"/>
                      <w:szCs w:val="21"/>
                    </w:rPr>
                  </w:pPr>
                  <w:r>
                    <w:rPr>
                      <w:bCs/>
                      <w:sz w:val="21"/>
                      <w:szCs w:val="21"/>
                    </w:rPr>
                    <w:t>数量</w:t>
                  </w:r>
                </w:p>
              </w:tc>
              <w:tc>
                <w:tcPr>
                  <w:tcW w:w="907" w:type="dxa"/>
                  <w:tcBorders>
                    <w:top w:val="single" w:color="auto" w:sz="12" w:space="0"/>
                    <w:left w:val="single" w:color="auto" w:sz="6" w:space="0"/>
                    <w:bottom w:val="single" w:color="auto" w:sz="6" w:space="0"/>
                    <w:right w:val="single" w:color="auto" w:sz="6" w:space="0"/>
                  </w:tcBorders>
                  <w:noWrap w:val="0"/>
                  <w:vAlign w:val="center"/>
                </w:tcPr>
                <w:p>
                  <w:pPr>
                    <w:adjustRightInd w:val="0"/>
                    <w:snapToGrid w:val="0"/>
                    <w:jc w:val="center"/>
                    <w:rPr>
                      <w:bCs/>
                      <w:sz w:val="21"/>
                      <w:szCs w:val="21"/>
                    </w:rPr>
                  </w:pPr>
                  <w:r>
                    <w:rPr>
                      <w:bCs/>
                      <w:sz w:val="21"/>
                      <w:szCs w:val="21"/>
                    </w:rPr>
                    <w:t>单位</w:t>
                  </w:r>
                </w:p>
              </w:tc>
              <w:tc>
                <w:tcPr>
                  <w:tcW w:w="1493" w:type="dxa"/>
                  <w:tcBorders>
                    <w:top w:val="single" w:color="auto" w:sz="12" w:space="0"/>
                    <w:left w:val="single" w:color="auto" w:sz="6" w:space="0"/>
                    <w:bottom w:val="single" w:color="auto" w:sz="6" w:space="0"/>
                    <w:right w:val="nil"/>
                  </w:tcBorders>
                  <w:noWrap w:val="0"/>
                  <w:vAlign w:val="center"/>
                </w:tcPr>
                <w:p>
                  <w:pPr>
                    <w:adjustRightInd w:val="0"/>
                    <w:snapToGrid w:val="0"/>
                    <w:jc w:val="center"/>
                    <w:rPr>
                      <w:bCs/>
                      <w:sz w:val="21"/>
                      <w:szCs w:val="21"/>
                    </w:rPr>
                  </w:pPr>
                  <w:r>
                    <w:rPr>
                      <w:bCs/>
                      <w:sz w:val="21"/>
                      <w:szCs w:val="21"/>
                    </w:rPr>
                    <w:t>厂区内位置</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blHeader/>
                <w:jc w:val="center"/>
              </w:trPr>
              <w:tc>
                <w:tcPr>
                  <w:tcW w:w="759" w:type="dxa"/>
                  <w:tcBorders>
                    <w:top w:val="single" w:color="auto" w:sz="6" w:space="0"/>
                    <w:left w:val="nil"/>
                    <w:bottom w:val="single" w:color="auto" w:sz="6" w:space="0"/>
                    <w:right w:val="single" w:color="auto" w:sz="6" w:space="0"/>
                  </w:tcBorders>
                  <w:noWrap w:val="0"/>
                  <w:vAlign w:val="center"/>
                </w:tcPr>
                <w:p>
                  <w:pPr>
                    <w:adjustRightInd w:val="0"/>
                    <w:snapToGrid w:val="0"/>
                    <w:jc w:val="center"/>
                    <w:rPr>
                      <w:bCs/>
                      <w:sz w:val="21"/>
                      <w:szCs w:val="21"/>
                    </w:rPr>
                  </w:pPr>
                  <w:r>
                    <w:rPr>
                      <w:bCs/>
                      <w:sz w:val="21"/>
                      <w:szCs w:val="21"/>
                    </w:rPr>
                    <w:t>1</w:t>
                  </w:r>
                </w:p>
              </w:tc>
              <w:tc>
                <w:tcPr>
                  <w:tcW w:w="1710"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eastAsia="宋体"/>
                      <w:bCs/>
                      <w:sz w:val="21"/>
                      <w:szCs w:val="21"/>
                      <w:lang w:val="en-US" w:eastAsia="zh-CN"/>
                    </w:rPr>
                  </w:pPr>
                  <w:r>
                    <w:rPr>
                      <w:rFonts w:hint="eastAsia"/>
                      <w:bCs/>
                      <w:sz w:val="21"/>
                      <w:szCs w:val="21"/>
                      <w:lang w:val="en-US" w:eastAsia="zh-CN"/>
                    </w:rPr>
                    <w:t>混装车</w:t>
                  </w:r>
                </w:p>
              </w:tc>
              <w:tc>
                <w:tcPr>
                  <w:tcW w:w="2317"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eastAsia" w:eastAsia="宋体"/>
                      <w:bCs/>
                      <w:sz w:val="21"/>
                      <w:szCs w:val="21"/>
                      <w:lang w:val="en-US" w:eastAsia="zh-CN"/>
                    </w:rPr>
                  </w:pPr>
                  <w:r>
                    <w:rPr>
                      <w:rFonts w:hint="eastAsia"/>
                      <w:bCs/>
                      <w:sz w:val="21"/>
                      <w:szCs w:val="21"/>
                      <w:lang w:val="en-US" w:eastAsia="zh-CN"/>
                    </w:rPr>
                    <w:t>/</w:t>
                  </w:r>
                </w:p>
              </w:tc>
              <w:tc>
                <w:tcPr>
                  <w:tcW w:w="751"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eastAsia" w:eastAsia="宋体"/>
                      <w:bCs/>
                      <w:sz w:val="21"/>
                      <w:szCs w:val="21"/>
                      <w:lang w:val="en-US" w:eastAsia="zh-CN"/>
                    </w:rPr>
                  </w:pPr>
                  <w:r>
                    <w:rPr>
                      <w:rFonts w:hint="eastAsia"/>
                      <w:bCs/>
                      <w:sz w:val="21"/>
                      <w:szCs w:val="21"/>
                      <w:lang w:val="en-US" w:eastAsia="zh-CN"/>
                    </w:rPr>
                    <w:t>2</w:t>
                  </w:r>
                </w:p>
              </w:tc>
              <w:tc>
                <w:tcPr>
                  <w:tcW w:w="907"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eastAsia" w:eastAsia="宋体"/>
                      <w:bCs/>
                      <w:sz w:val="21"/>
                      <w:szCs w:val="21"/>
                      <w:lang w:val="en-US" w:eastAsia="zh-CN"/>
                    </w:rPr>
                  </w:pPr>
                  <w:r>
                    <w:rPr>
                      <w:rFonts w:hint="eastAsia"/>
                      <w:bCs/>
                      <w:sz w:val="21"/>
                      <w:szCs w:val="21"/>
                      <w:lang w:val="en-US" w:eastAsia="zh-CN"/>
                    </w:rPr>
                    <w:t>台</w:t>
                  </w:r>
                </w:p>
              </w:tc>
              <w:tc>
                <w:tcPr>
                  <w:tcW w:w="1493" w:type="dxa"/>
                  <w:tcBorders>
                    <w:top w:val="single" w:color="auto" w:sz="6" w:space="0"/>
                    <w:left w:val="single" w:color="auto" w:sz="6" w:space="0"/>
                    <w:bottom w:val="single" w:color="auto" w:sz="6" w:space="0"/>
                    <w:right w:val="nil"/>
                  </w:tcBorders>
                  <w:noWrap w:val="0"/>
                  <w:vAlign w:val="center"/>
                </w:tcPr>
                <w:p>
                  <w:pPr>
                    <w:adjustRightInd w:val="0"/>
                    <w:snapToGrid w:val="0"/>
                    <w:jc w:val="center"/>
                    <w:rPr>
                      <w:rFonts w:hint="default" w:eastAsia="宋体"/>
                      <w:bCs/>
                      <w:sz w:val="21"/>
                      <w:szCs w:val="21"/>
                      <w:lang w:val="en-US" w:eastAsia="zh-CN"/>
                    </w:rPr>
                  </w:pPr>
                  <w:r>
                    <w:rPr>
                      <w:rFonts w:hint="eastAsia"/>
                      <w:bCs/>
                      <w:sz w:val="21"/>
                      <w:szCs w:val="21"/>
                      <w:lang w:val="en-US" w:eastAsia="zh-CN"/>
                    </w:rPr>
                    <w:t>混装车库</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blHeader/>
                <w:jc w:val="center"/>
              </w:trPr>
              <w:tc>
                <w:tcPr>
                  <w:tcW w:w="759" w:type="dxa"/>
                  <w:tcBorders>
                    <w:top w:val="single" w:color="auto" w:sz="6" w:space="0"/>
                    <w:left w:val="nil"/>
                    <w:bottom w:val="single" w:color="auto" w:sz="6" w:space="0"/>
                    <w:right w:val="single" w:color="auto" w:sz="6" w:space="0"/>
                  </w:tcBorders>
                  <w:noWrap w:val="0"/>
                  <w:vAlign w:val="center"/>
                </w:tcPr>
                <w:p>
                  <w:pPr>
                    <w:adjustRightInd w:val="0"/>
                    <w:snapToGrid w:val="0"/>
                    <w:jc w:val="center"/>
                    <w:rPr>
                      <w:bCs/>
                      <w:sz w:val="21"/>
                      <w:szCs w:val="21"/>
                    </w:rPr>
                  </w:pPr>
                  <w:r>
                    <w:rPr>
                      <w:bCs/>
                      <w:sz w:val="21"/>
                      <w:szCs w:val="21"/>
                    </w:rPr>
                    <w:t>2</w:t>
                  </w:r>
                </w:p>
              </w:tc>
              <w:tc>
                <w:tcPr>
                  <w:tcW w:w="1710"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eastAsia="宋体"/>
                      <w:bCs/>
                      <w:sz w:val="21"/>
                      <w:szCs w:val="21"/>
                      <w:lang w:val="en-US" w:eastAsia="zh-CN"/>
                    </w:rPr>
                  </w:pPr>
                  <w:r>
                    <w:rPr>
                      <w:rFonts w:hint="eastAsia"/>
                      <w:bCs/>
                      <w:sz w:val="21"/>
                      <w:szCs w:val="21"/>
                      <w:lang w:val="en-US" w:eastAsia="zh-CN"/>
                    </w:rPr>
                    <w:t>地埋式柴油储罐</w:t>
                  </w:r>
                </w:p>
              </w:tc>
              <w:tc>
                <w:tcPr>
                  <w:tcW w:w="2317"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eastAsia="宋体"/>
                      <w:bCs/>
                      <w:sz w:val="21"/>
                      <w:szCs w:val="21"/>
                      <w:vertAlign w:val="baseline"/>
                      <w:lang w:val="en-US" w:eastAsia="zh-CN"/>
                    </w:rPr>
                  </w:pPr>
                  <w:r>
                    <w:rPr>
                      <w:rFonts w:hint="eastAsia"/>
                      <w:bCs/>
                      <w:sz w:val="21"/>
                      <w:szCs w:val="21"/>
                      <w:lang w:val="en-US" w:eastAsia="zh-CN"/>
                    </w:rPr>
                    <w:t>30m</w:t>
                  </w:r>
                  <w:r>
                    <w:rPr>
                      <w:rFonts w:hint="eastAsia"/>
                      <w:bCs/>
                      <w:sz w:val="21"/>
                      <w:szCs w:val="21"/>
                      <w:vertAlign w:val="superscript"/>
                      <w:lang w:val="en-US" w:eastAsia="zh-CN"/>
                    </w:rPr>
                    <w:t>3</w:t>
                  </w:r>
                </w:p>
              </w:tc>
              <w:tc>
                <w:tcPr>
                  <w:tcW w:w="751"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eastAsia" w:eastAsia="宋体"/>
                      <w:bCs/>
                      <w:sz w:val="21"/>
                      <w:szCs w:val="21"/>
                      <w:lang w:val="en-US" w:eastAsia="zh-CN"/>
                    </w:rPr>
                  </w:pPr>
                  <w:r>
                    <w:rPr>
                      <w:rFonts w:hint="eastAsia"/>
                      <w:bCs/>
                      <w:sz w:val="21"/>
                      <w:szCs w:val="21"/>
                      <w:lang w:val="en-US" w:eastAsia="zh-CN"/>
                    </w:rPr>
                    <w:t>1</w:t>
                  </w:r>
                </w:p>
              </w:tc>
              <w:tc>
                <w:tcPr>
                  <w:tcW w:w="907"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eastAsia" w:eastAsia="宋体"/>
                      <w:bCs/>
                      <w:sz w:val="21"/>
                      <w:szCs w:val="21"/>
                      <w:lang w:val="en-US" w:eastAsia="zh-CN"/>
                    </w:rPr>
                  </w:pPr>
                  <w:r>
                    <w:rPr>
                      <w:rFonts w:hint="eastAsia"/>
                      <w:bCs/>
                      <w:sz w:val="21"/>
                      <w:szCs w:val="21"/>
                      <w:lang w:val="en-US" w:eastAsia="zh-CN"/>
                    </w:rPr>
                    <w:t>座</w:t>
                  </w:r>
                </w:p>
              </w:tc>
              <w:tc>
                <w:tcPr>
                  <w:tcW w:w="1493" w:type="dxa"/>
                  <w:tcBorders>
                    <w:top w:val="single" w:color="auto" w:sz="6" w:space="0"/>
                    <w:left w:val="single" w:color="auto" w:sz="6" w:space="0"/>
                    <w:bottom w:val="single" w:color="auto" w:sz="6" w:space="0"/>
                    <w:right w:val="nil"/>
                  </w:tcBorders>
                  <w:noWrap w:val="0"/>
                  <w:vAlign w:val="center"/>
                </w:tcPr>
                <w:p>
                  <w:pPr>
                    <w:adjustRightInd w:val="0"/>
                    <w:snapToGrid w:val="0"/>
                    <w:jc w:val="center"/>
                    <w:rPr>
                      <w:rFonts w:hint="eastAsia" w:eastAsia="宋体"/>
                      <w:bCs/>
                      <w:sz w:val="21"/>
                      <w:szCs w:val="21"/>
                      <w:lang w:val="en-US" w:eastAsia="zh-CN"/>
                    </w:rPr>
                  </w:pPr>
                  <w:r>
                    <w:rPr>
                      <w:rFonts w:hint="eastAsia"/>
                      <w:bCs/>
                      <w:sz w:val="21"/>
                      <w:szCs w:val="21"/>
                      <w:lang w:val="en-US" w:eastAsia="zh-CN"/>
                    </w:rPr>
                    <w:t>柴油储罐区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blHeader/>
                <w:jc w:val="center"/>
              </w:trPr>
              <w:tc>
                <w:tcPr>
                  <w:tcW w:w="759" w:type="dxa"/>
                  <w:tcBorders>
                    <w:top w:val="single" w:color="auto" w:sz="6" w:space="0"/>
                    <w:left w:val="nil"/>
                    <w:bottom w:val="single" w:color="auto" w:sz="6" w:space="0"/>
                    <w:right w:val="single" w:color="auto" w:sz="6" w:space="0"/>
                  </w:tcBorders>
                  <w:noWrap w:val="0"/>
                  <w:vAlign w:val="center"/>
                </w:tcPr>
                <w:p>
                  <w:pPr>
                    <w:adjustRightInd w:val="0"/>
                    <w:snapToGrid w:val="0"/>
                    <w:jc w:val="center"/>
                    <w:rPr>
                      <w:bCs/>
                      <w:sz w:val="21"/>
                      <w:szCs w:val="21"/>
                    </w:rPr>
                  </w:pPr>
                  <w:r>
                    <w:rPr>
                      <w:bCs/>
                      <w:sz w:val="21"/>
                      <w:szCs w:val="21"/>
                    </w:rPr>
                    <w:t>3</w:t>
                  </w:r>
                </w:p>
              </w:tc>
              <w:tc>
                <w:tcPr>
                  <w:tcW w:w="1710"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bCs/>
                      <w:sz w:val="21"/>
                      <w:szCs w:val="21"/>
                    </w:rPr>
                  </w:pPr>
                  <w:r>
                    <w:rPr>
                      <w:rFonts w:hint="eastAsia" w:cs="Times New Roman"/>
                      <w:color w:val="000000" w:themeColor="text1"/>
                      <w:sz w:val="21"/>
                      <w14:textFill>
                        <w14:solidFill>
                          <w14:schemeClr w14:val="tx1"/>
                        </w14:solidFill>
                      </w14:textFill>
                    </w:rPr>
                    <w:t>变频电磁采暖炉</w:t>
                  </w:r>
                </w:p>
              </w:tc>
              <w:tc>
                <w:tcPr>
                  <w:tcW w:w="2317"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ind w:firstLine="420" w:firstLineChars="200"/>
                    <w:jc w:val="center"/>
                    <w:rPr>
                      <w:rFonts w:hint="eastAsia" w:eastAsia="宋体"/>
                      <w:bCs/>
                      <w:sz w:val="21"/>
                      <w:szCs w:val="21"/>
                      <w:lang w:val="en-US" w:eastAsia="zh-CN"/>
                    </w:rPr>
                  </w:pPr>
                  <w:r>
                    <w:rPr>
                      <w:rFonts w:hint="eastAsia"/>
                      <w:bCs/>
                      <w:sz w:val="21"/>
                      <w:szCs w:val="21"/>
                      <w:lang w:val="en-US" w:eastAsia="zh-CN"/>
                    </w:rPr>
                    <w:t>/</w:t>
                  </w:r>
                </w:p>
              </w:tc>
              <w:tc>
                <w:tcPr>
                  <w:tcW w:w="751"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eastAsia" w:eastAsia="宋体"/>
                      <w:bCs/>
                      <w:sz w:val="21"/>
                      <w:szCs w:val="21"/>
                      <w:lang w:val="en-US" w:eastAsia="zh-CN"/>
                    </w:rPr>
                  </w:pPr>
                  <w:r>
                    <w:rPr>
                      <w:rFonts w:hint="eastAsia"/>
                      <w:bCs/>
                      <w:sz w:val="21"/>
                      <w:szCs w:val="21"/>
                      <w:lang w:val="en-US" w:eastAsia="zh-CN"/>
                    </w:rPr>
                    <w:t>1</w:t>
                  </w:r>
                </w:p>
              </w:tc>
              <w:tc>
                <w:tcPr>
                  <w:tcW w:w="907" w:type="dxa"/>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eastAsia" w:eastAsia="宋体"/>
                      <w:bCs/>
                      <w:sz w:val="21"/>
                      <w:szCs w:val="21"/>
                      <w:lang w:val="en-US" w:eastAsia="zh-CN"/>
                    </w:rPr>
                  </w:pPr>
                  <w:r>
                    <w:rPr>
                      <w:rFonts w:hint="eastAsia"/>
                      <w:bCs/>
                      <w:sz w:val="21"/>
                      <w:szCs w:val="21"/>
                      <w:lang w:val="en-US" w:eastAsia="zh-CN"/>
                    </w:rPr>
                    <w:t>台</w:t>
                  </w:r>
                </w:p>
              </w:tc>
              <w:tc>
                <w:tcPr>
                  <w:tcW w:w="1493" w:type="dxa"/>
                  <w:tcBorders>
                    <w:top w:val="single" w:color="auto" w:sz="6" w:space="0"/>
                    <w:left w:val="single" w:color="auto" w:sz="6" w:space="0"/>
                    <w:bottom w:val="single" w:color="auto" w:sz="6" w:space="0"/>
                    <w:right w:val="nil"/>
                  </w:tcBorders>
                  <w:noWrap w:val="0"/>
                  <w:vAlign w:val="center"/>
                </w:tcPr>
                <w:p>
                  <w:pPr>
                    <w:adjustRightInd w:val="0"/>
                    <w:snapToGrid w:val="0"/>
                    <w:jc w:val="center"/>
                    <w:rPr>
                      <w:rFonts w:hint="eastAsia" w:eastAsia="宋体"/>
                      <w:bCs/>
                      <w:sz w:val="21"/>
                      <w:szCs w:val="21"/>
                      <w:lang w:val="en-US" w:eastAsia="zh-CN"/>
                    </w:rPr>
                  </w:pPr>
                  <w:r>
                    <w:rPr>
                      <w:rFonts w:hint="eastAsia"/>
                      <w:bCs/>
                      <w:sz w:val="21"/>
                      <w:szCs w:val="21"/>
                      <w:lang w:val="en-US" w:eastAsia="zh-CN"/>
                    </w:rPr>
                    <w:t>锅炉房</w:t>
                  </w:r>
                </w:p>
              </w:tc>
            </w:tr>
          </w:tbl>
          <w:p>
            <w:pPr>
              <w:adjustRightInd w:val="0"/>
              <w:snapToGrid w:val="0"/>
              <w:spacing w:line="520" w:lineRule="exact"/>
              <w:ind w:firstLine="482" w:firstLineChars="200"/>
              <w:rPr>
                <w:b/>
                <w:color w:val="FF0000"/>
                <w:sz w:val="24"/>
              </w:rPr>
            </w:pPr>
            <w:r>
              <w:rPr>
                <w:b/>
                <w:sz w:val="24"/>
              </w:rPr>
              <w:t>2.3</w:t>
            </w:r>
            <w:r>
              <w:rPr>
                <w:b/>
                <w:color w:val="auto"/>
                <w:sz w:val="24"/>
              </w:rPr>
              <w:t>现有项目生产工艺及产污环节</w:t>
            </w:r>
          </w:p>
          <w:p>
            <w:pPr>
              <w:adjustRightInd w:val="0"/>
              <w:snapToGrid w:val="0"/>
              <w:spacing w:line="360" w:lineRule="auto"/>
              <w:ind w:firstLine="420" w:firstLineChars="200"/>
              <w:rPr>
                <w:bCs/>
                <w:sz w:val="24"/>
              </w:rPr>
            </w:pPr>
            <w:r>
              <w:drawing>
                <wp:inline distT="0" distB="0" distL="114300" distR="114300">
                  <wp:extent cx="4793615" cy="4239895"/>
                  <wp:effectExtent l="0" t="0" r="6985" b="8255"/>
                  <wp:docPr id="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
                          <pic:cNvPicPr>
                            <a:picLocks noChangeAspect="1"/>
                          </pic:cNvPicPr>
                        </pic:nvPicPr>
                        <pic:blipFill>
                          <a:blip r:embed="rId25"/>
                          <a:stretch>
                            <a:fillRect/>
                          </a:stretch>
                        </pic:blipFill>
                        <pic:spPr>
                          <a:xfrm>
                            <a:off x="0" y="0"/>
                            <a:ext cx="4793615" cy="42398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黑体" w:hAnsi="黑体" w:eastAsia="黑体" w:cs="黑体"/>
                <w:bCs/>
                <w:sz w:val="24"/>
              </w:rPr>
            </w:pPr>
            <w:r>
              <w:rPr>
                <w:rFonts w:hint="eastAsia" w:ascii="黑体" w:hAnsi="黑体" w:eastAsia="黑体" w:cs="黑体"/>
                <w:bCs/>
                <w:sz w:val="24"/>
              </w:rPr>
              <w:t>图</w:t>
            </w:r>
            <w:r>
              <w:rPr>
                <w:rFonts w:hint="eastAsia" w:ascii="黑体" w:hAnsi="黑体" w:eastAsia="黑体" w:cs="黑体"/>
                <w:bCs/>
                <w:sz w:val="24"/>
                <w:lang w:val="en-US" w:eastAsia="zh-CN"/>
              </w:rPr>
              <w:t>2-4</w:t>
            </w:r>
            <w:r>
              <w:rPr>
                <w:rFonts w:hint="eastAsia" w:ascii="黑体" w:hAnsi="黑体" w:eastAsia="黑体" w:cs="黑体"/>
                <w:bCs/>
                <w:sz w:val="24"/>
              </w:rPr>
              <w:t xml:space="preserve">  现有项目生产工艺及产污环节图</w:t>
            </w:r>
          </w:p>
          <w:p>
            <w:pPr>
              <w:adjustRightInd w:val="0"/>
              <w:snapToGrid w:val="0"/>
              <w:spacing w:line="520" w:lineRule="exact"/>
              <w:ind w:firstLine="480" w:firstLineChars="200"/>
              <w:rPr>
                <w:rFonts w:hint="eastAsia"/>
                <w:bCs/>
                <w:sz w:val="24"/>
                <w:lang w:eastAsia="zh-CN"/>
              </w:rPr>
            </w:pPr>
            <w:r>
              <w:rPr>
                <w:rFonts w:hint="eastAsia"/>
                <w:bCs/>
                <w:sz w:val="24"/>
                <w:lang w:eastAsia="zh-CN"/>
              </w:rPr>
              <w:t>工艺说明：</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eastAsia"/>
                <w:bCs/>
                <w:sz w:val="24"/>
                <w:lang w:eastAsia="zh-CN"/>
              </w:rPr>
            </w:pPr>
            <w:r>
              <w:rPr>
                <w:rFonts w:hint="eastAsia"/>
                <w:bCs/>
                <w:sz w:val="24"/>
                <w:lang w:eastAsia="zh-CN"/>
              </w:rPr>
              <w:t>现场混装多孔粒状铵油炸药的生产包括地面站的物料配比装车工序和爆破现场物料混装阶段，物料经爆破现场按配比混合后形成炸药。多孔粒状铵油炸药现场混装工艺流程如下：</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eastAsia"/>
                <w:bCs/>
                <w:sz w:val="24"/>
                <w:lang w:eastAsia="zh-CN"/>
              </w:rPr>
            </w:pPr>
            <w:r>
              <w:rPr>
                <w:rFonts w:hint="eastAsia"/>
                <w:bCs/>
                <w:sz w:val="24"/>
                <w:lang w:eastAsia="zh-CN"/>
              </w:rPr>
              <w:t>（1）多孔粒状硝酸铵上车</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eastAsia"/>
                <w:bCs/>
                <w:sz w:val="24"/>
                <w:lang w:eastAsia="zh-CN"/>
              </w:rPr>
            </w:pPr>
            <w:r>
              <w:rPr>
                <w:rFonts w:hint="eastAsia"/>
                <w:bCs/>
                <w:sz w:val="24"/>
                <w:lang w:eastAsia="zh-CN"/>
              </w:rPr>
              <w:t>将多孔粒状硝酸铵从库房采用皮带输送机运输到多孔粒状硝酸铵上料工房的上料平台，人工解开包装线后将多孔粒状硝酸铵倒入带有过滤网的储料漏斗内，使多孔粒状硝酸铵流到位于工房下层的多孔粒状铵油炸药混装车上的氧化剂料仓中备用。</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eastAsia"/>
                <w:bCs/>
                <w:sz w:val="24"/>
                <w:lang w:eastAsia="zh-CN"/>
              </w:rPr>
            </w:pPr>
            <w:r>
              <w:rPr>
                <w:rFonts w:hint="eastAsia"/>
                <w:bCs/>
                <w:sz w:val="24"/>
                <w:lang w:eastAsia="zh-CN"/>
              </w:rPr>
              <w:t>（2）柴油输送</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eastAsia"/>
                <w:bCs/>
                <w:sz w:val="24"/>
                <w:lang w:eastAsia="zh-CN"/>
              </w:rPr>
            </w:pPr>
            <w:r>
              <w:rPr>
                <w:rFonts w:hint="eastAsia"/>
                <w:bCs/>
                <w:sz w:val="24"/>
                <w:lang w:eastAsia="zh-CN"/>
              </w:rPr>
              <w:t>将柴油用加油机计量泵送到多孔粒状铵油炸药混装车上燃油罐中备用。</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eastAsia"/>
                <w:bCs/>
                <w:sz w:val="24"/>
                <w:lang w:eastAsia="zh-CN"/>
              </w:rPr>
            </w:pPr>
            <w:r>
              <w:rPr>
                <w:rFonts w:hint="eastAsia"/>
                <w:bCs/>
                <w:sz w:val="24"/>
                <w:lang w:eastAsia="zh-CN"/>
              </w:rPr>
              <w:t>（3）多孔粒状铵油炸药混装车生产工艺</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eastAsia"/>
                <w:bCs/>
                <w:sz w:val="24"/>
                <w:lang w:eastAsia="zh-CN"/>
              </w:rPr>
            </w:pPr>
            <w:r>
              <w:rPr>
                <w:rFonts w:hint="eastAsia"/>
                <w:bCs/>
                <w:sz w:val="24"/>
                <w:lang w:eastAsia="zh-CN"/>
              </w:rPr>
              <w:t>多孔粒状铵油炸药混装车由汽车底盘和上盘组成，其中上盘包括氧化剂料仓、燃油箱、配料机构、计量控制系统等；动力来源于汽车发动机，通过取力装置将动力传递给液压油泵，液压马达驱动各工作机构。</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eastAsia"/>
                <w:bCs/>
                <w:sz w:val="24"/>
                <w:lang w:eastAsia="zh-CN"/>
              </w:rPr>
            </w:pPr>
            <w:r>
              <w:rPr>
                <w:rFonts w:hint="eastAsia"/>
                <w:bCs/>
                <w:sz w:val="24"/>
                <w:lang w:eastAsia="zh-CN"/>
              </w:rPr>
              <w:t>多孔粒状铵油炸药混装车在到达爆破施工现场前，在地面站已将多孔粒状硝酸铵、柴油加入到混装炸药车上的料仓或箱体内，将现场混装炸药车开至爆破施工现场，启动液压系统，在计量控制器上置入生产工艺参数后，开启工作开关，上盘各工作机构即开始工作。多孔粒状硝酸铵、柴油通过各自的输送和计量系统进入混药螺旋，再经过输药螺旋的充分混合后成为铵油炸药并直接输送到爆破孔内。</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2" w:firstLineChars="200"/>
              <w:textAlignment w:val="auto"/>
              <w:rPr>
                <w:rFonts w:hint="eastAsia" w:eastAsia="宋体"/>
                <w:b/>
                <w:bCs w:val="0"/>
                <w:sz w:val="24"/>
                <w:lang w:eastAsia="zh-CN"/>
              </w:rPr>
            </w:pPr>
            <w:r>
              <w:rPr>
                <w:rFonts w:hint="eastAsia"/>
                <w:b/>
                <w:bCs w:val="0"/>
                <w:sz w:val="24"/>
                <w:lang w:eastAsia="zh-CN"/>
              </w:rPr>
              <w:t>产污环节：</w:t>
            </w:r>
          </w:p>
          <w:p>
            <w:pPr>
              <w:adjustRightInd w:val="0"/>
              <w:snapToGrid w:val="0"/>
              <w:spacing w:line="520" w:lineRule="exact"/>
              <w:ind w:firstLine="480" w:firstLineChars="200"/>
              <w:rPr>
                <w:bCs/>
                <w:sz w:val="24"/>
              </w:rPr>
            </w:pPr>
            <w:r>
              <w:rPr>
                <w:bCs/>
                <w:sz w:val="24"/>
              </w:rPr>
              <w:t>（1）废气</w:t>
            </w:r>
          </w:p>
          <w:p>
            <w:pPr>
              <w:spacing w:line="520" w:lineRule="exact"/>
              <w:ind w:firstLine="480" w:firstLineChars="200"/>
              <w:rPr>
                <w:bCs/>
                <w:sz w:val="24"/>
              </w:rPr>
            </w:pPr>
            <w:r>
              <w:rPr>
                <w:rFonts w:hint="eastAsia"/>
                <w:bCs/>
                <w:sz w:val="24"/>
                <w:lang w:val="en-US" w:eastAsia="zh-CN"/>
              </w:rPr>
              <w:t>1）</w:t>
            </w:r>
            <w:r>
              <w:rPr>
                <w:rFonts w:hint="eastAsia"/>
                <w:bCs/>
                <w:sz w:val="24"/>
              </w:rPr>
              <w:t>硝酸铵在投料时产生</w:t>
            </w:r>
            <w:r>
              <w:rPr>
                <w:rFonts w:hint="eastAsia"/>
                <w:bCs/>
                <w:sz w:val="24"/>
                <w:lang w:val="en-US" w:eastAsia="zh-CN"/>
              </w:rPr>
              <w:t>的</w:t>
            </w:r>
            <w:r>
              <w:rPr>
                <w:rFonts w:hint="eastAsia"/>
                <w:bCs/>
                <w:sz w:val="24"/>
              </w:rPr>
              <w:t>粉尘</w:t>
            </w:r>
            <w:r>
              <w:rPr>
                <w:bCs/>
                <w:sz w:val="24"/>
              </w:rPr>
              <w:t>。</w:t>
            </w:r>
          </w:p>
          <w:p>
            <w:pPr>
              <w:adjustRightInd w:val="0"/>
              <w:snapToGrid w:val="0"/>
              <w:spacing w:line="520" w:lineRule="exact"/>
              <w:ind w:firstLine="480" w:firstLineChars="200"/>
              <w:rPr>
                <w:rFonts w:hint="default" w:eastAsia="宋体"/>
                <w:bCs/>
                <w:sz w:val="24"/>
                <w:lang w:val="en-US" w:eastAsia="zh-CN"/>
              </w:rPr>
            </w:pPr>
            <w:r>
              <w:rPr>
                <w:rFonts w:hint="eastAsia"/>
                <w:bCs/>
                <w:sz w:val="24"/>
                <w:lang w:val="en-US" w:eastAsia="zh-CN"/>
              </w:rPr>
              <w:t>2</w:t>
            </w:r>
            <w:r>
              <w:rPr>
                <w:bCs/>
                <w:sz w:val="24"/>
              </w:rPr>
              <w:t>）</w:t>
            </w:r>
            <w:r>
              <w:rPr>
                <w:rFonts w:hint="eastAsia"/>
                <w:bCs/>
                <w:sz w:val="24"/>
                <w:lang w:val="en-US" w:eastAsia="zh-CN"/>
              </w:rPr>
              <w:t>柴油储存、装卸过程中逸散的废气。</w:t>
            </w:r>
          </w:p>
          <w:p>
            <w:pPr>
              <w:adjustRightInd w:val="0"/>
              <w:snapToGrid w:val="0"/>
              <w:spacing w:line="520" w:lineRule="exact"/>
              <w:ind w:firstLine="480" w:firstLineChars="200"/>
              <w:rPr>
                <w:rFonts w:hint="default" w:eastAsia="宋体"/>
                <w:bCs/>
                <w:sz w:val="24"/>
                <w:lang w:val="en-US" w:eastAsia="zh-CN"/>
              </w:rPr>
            </w:pPr>
            <w:r>
              <w:rPr>
                <w:rFonts w:hint="eastAsia"/>
                <w:bCs/>
                <w:sz w:val="24"/>
                <w:lang w:val="en-US" w:eastAsia="zh-CN"/>
              </w:rPr>
              <w:t>3）食堂烹饪过程中产生的食堂油烟。</w:t>
            </w:r>
          </w:p>
          <w:p>
            <w:pPr>
              <w:adjustRightInd w:val="0"/>
              <w:snapToGrid w:val="0"/>
              <w:spacing w:line="520" w:lineRule="exact"/>
              <w:ind w:firstLine="480" w:firstLineChars="200"/>
              <w:rPr>
                <w:bCs/>
                <w:sz w:val="24"/>
              </w:rPr>
            </w:pPr>
            <w:r>
              <w:rPr>
                <w:bCs/>
                <w:sz w:val="24"/>
              </w:rPr>
              <w:t>（2）废水</w:t>
            </w:r>
          </w:p>
          <w:p>
            <w:pPr>
              <w:adjustRightInd w:val="0"/>
              <w:snapToGrid w:val="0"/>
              <w:spacing w:line="520" w:lineRule="exact"/>
              <w:ind w:firstLine="480" w:firstLineChars="200"/>
              <w:rPr>
                <w:bCs/>
                <w:sz w:val="24"/>
              </w:rPr>
            </w:pPr>
            <w:bookmarkStart w:id="2" w:name="_TOC_250080"/>
            <w:bookmarkEnd w:id="2"/>
            <w:r>
              <w:rPr>
                <w:rFonts w:hint="eastAsia"/>
                <w:bCs/>
                <w:sz w:val="24"/>
                <w:lang w:val="en-US" w:eastAsia="zh-CN"/>
              </w:rPr>
              <w:t>1）车辆冲洗废水经隔油沉淀池处理后排入</w:t>
            </w:r>
            <w:r>
              <w:rPr>
                <w:rFonts w:hint="eastAsia" w:cs="Times New Roman"/>
                <w:color w:val="000000" w:themeColor="text1"/>
                <w:sz w:val="24"/>
                <w:szCs w:val="32"/>
                <w14:textFill>
                  <w14:solidFill>
                    <w14:schemeClr w14:val="tx1"/>
                  </w14:solidFill>
                </w14:textFill>
              </w:rPr>
              <w:t>自建化粪池（三级沉淀）+玻璃钢化粪池处理后，用于厂区绿化</w:t>
            </w:r>
            <w:r>
              <w:rPr>
                <w:bCs/>
                <w:sz w:val="24"/>
              </w:rPr>
              <w:t>。</w:t>
            </w:r>
          </w:p>
          <w:p>
            <w:pPr>
              <w:adjustRightInd w:val="0"/>
              <w:snapToGrid w:val="0"/>
              <w:spacing w:line="520" w:lineRule="exact"/>
              <w:ind w:firstLine="480" w:firstLineChars="200"/>
              <w:rPr>
                <w:rFonts w:hint="default" w:eastAsia="宋体"/>
                <w:bCs/>
                <w:sz w:val="24"/>
                <w:lang w:val="en-US" w:eastAsia="zh-CN"/>
              </w:rPr>
            </w:pPr>
            <w:r>
              <w:rPr>
                <w:rFonts w:hint="eastAsia"/>
                <w:bCs/>
                <w:sz w:val="24"/>
                <w:lang w:val="en-US" w:eastAsia="zh-CN"/>
              </w:rPr>
              <w:t>2）员工生活污水排入</w:t>
            </w:r>
            <w:r>
              <w:rPr>
                <w:rFonts w:hint="eastAsia" w:cs="Times New Roman"/>
                <w:color w:val="000000" w:themeColor="text1"/>
                <w:sz w:val="24"/>
                <w:szCs w:val="32"/>
                <w14:textFill>
                  <w14:solidFill>
                    <w14:schemeClr w14:val="tx1"/>
                  </w14:solidFill>
                </w14:textFill>
              </w:rPr>
              <w:t>自建化粪池（三级沉淀）+玻璃钢化粪池处理后，用于厂区绿化</w:t>
            </w:r>
            <w:r>
              <w:rPr>
                <w:bCs/>
                <w:sz w:val="24"/>
              </w:rPr>
              <w:t>。</w:t>
            </w:r>
          </w:p>
          <w:p>
            <w:pPr>
              <w:adjustRightInd w:val="0"/>
              <w:snapToGrid w:val="0"/>
              <w:spacing w:line="520" w:lineRule="exact"/>
              <w:ind w:firstLine="480" w:firstLineChars="200"/>
              <w:rPr>
                <w:bCs/>
                <w:sz w:val="24"/>
              </w:rPr>
            </w:pPr>
            <w:r>
              <w:rPr>
                <w:bCs/>
                <w:sz w:val="24"/>
              </w:rPr>
              <w:t>（3）噪声</w:t>
            </w:r>
          </w:p>
          <w:p>
            <w:pPr>
              <w:adjustRightInd w:val="0"/>
              <w:snapToGrid w:val="0"/>
              <w:spacing w:line="520" w:lineRule="exact"/>
              <w:ind w:firstLine="480" w:firstLineChars="200"/>
              <w:rPr>
                <w:bCs/>
                <w:sz w:val="24"/>
              </w:rPr>
            </w:pPr>
            <w:bookmarkStart w:id="3" w:name="_TOC_250079"/>
            <w:bookmarkEnd w:id="3"/>
            <w:r>
              <w:rPr>
                <w:rFonts w:hint="eastAsia"/>
                <w:bCs/>
                <w:sz w:val="24"/>
              </w:rPr>
              <w:t>本项目运营期主要噪声源为上料工房加料及行驶车辆，上料工房产噪设备位于室内，经工房墙壁隔声，对周边环境的影响较小。混装车主要用于周边各矿点爆破工作，行驶路线无环境敏感目标，只有在进出地面站时会对地面站生活区产生一定影响。</w:t>
            </w:r>
            <w:r>
              <w:rPr>
                <w:bCs/>
                <w:sz w:val="24"/>
              </w:rPr>
              <w:t>经监测，厂界外噪声监</w:t>
            </w:r>
            <w:r>
              <w:rPr>
                <w:rFonts w:hint="eastAsia"/>
                <w:bCs/>
                <w:sz w:val="24"/>
              </w:rPr>
              <w:t>测</w:t>
            </w:r>
            <w:r>
              <w:rPr>
                <w:bCs/>
                <w:sz w:val="24"/>
              </w:rPr>
              <w:t>的昼、夜间噪声值均达到《工业企业厂界环境噪声排放标准》（</w:t>
            </w:r>
            <w:r>
              <w:rPr>
                <w:rFonts w:hint="eastAsia"/>
                <w:bCs/>
                <w:sz w:val="24"/>
              </w:rPr>
              <w:t>GB</w:t>
            </w:r>
            <w:r>
              <w:rPr>
                <w:bCs/>
                <w:sz w:val="24"/>
              </w:rPr>
              <w:t>12348-2008）中</w:t>
            </w:r>
            <w:r>
              <w:rPr>
                <w:rFonts w:hint="eastAsia"/>
                <w:bCs/>
                <w:sz w:val="24"/>
                <w:lang w:val="en-US" w:eastAsia="zh-CN"/>
              </w:rPr>
              <w:t>3</w:t>
            </w:r>
            <w:r>
              <w:rPr>
                <w:bCs/>
                <w:sz w:val="24"/>
              </w:rPr>
              <w:t>类区标准限值要求。</w:t>
            </w:r>
          </w:p>
          <w:p>
            <w:pPr>
              <w:adjustRightInd w:val="0"/>
              <w:snapToGrid w:val="0"/>
              <w:spacing w:line="520" w:lineRule="exact"/>
              <w:ind w:firstLine="480" w:firstLineChars="200"/>
              <w:rPr>
                <w:bCs/>
                <w:sz w:val="24"/>
              </w:rPr>
            </w:pPr>
            <w:r>
              <w:rPr>
                <w:bCs/>
                <w:sz w:val="24"/>
              </w:rPr>
              <w:t>（4）固体废弃物</w:t>
            </w:r>
          </w:p>
          <w:p>
            <w:pPr>
              <w:adjustRightInd w:val="0"/>
              <w:snapToGrid w:val="0"/>
              <w:spacing w:line="520" w:lineRule="exact"/>
              <w:ind w:firstLine="480" w:firstLineChars="200"/>
              <w:rPr>
                <w:bCs/>
                <w:sz w:val="24"/>
              </w:rPr>
            </w:pPr>
            <w:r>
              <w:rPr>
                <w:bCs/>
                <w:sz w:val="24"/>
              </w:rPr>
              <w:t>本项目产生的</w:t>
            </w:r>
            <w:r>
              <w:rPr>
                <w:bCs/>
                <w:color w:val="auto"/>
                <w:sz w:val="24"/>
              </w:rPr>
              <w:t>一般工业固体废物</w:t>
            </w:r>
            <w:r>
              <w:rPr>
                <w:rFonts w:hint="eastAsia"/>
                <w:bCs/>
                <w:color w:val="auto"/>
                <w:sz w:val="24"/>
                <w:lang w:val="en-US" w:eastAsia="zh-CN"/>
              </w:rPr>
              <w:t>废包装袋</w:t>
            </w:r>
            <w:r>
              <w:rPr>
                <w:rFonts w:hint="eastAsia"/>
                <w:bCs/>
                <w:sz w:val="24"/>
                <w:lang w:eastAsia="zh-CN"/>
              </w:rPr>
              <w:t>，危险废物为</w:t>
            </w:r>
            <w:r>
              <w:rPr>
                <w:rFonts w:hint="eastAsia"/>
                <w:bCs/>
                <w:sz w:val="24"/>
                <w:lang w:val="en-US" w:eastAsia="zh-CN"/>
              </w:rPr>
              <w:t>浮油渣</w:t>
            </w:r>
            <w:r>
              <w:rPr>
                <w:bCs/>
                <w:sz w:val="24"/>
              </w:rPr>
              <w:t>。根据企业实际生产情况：</w:t>
            </w:r>
          </w:p>
          <w:p>
            <w:pPr>
              <w:adjustRightInd w:val="0"/>
              <w:snapToGrid w:val="0"/>
              <w:spacing w:line="520" w:lineRule="exact"/>
              <w:ind w:firstLine="480" w:firstLineChars="200"/>
              <w:rPr>
                <w:bCs/>
                <w:sz w:val="24"/>
              </w:rPr>
            </w:pPr>
            <w:r>
              <w:rPr>
                <w:rFonts w:hint="eastAsia"/>
                <w:bCs/>
                <w:sz w:val="24"/>
                <w:lang w:val="en-US" w:eastAsia="zh-CN"/>
              </w:rPr>
              <w:t>废包装袋产生量约为8000个/a，集中收集后，用于爆破现场炮孔填装使用</w:t>
            </w:r>
            <w:r>
              <w:rPr>
                <w:bCs/>
                <w:sz w:val="24"/>
              </w:rPr>
              <w:t>。</w:t>
            </w:r>
          </w:p>
          <w:p>
            <w:pPr>
              <w:adjustRightInd w:val="0"/>
              <w:snapToGrid w:val="0"/>
              <w:spacing w:line="520" w:lineRule="exact"/>
              <w:ind w:firstLine="480" w:firstLineChars="200"/>
              <w:rPr>
                <w:rFonts w:hint="default" w:eastAsia="宋体"/>
                <w:bCs/>
                <w:sz w:val="24"/>
                <w:lang w:val="en-US" w:eastAsia="zh-CN"/>
              </w:rPr>
            </w:pPr>
            <w:r>
              <w:rPr>
                <w:rFonts w:hint="eastAsia"/>
                <w:bCs/>
                <w:sz w:val="24"/>
                <w:lang w:val="en-US" w:eastAsia="zh-CN"/>
              </w:rPr>
              <w:t>浮油渣产生量为0.06t/a，集中收集于厂区危废暂存间，委托新疆海克斯能源科技有限公司回收处理。</w:t>
            </w:r>
          </w:p>
          <w:p>
            <w:pPr>
              <w:adjustRightInd w:val="0"/>
              <w:snapToGrid w:val="0"/>
              <w:spacing w:line="520" w:lineRule="exact"/>
              <w:ind w:firstLine="480" w:firstLineChars="200"/>
              <w:rPr>
                <w:bCs/>
                <w:sz w:val="24"/>
              </w:rPr>
            </w:pPr>
            <w:r>
              <w:rPr>
                <w:bCs/>
                <w:sz w:val="24"/>
              </w:rPr>
              <w:t>生活垃圾产生量为</w:t>
            </w:r>
            <w:r>
              <w:rPr>
                <w:rFonts w:hint="eastAsia"/>
                <w:bCs/>
                <w:sz w:val="24"/>
                <w:lang w:val="en-US" w:eastAsia="zh-CN"/>
              </w:rPr>
              <w:t>1.88</w:t>
            </w:r>
            <w:r>
              <w:rPr>
                <w:bCs/>
                <w:sz w:val="24"/>
              </w:rPr>
              <w:t>t/a，生活垃圾由</w:t>
            </w:r>
            <w:r>
              <w:rPr>
                <w:rFonts w:hint="eastAsia"/>
                <w:bCs/>
                <w:sz w:val="24"/>
                <w:lang w:val="en-US" w:eastAsia="zh-CN"/>
              </w:rPr>
              <w:t>指定单位处理</w:t>
            </w:r>
            <w:r>
              <w:rPr>
                <w:bCs/>
                <w:sz w:val="24"/>
              </w:rPr>
              <w:t>。</w:t>
            </w:r>
          </w:p>
          <w:p>
            <w:pPr>
              <w:adjustRightInd w:val="0"/>
              <w:snapToGrid w:val="0"/>
              <w:spacing w:line="520" w:lineRule="exact"/>
              <w:ind w:firstLine="480" w:firstLineChars="200"/>
              <w:rPr>
                <w:bCs/>
                <w:sz w:val="24"/>
              </w:rPr>
            </w:pPr>
            <w:r>
              <w:rPr>
                <w:bCs/>
                <w:sz w:val="24"/>
              </w:rPr>
              <w:t>（5）现有项目污染物排放量汇总</w:t>
            </w:r>
          </w:p>
          <w:p>
            <w:pPr>
              <w:adjustRightInd w:val="0"/>
              <w:snapToGrid w:val="0"/>
              <w:spacing w:line="520" w:lineRule="exact"/>
              <w:ind w:firstLine="480" w:firstLineChars="200"/>
              <w:rPr>
                <w:bCs/>
                <w:sz w:val="24"/>
              </w:rPr>
            </w:pPr>
            <w:r>
              <w:rPr>
                <w:bCs/>
                <w:sz w:val="24"/>
              </w:rPr>
              <w:t>现有项目污染物排放量汇总表如下。</w:t>
            </w:r>
          </w:p>
          <w:p>
            <w:pPr>
              <w:adjustRightInd w:val="0"/>
              <w:snapToGrid w:val="0"/>
              <w:jc w:val="center"/>
              <w:rPr>
                <w:b/>
                <w:szCs w:val="21"/>
              </w:rPr>
            </w:pPr>
            <w:r>
              <w:rPr>
                <w:rFonts w:hint="eastAsia" w:ascii="黑体" w:hAnsi="黑体" w:eastAsia="黑体" w:cs="黑体"/>
                <w:bCs/>
                <w:sz w:val="24"/>
              </w:rPr>
              <w:t>表</w:t>
            </w:r>
            <w:r>
              <w:rPr>
                <w:rFonts w:hint="eastAsia" w:ascii="黑体" w:hAnsi="黑体" w:eastAsia="黑体" w:cs="黑体"/>
                <w:bCs/>
                <w:sz w:val="24"/>
                <w:lang w:val="en-US" w:eastAsia="zh-CN"/>
              </w:rPr>
              <w:t>2-12</w:t>
            </w:r>
            <w:r>
              <w:rPr>
                <w:rFonts w:hint="eastAsia" w:ascii="黑体" w:hAnsi="黑体" w:eastAsia="黑体" w:cs="黑体"/>
                <w:bCs/>
                <w:sz w:val="24"/>
              </w:rPr>
              <w:t xml:space="preserve">  现有项目污染物排放量汇总表</w:t>
            </w:r>
          </w:p>
          <w:tbl>
            <w:tblPr>
              <w:tblStyle w:val="29"/>
              <w:tblW w:w="8389" w:type="dxa"/>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543"/>
              <w:gridCol w:w="783"/>
              <w:gridCol w:w="2555"/>
              <w:gridCol w:w="1379"/>
              <w:gridCol w:w="3129"/>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1326" w:type="dxa"/>
                  <w:gridSpan w:val="2"/>
                  <w:noWrap w:val="0"/>
                  <w:vAlign w:val="center"/>
                </w:tcPr>
                <w:p>
                  <w:pPr>
                    <w:adjustRightInd w:val="0"/>
                    <w:snapToGrid w:val="0"/>
                    <w:jc w:val="center"/>
                    <w:rPr>
                      <w:bCs/>
                      <w:sz w:val="21"/>
                      <w:szCs w:val="21"/>
                    </w:rPr>
                  </w:pPr>
                  <w:r>
                    <w:rPr>
                      <w:bCs/>
                      <w:sz w:val="21"/>
                      <w:szCs w:val="21"/>
                    </w:rPr>
                    <w:t>污染种类</w:t>
                  </w:r>
                </w:p>
              </w:tc>
              <w:tc>
                <w:tcPr>
                  <w:tcW w:w="2555" w:type="dxa"/>
                  <w:noWrap w:val="0"/>
                  <w:vAlign w:val="center"/>
                </w:tcPr>
                <w:p>
                  <w:pPr>
                    <w:adjustRightInd w:val="0"/>
                    <w:snapToGrid w:val="0"/>
                    <w:jc w:val="center"/>
                    <w:rPr>
                      <w:bCs/>
                      <w:sz w:val="21"/>
                      <w:szCs w:val="21"/>
                    </w:rPr>
                  </w:pPr>
                  <w:r>
                    <w:rPr>
                      <w:bCs/>
                      <w:sz w:val="21"/>
                      <w:szCs w:val="21"/>
                    </w:rPr>
                    <w:t>污染物</w:t>
                  </w:r>
                </w:p>
              </w:tc>
              <w:tc>
                <w:tcPr>
                  <w:tcW w:w="1379" w:type="dxa"/>
                  <w:noWrap w:val="0"/>
                  <w:vAlign w:val="center"/>
                </w:tcPr>
                <w:p>
                  <w:pPr>
                    <w:adjustRightInd w:val="0"/>
                    <w:snapToGrid w:val="0"/>
                    <w:jc w:val="center"/>
                    <w:rPr>
                      <w:bCs/>
                      <w:sz w:val="21"/>
                      <w:szCs w:val="21"/>
                    </w:rPr>
                  </w:pPr>
                  <w:r>
                    <w:rPr>
                      <w:bCs/>
                      <w:sz w:val="21"/>
                      <w:szCs w:val="21"/>
                    </w:rPr>
                    <w:t>排放量</w:t>
                  </w:r>
                </w:p>
              </w:tc>
              <w:tc>
                <w:tcPr>
                  <w:tcW w:w="3129" w:type="dxa"/>
                  <w:noWrap w:val="0"/>
                  <w:vAlign w:val="center"/>
                </w:tcPr>
                <w:p>
                  <w:pPr>
                    <w:adjustRightInd w:val="0"/>
                    <w:snapToGrid w:val="0"/>
                    <w:jc w:val="center"/>
                    <w:rPr>
                      <w:rFonts w:hint="eastAsia" w:eastAsia="宋体"/>
                      <w:bCs/>
                      <w:sz w:val="21"/>
                      <w:szCs w:val="21"/>
                      <w:lang w:val="en-US" w:eastAsia="zh-CN"/>
                    </w:rPr>
                  </w:pPr>
                  <w:r>
                    <w:rPr>
                      <w:rFonts w:hint="eastAsia"/>
                      <w:bCs/>
                      <w:sz w:val="21"/>
                      <w:szCs w:val="21"/>
                      <w:lang w:val="en-US" w:eastAsia="zh-CN"/>
                    </w:rPr>
                    <w:t>排放方式</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1326" w:type="dxa"/>
                  <w:gridSpan w:val="2"/>
                  <w:vMerge w:val="restart"/>
                  <w:noWrap w:val="0"/>
                  <w:vAlign w:val="center"/>
                </w:tcPr>
                <w:p>
                  <w:pPr>
                    <w:adjustRightInd w:val="0"/>
                    <w:snapToGrid w:val="0"/>
                    <w:jc w:val="center"/>
                    <w:rPr>
                      <w:bCs/>
                      <w:sz w:val="21"/>
                      <w:szCs w:val="21"/>
                    </w:rPr>
                  </w:pPr>
                  <w:r>
                    <w:rPr>
                      <w:bCs/>
                      <w:sz w:val="21"/>
                      <w:szCs w:val="21"/>
                    </w:rPr>
                    <w:t>废气</w:t>
                  </w:r>
                </w:p>
              </w:tc>
              <w:tc>
                <w:tcPr>
                  <w:tcW w:w="2555" w:type="dxa"/>
                  <w:noWrap w:val="0"/>
                  <w:vAlign w:val="center"/>
                </w:tcPr>
                <w:p>
                  <w:pPr>
                    <w:adjustRightInd w:val="0"/>
                    <w:snapToGrid w:val="0"/>
                    <w:jc w:val="center"/>
                    <w:rPr>
                      <w:rFonts w:hint="eastAsia" w:eastAsia="宋体"/>
                      <w:bCs/>
                      <w:sz w:val="21"/>
                      <w:szCs w:val="21"/>
                      <w:lang w:eastAsia="zh-CN"/>
                    </w:rPr>
                  </w:pPr>
                  <w:r>
                    <w:rPr>
                      <w:rFonts w:hint="eastAsia"/>
                      <w:bCs/>
                      <w:sz w:val="21"/>
                      <w:szCs w:val="21"/>
                      <w:lang w:eastAsia="zh-CN"/>
                    </w:rPr>
                    <w:t>无组织粉尘</w:t>
                  </w:r>
                </w:p>
              </w:tc>
              <w:tc>
                <w:tcPr>
                  <w:tcW w:w="1379" w:type="dxa"/>
                  <w:noWrap w:val="0"/>
                  <w:vAlign w:val="center"/>
                </w:tcPr>
                <w:p>
                  <w:pPr>
                    <w:adjustRightInd w:val="0"/>
                    <w:snapToGrid w:val="0"/>
                    <w:jc w:val="center"/>
                    <w:rPr>
                      <w:bCs/>
                      <w:sz w:val="21"/>
                      <w:szCs w:val="21"/>
                    </w:rPr>
                  </w:pPr>
                  <w:r>
                    <w:rPr>
                      <w:bCs/>
                      <w:sz w:val="21"/>
                      <w:szCs w:val="21"/>
                    </w:rPr>
                    <w:t>/</w:t>
                  </w:r>
                </w:p>
              </w:tc>
              <w:tc>
                <w:tcPr>
                  <w:tcW w:w="3129" w:type="dxa"/>
                  <w:noWrap w:val="0"/>
                  <w:vAlign w:val="center"/>
                </w:tcPr>
                <w:p>
                  <w:pPr>
                    <w:adjustRightInd w:val="0"/>
                    <w:snapToGrid w:val="0"/>
                    <w:jc w:val="center"/>
                    <w:rPr>
                      <w:rFonts w:hint="default" w:eastAsia="宋体"/>
                      <w:bCs/>
                      <w:sz w:val="21"/>
                      <w:szCs w:val="21"/>
                      <w:lang w:val="en-US" w:eastAsia="zh-CN"/>
                    </w:rPr>
                  </w:pPr>
                  <w:r>
                    <w:rPr>
                      <w:rFonts w:hint="eastAsia"/>
                      <w:bCs/>
                      <w:sz w:val="21"/>
                      <w:szCs w:val="21"/>
                      <w:lang w:val="en-US" w:eastAsia="zh-CN"/>
                    </w:rPr>
                    <w:t>无组织排放</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1326" w:type="dxa"/>
                  <w:gridSpan w:val="2"/>
                  <w:vMerge w:val="continue"/>
                  <w:noWrap w:val="0"/>
                  <w:vAlign w:val="center"/>
                </w:tcPr>
                <w:p>
                  <w:pPr>
                    <w:adjustRightInd w:val="0"/>
                    <w:snapToGrid w:val="0"/>
                    <w:jc w:val="center"/>
                    <w:rPr>
                      <w:bCs/>
                      <w:sz w:val="21"/>
                      <w:szCs w:val="21"/>
                    </w:rPr>
                  </w:pPr>
                </w:p>
              </w:tc>
              <w:tc>
                <w:tcPr>
                  <w:tcW w:w="2555" w:type="dxa"/>
                  <w:noWrap w:val="0"/>
                  <w:vAlign w:val="center"/>
                </w:tcPr>
                <w:p>
                  <w:pPr>
                    <w:adjustRightInd w:val="0"/>
                    <w:snapToGrid w:val="0"/>
                    <w:jc w:val="center"/>
                    <w:rPr>
                      <w:rFonts w:hint="default" w:eastAsia="宋体"/>
                      <w:bCs/>
                      <w:sz w:val="21"/>
                      <w:szCs w:val="21"/>
                      <w:lang w:val="en-US" w:eastAsia="zh-CN"/>
                    </w:rPr>
                  </w:pPr>
                  <w:r>
                    <w:rPr>
                      <w:rFonts w:hint="eastAsia" w:eastAsia="宋体"/>
                      <w:bCs/>
                      <w:sz w:val="21"/>
                      <w:szCs w:val="21"/>
                      <w:lang w:val="en-US" w:eastAsia="zh-CN"/>
                    </w:rPr>
                    <w:t>无组织VOCs</w:t>
                  </w:r>
                </w:p>
              </w:tc>
              <w:tc>
                <w:tcPr>
                  <w:tcW w:w="1379" w:type="dxa"/>
                  <w:noWrap w:val="0"/>
                  <w:vAlign w:val="center"/>
                </w:tcPr>
                <w:p>
                  <w:pPr>
                    <w:adjustRightInd w:val="0"/>
                    <w:snapToGrid w:val="0"/>
                    <w:jc w:val="center"/>
                    <w:rPr>
                      <w:rFonts w:hint="default" w:eastAsia="宋体"/>
                      <w:bCs/>
                      <w:sz w:val="21"/>
                      <w:szCs w:val="21"/>
                      <w:lang w:val="en-US" w:eastAsia="zh-CN"/>
                    </w:rPr>
                  </w:pPr>
                  <w:r>
                    <w:rPr>
                      <w:rFonts w:hint="eastAsia" w:eastAsia="宋体"/>
                      <w:bCs/>
                      <w:sz w:val="21"/>
                      <w:szCs w:val="21"/>
                      <w:lang w:val="en-US" w:eastAsia="zh-CN"/>
                    </w:rPr>
                    <w:t>/</w:t>
                  </w:r>
                </w:p>
              </w:tc>
              <w:tc>
                <w:tcPr>
                  <w:tcW w:w="3129" w:type="dxa"/>
                  <w:noWrap w:val="0"/>
                  <w:vAlign w:val="center"/>
                </w:tcPr>
                <w:p>
                  <w:pPr>
                    <w:adjustRightInd w:val="0"/>
                    <w:snapToGrid w:val="0"/>
                    <w:jc w:val="center"/>
                    <w:rPr>
                      <w:rFonts w:hint="eastAsia" w:eastAsia="宋体"/>
                      <w:bCs/>
                      <w:sz w:val="21"/>
                      <w:szCs w:val="21"/>
                      <w:lang w:val="en-US" w:eastAsia="zh-CN"/>
                    </w:rPr>
                  </w:pPr>
                  <w:r>
                    <w:rPr>
                      <w:rFonts w:hint="eastAsia"/>
                      <w:bCs/>
                      <w:sz w:val="21"/>
                      <w:szCs w:val="21"/>
                      <w:lang w:val="en-US" w:eastAsia="zh-CN"/>
                    </w:rPr>
                    <w:t>无组织排放</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06" w:hRule="atLeast"/>
                <w:jc w:val="center"/>
              </w:trPr>
              <w:tc>
                <w:tcPr>
                  <w:tcW w:w="1326" w:type="dxa"/>
                  <w:gridSpan w:val="2"/>
                  <w:vMerge w:val="restart"/>
                  <w:noWrap w:val="0"/>
                  <w:vAlign w:val="center"/>
                </w:tcPr>
                <w:p>
                  <w:pPr>
                    <w:adjustRightInd w:val="0"/>
                    <w:snapToGrid w:val="0"/>
                    <w:jc w:val="center"/>
                    <w:rPr>
                      <w:bCs/>
                      <w:sz w:val="21"/>
                      <w:szCs w:val="21"/>
                    </w:rPr>
                  </w:pPr>
                  <w:r>
                    <w:rPr>
                      <w:bCs/>
                      <w:sz w:val="21"/>
                      <w:szCs w:val="21"/>
                    </w:rPr>
                    <w:t>废水</w:t>
                  </w:r>
                </w:p>
              </w:tc>
              <w:tc>
                <w:tcPr>
                  <w:tcW w:w="2555" w:type="dxa"/>
                  <w:noWrap w:val="0"/>
                  <w:vAlign w:val="center"/>
                </w:tcPr>
                <w:p>
                  <w:pPr>
                    <w:adjustRightInd w:val="0"/>
                    <w:snapToGrid w:val="0"/>
                    <w:jc w:val="center"/>
                    <w:rPr>
                      <w:bCs/>
                      <w:sz w:val="21"/>
                      <w:szCs w:val="21"/>
                    </w:rPr>
                  </w:pPr>
                  <w:r>
                    <w:rPr>
                      <w:bCs/>
                      <w:sz w:val="21"/>
                      <w:szCs w:val="21"/>
                    </w:rPr>
                    <w:t>生活污水</w:t>
                  </w:r>
                </w:p>
              </w:tc>
              <w:tc>
                <w:tcPr>
                  <w:tcW w:w="1379" w:type="dxa"/>
                  <w:noWrap w:val="0"/>
                  <w:vAlign w:val="center"/>
                </w:tcPr>
                <w:p>
                  <w:pPr>
                    <w:adjustRightInd w:val="0"/>
                    <w:snapToGrid w:val="0"/>
                    <w:jc w:val="center"/>
                    <w:rPr>
                      <w:rFonts w:hint="eastAsia" w:eastAsia="宋体"/>
                      <w:bCs/>
                      <w:sz w:val="21"/>
                      <w:szCs w:val="21"/>
                      <w:lang w:val="en-US" w:eastAsia="zh-CN"/>
                    </w:rPr>
                  </w:pPr>
                  <w:r>
                    <w:rPr>
                      <w:rFonts w:hint="eastAsia"/>
                      <w:bCs/>
                      <w:sz w:val="21"/>
                      <w:szCs w:val="21"/>
                      <w:lang w:val="en-US" w:eastAsia="zh-CN"/>
                    </w:rPr>
                    <w:t>/</w:t>
                  </w:r>
                </w:p>
              </w:tc>
              <w:tc>
                <w:tcPr>
                  <w:tcW w:w="3129" w:type="dxa"/>
                  <w:noWrap w:val="0"/>
                  <w:vAlign w:val="center"/>
                </w:tcPr>
                <w:p>
                  <w:pPr>
                    <w:adjustRightInd w:val="0"/>
                    <w:snapToGrid w:val="0"/>
                    <w:jc w:val="center"/>
                    <w:rPr>
                      <w:rFonts w:hint="eastAsia"/>
                      <w:bCs/>
                      <w:sz w:val="21"/>
                      <w:szCs w:val="21"/>
                      <w:lang w:val="en-US" w:eastAsia="zh-CN"/>
                    </w:rPr>
                  </w:pPr>
                  <w:r>
                    <w:rPr>
                      <w:rFonts w:hint="eastAsia"/>
                      <w:bCs/>
                      <w:sz w:val="21"/>
                      <w:szCs w:val="21"/>
                      <w:lang w:val="en-US" w:eastAsia="zh-CN"/>
                    </w:rPr>
                    <w:t>排入</w:t>
                  </w:r>
                  <w:r>
                    <w:rPr>
                      <w:rFonts w:hint="eastAsia"/>
                      <w:bCs/>
                      <w:sz w:val="21"/>
                      <w:szCs w:val="21"/>
                    </w:rPr>
                    <w:t>自建化粪池（三级沉淀）+玻璃钢化粪池处理后，用于厂区绿化</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06" w:hRule="atLeast"/>
                <w:jc w:val="center"/>
              </w:trPr>
              <w:tc>
                <w:tcPr>
                  <w:tcW w:w="1326" w:type="dxa"/>
                  <w:gridSpan w:val="2"/>
                  <w:vMerge w:val="continue"/>
                  <w:noWrap w:val="0"/>
                  <w:vAlign w:val="center"/>
                </w:tcPr>
                <w:p>
                  <w:pPr>
                    <w:adjustRightInd w:val="0"/>
                    <w:snapToGrid w:val="0"/>
                    <w:jc w:val="center"/>
                    <w:rPr>
                      <w:bCs/>
                      <w:sz w:val="21"/>
                      <w:szCs w:val="21"/>
                    </w:rPr>
                  </w:pPr>
                </w:p>
              </w:tc>
              <w:tc>
                <w:tcPr>
                  <w:tcW w:w="2555" w:type="dxa"/>
                  <w:noWrap w:val="0"/>
                  <w:vAlign w:val="center"/>
                </w:tcPr>
                <w:p>
                  <w:pPr>
                    <w:adjustRightInd w:val="0"/>
                    <w:snapToGrid w:val="0"/>
                    <w:jc w:val="center"/>
                    <w:rPr>
                      <w:rFonts w:hint="eastAsia" w:eastAsia="宋体"/>
                      <w:bCs/>
                      <w:sz w:val="21"/>
                      <w:szCs w:val="21"/>
                      <w:lang w:val="en-US" w:eastAsia="zh-CN"/>
                    </w:rPr>
                  </w:pPr>
                  <w:r>
                    <w:rPr>
                      <w:rFonts w:hint="eastAsia"/>
                      <w:bCs/>
                      <w:sz w:val="21"/>
                      <w:szCs w:val="21"/>
                      <w:lang w:val="en-US" w:eastAsia="zh-CN"/>
                    </w:rPr>
                    <w:t>车辆冲洗废水</w:t>
                  </w:r>
                </w:p>
              </w:tc>
              <w:tc>
                <w:tcPr>
                  <w:tcW w:w="1379" w:type="dxa"/>
                  <w:noWrap w:val="0"/>
                  <w:vAlign w:val="center"/>
                </w:tcPr>
                <w:p>
                  <w:pPr>
                    <w:adjustRightInd w:val="0"/>
                    <w:snapToGrid w:val="0"/>
                    <w:jc w:val="center"/>
                    <w:rPr>
                      <w:rFonts w:hint="default" w:eastAsia="宋体"/>
                      <w:bCs/>
                      <w:sz w:val="21"/>
                      <w:szCs w:val="21"/>
                      <w:lang w:val="en-US" w:eastAsia="zh-CN"/>
                    </w:rPr>
                  </w:pPr>
                  <w:r>
                    <w:rPr>
                      <w:rFonts w:hint="eastAsia"/>
                      <w:bCs/>
                      <w:sz w:val="21"/>
                      <w:szCs w:val="21"/>
                      <w:lang w:val="en-US" w:eastAsia="zh-CN"/>
                    </w:rPr>
                    <w:t>/</w:t>
                  </w:r>
                </w:p>
              </w:tc>
              <w:tc>
                <w:tcPr>
                  <w:tcW w:w="3129" w:type="dxa"/>
                  <w:noWrap w:val="0"/>
                  <w:vAlign w:val="center"/>
                </w:tcPr>
                <w:p>
                  <w:pPr>
                    <w:adjustRightInd w:val="0"/>
                    <w:snapToGrid w:val="0"/>
                    <w:jc w:val="center"/>
                    <w:rPr>
                      <w:rFonts w:hint="eastAsia"/>
                      <w:bCs/>
                      <w:sz w:val="21"/>
                      <w:szCs w:val="21"/>
                      <w:lang w:val="en-US" w:eastAsia="zh-CN"/>
                    </w:rPr>
                  </w:pPr>
                  <w:r>
                    <w:rPr>
                      <w:rFonts w:hint="eastAsia"/>
                      <w:bCs/>
                      <w:sz w:val="21"/>
                      <w:szCs w:val="21"/>
                      <w:lang w:val="en-US" w:eastAsia="zh-CN"/>
                    </w:rPr>
                    <w:t>隔油沉淀池处理后排入自建化粪池（三级沉淀）+玻璃钢化粪池处理后，用于厂区绿化</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543" w:type="dxa"/>
                  <w:vMerge w:val="restart"/>
                  <w:noWrap w:val="0"/>
                  <w:vAlign w:val="center"/>
                </w:tcPr>
                <w:p>
                  <w:pPr>
                    <w:adjustRightInd w:val="0"/>
                    <w:snapToGrid w:val="0"/>
                    <w:jc w:val="center"/>
                    <w:rPr>
                      <w:bCs/>
                      <w:sz w:val="21"/>
                      <w:szCs w:val="21"/>
                    </w:rPr>
                  </w:pPr>
                  <w:r>
                    <w:rPr>
                      <w:bCs/>
                      <w:color w:val="auto"/>
                      <w:sz w:val="21"/>
                      <w:szCs w:val="21"/>
                    </w:rPr>
                    <w:t>固体废物</w:t>
                  </w:r>
                </w:p>
              </w:tc>
              <w:tc>
                <w:tcPr>
                  <w:tcW w:w="783" w:type="dxa"/>
                  <w:noWrap w:val="0"/>
                  <w:vAlign w:val="center"/>
                </w:tcPr>
                <w:p>
                  <w:pPr>
                    <w:adjustRightInd w:val="0"/>
                    <w:snapToGrid w:val="0"/>
                    <w:jc w:val="center"/>
                    <w:rPr>
                      <w:rFonts w:hint="eastAsia" w:eastAsia="宋体"/>
                      <w:bCs/>
                      <w:color w:val="FF0000"/>
                      <w:sz w:val="21"/>
                      <w:szCs w:val="21"/>
                      <w:lang w:eastAsia="zh-CN"/>
                    </w:rPr>
                  </w:pPr>
                  <w:r>
                    <w:rPr>
                      <w:rFonts w:hint="eastAsia"/>
                      <w:bCs/>
                      <w:color w:val="auto"/>
                      <w:sz w:val="21"/>
                      <w:szCs w:val="21"/>
                      <w:lang w:eastAsia="zh-CN"/>
                    </w:rPr>
                    <w:t>危险废物</w:t>
                  </w:r>
                </w:p>
              </w:tc>
              <w:tc>
                <w:tcPr>
                  <w:tcW w:w="2555" w:type="dxa"/>
                  <w:noWrap w:val="0"/>
                  <w:vAlign w:val="center"/>
                </w:tcPr>
                <w:p>
                  <w:pPr>
                    <w:adjustRightInd w:val="0"/>
                    <w:snapToGrid w:val="0"/>
                    <w:jc w:val="center"/>
                    <w:rPr>
                      <w:rFonts w:hint="eastAsia" w:eastAsia="宋体"/>
                      <w:bCs/>
                      <w:sz w:val="21"/>
                      <w:szCs w:val="21"/>
                      <w:lang w:eastAsia="zh-CN"/>
                    </w:rPr>
                  </w:pPr>
                  <w:r>
                    <w:rPr>
                      <w:rFonts w:hint="eastAsia"/>
                      <w:bCs/>
                      <w:sz w:val="21"/>
                      <w:szCs w:val="21"/>
                      <w:lang w:val="en-US" w:eastAsia="zh-CN"/>
                    </w:rPr>
                    <w:t>浮油渣</w:t>
                  </w:r>
                </w:p>
              </w:tc>
              <w:tc>
                <w:tcPr>
                  <w:tcW w:w="1379" w:type="dxa"/>
                  <w:noWrap w:val="0"/>
                  <w:vAlign w:val="center"/>
                </w:tcPr>
                <w:p>
                  <w:pPr>
                    <w:adjustRightInd w:val="0"/>
                    <w:snapToGrid w:val="0"/>
                    <w:jc w:val="center"/>
                    <w:rPr>
                      <w:rFonts w:hint="default" w:eastAsia="宋体"/>
                      <w:bCs/>
                      <w:sz w:val="21"/>
                      <w:szCs w:val="21"/>
                      <w:lang w:val="en-US" w:eastAsia="zh-CN"/>
                    </w:rPr>
                  </w:pPr>
                  <w:r>
                    <w:rPr>
                      <w:rFonts w:hint="eastAsia"/>
                      <w:bCs/>
                      <w:sz w:val="21"/>
                      <w:szCs w:val="21"/>
                      <w:lang w:val="en-US" w:eastAsia="zh-CN"/>
                    </w:rPr>
                    <w:t>0.06t/a</w:t>
                  </w:r>
                </w:p>
              </w:tc>
              <w:tc>
                <w:tcPr>
                  <w:tcW w:w="3129" w:type="dxa"/>
                  <w:noWrap w:val="0"/>
                  <w:vAlign w:val="center"/>
                </w:tcPr>
                <w:p>
                  <w:pPr>
                    <w:adjustRightInd w:val="0"/>
                    <w:snapToGrid w:val="0"/>
                    <w:jc w:val="center"/>
                    <w:rPr>
                      <w:rFonts w:hint="eastAsia"/>
                      <w:bCs/>
                      <w:sz w:val="21"/>
                      <w:szCs w:val="21"/>
                      <w:lang w:val="en-US" w:eastAsia="zh-CN"/>
                    </w:rPr>
                  </w:pPr>
                  <w:r>
                    <w:rPr>
                      <w:rFonts w:hint="eastAsia"/>
                      <w:bCs/>
                      <w:sz w:val="21"/>
                      <w:szCs w:val="21"/>
                      <w:lang w:val="en-US" w:eastAsia="zh-CN"/>
                    </w:rPr>
                    <w:t>集中收集于厂区危废暂存间，委托新疆海克斯能源科技有限公司回收处理</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543" w:type="dxa"/>
                  <w:vMerge w:val="continue"/>
                  <w:noWrap w:val="0"/>
                  <w:vAlign w:val="center"/>
                </w:tcPr>
                <w:p>
                  <w:pPr>
                    <w:adjustRightInd w:val="0"/>
                    <w:snapToGrid w:val="0"/>
                    <w:jc w:val="center"/>
                    <w:rPr>
                      <w:bCs/>
                      <w:sz w:val="21"/>
                      <w:szCs w:val="21"/>
                    </w:rPr>
                  </w:pPr>
                </w:p>
              </w:tc>
              <w:tc>
                <w:tcPr>
                  <w:tcW w:w="783" w:type="dxa"/>
                  <w:noWrap w:val="0"/>
                  <w:vAlign w:val="center"/>
                </w:tcPr>
                <w:p>
                  <w:pPr>
                    <w:adjustRightInd w:val="0"/>
                    <w:snapToGrid w:val="0"/>
                    <w:jc w:val="center"/>
                    <w:rPr>
                      <w:rFonts w:hint="eastAsia" w:eastAsia="宋体"/>
                      <w:bCs/>
                      <w:sz w:val="21"/>
                      <w:szCs w:val="21"/>
                      <w:lang w:eastAsia="zh-CN"/>
                    </w:rPr>
                  </w:pPr>
                  <w:r>
                    <w:rPr>
                      <w:rFonts w:hint="eastAsia"/>
                      <w:bCs/>
                      <w:sz w:val="21"/>
                      <w:szCs w:val="21"/>
                      <w:lang w:eastAsia="zh-CN"/>
                    </w:rPr>
                    <w:t>一般固废</w:t>
                  </w:r>
                </w:p>
              </w:tc>
              <w:tc>
                <w:tcPr>
                  <w:tcW w:w="2555" w:type="dxa"/>
                  <w:noWrap w:val="0"/>
                  <w:vAlign w:val="center"/>
                </w:tcPr>
                <w:p>
                  <w:pPr>
                    <w:adjustRightInd w:val="0"/>
                    <w:snapToGrid w:val="0"/>
                    <w:jc w:val="center"/>
                    <w:rPr>
                      <w:rFonts w:hint="eastAsia" w:eastAsia="宋体"/>
                      <w:bCs/>
                      <w:sz w:val="21"/>
                      <w:szCs w:val="21"/>
                      <w:lang w:val="en-US" w:eastAsia="zh-CN"/>
                    </w:rPr>
                  </w:pPr>
                  <w:r>
                    <w:rPr>
                      <w:rFonts w:hint="eastAsia"/>
                      <w:bCs/>
                      <w:sz w:val="21"/>
                      <w:szCs w:val="21"/>
                      <w:lang w:val="en-US" w:eastAsia="zh-CN"/>
                    </w:rPr>
                    <w:t>废包装袋</w:t>
                  </w:r>
                </w:p>
              </w:tc>
              <w:tc>
                <w:tcPr>
                  <w:tcW w:w="1379" w:type="dxa"/>
                  <w:noWrap w:val="0"/>
                  <w:vAlign w:val="center"/>
                </w:tcPr>
                <w:p>
                  <w:pPr>
                    <w:adjustRightInd w:val="0"/>
                    <w:snapToGrid w:val="0"/>
                    <w:jc w:val="center"/>
                    <w:rPr>
                      <w:rFonts w:hint="default"/>
                      <w:lang w:val="en-US" w:eastAsia="zh-CN"/>
                    </w:rPr>
                  </w:pPr>
                  <w:r>
                    <w:rPr>
                      <w:rFonts w:hint="eastAsia"/>
                      <w:lang w:val="en-US" w:eastAsia="zh-CN"/>
                    </w:rPr>
                    <w:t>80000个/a</w:t>
                  </w:r>
                </w:p>
              </w:tc>
              <w:tc>
                <w:tcPr>
                  <w:tcW w:w="3129" w:type="dxa"/>
                  <w:noWrap w:val="0"/>
                  <w:vAlign w:val="center"/>
                </w:tcPr>
                <w:p>
                  <w:pPr>
                    <w:adjustRightInd w:val="0"/>
                    <w:snapToGrid w:val="0"/>
                    <w:jc w:val="center"/>
                    <w:rPr>
                      <w:bCs/>
                      <w:sz w:val="21"/>
                      <w:szCs w:val="21"/>
                    </w:rPr>
                  </w:pPr>
                  <w:r>
                    <w:rPr>
                      <w:rFonts w:hint="eastAsia"/>
                      <w:bCs/>
                      <w:sz w:val="21"/>
                      <w:szCs w:val="21"/>
                    </w:rPr>
                    <w:t>用于爆破现场炮孔填装使用</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543" w:type="dxa"/>
                  <w:vMerge w:val="continue"/>
                  <w:noWrap w:val="0"/>
                  <w:vAlign w:val="center"/>
                </w:tcPr>
                <w:p>
                  <w:pPr>
                    <w:adjustRightInd w:val="0"/>
                    <w:snapToGrid w:val="0"/>
                    <w:jc w:val="center"/>
                    <w:rPr>
                      <w:bCs/>
                      <w:sz w:val="21"/>
                      <w:szCs w:val="21"/>
                    </w:rPr>
                  </w:pPr>
                </w:p>
              </w:tc>
              <w:tc>
                <w:tcPr>
                  <w:tcW w:w="783" w:type="dxa"/>
                  <w:noWrap w:val="0"/>
                  <w:vAlign w:val="center"/>
                </w:tcPr>
                <w:p>
                  <w:pPr>
                    <w:adjustRightInd w:val="0"/>
                    <w:snapToGrid w:val="0"/>
                    <w:jc w:val="center"/>
                    <w:rPr>
                      <w:rFonts w:hint="eastAsia" w:eastAsia="宋体"/>
                      <w:bCs/>
                      <w:sz w:val="21"/>
                      <w:szCs w:val="21"/>
                      <w:lang w:eastAsia="zh-CN"/>
                    </w:rPr>
                  </w:pPr>
                  <w:r>
                    <w:rPr>
                      <w:rFonts w:hint="eastAsia"/>
                      <w:bCs/>
                      <w:sz w:val="21"/>
                      <w:szCs w:val="21"/>
                      <w:lang w:eastAsia="zh-CN"/>
                    </w:rPr>
                    <w:t>生活垃圾</w:t>
                  </w:r>
                </w:p>
              </w:tc>
              <w:tc>
                <w:tcPr>
                  <w:tcW w:w="2555" w:type="dxa"/>
                  <w:noWrap w:val="0"/>
                  <w:vAlign w:val="center"/>
                </w:tcPr>
                <w:p>
                  <w:pPr>
                    <w:adjustRightInd w:val="0"/>
                    <w:snapToGrid w:val="0"/>
                    <w:jc w:val="center"/>
                    <w:rPr>
                      <w:bCs/>
                      <w:sz w:val="21"/>
                      <w:szCs w:val="21"/>
                    </w:rPr>
                  </w:pPr>
                  <w:r>
                    <w:rPr>
                      <w:bCs/>
                      <w:sz w:val="21"/>
                      <w:szCs w:val="21"/>
                    </w:rPr>
                    <w:t>生活垃圾</w:t>
                  </w:r>
                </w:p>
              </w:tc>
              <w:tc>
                <w:tcPr>
                  <w:tcW w:w="1379" w:type="dxa"/>
                  <w:noWrap w:val="0"/>
                  <w:vAlign w:val="center"/>
                </w:tcPr>
                <w:p>
                  <w:pPr>
                    <w:adjustRightInd w:val="0"/>
                    <w:snapToGrid w:val="0"/>
                    <w:jc w:val="center"/>
                    <w:rPr>
                      <w:bCs/>
                      <w:sz w:val="21"/>
                      <w:szCs w:val="21"/>
                    </w:rPr>
                  </w:pPr>
                  <w:r>
                    <w:rPr>
                      <w:rFonts w:hint="eastAsia"/>
                      <w:bCs/>
                      <w:sz w:val="21"/>
                      <w:szCs w:val="21"/>
                      <w:lang w:val="en-US" w:eastAsia="zh-CN"/>
                    </w:rPr>
                    <w:t>1.88</w:t>
                  </w:r>
                  <w:r>
                    <w:rPr>
                      <w:bCs/>
                      <w:sz w:val="21"/>
                      <w:szCs w:val="21"/>
                    </w:rPr>
                    <w:t>t/a</w:t>
                  </w:r>
                </w:p>
              </w:tc>
              <w:tc>
                <w:tcPr>
                  <w:tcW w:w="3129" w:type="dxa"/>
                  <w:noWrap w:val="0"/>
                  <w:vAlign w:val="center"/>
                </w:tcPr>
                <w:p>
                  <w:pPr>
                    <w:adjustRightInd w:val="0"/>
                    <w:snapToGrid w:val="0"/>
                    <w:jc w:val="center"/>
                    <w:rPr>
                      <w:rFonts w:hint="default" w:eastAsia="宋体"/>
                      <w:bCs/>
                      <w:sz w:val="21"/>
                      <w:szCs w:val="21"/>
                      <w:lang w:val="en-US" w:eastAsia="zh-CN"/>
                    </w:rPr>
                  </w:pPr>
                  <w:r>
                    <w:rPr>
                      <w:rFonts w:hint="eastAsia"/>
                      <w:bCs/>
                      <w:sz w:val="21"/>
                      <w:szCs w:val="21"/>
                      <w:lang w:val="en-US" w:eastAsia="zh-CN"/>
                    </w:rPr>
                    <w:t>由指定单位收集处理</w:t>
                  </w:r>
                </w:p>
              </w:tc>
            </w:tr>
          </w:tbl>
          <w:p>
            <w:pPr>
              <w:adjustRightInd w:val="0"/>
              <w:snapToGrid w:val="0"/>
              <w:spacing w:line="520" w:lineRule="exact"/>
              <w:ind w:firstLine="482" w:firstLineChars="200"/>
              <w:rPr>
                <w:b/>
                <w:sz w:val="24"/>
              </w:rPr>
            </w:pPr>
            <w:r>
              <w:rPr>
                <w:b/>
                <w:sz w:val="24"/>
              </w:rPr>
              <w:t>3、目前存在的主要环境问题</w:t>
            </w:r>
          </w:p>
          <w:p>
            <w:pPr>
              <w:pStyle w:val="28"/>
              <w:keepNext w:val="0"/>
              <w:keepLines w:val="0"/>
              <w:pageBreakBefore w:val="0"/>
              <w:widowControl w:val="0"/>
              <w:kinsoku/>
              <w:wordWrap/>
              <w:overflowPunct/>
              <w:topLinePunct w:val="0"/>
              <w:autoSpaceDE/>
              <w:autoSpaceDN/>
              <w:bidi w:val="0"/>
              <w:adjustRightInd/>
              <w:snapToGrid/>
              <w:spacing w:after="0"/>
              <w:ind w:left="0" w:leftChars="0" w:firstLine="480" w:firstLineChars="200"/>
              <w:textAlignment w:val="auto"/>
              <w:rPr>
                <w:rFonts w:hint="eastAsia"/>
                <w:lang w:val="en-US" w:eastAsia="zh-CN"/>
              </w:rPr>
            </w:pPr>
            <w:r>
              <w:rPr>
                <w:rFonts w:hint="eastAsia"/>
                <w:lang w:val="en-US" w:eastAsia="zh-CN"/>
              </w:rPr>
              <w:t>经现场踏勘和竣工环境保护验收等相关材料，存在的环境问题主要为以下几点：</w:t>
            </w:r>
          </w:p>
          <w:p>
            <w:pPr>
              <w:pStyle w:val="28"/>
              <w:keepNext w:val="0"/>
              <w:keepLines w:val="0"/>
              <w:pageBreakBefore w:val="0"/>
              <w:widowControl w:val="0"/>
              <w:numPr>
                <w:ilvl w:val="0"/>
                <w:numId w:val="10"/>
              </w:numPr>
              <w:kinsoku/>
              <w:wordWrap/>
              <w:overflowPunct/>
              <w:topLinePunct w:val="0"/>
              <w:autoSpaceDE/>
              <w:autoSpaceDN/>
              <w:bidi w:val="0"/>
              <w:adjustRightInd/>
              <w:snapToGrid/>
              <w:spacing w:after="0"/>
              <w:ind w:left="0" w:leftChars="0" w:firstLine="480" w:firstLineChars="200"/>
              <w:textAlignment w:val="auto"/>
              <w:rPr>
                <w:rFonts w:hint="eastAsia"/>
                <w:lang w:val="en-US" w:eastAsia="zh-CN"/>
              </w:rPr>
            </w:pPr>
            <w:r>
              <w:rPr>
                <w:rFonts w:hint="eastAsia"/>
                <w:lang w:val="en-US" w:eastAsia="zh-CN"/>
              </w:rPr>
              <w:t>迁建前工程废水采用隔油沉淀池处理后排入自建化粪池（三级沉淀）+玻璃钢化粪池处理，处理后用于厂区绿化。该处理工艺不满足</w:t>
            </w:r>
            <w:r>
              <w:rPr>
                <w:rFonts w:cs="Times New Roman"/>
              </w:rPr>
              <w:t>《城市污水再利用城市杂用水水质》（GB/T18920-20</w:t>
            </w:r>
            <w:r>
              <w:rPr>
                <w:rFonts w:hint="eastAsia" w:cs="Times New Roman"/>
              </w:rPr>
              <w:t>20</w:t>
            </w:r>
            <w:r>
              <w:rPr>
                <w:rFonts w:cs="Times New Roman"/>
              </w:rPr>
              <w:t>）</w:t>
            </w:r>
            <w:r>
              <w:rPr>
                <w:rFonts w:hint="eastAsia" w:cs="Times New Roman"/>
              </w:rPr>
              <w:t>绿化用水标准限值</w:t>
            </w:r>
            <w:r>
              <w:rPr>
                <w:rFonts w:hint="eastAsia" w:cs="Times New Roman"/>
                <w:lang w:eastAsia="zh-CN"/>
              </w:rPr>
              <w:t>，</w:t>
            </w:r>
            <w:r>
              <w:rPr>
                <w:rFonts w:hint="eastAsia" w:cs="Times New Roman"/>
                <w:lang w:val="en-US" w:eastAsia="zh-CN"/>
              </w:rPr>
              <w:t>不能用于厂区</w:t>
            </w:r>
            <w:r>
              <w:rPr>
                <w:rFonts w:hint="eastAsia"/>
                <w:lang w:val="en-US" w:eastAsia="zh-CN"/>
              </w:rPr>
              <w:t>。</w:t>
            </w:r>
          </w:p>
          <w:p>
            <w:pPr>
              <w:pStyle w:val="28"/>
              <w:keepNext w:val="0"/>
              <w:keepLines w:val="0"/>
              <w:pageBreakBefore w:val="0"/>
              <w:widowControl w:val="0"/>
              <w:numPr>
                <w:ilvl w:val="0"/>
                <w:numId w:val="10"/>
              </w:numPr>
              <w:kinsoku/>
              <w:wordWrap/>
              <w:overflowPunct/>
              <w:topLinePunct w:val="0"/>
              <w:autoSpaceDE/>
              <w:autoSpaceDN/>
              <w:bidi w:val="0"/>
              <w:adjustRightInd/>
              <w:snapToGrid/>
              <w:spacing w:after="0"/>
              <w:ind w:left="0" w:leftChars="0" w:firstLine="480" w:firstLineChars="200"/>
              <w:textAlignment w:val="auto"/>
              <w:rPr>
                <w:rFonts w:hint="default" w:eastAsia="宋体"/>
                <w:lang w:val="en-US" w:eastAsia="zh-CN"/>
              </w:rPr>
            </w:pPr>
            <w:r>
              <w:rPr>
                <w:rFonts w:hint="eastAsia"/>
                <w:lang w:val="en-US" w:eastAsia="zh-CN"/>
              </w:rPr>
              <w:t>厂区搬迁后设备均作废处理，会产生一定量的废旧设备、建筑垃圾等。</w:t>
            </w:r>
          </w:p>
          <w:p>
            <w:pPr>
              <w:pStyle w:val="28"/>
              <w:keepNext w:val="0"/>
              <w:keepLines w:val="0"/>
              <w:pageBreakBefore w:val="0"/>
              <w:widowControl w:val="0"/>
              <w:numPr>
                <w:ilvl w:val="0"/>
                <w:numId w:val="0"/>
              </w:numPr>
              <w:kinsoku/>
              <w:wordWrap/>
              <w:overflowPunct/>
              <w:topLinePunct w:val="0"/>
              <w:autoSpaceDE/>
              <w:autoSpaceDN/>
              <w:bidi w:val="0"/>
              <w:adjustRightInd/>
              <w:snapToGrid/>
              <w:spacing w:after="0"/>
              <w:ind w:leftChars="200"/>
              <w:textAlignment w:val="auto"/>
              <w:rPr>
                <w:rFonts w:hint="eastAsia"/>
                <w:lang w:val="en-US" w:eastAsia="zh-CN"/>
              </w:rPr>
            </w:pPr>
            <w:r>
              <w:rPr>
                <w:rFonts w:hint="eastAsia"/>
                <w:lang w:val="en-US" w:eastAsia="zh-CN"/>
              </w:rPr>
              <w:t>现提出以下搬迁后整改意见：</w:t>
            </w:r>
          </w:p>
          <w:p>
            <w:pPr>
              <w:pStyle w:val="28"/>
              <w:keepNext w:val="0"/>
              <w:keepLines w:val="0"/>
              <w:pageBreakBefore w:val="0"/>
              <w:widowControl w:val="0"/>
              <w:numPr>
                <w:ilvl w:val="0"/>
                <w:numId w:val="0"/>
              </w:numPr>
              <w:kinsoku/>
              <w:wordWrap/>
              <w:overflowPunct/>
              <w:topLinePunct w:val="0"/>
              <w:autoSpaceDE/>
              <w:autoSpaceDN/>
              <w:bidi w:val="0"/>
              <w:adjustRightInd/>
              <w:snapToGrid/>
              <w:spacing w:after="0"/>
              <w:ind w:firstLine="480" w:firstLineChars="200"/>
              <w:textAlignment w:val="auto"/>
              <w:rPr>
                <w:rFonts w:hint="eastAsia" w:cs="Times New Roman"/>
                <w:lang w:val="en-US" w:eastAsia="zh-CN"/>
              </w:rPr>
            </w:pPr>
            <w:r>
              <w:rPr>
                <w:rFonts w:hint="eastAsia"/>
                <w:lang w:val="en-US" w:eastAsia="zh-CN"/>
              </w:rPr>
              <w:t>（1）厂区内设置地埋式一体化污水处理设施用于处理厂区内产生的生活污水和生产废水，经处理后的废水满足</w:t>
            </w:r>
            <w:r>
              <w:rPr>
                <w:rFonts w:cs="Times New Roman"/>
              </w:rPr>
              <w:t>《城市污水再利用城市杂用水水质》（GB/T18920-20</w:t>
            </w:r>
            <w:r>
              <w:rPr>
                <w:rFonts w:hint="eastAsia" w:cs="Times New Roman"/>
              </w:rPr>
              <w:t>20</w:t>
            </w:r>
            <w:r>
              <w:rPr>
                <w:rFonts w:cs="Times New Roman"/>
              </w:rPr>
              <w:t>）</w:t>
            </w:r>
            <w:r>
              <w:rPr>
                <w:rFonts w:hint="eastAsia" w:cs="Times New Roman"/>
              </w:rPr>
              <w:t>绿化用水标准限值</w:t>
            </w:r>
            <w:r>
              <w:rPr>
                <w:rFonts w:hint="eastAsia" w:cs="Times New Roman"/>
                <w:lang w:val="en-US" w:eastAsia="zh-CN"/>
              </w:rPr>
              <w:t>后用于厂区绿化。</w:t>
            </w:r>
          </w:p>
          <w:p>
            <w:pPr>
              <w:pStyle w:val="28"/>
              <w:keepNext w:val="0"/>
              <w:keepLines w:val="0"/>
              <w:pageBreakBefore w:val="0"/>
              <w:widowControl w:val="0"/>
              <w:numPr>
                <w:ilvl w:val="0"/>
                <w:numId w:val="0"/>
              </w:numPr>
              <w:kinsoku/>
              <w:wordWrap/>
              <w:overflowPunct/>
              <w:topLinePunct w:val="0"/>
              <w:autoSpaceDE/>
              <w:autoSpaceDN/>
              <w:bidi w:val="0"/>
              <w:adjustRightInd/>
              <w:snapToGrid/>
              <w:spacing w:after="0"/>
              <w:ind w:firstLine="480" w:firstLineChars="200"/>
              <w:textAlignment w:val="auto"/>
              <w:rPr>
                <w:rFonts w:hint="default" w:eastAsia="宋体"/>
                <w:lang w:val="en-US" w:eastAsia="zh-CN"/>
              </w:rPr>
            </w:pPr>
            <w:r>
              <w:rPr>
                <w:rFonts w:hint="eastAsia"/>
                <w:lang w:val="en-US" w:eastAsia="zh-CN"/>
              </w:rPr>
              <w:t>（2）搬迁产生的废旧设备状况较好的作为二手设备外售，较差的外售给废品收购站，</w:t>
            </w:r>
            <w:r>
              <w:rPr>
                <w:rFonts w:hint="eastAsia"/>
                <w:sz w:val="24"/>
              </w:rPr>
              <w:t>要求建筑拆除阶段产生的建筑垃圾集中堆置于临时弃渣场，然后集中统一送指定建筑垃圾场填埋处理</w:t>
            </w:r>
            <w:r>
              <w:rPr>
                <w:rFonts w:hint="eastAsia"/>
                <w:lang w:val="en-US" w:eastAsia="zh-CN"/>
              </w:rPr>
              <w:t>。</w:t>
            </w:r>
          </w:p>
        </w:tc>
      </w:tr>
    </w:tbl>
    <w:p>
      <w:pPr>
        <w:pStyle w:val="25"/>
        <w:jc w:val="center"/>
        <w:rPr>
          <w:rFonts w:ascii="黑体" w:hAnsi="黑体" w:eastAsia="黑体"/>
          <w:snapToGrid w:val="0"/>
          <w:sz w:val="36"/>
          <w:szCs w:val="36"/>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5"/>
        <w:jc w:val="center"/>
        <w:outlineLvl w:val="0"/>
        <w:rPr>
          <w:rFonts w:ascii="黑体" w:hAnsi="黑体" w:eastAsia="黑体"/>
          <w:snapToGrid w:val="0"/>
          <w:sz w:val="30"/>
          <w:szCs w:val="30"/>
        </w:rPr>
      </w:pPr>
      <w:r>
        <w:rPr>
          <w:rFonts w:hint="eastAsia" w:ascii="黑体" w:hAnsi="黑体" w:eastAsia="黑体"/>
          <w:snapToGrid w:val="0"/>
          <w:sz w:val="30"/>
          <w:szCs w:val="30"/>
        </w:rPr>
        <w:t>三、区域环境质量现状、环境保护目标及评价标准</w:t>
      </w:r>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00" w:type="dxa"/>
            <w:vAlign w:val="center"/>
          </w:tcPr>
          <w:p>
            <w:pPr>
              <w:adjustRightInd w:val="0"/>
              <w:snapToGrid w:val="0"/>
              <w:jc w:val="center"/>
              <w:rPr>
                <w:rFonts w:ascii="宋体" w:hAnsi="宋体" w:cs="宋体"/>
                <w:kern w:val="0"/>
                <w:sz w:val="24"/>
              </w:rPr>
            </w:pPr>
            <w:r>
              <w:rPr>
                <w:rFonts w:hint="eastAsia" w:ascii="宋体" w:hAnsi="宋体" w:cs="宋体"/>
                <w:kern w:val="0"/>
                <w:sz w:val="24"/>
              </w:rPr>
              <w:t>区域</w:t>
            </w:r>
          </w:p>
          <w:p>
            <w:pPr>
              <w:adjustRightInd w:val="0"/>
              <w:snapToGrid w:val="0"/>
              <w:jc w:val="center"/>
              <w:rPr>
                <w:rFonts w:ascii="宋体" w:hAnsi="宋体" w:cs="宋体"/>
                <w:kern w:val="0"/>
                <w:sz w:val="24"/>
              </w:rPr>
            </w:pPr>
            <w:r>
              <w:rPr>
                <w:rFonts w:hint="eastAsia" w:ascii="宋体" w:hAnsi="宋体" w:cs="宋体"/>
                <w:kern w:val="0"/>
                <w:sz w:val="24"/>
              </w:rPr>
              <w:t>环境</w:t>
            </w:r>
          </w:p>
          <w:p>
            <w:pPr>
              <w:adjustRightInd w:val="0"/>
              <w:snapToGrid w:val="0"/>
              <w:jc w:val="center"/>
              <w:rPr>
                <w:rFonts w:ascii="宋体" w:hAnsi="宋体" w:cs="宋体"/>
                <w:kern w:val="0"/>
                <w:sz w:val="24"/>
              </w:rPr>
            </w:pPr>
            <w:r>
              <w:rPr>
                <w:rFonts w:hint="eastAsia" w:ascii="宋体" w:hAnsi="宋体" w:cs="宋体"/>
                <w:kern w:val="0"/>
                <w:sz w:val="24"/>
              </w:rPr>
              <w:t>质量</w:t>
            </w:r>
          </w:p>
          <w:p>
            <w:pPr>
              <w:adjustRightInd w:val="0"/>
              <w:snapToGrid w:val="0"/>
              <w:jc w:val="center"/>
              <w:rPr>
                <w:rFonts w:ascii="宋体" w:hAnsi="宋体" w:cs="宋体"/>
                <w:kern w:val="0"/>
                <w:sz w:val="24"/>
              </w:rPr>
            </w:pPr>
            <w:r>
              <w:rPr>
                <w:rFonts w:hint="eastAsia" w:ascii="宋体" w:hAnsi="宋体" w:cs="宋体"/>
                <w:kern w:val="0"/>
                <w:sz w:val="24"/>
              </w:rPr>
              <w:t>现状</w:t>
            </w:r>
          </w:p>
        </w:tc>
        <w:tc>
          <w:tcPr>
            <w:tcW w:w="8190" w:type="dxa"/>
            <w:vAlign w:val="center"/>
          </w:tcPr>
          <w:p>
            <w:pPr>
              <w:numPr>
                <w:ilvl w:val="0"/>
                <w:numId w:val="11"/>
              </w:numPr>
              <w:autoSpaceDE w:val="0"/>
              <w:autoSpaceDN w:val="0"/>
              <w:adjustRightInd w:val="0"/>
              <w:snapToGrid w:val="0"/>
              <w:spacing w:line="520" w:lineRule="exact"/>
              <w:ind w:firstLine="482"/>
              <w:rPr>
                <w:b/>
                <w:bCs/>
                <w:sz w:val="24"/>
              </w:rPr>
            </w:pPr>
            <w:r>
              <w:rPr>
                <w:b/>
                <w:bCs/>
                <w:sz w:val="24"/>
              </w:rPr>
              <w:t>大气环境</w:t>
            </w:r>
          </w:p>
          <w:p>
            <w:pPr>
              <w:pStyle w:val="63"/>
              <w:ind w:firstLine="482"/>
              <w:rPr>
                <w:b/>
                <w:bCs/>
              </w:rPr>
            </w:pPr>
            <w:r>
              <w:rPr>
                <w:rFonts w:hint="eastAsia"/>
                <w:b/>
                <w:bCs/>
              </w:rPr>
              <w:t>1.1基本污染物现状调查与评价</w:t>
            </w:r>
          </w:p>
          <w:p>
            <w:pPr>
              <w:pStyle w:val="63"/>
            </w:pPr>
            <w:r>
              <w:rPr>
                <w:rFonts w:hint="eastAsia"/>
              </w:rPr>
              <w:t>本项目位于</w:t>
            </w:r>
            <w:r>
              <w:t>新疆昌吉</w:t>
            </w:r>
            <w:r>
              <w:rPr>
                <w:rFonts w:hint="eastAsia"/>
              </w:rPr>
              <w:t>回族自治</w:t>
            </w:r>
            <w:r>
              <w:t>州</w:t>
            </w:r>
            <w:r>
              <w:rPr>
                <w:rFonts w:hint="eastAsia"/>
              </w:rPr>
              <w:t>吉木萨尔县庆阳湖乡水溪沟，根据《环境影响评价技术导则</w:t>
            </w:r>
            <w:r>
              <w:rPr>
                <w:rFonts w:hint="eastAsia"/>
                <w:lang w:val="en-US" w:eastAsia="zh-CN"/>
              </w:rPr>
              <w:t xml:space="preserve">  </w:t>
            </w:r>
            <w:r>
              <w:rPr>
                <w:rFonts w:hint="eastAsia"/>
              </w:rPr>
              <w:t>大气环境》（HJ2.2-2018），可直接采用国家或地方生态</w:t>
            </w:r>
            <w:r>
              <w:rPr>
                <w:rFonts w:hint="eastAsia"/>
                <w:lang w:val="en-US" w:eastAsia="zh-CN"/>
              </w:rPr>
              <w:t>环境</w:t>
            </w:r>
            <w:r>
              <w:rPr>
                <w:rFonts w:hint="eastAsia"/>
              </w:rPr>
              <w:t>主管部门公开发布的评价基准年环境质量公告或环境质量报告中的数据或结论。</w:t>
            </w:r>
          </w:p>
          <w:p>
            <w:pPr>
              <w:pStyle w:val="63"/>
              <w:rPr>
                <w:rFonts w:cs="Times New Roman"/>
              </w:rPr>
            </w:pPr>
            <w:r>
              <w:rPr>
                <w:rFonts w:cs="Times New Roman"/>
                <w:kern w:val="0"/>
                <w:lang w:bidi="ar"/>
              </w:rPr>
              <w:t>由于离项目最近的天池站点位于风景区内，环境空气质量代表性不强，因此</w:t>
            </w:r>
            <w:r>
              <w:rPr>
                <w:color w:val="auto"/>
                <w:sz w:val="24"/>
              </w:rPr>
              <w:t>本次评价</w:t>
            </w:r>
            <w:r>
              <w:rPr>
                <w:rFonts w:hint="eastAsia"/>
                <w:color w:val="auto"/>
                <w:sz w:val="24"/>
                <w:lang w:val="en-US" w:eastAsia="zh-CN"/>
              </w:rPr>
              <w:t>引用位于</w:t>
            </w:r>
            <w:r>
              <w:rPr>
                <w:color w:val="auto"/>
                <w:sz w:val="24"/>
              </w:rPr>
              <w:t>本项目</w:t>
            </w:r>
            <w:r>
              <w:rPr>
                <w:rFonts w:hint="eastAsia"/>
                <w:color w:val="auto"/>
                <w:sz w:val="24"/>
                <w:lang w:val="en-US" w:eastAsia="zh-CN"/>
              </w:rPr>
              <w:t>西北方向87km</w:t>
            </w:r>
            <w:r>
              <w:rPr>
                <w:color w:val="auto"/>
                <w:sz w:val="24"/>
              </w:rPr>
              <w:t>的</w:t>
            </w:r>
            <w:r>
              <w:rPr>
                <w:rFonts w:cs="Times New Roman"/>
                <w:kern w:val="0"/>
                <w:lang w:bidi="ar"/>
              </w:rPr>
              <w:t>国控监测站阜康市监测站2020年的监测数据进行统计分析，作为本项目环境空气现状评价基本污染物SO</w:t>
            </w:r>
            <w:r>
              <w:rPr>
                <w:rFonts w:cs="Times New Roman"/>
                <w:kern w:val="0"/>
                <w:vertAlign w:val="subscript"/>
                <w:lang w:bidi="ar"/>
              </w:rPr>
              <w:t>2</w:t>
            </w:r>
            <w:r>
              <w:rPr>
                <w:rFonts w:cs="Times New Roman"/>
                <w:kern w:val="0"/>
                <w:lang w:bidi="ar"/>
              </w:rPr>
              <w:t>、NO</w:t>
            </w:r>
            <w:r>
              <w:rPr>
                <w:rFonts w:cs="Times New Roman"/>
                <w:kern w:val="0"/>
                <w:vertAlign w:val="subscript"/>
                <w:lang w:bidi="ar"/>
              </w:rPr>
              <w:t>2</w:t>
            </w:r>
            <w:r>
              <w:rPr>
                <w:rFonts w:cs="Times New Roman"/>
                <w:kern w:val="0"/>
                <w:lang w:bidi="ar"/>
              </w:rPr>
              <w:t>、PM</w:t>
            </w:r>
            <w:r>
              <w:rPr>
                <w:rFonts w:cs="Times New Roman"/>
                <w:kern w:val="0"/>
                <w:vertAlign w:val="subscript"/>
                <w:lang w:bidi="ar"/>
              </w:rPr>
              <w:t>10</w:t>
            </w:r>
            <w:r>
              <w:rPr>
                <w:rFonts w:cs="Times New Roman"/>
                <w:kern w:val="0"/>
                <w:lang w:bidi="ar"/>
              </w:rPr>
              <w:t>、PM</w:t>
            </w:r>
            <w:r>
              <w:rPr>
                <w:rFonts w:cs="Times New Roman"/>
                <w:kern w:val="0"/>
                <w:vertAlign w:val="subscript"/>
                <w:lang w:bidi="ar"/>
              </w:rPr>
              <w:t>2.5</w:t>
            </w:r>
            <w:r>
              <w:rPr>
                <w:rFonts w:cs="Times New Roman"/>
                <w:kern w:val="0"/>
                <w:lang w:bidi="ar"/>
              </w:rPr>
              <w:t>、CO和O</w:t>
            </w:r>
            <w:r>
              <w:rPr>
                <w:rFonts w:cs="Times New Roman"/>
                <w:kern w:val="0"/>
                <w:vertAlign w:val="subscript"/>
                <w:lang w:bidi="ar"/>
              </w:rPr>
              <w:t>3</w:t>
            </w:r>
            <w:r>
              <w:rPr>
                <w:rFonts w:cs="Times New Roman"/>
                <w:kern w:val="0"/>
                <w:lang w:bidi="ar"/>
              </w:rPr>
              <w:t>的数据来源。本项目所在区域</w:t>
            </w:r>
            <w:r>
              <w:rPr>
                <w:rFonts w:cs="Times New Roman"/>
              </w:rPr>
              <w:t>空气质量现状评价结果详见下表：</w:t>
            </w:r>
          </w:p>
          <w:p>
            <w:pPr>
              <w:pStyle w:val="79"/>
              <w:ind w:firstLine="480"/>
            </w:pPr>
            <w:r>
              <w:t>表3-</w:t>
            </w:r>
            <w:r>
              <w:rPr>
                <w:rFonts w:hint="eastAsia"/>
              </w:rPr>
              <w:t>1</w:t>
            </w:r>
            <w:r>
              <w:t xml:space="preserve">  区域空气质量现状评价表</w:t>
            </w:r>
          </w:p>
          <w:tbl>
            <w:tblPr>
              <w:tblStyle w:val="2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5"/>
              <w:gridCol w:w="1735"/>
              <w:gridCol w:w="1375"/>
              <w:gridCol w:w="1639"/>
              <w:gridCol w:w="901"/>
              <w:gridCol w:w="14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pPr>
                    <w:autoSpaceDE w:val="0"/>
                    <w:autoSpaceDN w:val="0"/>
                    <w:jc w:val="center"/>
                    <w:rPr>
                      <w:sz w:val="24"/>
                    </w:rPr>
                  </w:pPr>
                  <w:r>
                    <w:t>污染物</w:t>
                  </w:r>
                </w:p>
              </w:tc>
              <w:tc>
                <w:tcPr>
                  <w:tcW w:w="1088" w:type="pct"/>
                  <w:vAlign w:val="center"/>
                </w:tcPr>
                <w:p>
                  <w:pPr>
                    <w:autoSpaceDE w:val="0"/>
                    <w:autoSpaceDN w:val="0"/>
                    <w:jc w:val="center"/>
                    <w:rPr>
                      <w:sz w:val="24"/>
                    </w:rPr>
                  </w:pPr>
                  <w:r>
                    <w:t>年评价指标</w:t>
                  </w:r>
                </w:p>
              </w:tc>
              <w:tc>
                <w:tcPr>
                  <w:tcW w:w="862" w:type="pct"/>
                  <w:vAlign w:val="center"/>
                </w:tcPr>
                <w:p>
                  <w:pPr>
                    <w:autoSpaceDE w:val="0"/>
                    <w:autoSpaceDN w:val="0"/>
                    <w:jc w:val="center"/>
                    <w:rPr>
                      <w:sz w:val="24"/>
                    </w:rPr>
                  </w:pPr>
                  <w:r>
                    <w:t>现状浓度（</w:t>
                  </w:r>
                  <w:r>
                    <w:rPr>
                      <w:bCs/>
                      <w:szCs w:val="21"/>
                    </w:rPr>
                    <w:t>μ</w:t>
                  </w:r>
                  <w:r>
                    <w:t>g/m</w:t>
                  </w:r>
                  <w:r>
                    <w:rPr>
                      <w:vertAlign w:val="superscript"/>
                    </w:rPr>
                    <w:t>3</w:t>
                  </w:r>
                  <w:r>
                    <w:t>）</w:t>
                  </w:r>
                </w:p>
              </w:tc>
              <w:tc>
                <w:tcPr>
                  <w:tcW w:w="1028" w:type="pct"/>
                  <w:vAlign w:val="center"/>
                </w:tcPr>
                <w:p>
                  <w:pPr>
                    <w:autoSpaceDE w:val="0"/>
                    <w:autoSpaceDN w:val="0"/>
                    <w:jc w:val="center"/>
                    <w:rPr>
                      <w:sz w:val="24"/>
                    </w:rPr>
                  </w:pPr>
                  <w:r>
                    <w:t>标准值（</w:t>
                  </w:r>
                  <w:r>
                    <w:rPr>
                      <w:bCs/>
                      <w:szCs w:val="21"/>
                    </w:rPr>
                    <w:t>μ</w:t>
                  </w:r>
                  <w:r>
                    <w:t>g/m</w:t>
                  </w:r>
                  <w:r>
                    <w:rPr>
                      <w:vertAlign w:val="superscript"/>
                    </w:rPr>
                    <w:t>3</w:t>
                  </w:r>
                  <w:r>
                    <w:t>）</w:t>
                  </w:r>
                </w:p>
              </w:tc>
              <w:tc>
                <w:tcPr>
                  <w:tcW w:w="565" w:type="pct"/>
                  <w:vAlign w:val="center"/>
                </w:tcPr>
                <w:p>
                  <w:pPr>
                    <w:autoSpaceDE w:val="0"/>
                    <w:autoSpaceDN w:val="0"/>
                    <w:jc w:val="center"/>
                    <w:rPr>
                      <w:sz w:val="24"/>
                    </w:rPr>
                  </w:pPr>
                  <w:r>
                    <w:t>占标率</w:t>
                  </w:r>
                </w:p>
              </w:tc>
              <w:tc>
                <w:tcPr>
                  <w:tcW w:w="902" w:type="pct"/>
                  <w:vAlign w:val="center"/>
                </w:tcPr>
                <w:p>
                  <w:pPr>
                    <w:autoSpaceDE w:val="0"/>
                    <w:autoSpaceDN w:val="0"/>
                    <w:jc w:val="center"/>
                    <w:rPr>
                      <w:sz w:val="24"/>
                    </w:rPr>
                  </w:pPr>
                  <w: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pPr>
                    <w:autoSpaceDE w:val="0"/>
                    <w:autoSpaceDN w:val="0"/>
                    <w:jc w:val="center"/>
                    <w:rPr>
                      <w:sz w:val="24"/>
                    </w:rPr>
                  </w:pPr>
                  <w:r>
                    <w:t>PM</w:t>
                  </w:r>
                  <w:r>
                    <w:rPr>
                      <w:vertAlign w:val="subscript"/>
                    </w:rPr>
                    <w:t>2.5</w:t>
                  </w:r>
                </w:p>
              </w:tc>
              <w:tc>
                <w:tcPr>
                  <w:tcW w:w="1088" w:type="pct"/>
                  <w:vMerge w:val="restart"/>
                  <w:vAlign w:val="center"/>
                </w:tcPr>
                <w:p>
                  <w:pPr>
                    <w:autoSpaceDE w:val="0"/>
                    <w:autoSpaceDN w:val="0"/>
                    <w:jc w:val="center"/>
                    <w:rPr>
                      <w:sz w:val="24"/>
                    </w:rPr>
                  </w:pPr>
                  <w:r>
                    <w:t>年平均质量浓度</w:t>
                  </w:r>
                </w:p>
              </w:tc>
              <w:tc>
                <w:tcPr>
                  <w:tcW w:w="862" w:type="pct"/>
                  <w:vAlign w:val="center"/>
                </w:tcPr>
                <w:p>
                  <w:pPr>
                    <w:autoSpaceDE w:val="0"/>
                    <w:autoSpaceDN w:val="0"/>
                    <w:jc w:val="center"/>
                    <w:rPr>
                      <w:sz w:val="24"/>
                    </w:rPr>
                  </w:pPr>
                  <w:r>
                    <w:rPr>
                      <w:rFonts w:hint="eastAsia"/>
                    </w:rPr>
                    <w:t>53</w:t>
                  </w:r>
                </w:p>
              </w:tc>
              <w:tc>
                <w:tcPr>
                  <w:tcW w:w="1028" w:type="pct"/>
                  <w:vAlign w:val="center"/>
                </w:tcPr>
                <w:p>
                  <w:pPr>
                    <w:autoSpaceDE w:val="0"/>
                    <w:autoSpaceDN w:val="0"/>
                    <w:jc w:val="center"/>
                    <w:rPr>
                      <w:sz w:val="24"/>
                    </w:rPr>
                  </w:pPr>
                  <w:r>
                    <w:t>35</w:t>
                  </w:r>
                </w:p>
              </w:tc>
              <w:tc>
                <w:tcPr>
                  <w:tcW w:w="565" w:type="pct"/>
                  <w:vAlign w:val="center"/>
                </w:tcPr>
                <w:p>
                  <w:pPr>
                    <w:autoSpaceDE w:val="0"/>
                    <w:autoSpaceDN w:val="0"/>
                    <w:jc w:val="center"/>
                    <w:rPr>
                      <w:szCs w:val="21"/>
                    </w:rPr>
                  </w:pPr>
                  <w:r>
                    <w:rPr>
                      <w:szCs w:val="21"/>
                    </w:rPr>
                    <w:t>1.514</w:t>
                  </w:r>
                </w:p>
              </w:tc>
              <w:tc>
                <w:tcPr>
                  <w:tcW w:w="902" w:type="pct"/>
                  <w:vAlign w:val="center"/>
                </w:tcPr>
                <w:p>
                  <w:pPr>
                    <w:autoSpaceDE w:val="0"/>
                    <w:autoSpaceDN w:val="0"/>
                    <w:jc w:val="center"/>
                    <w:rPr>
                      <w:sz w:val="24"/>
                    </w:rPr>
                  </w:pPr>
                  <w:r>
                    <w:t>不达标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pPr>
                    <w:autoSpaceDE w:val="0"/>
                    <w:autoSpaceDN w:val="0"/>
                    <w:jc w:val="center"/>
                    <w:rPr>
                      <w:sz w:val="24"/>
                    </w:rPr>
                  </w:pPr>
                  <w:r>
                    <w:t>PM</w:t>
                  </w:r>
                  <w:r>
                    <w:rPr>
                      <w:vertAlign w:val="subscript"/>
                    </w:rPr>
                    <w:t>10</w:t>
                  </w:r>
                </w:p>
              </w:tc>
              <w:tc>
                <w:tcPr>
                  <w:tcW w:w="1088" w:type="pct"/>
                  <w:vMerge w:val="continue"/>
                  <w:vAlign w:val="center"/>
                </w:tcPr>
                <w:p>
                  <w:pPr>
                    <w:jc w:val="center"/>
                    <w:rPr>
                      <w:sz w:val="24"/>
                    </w:rPr>
                  </w:pPr>
                </w:p>
              </w:tc>
              <w:tc>
                <w:tcPr>
                  <w:tcW w:w="862" w:type="pct"/>
                  <w:vAlign w:val="center"/>
                </w:tcPr>
                <w:p>
                  <w:pPr>
                    <w:autoSpaceDE w:val="0"/>
                    <w:autoSpaceDN w:val="0"/>
                    <w:jc w:val="center"/>
                    <w:rPr>
                      <w:sz w:val="24"/>
                    </w:rPr>
                  </w:pPr>
                  <w:r>
                    <w:rPr>
                      <w:rFonts w:hint="eastAsia"/>
                    </w:rPr>
                    <w:t>88</w:t>
                  </w:r>
                </w:p>
              </w:tc>
              <w:tc>
                <w:tcPr>
                  <w:tcW w:w="1028" w:type="pct"/>
                  <w:vAlign w:val="center"/>
                </w:tcPr>
                <w:p>
                  <w:pPr>
                    <w:autoSpaceDE w:val="0"/>
                    <w:autoSpaceDN w:val="0"/>
                    <w:jc w:val="center"/>
                    <w:rPr>
                      <w:sz w:val="24"/>
                    </w:rPr>
                  </w:pPr>
                  <w:r>
                    <w:t>70</w:t>
                  </w:r>
                </w:p>
              </w:tc>
              <w:tc>
                <w:tcPr>
                  <w:tcW w:w="565" w:type="pct"/>
                  <w:vAlign w:val="center"/>
                </w:tcPr>
                <w:p>
                  <w:pPr>
                    <w:autoSpaceDE w:val="0"/>
                    <w:autoSpaceDN w:val="0"/>
                    <w:jc w:val="center"/>
                    <w:rPr>
                      <w:szCs w:val="21"/>
                    </w:rPr>
                  </w:pPr>
                  <w:r>
                    <w:rPr>
                      <w:rFonts w:hint="eastAsia"/>
                      <w:szCs w:val="21"/>
                    </w:rPr>
                    <w:t>1.257</w:t>
                  </w:r>
                </w:p>
              </w:tc>
              <w:tc>
                <w:tcPr>
                  <w:tcW w:w="902" w:type="pct"/>
                  <w:vAlign w:val="center"/>
                </w:tcPr>
                <w:p>
                  <w:pPr>
                    <w:autoSpaceDE w:val="0"/>
                    <w:autoSpaceDN w:val="0"/>
                    <w:jc w:val="center"/>
                    <w:rPr>
                      <w:sz w:val="24"/>
                    </w:rPr>
                  </w:pPr>
                  <w:r>
                    <w:t>不达标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pPr>
                    <w:autoSpaceDE w:val="0"/>
                    <w:autoSpaceDN w:val="0"/>
                    <w:jc w:val="center"/>
                    <w:rPr>
                      <w:sz w:val="24"/>
                    </w:rPr>
                  </w:pPr>
                  <w:r>
                    <w:t>SO</w:t>
                  </w:r>
                  <w:r>
                    <w:rPr>
                      <w:vertAlign w:val="subscript"/>
                    </w:rPr>
                    <w:t>2</w:t>
                  </w:r>
                </w:p>
              </w:tc>
              <w:tc>
                <w:tcPr>
                  <w:tcW w:w="1088" w:type="pct"/>
                  <w:vMerge w:val="continue"/>
                  <w:vAlign w:val="center"/>
                </w:tcPr>
                <w:p>
                  <w:pPr>
                    <w:jc w:val="center"/>
                    <w:rPr>
                      <w:sz w:val="24"/>
                    </w:rPr>
                  </w:pPr>
                </w:p>
              </w:tc>
              <w:tc>
                <w:tcPr>
                  <w:tcW w:w="862" w:type="pct"/>
                  <w:vAlign w:val="center"/>
                </w:tcPr>
                <w:p>
                  <w:pPr>
                    <w:autoSpaceDE w:val="0"/>
                    <w:autoSpaceDN w:val="0"/>
                    <w:jc w:val="center"/>
                    <w:rPr>
                      <w:sz w:val="24"/>
                    </w:rPr>
                  </w:pPr>
                  <w:r>
                    <w:rPr>
                      <w:rFonts w:hint="eastAsia"/>
                    </w:rPr>
                    <w:t>8</w:t>
                  </w:r>
                </w:p>
              </w:tc>
              <w:tc>
                <w:tcPr>
                  <w:tcW w:w="1028" w:type="pct"/>
                  <w:vAlign w:val="center"/>
                </w:tcPr>
                <w:p>
                  <w:pPr>
                    <w:autoSpaceDE w:val="0"/>
                    <w:autoSpaceDN w:val="0"/>
                    <w:jc w:val="center"/>
                    <w:rPr>
                      <w:sz w:val="24"/>
                    </w:rPr>
                  </w:pPr>
                  <w:r>
                    <w:t>60</w:t>
                  </w:r>
                </w:p>
              </w:tc>
              <w:tc>
                <w:tcPr>
                  <w:tcW w:w="565" w:type="pct"/>
                  <w:vAlign w:val="center"/>
                </w:tcPr>
                <w:p>
                  <w:pPr>
                    <w:autoSpaceDE w:val="0"/>
                    <w:autoSpaceDN w:val="0"/>
                    <w:jc w:val="center"/>
                    <w:rPr>
                      <w:szCs w:val="21"/>
                    </w:rPr>
                  </w:pPr>
                  <w:r>
                    <w:rPr>
                      <w:rFonts w:hint="eastAsia"/>
                      <w:szCs w:val="21"/>
                    </w:rPr>
                    <w:t>0.133</w:t>
                  </w:r>
                </w:p>
              </w:tc>
              <w:tc>
                <w:tcPr>
                  <w:tcW w:w="902" w:type="pct"/>
                  <w:vAlign w:val="center"/>
                </w:tcPr>
                <w:p>
                  <w:pPr>
                    <w:autoSpaceDE w:val="0"/>
                    <w:autoSpaceDN w:val="0"/>
                    <w:jc w:val="center"/>
                    <w:rPr>
                      <w:sz w:val="24"/>
                    </w:rPr>
                  </w:pPr>
                  <w: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pPr>
                    <w:autoSpaceDE w:val="0"/>
                    <w:autoSpaceDN w:val="0"/>
                    <w:jc w:val="center"/>
                    <w:rPr>
                      <w:sz w:val="24"/>
                    </w:rPr>
                  </w:pPr>
                  <w:r>
                    <w:t>NO</w:t>
                  </w:r>
                  <w:r>
                    <w:rPr>
                      <w:vertAlign w:val="subscript"/>
                    </w:rPr>
                    <w:t>2</w:t>
                  </w:r>
                </w:p>
              </w:tc>
              <w:tc>
                <w:tcPr>
                  <w:tcW w:w="1088" w:type="pct"/>
                  <w:vMerge w:val="continue"/>
                  <w:vAlign w:val="center"/>
                </w:tcPr>
                <w:p>
                  <w:pPr>
                    <w:jc w:val="center"/>
                    <w:rPr>
                      <w:sz w:val="24"/>
                    </w:rPr>
                  </w:pPr>
                </w:p>
              </w:tc>
              <w:tc>
                <w:tcPr>
                  <w:tcW w:w="862" w:type="pct"/>
                  <w:vAlign w:val="center"/>
                </w:tcPr>
                <w:p>
                  <w:pPr>
                    <w:autoSpaceDE w:val="0"/>
                    <w:autoSpaceDN w:val="0"/>
                    <w:jc w:val="center"/>
                    <w:rPr>
                      <w:sz w:val="24"/>
                    </w:rPr>
                  </w:pPr>
                  <w:r>
                    <w:rPr>
                      <w:rFonts w:hint="eastAsia"/>
                    </w:rPr>
                    <w:t>33</w:t>
                  </w:r>
                </w:p>
              </w:tc>
              <w:tc>
                <w:tcPr>
                  <w:tcW w:w="1028" w:type="pct"/>
                  <w:vAlign w:val="center"/>
                </w:tcPr>
                <w:p>
                  <w:pPr>
                    <w:autoSpaceDE w:val="0"/>
                    <w:autoSpaceDN w:val="0"/>
                    <w:jc w:val="center"/>
                    <w:rPr>
                      <w:sz w:val="24"/>
                    </w:rPr>
                  </w:pPr>
                  <w:r>
                    <w:t>40</w:t>
                  </w:r>
                </w:p>
              </w:tc>
              <w:tc>
                <w:tcPr>
                  <w:tcW w:w="565" w:type="pct"/>
                  <w:vAlign w:val="center"/>
                </w:tcPr>
                <w:p>
                  <w:pPr>
                    <w:autoSpaceDE w:val="0"/>
                    <w:autoSpaceDN w:val="0"/>
                    <w:jc w:val="center"/>
                    <w:rPr>
                      <w:szCs w:val="21"/>
                    </w:rPr>
                  </w:pPr>
                  <w:r>
                    <w:rPr>
                      <w:rFonts w:hint="eastAsia"/>
                      <w:szCs w:val="21"/>
                    </w:rPr>
                    <w:t>0.825</w:t>
                  </w:r>
                </w:p>
              </w:tc>
              <w:tc>
                <w:tcPr>
                  <w:tcW w:w="902" w:type="pct"/>
                  <w:vAlign w:val="center"/>
                </w:tcPr>
                <w:p>
                  <w:pPr>
                    <w:autoSpaceDE w:val="0"/>
                    <w:autoSpaceDN w:val="0"/>
                    <w:jc w:val="center"/>
                    <w:rPr>
                      <w:sz w:val="24"/>
                    </w:rPr>
                  </w:pPr>
                  <w: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restart"/>
                  <w:vAlign w:val="center"/>
                </w:tcPr>
                <w:p>
                  <w:pPr>
                    <w:autoSpaceDE w:val="0"/>
                    <w:autoSpaceDN w:val="0"/>
                    <w:jc w:val="center"/>
                    <w:rPr>
                      <w:sz w:val="24"/>
                    </w:rPr>
                  </w:pPr>
                  <w:r>
                    <w:t>CO</w:t>
                  </w:r>
                </w:p>
              </w:tc>
              <w:tc>
                <w:tcPr>
                  <w:tcW w:w="1088" w:type="pct"/>
                  <w:vAlign w:val="center"/>
                </w:tcPr>
                <w:p>
                  <w:pPr>
                    <w:autoSpaceDE w:val="0"/>
                    <w:autoSpaceDN w:val="0"/>
                    <w:jc w:val="center"/>
                    <w:rPr>
                      <w:sz w:val="24"/>
                    </w:rPr>
                  </w:pPr>
                  <w:r>
                    <w:t>年平均质量浓度</w:t>
                  </w:r>
                </w:p>
              </w:tc>
              <w:tc>
                <w:tcPr>
                  <w:tcW w:w="862" w:type="pct"/>
                  <w:vAlign w:val="center"/>
                </w:tcPr>
                <w:p>
                  <w:pPr>
                    <w:autoSpaceDE w:val="0"/>
                    <w:autoSpaceDN w:val="0"/>
                    <w:jc w:val="center"/>
                    <w:rPr>
                      <w:sz w:val="24"/>
                    </w:rPr>
                  </w:pPr>
                  <w:r>
                    <w:rPr>
                      <w:rFonts w:hint="eastAsia"/>
                      <w:sz w:val="24"/>
                    </w:rPr>
                    <w:t>/</w:t>
                  </w:r>
                </w:p>
              </w:tc>
              <w:tc>
                <w:tcPr>
                  <w:tcW w:w="2495" w:type="pct"/>
                  <w:gridSpan w:val="3"/>
                  <w:vAlign w:val="center"/>
                </w:tcPr>
                <w:p>
                  <w:pPr>
                    <w:autoSpaceDE w:val="0"/>
                    <w:autoSpaceDN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pPr>
                    <w:jc w:val="center"/>
                    <w:rPr>
                      <w:sz w:val="24"/>
                    </w:rPr>
                  </w:pPr>
                </w:p>
              </w:tc>
              <w:tc>
                <w:tcPr>
                  <w:tcW w:w="1088" w:type="pct"/>
                  <w:vAlign w:val="center"/>
                </w:tcPr>
                <w:p>
                  <w:pPr>
                    <w:autoSpaceDE w:val="0"/>
                    <w:autoSpaceDN w:val="0"/>
                    <w:jc w:val="center"/>
                    <w:rPr>
                      <w:sz w:val="24"/>
                    </w:rPr>
                  </w:pPr>
                  <w:r>
                    <w:t>百分位数日平均</w:t>
                  </w:r>
                </w:p>
              </w:tc>
              <w:tc>
                <w:tcPr>
                  <w:tcW w:w="862" w:type="pct"/>
                  <w:vAlign w:val="center"/>
                </w:tcPr>
                <w:p>
                  <w:pPr>
                    <w:autoSpaceDE w:val="0"/>
                    <w:autoSpaceDN w:val="0"/>
                    <w:jc w:val="center"/>
                    <w:rPr>
                      <w:sz w:val="24"/>
                    </w:rPr>
                  </w:pPr>
                  <w:r>
                    <w:rPr>
                      <w:rFonts w:hint="eastAsia"/>
                    </w:rPr>
                    <w:t>2500</w:t>
                  </w:r>
                </w:p>
              </w:tc>
              <w:tc>
                <w:tcPr>
                  <w:tcW w:w="1028" w:type="pct"/>
                  <w:vAlign w:val="center"/>
                </w:tcPr>
                <w:p>
                  <w:pPr>
                    <w:autoSpaceDE w:val="0"/>
                    <w:autoSpaceDN w:val="0"/>
                    <w:jc w:val="center"/>
                    <w:rPr>
                      <w:sz w:val="24"/>
                    </w:rPr>
                  </w:pPr>
                  <w:r>
                    <w:t>4000</w:t>
                  </w:r>
                </w:p>
              </w:tc>
              <w:tc>
                <w:tcPr>
                  <w:tcW w:w="565" w:type="pct"/>
                  <w:vAlign w:val="center"/>
                </w:tcPr>
                <w:p>
                  <w:pPr>
                    <w:autoSpaceDE w:val="0"/>
                    <w:autoSpaceDN w:val="0"/>
                    <w:jc w:val="center"/>
                    <w:rPr>
                      <w:szCs w:val="21"/>
                    </w:rPr>
                  </w:pPr>
                  <w:r>
                    <w:rPr>
                      <w:rFonts w:hint="eastAsia"/>
                      <w:szCs w:val="21"/>
                    </w:rPr>
                    <w:t>0.625</w:t>
                  </w:r>
                </w:p>
              </w:tc>
              <w:tc>
                <w:tcPr>
                  <w:tcW w:w="902" w:type="pct"/>
                  <w:vAlign w:val="center"/>
                </w:tcPr>
                <w:p>
                  <w:pPr>
                    <w:autoSpaceDE w:val="0"/>
                    <w:autoSpaceDN w:val="0"/>
                    <w:jc w:val="center"/>
                    <w:rPr>
                      <w:sz w:val="24"/>
                    </w:rPr>
                  </w:pPr>
                  <w: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restart"/>
                  <w:vAlign w:val="center"/>
                </w:tcPr>
                <w:p>
                  <w:pPr>
                    <w:autoSpaceDE w:val="0"/>
                    <w:autoSpaceDN w:val="0"/>
                    <w:jc w:val="center"/>
                    <w:rPr>
                      <w:sz w:val="24"/>
                    </w:rPr>
                  </w:pPr>
                  <w:r>
                    <w:t>O</w:t>
                  </w:r>
                  <w:r>
                    <w:rPr>
                      <w:vertAlign w:val="subscript"/>
                    </w:rPr>
                    <w:t>3</w:t>
                  </w:r>
                </w:p>
              </w:tc>
              <w:tc>
                <w:tcPr>
                  <w:tcW w:w="1088" w:type="pct"/>
                  <w:vAlign w:val="center"/>
                </w:tcPr>
                <w:p>
                  <w:pPr>
                    <w:autoSpaceDE w:val="0"/>
                    <w:autoSpaceDN w:val="0"/>
                    <w:jc w:val="center"/>
                    <w:rPr>
                      <w:sz w:val="24"/>
                    </w:rPr>
                  </w:pPr>
                  <w:r>
                    <w:t>年平均质量浓度</w:t>
                  </w:r>
                </w:p>
              </w:tc>
              <w:tc>
                <w:tcPr>
                  <w:tcW w:w="862" w:type="pct"/>
                  <w:vAlign w:val="center"/>
                </w:tcPr>
                <w:p>
                  <w:pPr>
                    <w:autoSpaceDE w:val="0"/>
                    <w:autoSpaceDN w:val="0"/>
                    <w:jc w:val="center"/>
                    <w:rPr>
                      <w:sz w:val="24"/>
                    </w:rPr>
                  </w:pPr>
                </w:p>
              </w:tc>
              <w:tc>
                <w:tcPr>
                  <w:tcW w:w="2495" w:type="pct"/>
                  <w:gridSpan w:val="3"/>
                  <w:vAlign w:val="center"/>
                </w:tcPr>
                <w:p>
                  <w:pPr>
                    <w:autoSpaceDE w:val="0"/>
                    <w:autoSpaceDN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pPr>
                    <w:jc w:val="center"/>
                    <w:rPr>
                      <w:sz w:val="24"/>
                    </w:rPr>
                  </w:pPr>
                </w:p>
              </w:tc>
              <w:tc>
                <w:tcPr>
                  <w:tcW w:w="1088" w:type="pct"/>
                  <w:vAlign w:val="center"/>
                </w:tcPr>
                <w:p>
                  <w:pPr>
                    <w:autoSpaceDE w:val="0"/>
                    <w:autoSpaceDN w:val="0"/>
                    <w:jc w:val="center"/>
                    <w:rPr>
                      <w:sz w:val="24"/>
                    </w:rPr>
                  </w:pPr>
                  <w:r>
                    <w:t>8h平均质量浓度</w:t>
                  </w:r>
                </w:p>
              </w:tc>
              <w:tc>
                <w:tcPr>
                  <w:tcW w:w="862" w:type="pct"/>
                  <w:vAlign w:val="center"/>
                </w:tcPr>
                <w:p>
                  <w:pPr>
                    <w:autoSpaceDE w:val="0"/>
                    <w:autoSpaceDN w:val="0"/>
                    <w:jc w:val="center"/>
                    <w:rPr>
                      <w:sz w:val="24"/>
                    </w:rPr>
                  </w:pPr>
                  <w:r>
                    <w:rPr>
                      <w:rFonts w:hint="eastAsia"/>
                    </w:rPr>
                    <w:t>131</w:t>
                  </w:r>
                </w:p>
              </w:tc>
              <w:tc>
                <w:tcPr>
                  <w:tcW w:w="1028" w:type="pct"/>
                  <w:vAlign w:val="center"/>
                </w:tcPr>
                <w:p>
                  <w:pPr>
                    <w:autoSpaceDE w:val="0"/>
                    <w:autoSpaceDN w:val="0"/>
                    <w:jc w:val="center"/>
                    <w:rPr>
                      <w:sz w:val="24"/>
                    </w:rPr>
                  </w:pPr>
                  <w:r>
                    <w:t>160</w:t>
                  </w:r>
                </w:p>
              </w:tc>
              <w:tc>
                <w:tcPr>
                  <w:tcW w:w="565" w:type="pct"/>
                  <w:vAlign w:val="center"/>
                </w:tcPr>
                <w:p>
                  <w:pPr>
                    <w:autoSpaceDE w:val="0"/>
                    <w:autoSpaceDN w:val="0"/>
                    <w:jc w:val="center"/>
                    <w:rPr>
                      <w:szCs w:val="21"/>
                    </w:rPr>
                  </w:pPr>
                  <w:r>
                    <w:rPr>
                      <w:rFonts w:hint="eastAsia"/>
                      <w:szCs w:val="21"/>
                    </w:rPr>
                    <w:t>0.819</w:t>
                  </w:r>
                </w:p>
              </w:tc>
              <w:tc>
                <w:tcPr>
                  <w:tcW w:w="902" w:type="pct"/>
                  <w:vAlign w:val="center"/>
                </w:tcPr>
                <w:p>
                  <w:pPr>
                    <w:autoSpaceDE w:val="0"/>
                    <w:autoSpaceDN w:val="0"/>
                    <w:jc w:val="center"/>
                    <w:rPr>
                      <w:sz w:val="24"/>
                    </w:rPr>
                  </w:pPr>
                  <w:r>
                    <w:t>达标</w:t>
                  </w:r>
                </w:p>
              </w:tc>
            </w:tr>
          </w:tbl>
          <w:p>
            <w:pPr>
              <w:pStyle w:val="63"/>
            </w:pPr>
            <w:r>
              <w:t>项目所在区域PM</w:t>
            </w:r>
            <w:r>
              <w:rPr>
                <w:rFonts w:hint="eastAsia"/>
                <w:vertAlign w:val="subscript"/>
              </w:rPr>
              <w:t>2.5</w:t>
            </w:r>
            <w:r>
              <w:rPr>
                <w:rFonts w:hint="eastAsia"/>
              </w:rPr>
              <w:t>、</w:t>
            </w:r>
            <w:r>
              <w:t>PM</w:t>
            </w:r>
            <w:r>
              <w:rPr>
                <w:vertAlign w:val="subscript"/>
              </w:rPr>
              <w:t>10</w:t>
            </w:r>
            <w:r>
              <w:t>年平均浓度</w:t>
            </w:r>
            <w:r>
              <w:rPr>
                <w:rFonts w:hint="eastAsia"/>
              </w:rPr>
              <w:t>均</w:t>
            </w:r>
            <w:r>
              <w:t>超过《环境空气质量标准》（GB3095-2012）的二级标准要求；O</w:t>
            </w:r>
            <w:r>
              <w:rPr>
                <w:vertAlign w:val="subscript"/>
              </w:rPr>
              <w:t>3</w:t>
            </w:r>
            <w:r>
              <w:t>最大8小时平均浓度及CO、SO</w:t>
            </w:r>
            <w:r>
              <w:rPr>
                <w:vertAlign w:val="subscript"/>
              </w:rPr>
              <w:t>2</w:t>
            </w:r>
            <w:r>
              <w:rPr>
                <w:rFonts w:hint="eastAsia"/>
              </w:rPr>
              <w:t>、NO</w:t>
            </w:r>
            <w:r>
              <w:rPr>
                <w:rFonts w:hint="eastAsia"/>
                <w:vertAlign w:val="subscript"/>
              </w:rPr>
              <w:t>2</w:t>
            </w:r>
            <w:r>
              <w:t>的年均浓度均满足《环境空气质量标准》（GB3095-2012）的二级标准要求，本项目所在区域为不达标区域。</w:t>
            </w:r>
            <w:r>
              <w:rPr>
                <w:rFonts w:hint="eastAsia"/>
              </w:rPr>
              <w:t>超标主要是与当地气候条件和地理位置有关，评价区大气由于受到当地干旱气候的影响，空气中PM</w:t>
            </w:r>
            <w:r>
              <w:rPr>
                <w:rFonts w:hint="eastAsia"/>
                <w:vertAlign w:val="subscript"/>
              </w:rPr>
              <w:t>10</w:t>
            </w:r>
            <w:r>
              <w:rPr>
                <w:rFonts w:hint="eastAsia"/>
              </w:rPr>
              <w:t>的本底值偏高，尤其在沙尘暴和浮尘天气，会出现严重超标。</w:t>
            </w:r>
          </w:p>
          <w:p>
            <w:pPr>
              <w:autoSpaceDE w:val="0"/>
              <w:autoSpaceDN w:val="0"/>
              <w:adjustRightInd w:val="0"/>
              <w:spacing w:line="520" w:lineRule="exact"/>
              <w:ind w:firstLine="482" w:firstLineChars="200"/>
              <w:rPr>
                <w:b/>
                <w:bCs/>
                <w:color w:val="auto"/>
                <w:sz w:val="24"/>
              </w:rPr>
            </w:pPr>
            <w:r>
              <w:rPr>
                <w:b/>
                <w:bCs/>
                <w:color w:val="auto"/>
                <w:sz w:val="24"/>
              </w:rPr>
              <w:t>1.2其他污染物现状调查与评价</w:t>
            </w:r>
          </w:p>
          <w:p>
            <w:pPr>
              <w:autoSpaceDE w:val="0"/>
              <w:autoSpaceDN w:val="0"/>
              <w:adjustRightInd w:val="0"/>
              <w:spacing w:line="520" w:lineRule="exact"/>
              <w:ind w:firstLine="480" w:firstLineChars="200"/>
              <w:rPr>
                <w:sz w:val="24"/>
              </w:rPr>
            </w:pPr>
            <w:r>
              <w:rPr>
                <w:sz w:val="24"/>
              </w:rPr>
              <w:t>（1）数据来源</w:t>
            </w:r>
          </w:p>
          <w:p>
            <w:pPr>
              <w:autoSpaceDE w:val="0"/>
              <w:autoSpaceDN w:val="0"/>
              <w:adjustRightInd w:val="0"/>
              <w:spacing w:line="520" w:lineRule="exact"/>
              <w:ind w:firstLine="480" w:firstLineChars="200"/>
              <w:rPr>
                <w:sz w:val="24"/>
              </w:rPr>
            </w:pPr>
            <w:r>
              <w:rPr>
                <w:sz w:val="24"/>
              </w:rPr>
              <w:t xml:space="preserve">根据《环境影响评价技术导则 </w:t>
            </w:r>
            <w:r>
              <w:rPr>
                <w:rFonts w:hint="eastAsia"/>
                <w:sz w:val="24"/>
                <w:lang w:val="en-US" w:eastAsia="zh-CN"/>
              </w:rPr>
              <w:t xml:space="preserve"> </w:t>
            </w:r>
            <w:r>
              <w:rPr>
                <w:sz w:val="24"/>
              </w:rPr>
              <w:t>大气环境》（HJ2.2-2018）相关要求，</w:t>
            </w:r>
            <w:r>
              <w:rPr>
                <w:rFonts w:hint="eastAsia"/>
                <w:sz w:val="24"/>
              </w:rPr>
              <w:t>本次环评委托新疆环疆绿源环保科技有限公司进行现状监测，监测污染物为总悬浮颗粒物</w:t>
            </w:r>
            <w:r>
              <w:rPr>
                <w:sz w:val="24"/>
              </w:rPr>
              <w:t>。</w:t>
            </w:r>
          </w:p>
          <w:p>
            <w:pPr>
              <w:spacing w:line="520" w:lineRule="exact"/>
              <w:ind w:firstLine="480" w:firstLineChars="200"/>
              <w:rPr>
                <w:sz w:val="24"/>
              </w:rPr>
            </w:pPr>
            <w:r>
              <w:rPr>
                <w:sz w:val="24"/>
              </w:rPr>
              <w:t>（2）监测项目</w:t>
            </w:r>
          </w:p>
          <w:p>
            <w:pPr>
              <w:spacing w:line="520" w:lineRule="exact"/>
              <w:ind w:firstLine="480" w:firstLineChars="200"/>
              <w:rPr>
                <w:rFonts w:hint="eastAsia" w:eastAsia="宋体"/>
                <w:sz w:val="24"/>
                <w:lang w:eastAsia="zh-CN"/>
              </w:rPr>
            </w:pPr>
            <w:r>
              <w:rPr>
                <w:kern w:val="0"/>
                <w:sz w:val="24"/>
              </w:rPr>
              <w:t>监测项目：</w:t>
            </w:r>
            <w:r>
              <w:rPr>
                <w:rFonts w:hint="eastAsia"/>
                <w:kern w:val="0"/>
                <w:sz w:val="24"/>
              </w:rPr>
              <w:t>总悬浮颗粒物</w:t>
            </w:r>
            <w:r>
              <w:rPr>
                <w:rFonts w:hint="eastAsia"/>
                <w:kern w:val="0"/>
                <w:sz w:val="24"/>
                <w:lang w:eastAsia="zh-CN"/>
              </w:rPr>
              <w:t>。</w:t>
            </w:r>
          </w:p>
          <w:p>
            <w:pPr>
              <w:spacing w:line="520" w:lineRule="exact"/>
              <w:ind w:firstLine="480" w:firstLineChars="200"/>
              <w:rPr>
                <w:rFonts w:hint="default" w:eastAsia="宋体"/>
                <w:sz w:val="24"/>
                <w:lang w:val="en-US" w:eastAsia="zh-CN"/>
              </w:rPr>
            </w:pPr>
            <w:r>
              <w:rPr>
                <w:rFonts w:hint="eastAsia"/>
                <w:sz w:val="24"/>
                <w:lang w:eastAsia="zh-CN"/>
              </w:rPr>
              <w:t>（</w:t>
            </w:r>
            <w:r>
              <w:rPr>
                <w:rFonts w:hint="eastAsia"/>
                <w:sz w:val="24"/>
                <w:lang w:val="en-US" w:eastAsia="zh-CN"/>
              </w:rPr>
              <w:t>3</w:t>
            </w:r>
            <w:r>
              <w:rPr>
                <w:rFonts w:hint="eastAsia"/>
                <w:sz w:val="24"/>
                <w:lang w:eastAsia="zh-CN"/>
              </w:rPr>
              <w:t>）</w:t>
            </w:r>
            <w:r>
              <w:rPr>
                <w:rFonts w:hint="eastAsia"/>
                <w:sz w:val="24"/>
                <w:lang w:val="en-US" w:eastAsia="zh-CN"/>
              </w:rPr>
              <w:t>监测时间及频次</w:t>
            </w:r>
          </w:p>
          <w:p>
            <w:pPr>
              <w:spacing w:line="520" w:lineRule="exact"/>
              <w:ind w:firstLine="480" w:firstLineChars="200"/>
              <w:rPr>
                <w:rFonts w:hint="default" w:eastAsia="宋体"/>
                <w:sz w:val="24"/>
                <w:lang w:val="en-US" w:eastAsia="zh-CN"/>
              </w:rPr>
            </w:pPr>
            <w:r>
              <w:rPr>
                <w:rFonts w:hint="eastAsia"/>
                <w:sz w:val="24"/>
                <w:lang w:val="en-US" w:eastAsia="zh-CN"/>
              </w:rPr>
              <w:t>监测采样时间为2022年3月24日~2022年3月27日，每天24小时。</w:t>
            </w:r>
          </w:p>
          <w:p>
            <w:pPr>
              <w:spacing w:line="520" w:lineRule="exact"/>
              <w:ind w:firstLine="480" w:firstLineChars="200"/>
              <w:rPr>
                <w:sz w:val="24"/>
              </w:rPr>
            </w:pPr>
            <w:r>
              <w:rPr>
                <w:sz w:val="24"/>
              </w:rPr>
              <w:t>（3）监测标准</w:t>
            </w:r>
          </w:p>
          <w:p>
            <w:pPr>
              <w:spacing w:line="520" w:lineRule="exact"/>
              <w:ind w:firstLine="480" w:firstLineChars="200"/>
              <w:rPr>
                <w:sz w:val="24"/>
              </w:rPr>
            </w:pPr>
            <w:r>
              <w:rPr>
                <w:rFonts w:hint="eastAsia"/>
                <w:sz w:val="24"/>
              </w:rPr>
              <w:t>TSP参照</w:t>
            </w:r>
            <w:r>
              <w:rPr>
                <w:sz w:val="24"/>
              </w:rPr>
              <w:t>《</w:t>
            </w:r>
            <w:r>
              <w:rPr>
                <w:rFonts w:hint="eastAsia"/>
                <w:sz w:val="24"/>
              </w:rPr>
              <w:t>环境空气质量标准</w:t>
            </w:r>
            <w:r>
              <w:rPr>
                <w:sz w:val="24"/>
              </w:rPr>
              <w:t>》（</w:t>
            </w:r>
            <w:r>
              <w:rPr>
                <w:rFonts w:hint="eastAsia"/>
                <w:sz w:val="24"/>
              </w:rPr>
              <w:t>GB3095-2012</w:t>
            </w:r>
            <w:r>
              <w:rPr>
                <w:sz w:val="24"/>
              </w:rPr>
              <w:t>）</w:t>
            </w:r>
            <w:r>
              <w:rPr>
                <w:rFonts w:hint="eastAsia"/>
                <w:sz w:val="24"/>
              </w:rPr>
              <w:t>表2中总悬浮颗粒物（TSP）24h平均值（0.</w:t>
            </w:r>
            <w:r>
              <w:rPr>
                <w:rFonts w:hint="eastAsia"/>
                <w:sz w:val="24"/>
                <w:lang w:val="en-US" w:eastAsia="zh-CN"/>
              </w:rPr>
              <w:t>3</w:t>
            </w:r>
            <w:r>
              <w:t>mg/m</w:t>
            </w:r>
            <w:r>
              <w:rPr>
                <w:vertAlign w:val="superscript"/>
              </w:rPr>
              <w:t>3</w:t>
            </w:r>
            <w:r>
              <w:rPr>
                <w:rFonts w:hint="eastAsia"/>
                <w:sz w:val="24"/>
              </w:rPr>
              <w:t>）。</w:t>
            </w:r>
          </w:p>
          <w:p>
            <w:pPr>
              <w:spacing w:line="520" w:lineRule="exact"/>
              <w:ind w:firstLine="480" w:firstLineChars="200"/>
              <w:rPr>
                <w:sz w:val="24"/>
              </w:rPr>
            </w:pPr>
            <w:r>
              <w:rPr>
                <w:sz w:val="24"/>
              </w:rPr>
              <w:t>（4）评价方法</w:t>
            </w:r>
          </w:p>
          <w:p>
            <w:pPr>
              <w:pStyle w:val="65"/>
              <w:spacing w:line="520" w:lineRule="exact"/>
              <w:jc w:val="both"/>
            </w:pPr>
            <w:r>
              <w:t>特征污染物采用单因子污染指数法，其单项参数i在第j点的标准指数为：</w:t>
            </w:r>
          </w:p>
          <w:p>
            <w:pPr>
              <w:pStyle w:val="65"/>
              <w:jc w:val="center"/>
            </w:pPr>
            <w:r>
              <w:rPr>
                <w:snapToGrid/>
              </w:rPr>
              <w:drawing>
                <wp:inline distT="0" distB="0" distL="114300" distR="114300">
                  <wp:extent cx="1078230" cy="273050"/>
                  <wp:effectExtent l="0" t="0" r="0" b="13335"/>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26"/>
                          <a:stretch>
                            <a:fillRect/>
                          </a:stretch>
                        </pic:blipFill>
                        <pic:spPr>
                          <a:xfrm>
                            <a:off x="0" y="0"/>
                            <a:ext cx="1078230" cy="273050"/>
                          </a:xfrm>
                          <a:prstGeom prst="rect">
                            <a:avLst/>
                          </a:prstGeom>
                          <a:noFill/>
                          <a:ln>
                            <a:noFill/>
                          </a:ln>
                        </pic:spPr>
                      </pic:pic>
                    </a:graphicData>
                  </a:graphic>
                </wp:inline>
              </w:drawing>
            </w:r>
          </w:p>
          <w:p>
            <w:pPr>
              <w:pStyle w:val="65"/>
              <w:spacing w:line="520" w:lineRule="exact"/>
              <w:jc w:val="both"/>
            </w:pPr>
            <w:r>
              <w:t>式中：S</w:t>
            </w:r>
            <w:r>
              <w:rPr>
                <w:vertAlign w:val="subscript"/>
              </w:rPr>
              <w:t>i，j</w:t>
            </w:r>
            <w:r>
              <w:t>——单项标准指数；</w:t>
            </w:r>
          </w:p>
          <w:p>
            <w:pPr>
              <w:pStyle w:val="65"/>
              <w:spacing w:line="520" w:lineRule="exact"/>
              <w:ind w:firstLine="1200" w:firstLineChars="500"/>
              <w:jc w:val="both"/>
            </w:pPr>
            <w:r>
              <w:t>C</w:t>
            </w:r>
            <w:r>
              <w:rPr>
                <w:vertAlign w:val="subscript"/>
              </w:rPr>
              <w:t>i，j</w:t>
            </w:r>
            <w:r>
              <w:t>——实测值；</w:t>
            </w:r>
          </w:p>
          <w:p>
            <w:pPr>
              <w:spacing w:line="520" w:lineRule="exact"/>
              <w:ind w:firstLine="1200" w:firstLineChars="500"/>
              <w:rPr>
                <w:sz w:val="24"/>
              </w:rPr>
            </w:pPr>
            <w:r>
              <w:rPr>
                <w:sz w:val="24"/>
              </w:rPr>
              <w:t>C</w:t>
            </w:r>
            <w:r>
              <w:rPr>
                <w:sz w:val="24"/>
                <w:vertAlign w:val="subscript"/>
              </w:rPr>
              <w:t>s，j</w:t>
            </w:r>
            <w:r>
              <w:rPr>
                <w:sz w:val="24"/>
              </w:rPr>
              <w:t>——项目评价标准。</w:t>
            </w:r>
          </w:p>
          <w:p>
            <w:pPr>
              <w:spacing w:line="520" w:lineRule="exact"/>
              <w:ind w:firstLine="480" w:firstLineChars="200"/>
              <w:rPr>
                <w:sz w:val="24"/>
              </w:rPr>
            </w:pPr>
            <w:r>
              <w:rPr>
                <w:sz w:val="24"/>
              </w:rPr>
              <w:t>（5）监测与评价结果</w:t>
            </w:r>
          </w:p>
          <w:p>
            <w:pPr>
              <w:pStyle w:val="28"/>
              <w:spacing w:after="0"/>
              <w:ind w:firstLine="480"/>
            </w:pPr>
            <w:r>
              <w:rPr>
                <w:rFonts w:hint="eastAsia"/>
              </w:rPr>
              <w:t>TSP</w:t>
            </w:r>
            <w:r>
              <w:t>监测与评价结果，见表3-2。</w:t>
            </w:r>
          </w:p>
          <w:p>
            <w:pPr>
              <w:pStyle w:val="36"/>
              <w:spacing w:before="0" w:beforeLines="0"/>
              <w:rPr>
                <w:sz w:val="24"/>
              </w:rPr>
            </w:pPr>
            <w:r>
              <w:rPr>
                <w:sz w:val="24"/>
              </w:rPr>
              <w:t>表</w:t>
            </w:r>
            <w:r>
              <w:rPr>
                <w:rFonts w:hint="eastAsia"/>
                <w:sz w:val="24"/>
              </w:rPr>
              <w:t>3-2</w:t>
            </w:r>
            <w:r>
              <w:rPr>
                <w:sz w:val="24"/>
              </w:rPr>
              <w:t xml:space="preserve">  </w:t>
            </w:r>
            <w:r>
              <w:rPr>
                <w:rFonts w:hint="eastAsia"/>
                <w:sz w:val="24"/>
              </w:rPr>
              <w:t>特征因子</w:t>
            </w:r>
            <w:r>
              <w:rPr>
                <w:sz w:val="24"/>
              </w:rPr>
              <w:t>评价结果一览表</w:t>
            </w:r>
          </w:p>
          <w:tbl>
            <w:tblPr>
              <w:tblStyle w:val="29"/>
              <w:tblW w:w="4996" w:type="pct"/>
              <w:tblInd w:w="15" w:type="dxa"/>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fixed"/>
              <w:tblCellMar>
                <w:top w:w="0" w:type="dxa"/>
                <w:left w:w="108" w:type="dxa"/>
                <w:bottom w:w="0" w:type="dxa"/>
                <w:right w:w="108" w:type="dxa"/>
              </w:tblCellMar>
            </w:tblPr>
            <w:tblGrid>
              <w:gridCol w:w="1437"/>
              <w:gridCol w:w="1191"/>
              <w:gridCol w:w="1689"/>
              <w:gridCol w:w="1257"/>
              <w:gridCol w:w="979"/>
              <w:gridCol w:w="1415"/>
            </w:tblGrid>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c>
                <w:tcPr>
                  <w:tcW w:w="901" w:type="pct"/>
                  <w:tcBorders>
                    <w:tl2br w:val="nil"/>
                    <w:tr2bl w:val="nil"/>
                  </w:tcBorders>
                  <w:vAlign w:val="center"/>
                </w:tcPr>
                <w:p>
                  <w:pPr>
                    <w:jc w:val="center"/>
                  </w:pPr>
                  <w:r>
                    <w:t>监测项目</w:t>
                  </w:r>
                </w:p>
              </w:tc>
              <w:tc>
                <w:tcPr>
                  <w:tcW w:w="747" w:type="pct"/>
                  <w:tcBorders>
                    <w:tl2br w:val="nil"/>
                    <w:tr2bl w:val="nil"/>
                  </w:tcBorders>
                  <w:vAlign w:val="center"/>
                </w:tcPr>
                <w:p>
                  <w:pPr>
                    <w:jc w:val="center"/>
                  </w:pPr>
                  <w:r>
                    <w:t>监测点位</w:t>
                  </w:r>
                </w:p>
              </w:tc>
              <w:tc>
                <w:tcPr>
                  <w:tcW w:w="1059" w:type="pct"/>
                  <w:tcBorders>
                    <w:tl2br w:val="nil"/>
                    <w:tr2bl w:val="nil"/>
                  </w:tcBorders>
                  <w:vAlign w:val="center"/>
                </w:tcPr>
                <w:p>
                  <w:pPr>
                    <w:jc w:val="center"/>
                  </w:pPr>
                  <w:r>
                    <w:t>小时值浓度范围</w:t>
                  </w:r>
                </w:p>
              </w:tc>
              <w:tc>
                <w:tcPr>
                  <w:tcW w:w="788" w:type="pct"/>
                  <w:tcBorders>
                    <w:tl2br w:val="nil"/>
                    <w:tr2bl w:val="nil"/>
                  </w:tcBorders>
                  <w:vAlign w:val="center"/>
                </w:tcPr>
                <w:p>
                  <w:pPr>
                    <w:pStyle w:val="66"/>
                    <w:rPr>
                      <w:rFonts w:ascii="Times New Roman" w:hAnsi="Times New Roman" w:eastAsia="宋体"/>
                      <w:b w:val="0"/>
                      <w:lang w:eastAsia="zh-CN"/>
                    </w:rPr>
                  </w:pPr>
                  <w:r>
                    <w:rPr>
                      <w:rFonts w:ascii="Times New Roman" w:hAnsi="Times New Roman" w:eastAsia="宋体"/>
                      <w:b w:val="0"/>
                      <w:lang w:eastAsia="zh-CN"/>
                    </w:rPr>
                    <w:t>最大浓度占标率</w:t>
                  </w:r>
                </w:p>
                <w:p>
                  <w:pPr>
                    <w:jc w:val="center"/>
                  </w:pPr>
                  <w:r>
                    <w:rPr>
                      <w:rFonts w:hint="eastAsia"/>
                    </w:rPr>
                    <w:t>（</w:t>
                  </w:r>
                  <w:r>
                    <w:t>%</w:t>
                  </w:r>
                  <w:r>
                    <w:rPr>
                      <w:rFonts w:hint="eastAsia"/>
                    </w:rPr>
                    <w:t>）</w:t>
                  </w:r>
                </w:p>
              </w:tc>
              <w:tc>
                <w:tcPr>
                  <w:tcW w:w="614" w:type="pct"/>
                  <w:tcBorders>
                    <w:tl2br w:val="nil"/>
                    <w:tr2bl w:val="nil"/>
                  </w:tcBorders>
                  <w:vAlign w:val="center"/>
                </w:tcPr>
                <w:p>
                  <w:pPr>
                    <w:pStyle w:val="66"/>
                    <w:rPr>
                      <w:rFonts w:ascii="Times New Roman" w:hAnsi="Times New Roman" w:eastAsia="宋体"/>
                      <w:b w:val="0"/>
                      <w:lang w:eastAsia="zh-CN"/>
                    </w:rPr>
                  </w:pPr>
                  <w:r>
                    <w:rPr>
                      <w:rFonts w:ascii="Times New Roman" w:hAnsi="Times New Roman" w:eastAsia="宋体"/>
                      <w:b w:val="0"/>
                      <w:lang w:eastAsia="zh-CN"/>
                    </w:rPr>
                    <w:t>达标</w:t>
                  </w:r>
                </w:p>
                <w:p>
                  <w:pPr>
                    <w:pStyle w:val="66"/>
                    <w:rPr>
                      <w:rFonts w:ascii="Times New Roman" w:hAnsi="Times New Roman" w:eastAsia="宋体"/>
                      <w:b w:val="0"/>
                      <w:lang w:eastAsia="zh-CN"/>
                    </w:rPr>
                  </w:pPr>
                  <w:r>
                    <w:rPr>
                      <w:rFonts w:ascii="Times New Roman" w:hAnsi="Times New Roman" w:eastAsia="宋体"/>
                      <w:b w:val="0"/>
                      <w:lang w:eastAsia="zh-CN"/>
                    </w:rPr>
                    <w:t>情况</w:t>
                  </w:r>
                </w:p>
              </w:tc>
              <w:tc>
                <w:tcPr>
                  <w:tcW w:w="887" w:type="pct"/>
                  <w:tcBorders>
                    <w:tl2br w:val="nil"/>
                    <w:tr2bl w:val="nil"/>
                  </w:tcBorders>
                  <w:vAlign w:val="center"/>
                </w:tcPr>
                <w:p>
                  <w:pPr>
                    <w:jc w:val="center"/>
                  </w:pPr>
                  <w: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PrEx>
              <w:tc>
                <w:tcPr>
                  <w:tcW w:w="901" w:type="pct"/>
                  <w:tcBorders>
                    <w:tl2br w:val="nil"/>
                    <w:tr2bl w:val="nil"/>
                  </w:tcBorders>
                  <w:vAlign w:val="center"/>
                </w:tcPr>
                <w:p>
                  <w:pPr>
                    <w:jc w:val="center"/>
                  </w:pPr>
                  <w:r>
                    <w:rPr>
                      <w:rFonts w:hint="eastAsia"/>
                    </w:rPr>
                    <w:t>TSP</w:t>
                  </w:r>
                </w:p>
              </w:tc>
              <w:tc>
                <w:tcPr>
                  <w:tcW w:w="747" w:type="pct"/>
                  <w:tcBorders>
                    <w:tl2br w:val="nil"/>
                    <w:tr2bl w:val="nil"/>
                  </w:tcBorders>
                  <w:vAlign w:val="center"/>
                </w:tcPr>
                <w:p>
                  <w:pPr>
                    <w:jc w:val="center"/>
                  </w:pPr>
                  <w:r>
                    <w:rPr>
                      <w:rFonts w:hint="eastAsia"/>
                    </w:rPr>
                    <w:t>项目区内</w:t>
                  </w:r>
                </w:p>
              </w:tc>
              <w:tc>
                <w:tcPr>
                  <w:tcW w:w="1059" w:type="pct"/>
                  <w:tcBorders>
                    <w:tl2br w:val="nil"/>
                    <w:tr2bl w:val="nil"/>
                  </w:tcBorders>
                  <w:vAlign w:val="center"/>
                </w:tcPr>
                <w:p>
                  <w:pPr>
                    <w:jc w:val="center"/>
                    <w:rPr>
                      <w:rFonts w:hint="default" w:eastAsia="宋体"/>
                      <w:lang w:val="en-US" w:eastAsia="zh-CN"/>
                    </w:rPr>
                  </w:pPr>
                  <w:r>
                    <w:rPr>
                      <w:rFonts w:hint="eastAsia"/>
                      <w:lang w:val="en-US" w:eastAsia="zh-CN"/>
                    </w:rPr>
                    <w:t>0.169~0.244</w:t>
                  </w:r>
                </w:p>
              </w:tc>
              <w:tc>
                <w:tcPr>
                  <w:tcW w:w="788" w:type="pct"/>
                  <w:tcBorders>
                    <w:tl2br w:val="nil"/>
                    <w:tr2bl w:val="nil"/>
                  </w:tcBorders>
                  <w:vAlign w:val="center"/>
                </w:tcPr>
                <w:p>
                  <w:pPr>
                    <w:jc w:val="center"/>
                    <w:rPr>
                      <w:rFonts w:hint="default" w:eastAsia="宋体"/>
                      <w:lang w:val="en-US" w:eastAsia="zh-CN"/>
                    </w:rPr>
                  </w:pPr>
                  <w:r>
                    <w:rPr>
                      <w:rFonts w:hint="eastAsia"/>
                      <w:lang w:val="en-US" w:eastAsia="zh-CN"/>
                    </w:rPr>
                    <w:t>81.3</w:t>
                  </w:r>
                </w:p>
              </w:tc>
              <w:tc>
                <w:tcPr>
                  <w:tcW w:w="614" w:type="pct"/>
                  <w:tcBorders>
                    <w:tl2br w:val="nil"/>
                    <w:tr2bl w:val="nil"/>
                  </w:tcBorders>
                  <w:vAlign w:val="center"/>
                </w:tcPr>
                <w:p>
                  <w:pPr>
                    <w:jc w:val="center"/>
                  </w:pPr>
                  <w:r>
                    <w:t>达标</w:t>
                  </w:r>
                </w:p>
              </w:tc>
              <w:tc>
                <w:tcPr>
                  <w:tcW w:w="887" w:type="pct"/>
                  <w:tcBorders>
                    <w:tl2br w:val="nil"/>
                    <w:tr2bl w:val="nil"/>
                  </w:tcBorders>
                  <w:vAlign w:val="center"/>
                </w:tcPr>
                <w:p>
                  <w:pPr>
                    <w:jc w:val="center"/>
                  </w:pPr>
                  <w:r>
                    <w:rPr>
                      <w:rFonts w:hint="eastAsia"/>
                    </w:rPr>
                    <w:t>0.</w:t>
                  </w:r>
                  <w:r>
                    <w:rPr>
                      <w:rFonts w:hint="eastAsia"/>
                      <w:lang w:val="en-US" w:eastAsia="zh-CN"/>
                    </w:rPr>
                    <w:t>3</w:t>
                  </w:r>
                  <w:r>
                    <w:t>mg/m</w:t>
                  </w:r>
                  <w:r>
                    <w:rPr>
                      <w:vertAlign w:val="superscript"/>
                    </w:rPr>
                    <w:t>3</w:t>
                  </w:r>
                </w:p>
              </w:tc>
            </w:tr>
          </w:tbl>
          <w:p>
            <w:pPr>
              <w:autoSpaceDE w:val="0"/>
              <w:autoSpaceDN w:val="0"/>
              <w:adjustRightInd w:val="0"/>
              <w:spacing w:line="520" w:lineRule="exact"/>
              <w:ind w:firstLine="480" w:firstLineChars="200"/>
              <w:rPr>
                <w:b/>
                <w:bCs/>
                <w:sz w:val="24"/>
                <w:szCs w:val="24"/>
              </w:rPr>
            </w:pPr>
            <w:r>
              <w:rPr>
                <w:rFonts w:hint="eastAsia"/>
                <w:sz w:val="24"/>
                <w:szCs w:val="24"/>
              </w:rPr>
              <w:t>根据监测结果可知</w:t>
            </w:r>
            <w:r>
              <w:rPr>
                <w:sz w:val="24"/>
                <w:szCs w:val="24"/>
              </w:rPr>
              <w:t>，</w:t>
            </w:r>
            <w:r>
              <w:rPr>
                <w:rFonts w:hint="eastAsia"/>
                <w:sz w:val="24"/>
                <w:szCs w:val="24"/>
              </w:rPr>
              <w:t>项目区内监测点TSP浓度满足</w:t>
            </w:r>
            <w:r>
              <w:rPr>
                <w:sz w:val="24"/>
                <w:szCs w:val="24"/>
              </w:rPr>
              <w:t>《</w:t>
            </w:r>
            <w:r>
              <w:rPr>
                <w:rFonts w:hint="eastAsia"/>
                <w:sz w:val="24"/>
                <w:szCs w:val="24"/>
              </w:rPr>
              <w:t>环境空气质量标准</w:t>
            </w:r>
            <w:r>
              <w:rPr>
                <w:sz w:val="24"/>
                <w:szCs w:val="24"/>
              </w:rPr>
              <w:t>》（</w:t>
            </w:r>
            <w:r>
              <w:rPr>
                <w:rFonts w:hint="eastAsia"/>
                <w:sz w:val="24"/>
                <w:szCs w:val="24"/>
              </w:rPr>
              <w:t>GB3095-2012</w:t>
            </w:r>
            <w:r>
              <w:rPr>
                <w:sz w:val="24"/>
                <w:szCs w:val="24"/>
              </w:rPr>
              <w:t>）</w:t>
            </w:r>
            <w:r>
              <w:rPr>
                <w:rFonts w:hint="eastAsia"/>
                <w:sz w:val="24"/>
                <w:szCs w:val="24"/>
              </w:rPr>
              <w:t>限值要求</w:t>
            </w:r>
            <w:r>
              <w:rPr>
                <w:sz w:val="24"/>
                <w:szCs w:val="24"/>
              </w:rPr>
              <w:t>。</w:t>
            </w:r>
          </w:p>
          <w:p>
            <w:pPr>
              <w:autoSpaceDE w:val="0"/>
              <w:autoSpaceDN w:val="0"/>
              <w:adjustRightInd w:val="0"/>
              <w:spacing w:line="520" w:lineRule="exact"/>
              <w:ind w:firstLine="482" w:firstLineChars="200"/>
              <w:rPr>
                <w:b/>
                <w:bCs/>
                <w:sz w:val="24"/>
              </w:rPr>
            </w:pPr>
            <w:r>
              <w:rPr>
                <w:rFonts w:hint="eastAsia"/>
                <w:b/>
                <w:bCs/>
                <w:sz w:val="24"/>
              </w:rPr>
              <w:t>2、地表水</w:t>
            </w:r>
          </w:p>
          <w:p>
            <w:pPr>
              <w:pStyle w:val="63"/>
            </w:pPr>
            <w:r>
              <w:rPr>
                <w:lang w:val="zh-CN"/>
              </w:rPr>
              <w:t>本项目</w:t>
            </w:r>
            <w:r>
              <w:rPr>
                <w:rFonts w:hint="eastAsia"/>
                <w:lang w:val="zh-CN"/>
              </w:rPr>
              <w:t>运营期</w:t>
            </w:r>
            <w:r>
              <w:rPr>
                <w:rFonts w:hint="eastAsia"/>
              </w:rPr>
              <w:t>生产废水经隔油沉淀池处理后</w:t>
            </w:r>
            <w:r>
              <w:rPr>
                <w:rFonts w:hint="eastAsia"/>
                <w:lang w:val="en-US" w:eastAsia="zh-CN"/>
              </w:rPr>
              <w:t>排入地埋式一体化污水处理设施</w:t>
            </w:r>
            <w:r>
              <w:rPr>
                <w:rFonts w:hint="eastAsia"/>
              </w:rPr>
              <w:t>，</w:t>
            </w:r>
            <w:r>
              <w:rPr>
                <w:rFonts w:hint="eastAsia"/>
                <w:lang w:val="en-US" w:eastAsia="zh-CN"/>
              </w:rPr>
              <w:t>经处理后用于厂区绿化，</w:t>
            </w:r>
            <w:r>
              <w:rPr>
                <w:rFonts w:hint="eastAsia"/>
              </w:rPr>
              <w:t>不与地表水产生水力联系</w:t>
            </w:r>
            <w:r>
              <w:t>。</w:t>
            </w:r>
            <w:r>
              <w:rPr>
                <w:rFonts w:hint="eastAsia"/>
                <w:lang w:val="zh-CN"/>
              </w:rPr>
              <w:t>根据</w:t>
            </w:r>
            <w:r>
              <w:rPr>
                <w:lang w:val="zh-CN"/>
              </w:rPr>
              <w:t>《环境影响评价技术导则</w:t>
            </w:r>
            <w:r>
              <w:rPr>
                <w:rFonts w:hint="eastAsia"/>
              </w:rPr>
              <w:t xml:space="preserve">  </w:t>
            </w:r>
            <w:r>
              <w:rPr>
                <w:lang w:val="zh-CN"/>
              </w:rPr>
              <w:t>地面水环境》（HJ/T2.3-2018）</w:t>
            </w:r>
            <w:r>
              <w:rPr>
                <w:rFonts w:hint="eastAsia"/>
              </w:rPr>
              <w:t>本次评价不开展地表水质量现状调查。</w:t>
            </w:r>
          </w:p>
          <w:p>
            <w:pPr>
              <w:pStyle w:val="63"/>
              <w:ind w:firstLine="482"/>
              <w:rPr>
                <w:b/>
                <w:bCs/>
                <w:color w:val="auto"/>
              </w:rPr>
            </w:pPr>
            <w:r>
              <w:rPr>
                <w:rFonts w:hint="eastAsia"/>
                <w:b/>
                <w:bCs/>
                <w:color w:val="auto"/>
              </w:rPr>
              <w:t>3、地下水</w:t>
            </w:r>
          </w:p>
          <w:p>
            <w:pPr>
              <w:autoSpaceDE w:val="0"/>
              <w:autoSpaceDN w:val="0"/>
              <w:adjustRightInd w:val="0"/>
              <w:spacing w:line="520" w:lineRule="exact"/>
              <w:ind w:firstLine="480" w:firstLineChars="200"/>
              <w:rPr>
                <w:sz w:val="24"/>
                <w:szCs w:val="32"/>
              </w:rPr>
            </w:pPr>
            <w:r>
              <w:rPr>
                <w:bCs/>
                <w:kern w:val="0"/>
                <w:sz w:val="24"/>
                <w:szCs w:val="20"/>
              </w:rPr>
              <w:t>根据《环境影响评价技术导则</w:t>
            </w:r>
            <w:r>
              <w:rPr>
                <w:rFonts w:hint="eastAsia"/>
                <w:bCs/>
                <w:kern w:val="0"/>
                <w:sz w:val="24"/>
                <w:szCs w:val="20"/>
                <w:lang w:val="en-US" w:eastAsia="zh-CN"/>
              </w:rPr>
              <w:t xml:space="preserve">  </w:t>
            </w:r>
            <w:r>
              <w:rPr>
                <w:bCs/>
                <w:kern w:val="0"/>
                <w:sz w:val="24"/>
                <w:szCs w:val="20"/>
              </w:rPr>
              <w:t>地下水环境》（HJ610-2016）附录A</w:t>
            </w:r>
            <w:r>
              <w:rPr>
                <w:rFonts w:hint="eastAsia"/>
                <w:bCs/>
                <w:kern w:val="0"/>
                <w:sz w:val="24"/>
                <w:szCs w:val="20"/>
              </w:rPr>
              <w:t>，</w:t>
            </w:r>
            <w:r>
              <w:rPr>
                <w:bCs/>
                <w:kern w:val="0"/>
                <w:sz w:val="24"/>
                <w:szCs w:val="20"/>
              </w:rPr>
              <w:t>本项目属于</w:t>
            </w:r>
            <w:r>
              <w:rPr>
                <w:rFonts w:hint="eastAsia"/>
                <w:bCs/>
                <w:kern w:val="0"/>
                <w:sz w:val="24"/>
                <w:szCs w:val="20"/>
              </w:rPr>
              <w:t>L“石化、化工”</w:t>
            </w:r>
            <w:r>
              <w:rPr>
                <w:bCs/>
                <w:kern w:val="0"/>
                <w:sz w:val="24"/>
                <w:szCs w:val="20"/>
              </w:rPr>
              <w:t>中</w:t>
            </w:r>
            <w:r>
              <w:rPr>
                <w:rFonts w:hint="eastAsia"/>
                <w:bCs/>
                <w:kern w:val="0"/>
                <w:sz w:val="24"/>
                <w:szCs w:val="20"/>
              </w:rPr>
              <w:t>85、炸药、火工及焰火产品制造</w:t>
            </w:r>
            <w:r>
              <w:rPr>
                <w:bCs/>
                <w:kern w:val="0"/>
                <w:sz w:val="24"/>
                <w:szCs w:val="20"/>
              </w:rPr>
              <w:t>，</w:t>
            </w:r>
            <w:r>
              <w:rPr>
                <w:rFonts w:hint="eastAsia"/>
                <w:bCs/>
                <w:kern w:val="0"/>
                <w:sz w:val="24"/>
                <w:szCs w:val="20"/>
              </w:rPr>
              <w:t>报告表“单纯混合和分装”，</w:t>
            </w:r>
            <w:r>
              <w:rPr>
                <w:bCs/>
                <w:kern w:val="0"/>
                <w:sz w:val="24"/>
                <w:szCs w:val="20"/>
              </w:rPr>
              <w:t>此项目地下水环境影响评价项目类别为</w:t>
            </w:r>
            <w:r>
              <w:rPr>
                <w:rFonts w:hint="eastAsia"/>
                <w:bCs/>
                <w:kern w:val="0"/>
                <w:sz w:val="24"/>
                <w:szCs w:val="20"/>
              </w:rPr>
              <w:t>III</w:t>
            </w:r>
            <w:r>
              <w:rPr>
                <w:bCs/>
                <w:kern w:val="0"/>
                <w:sz w:val="24"/>
                <w:szCs w:val="20"/>
              </w:rPr>
              <w:t>类项目</w:t>
            </w:r>
            <w:r>
              <w:rPr>
                <w:rFonts w:hint="eastAsia"/>
                <w:bCs/>
                <w:kern w:val="0"/>
                <w:sz w:val="24"/>
                <w:szCs w:val="20"/>
              </w:rPr>
              <w:t>，环境敏感程度为不敏感，本项目地下水评价等级为三级</w:t>
            </w:r>
            <w:r>
              <w:rPr>
                <w:sz w:val="24"/>
              </w:rPr>
              <w:t>。因此本项目</w:t>
            </w:r>
            <w:r>
              <w:rPr>
                <w:rFonts w:hint="eastAsia"/>
                <w:sz w:val="24"/>
              </w:rPr>
              <w:t>需开展地下水环境影响评价。</w:t>
            </w:r>
          </w:p>
          <w:p>
            <w:pPr>
              <w:adjustRightInd w:val="0"/>
              <w:snapToGrid w:val="0"/>
              <w:spacing w:line="520" w:lineRule="exact"/>
              <w:ind w:firstLine="480" w:firstLineChars="200"/>
              <w:rPr>
                <w:sz w:val="24"/>
              </w:rPr>
            </w:pPr>
            <w:r>
              <w:rPr>
                <w:sz w:val="24"/>
              </w:rPr>
              <w:t>（1）监测点与监测时间</w:t>
            </w:r>
          </w:p>
          <w:p>
            <w:pPr>
              <w:adjustRightInd w:val="0"/>
              <w:snapToGrid w:val="0"/>
              <w:spacing w:line="520" w:lineRule="exact"/>
              <w:ind w:firstLine="480" w:firstLineChars="200"/>
              <w:rPr>
                <w:sz w:val="24"/>
              </w:rPr>
            </w:pPr>
            <w:r>
              <w:rPr>
                <w:rFonts w:hint="eastAsia"/>
                <w:sz w:val="24"/>
              </w:rPr>
              <w:t>本次环评委托新疆环疆绿源环保科技有限公司进行地下水现状监测，</w:t>
            </w:r>
            <w:r>
              <w:rPr>
                <w:sz w:val="24"/>
              </w:rPr>
              <w:t>监测时间为20</w:t>
            </w:r>
            <w:r>
              <w:rPr>
                <w:rFonts w:hint="eastAsia"/>
                <w:sz w:val="24"/>
              </w:rPr>
              <w:t>2</w:t>
            </w:r>
            <w:r>
              <w:rPr>
                <w:rFonts w:hint="eastAsia"/>
                <w:sz w:val="24"/>
                <w:lang w:val="en-US" w:eastAsia="zh-CN"/>
              </w:rPr>
              <w:t>2</w:t>
            </w:r>
            <w:r>
              <w:rPr>
                <w:sz w:val="24"/>
              </w:rPr>
              <w:t>年</w:t>
            </w:r>
            <w:r>
              <w:rPr>
                <w:rFonts w:hint="eastAsia"/>
                <w:sz w:val="24"/>
                <w:lang w:val="en-US" w:eastAsia="zh-CN"/>
              </w:rPr>
              <w:t>3</w:t>
            </w:r>
            <w:r>
              <w:rPr>
                <w:sz w:val="24"/>
              </w:rPr>
              <w:t>月</w:t>
            </w:r>
            <w:r>
              <w:rPr>
                <w:rFonts w:hint="eastAsia"/>
                <w:sz w:val="24"/>
                <w:lang w:val="en-US" w:eastAsia="zh-CN"/>
              </w:rPr>
              <w:t>24</w:t>
            </w:r>
            <w:r>
              <w:rPr>
                <w:sz w:val="24"/>
              </w:rPr>
              <w:t>日，共设置</w:t>
            </w:r>
            <w:r>
              <w:rPr>
                <w:rFonts w:hint="eastAsia"/>
                <w:sz w:val="24"/>
                <w:lang w:val="en-US" w:eastAsia="zh-CN"/>
              </w:rPr>
              <w:t>3</w:t>
            </w:r>
            <w:r>
              <w:rPr>
                <w:sz w:val="24"/>
              </w:rPr>
              <w:t>个地下水监测采样点，分别为</w:t>
            </w:r>
            <w:r>
              <w:rPr>
                <w:rFonts w:hint="eastAsia"/>
                <w:sz w:val="24"/>
                <w:lang w:val="en-US" w:eastAsia="zh-CN"/>
              </w:rPr>
              <w:t>项目区上游D1</w:t>
            </w:r>
            <w:r>
              <w:rPr>
                <w:sz w:val="24"/>
              </w:rPr>
              <w:t>（</w:t>
            </w:r>
            <w:r>
              <w:rPr>
                <w:color w:val="000000"/>
                <w:kern w:val="0"/>
                <w:sz w:val="24"/>
              </w:rPr>
              <w:t>N:</w:t>
            </w:r>
            <w:r>
              <w:rPr>
                <w:rFonts w:hint="eastAsia"/>
                <w:color w:val="000000"/>
                <w:kern w:val="0"/>
                <w:sz w:val="24"/>
                <w:lang w:val="en-US" w:eastAsia="zh-CN"/>
              </w:rPr>
              <w:t>43</w:t>
            </w:r>
            <w:r>
              <w:rPr>
                <w:color w:val="000000"/>
                <w:kern w:val="0"/>
                <w:sz w:val="24"/>
              </w:rPr>
              <w:t>°</w:t>
            </w:r>
            <w:r>
              <w:rPr>
                <w:rFonts w:hint="eastAsia"/>
                <w:color w:val="000000"/>
                <w:kern w:val="0"/>
                <w:sz w:val="24"/>
                <w:lang w:val="en-US" w:eastAsia="zh-CN"/>
              </w:rPr>
              <w:t>58</w:t>
            </w:r>
            <w:r>
              <w:rPr>
                <w:color w:val="000000"/>
                <w:kern w:val="0"/>
                <w:sz w:val="24"/>
              </w:rPr>
              <w:t>´</w:t>
            </w:r>
            <w:r>
              <w:rPr>
                <w:rFonts w:hint="eastAsia"/>
                <w:color w:val="000000"/>
                <w:kern w:val="0"/>
                <w:sz w:val="24"/>
                <w:lang w:val="en-US" w:eastAsia="zh-CN"/>
              </w:rPr>
              <w:t>29</w:t>
            </w:r>
            <w:r>
              <w:rPr>
                <w:color w:val="000000"/>
                <w:kern w:val="0"/>
                <w:sz w:val="24"/>
              </w:rPr>
              <w:t>"，E:</w:t>
            </w:r>
            <w:r>
              <w:rPr>
                <w:rFonts w:hint="eastAsia"/>
                <w:color w:val="000000"/>
                <w:kern w:val="0"/>
                <w:sz w:val="24"/>
                <w:lang w:val="en-US" w:eastAsia="zh-CN"/>
              </w:rPr>
              <w:t>88</w:t>
            </w:r>
            <w:r>
              <w:rPr>
                <w:color w:val="000000"/>
                <w:kern w:val="0"/>
                <w:sz w:val="24"/>
              </w:rPr>
              <w:t>°</w:t>
            </w:r>
            <w:r>
              <w:rPr>
                <w:rFonts w:hint="eastAsia"/>
                <w:color w:val="000000"/>
                <w:kern w:val="0"/>
                <w:sz w:val="24"/>
                <w:lang w:val="en-US" w:eastAsia="zh-CN"/>
              </w:rPr>
              <w:t>58</w:t>
            </w:r>
            <w:r>
              <w:rPr>
                <w:color w:val="000000"/>
                <w:kern w:val="0"/>
                <w:sz w:val="24"/>
              </w:rPr>
              <w:t>´</w:t>
            </w:r>
            <w:r>
              <w:rPr>
                <w:rFonts w:hint="eastAsia"/>
                <w:color w:val="000000"/>
                <w:kern w:val="0"/>
                <w:sz w:val="24"/>
                <w:lang w:val="en-US" w:eastAsia="zh-CN"/>
              </w:rPr>
              <w:t>8</w:t>
            </w:r>
            <w:r>
              <w:rPr>
                <w:color w:val="000000"/>
                <w:kern w:val="0"/>
                <w:sz w:val="24"/>
              </w:rPr>
              <w:t>"</w:t>
            </w:r>
            <w:r>
              <w:rPr>
                <w:sz w:val="24"/>
              </w:rPr>
              <w:t>）、</w:t>
            </w:r>
            <w:r>
              <w:rPr>
                <w:rFonts w:hint="eastAsia"/>
                <w:sz w:val="24"/>
                <w:lang w:val="en-US" w:eastAsia="zh-CN"/>
              </w:rPr>
              <w:t>项目区D2</w:t>
            </w:r>
            <w:r>
              <w:rPr>
                <w:sz w:val="24"/>
              </w:rPr>
              <w:t>（</w:t>
            </w:r>
            <w:r>
              <w:rPr>
                <w:color w:val="000000"/>
                <w:kern w:val="0"/>
                <w:sz w:val="24"/>
              </w:rPr>
              <w:t>N:</w:t>
            </w:r>
            <w:r>
              <w:rPr>
                <w:rFonts w:hint="eastAsia"/>
                <w:color w:val="000000"/>
                <w:kern w:val="0"/>
                <w:sz w:val="24"/>
                <w:lang w:val="en-US" w:eastAsia="zh-CN"/>
              </w:rPr>
              <w:t>43</w:t>
            </w:r>
            <w:r>
              <w:rPr>
                <w:color w:val="000000"/>
                <w:kern w:val="0"/>
                <w:sz w:val="24"/>
              </w:rPr>
              <w:t>°</w:t>
            </w:r>
            <w:r>
              <w:rPr>
                <w:rFonts w:hint="eastAsia"/>
                <w:color w:val="000000"/>
                <w:kern w:val="0"/>
                <w:sz w:val="24"/>
                <w:lang w:val="en-US" w:eastAsia="zh-CN"/>
              </w:rPr>
              <w:t>59</w:t>
            </w:r>
            <w:r>
              <w:rPr>
                <w:color w:val="000000"/>
                <w:kern w:val="0"/>
                <w:sz w:val="24"/>
              </w:rPr>
              <w:t>´</w:t>
            </w:r>
            <w:r>
              <w:rPr>
                <w:rFonts w:hint="eastAsia"/>
                <w:color w:val="000000"/>
                <w:kern w:val="0"/>
                <w:sz w:val="24"/>
                <w:lang w:val="en-US" w:eastAsia="zh-CN"/>
              </w:rPr>
              <w:t>25</w:t>
            </w:r>
            <w:r>
              <w:rPr>
                <w:color w:val="000000"/>
                <w:kern w:val="0"/>
                <w:sz w:val="24"/>
              </w:rPr>
              <w:t>"，E:</w:t>
            </w:r>
            <w:r>
              <w:rPr>
                <w:rFonts w:hint="eastAsia"/>
                <w:color w:val="000000"/>
                <w:kern w:val="0"/>
                <w:sz w:val="24"/>
                <w:lang w:val="en-US" w:eastAsia="zh-CN"/>
              </w:rPr>
              <w:t>88</w:t>
            </w:r>
            <w:r>
              <w:rPr>
                <w:color w:val="000000"/>
                <w:kern w:val="0"/>
                <w:sz w:val="24"/>
              </w:rPr>
              <w:t>°</w:t>
            </w:r>
            <w:r>
              <w:rPr>
                <w:rFonts w:hint="eastAsia"/>
                <w:color w:val="000000"/>
                <w:kern w:val="0"/>
                <w:sz w:val="24"/>
                <w:lang w:val="en-US" w:eastAsia="zh-CN"/>
              </w:rPr>
              <w:t>58</w:t>
            </w:r>
            <w:r>
              <w:rPr>
                <w:color w:val="000000"/>
                <w:kern w:val="0"/>
                <w:sz w:val="24"/>
              </w:rPr>
              <w:t>´</w:t>
            </w:r>
            <w:r>
              <w:rPr>
                <w:rFonts w:hint="eastAsia"/>
                <w:color w:val="000000"/>
                <w:kern w:val="0"/>
                <w:sz w:val="24"/>
                <w:lang w:val="en-US" w:eastAsia="zh-CN"/>
              </w:rPr>
              <w:t>32</w:t>
            </w:r>
            <w:r>
              <w:rPr>
                <w:color w:val="000000"/>
                <w:kern w:val="0"/>
                <w:sz w:val="24"/>
              </w:rPr>
              <w:t>"</w:t>
            </w:r>
            <w:r>
              <w:rPr>
                <w:sz w:val="24"/>
              </w:rPr>
              <w:t>）、</w:t>
            </w:r>
            <w:r>
              <w:rPr>
                <w:rFonts w:hint="eastAsia"/>
                <w:sz w:val="24"/>
                <w:lang w:val="en-US" w:eastAsia="zh-CN"/>
              </w:rPr>
              <w:t>项目区下游D3</w:t>
            </w:r>
            <w:r>
              <w:rPr>
                <w:sz w:val="24"/>
              </w:rPr>
              <w:t>（</w:t>
            </w:r>
            <w:r>
              <w:rPr>
                <w:color w:val="000000"/>
                <w:kern w:val="0"/>
                <w:sz w:val="24"/>
              </w:rPr>
              <w:t>N:43°5</w:t>
            </w:r>
            <w:r>
              <w:rPr>
                <w:rFonts w:hint="eastAsia"/>
                <w:color w:val="000000"/>
                <w:kern w:val="0"/>
                <w:sz w:val="24"/>
                <w:lang w:val="en-US" w:eastAsia="zh-CN"/>
              </w:rPr>
              <w:t>9</w:t>
            </w:r>
            <w:r>
              <w:rPr>
                <w:color w:val="000000"/>
                <w:kern w:val="0"/>
                <w:sz w:val="24"/>
              </w:rPr>
              <w:t>´</w:t>
            </w:r>
            <w:r>
              <w:rPr>
                <w:rFonts w:hint="eastAsia"/>
                <w:color w:val="000000"/>
                <w:kern w:val="0"/>
                <w:sz w:val="24"/>
                <w:lang w:val="en-US" w:eastAsia="zh-CN"/>
              </w:rPr>
              <w:t>7</w:t>
            </w:r>
            <w:r>
              <w:rPr>
                <w:color w:val="000000"/>
                <w:kern w:val="0"/>
                <w:sz w:val="24"/>
              </w:rPr>
              <w:t>"，E:</w:t>
            </w:r>
            <w:r>
              <w:rPr>
                <w:rFonts w:hint="eastAsia"/>
                <w:color w:val="000000"/>
                <w:kern w:val="0"/>
                <w:sz w:val="24"/>
                <w:lang w:val="en-US" w:eastAsia="zh-CN"/>
              </w:rPr>
              <w:t>88</w:t>
            </w:r>
            <w:r>
              <w:rPr>
                <w:color w:val="000000"/>
                <w:kern w:val="0"/>
                <w:sz w:val="24"/>
              </w:rPr>
              <w:t>°</w:t>
            </w:r>
            <w:r>
              <w:rPr>
                <w:rFonts w:hint="eastAsia"/>
                <w:color w:val="000000"/>
                <w:kern w:val="0"/>
                <w:sz w:val="24"/>
                <w:lang w:val="en-US" w:eastAsia="zh-CN"/>
              </w:rPr>
              <w:t>58</w:t>
            </w:r>
            <w:r>
              <w:rPr>
                <w:color w:val="000000"/>
                <w:kern w:val="0"/>
                <w:sz w:val="24"/>
              </w:rPr>
              <w:t>´</w:t>
            </w:r>
            <w:r>
              <w:rPr>
                <w:rFonts w:hint="eastAsia"/>
                <w:color w:val="000000"/>
                <w:kern w:val="0"/>
                <w:sz w:val="24"/>
                <w:lang w:val="en-US" w:eastAsia="zh-CN"/>
              </w:rPr>
              <w:t>27</w:t>
            </w:r>
            <w:r>
              <w:rPr>
                <w:color w:val="000000"/>
                <w:kern w:val="0"/>
                <w:sz w:val="24"/>
              </w:rPr>
              <w:t>"</w:t>
            </w:r>
            <w:r>
              <w:rPr>
                <w:sz w:val="24"/>
              </w:rPr>
              <w:t>）。</w:t>
            </w:r>
          </w:p>
          <w:p>
            <w:pPr>
              <w:adjustRightInd w:val="0"/>
              <w:snapToGrid w:val="0"/>
              <w:spacing w:line="520" w:lineRule="exact"/>
              <w:ind w:firstLine="480" w:firstLineChars="200"/>
              <w:rPr>
                <w:sz w:val="24"/>
              </w:rPr>
            </w:pPr>
            <w:r>
              <w:rPr>
                <w:sz w:val="24"/>
              </w:rPr>
              <w:t>（2）监测项目及分析方法</w:t>
            </w:r>
          </w:p>
          <w:p>
            <w:pPr>
              <w:adjustRightInd w:val="0"/>
              <w:snapToGrid w:val="0"/>
              <w:spacing w:line="520" w:lineRule="exact"/>
              <w:ind w:firstLine="480" w:firstLineChars="200"/>
              <w:rPr>
                <w:sz w:val="24"/>
              </w:rPr>
            </w:pPr>
            <w:r>
              <w:rPr>
                <w:sz w:val="24"/>
              </w:rPr>
              <w:t>监测分析项目总硬度、溶解性总固体、铅、汞、镉、硫酸盐、氯化物、铁、锰、钾、钠、钙、镁、碳酸</w:t>
            </w:r>
            <w:r>
              <w:rPr>
                <w:rFonts w:hint="eastAsia"/>
                <w:sz w:val="24"/>
              </w:rPr>
              <w:t>盐</w:t>
            </w:r>
            <w:r>
              <w:rPr>
                <w:sz w:val="24"/>
              </w:rPr>
              <w:t>、碳酸氢根、六价铬、铜等共</w:t>
            </w:r>
            <w:r>
              <w:rPr>
                <w:rFonts w:hint="eastAsia"/>
                <w:sz w:val="24"/>
                <w:lang w:val="en-US" w:eastAsia="zh-CN"/>
              </w:rPr>
              <w:t>27</w:t>
            </w:r>
            <w:r>
              <w:rPr>
                <w:sz w:val="24"/>
              </w:rPr>
              <w:t>项。</w:t>
            </w:r>
          </w:p>
          <w:p>
            <w:pPr>
              <w:adjustRightInd w:val="0"/>
              <w:snapToGrid w:val="0"/>
              <w:spacing w:line="520" w:lineRule="exact"/>
              <w:ind w:firstLine="480" w:firstLineChars="200"/>
              <w:rPr>
                <w:sz w:val="24"/>
              </w:rPr>
            </w:pPr>
            <w:r>
              <w:rPr>
                <w:sz w:val="24"/>
              </w:rPr>
              <w:t>水质现状监测项目及分析方法依照《环境水质监测质量保证手册》与《水和废水监测分析方法》的规定进行。</w:t>
            </w:r>
          </w:p>
          <w:p>
            <w:pPr>
              <w:adjustRightInd w:val="0"/>
              <w:snapToGrid w:val="0"/>
              <w:spacing w:line="520" w:lineRule="exact"/>
              <w:ind w:firstLine="480" w:firstLineChars="200"/>
              <w:rPr>
                <w:sz w:val="24"/>
              </w:rPr>
            </w:pPr>
            <w:r>
              <w:rPr>
                <w:sz w:val="24"/>
              </w:rPr>
              <w:t>（3）监测结果统计</w:t>
            </w:r>
          </w:p>
          <w:p>
            <w:pPr>
              <w:adjustRightInd w:val="0"/>
              <w:snapToGrid w:val="0"/>
              <w:spacing w:line="520" w:lineRule="exact"/>
              <w:ind w:firstLine="480" w:firstLineChars="200"/>
              <w:rPr>
                <w:sz w:val="24"/>
              </w:rPr>
            </w:pPr>
            <w:r>
              <w:rPr>
                <w:sz w:val="24"/>
              </w:rPr>
              <w:t>地下水水质监测及评价结果统计见表3</w:t>
            </w:r>
            <w:r>
              <w:rPr>
                <w:rFonts w:hint="eastAsia"/>
                <w:sz w:val="24"/>
              </w:rPr>
              <w:t>-3</w:t>
            </w:r>
            <w:r>
              <w:rPr>
                <w:sz w:val="24"/>
              </w:rPr>
              <w:t>。</w:t>
            </w:r>
          </w:p>
          <w:p>
            <w:pPr>
              <w:pStyle w:val="36"/>
              <w:spacing w:before="0" w:beforeLines="0"/>
              <w:rPr>
                <w:sz w:val="24"/>
              </w:rPr>
            </w:pPr>
            <w:r>
              <w:rPr>
                <w:rFonts w:hint="eastAsia"/>
                <w:sz w:val="24"/>
              </w:rPr>
              <w:t>表3-3  地下水监测结果  单位：mg/L（pH无量纲）</w:t>
            </w:r>
          </w:p>
          <w:tbl>
            <w:tblPr>
              <w:tblStyle w:val="29"/>
              <w:tblW w:w="4998" w:type="pct"/>
              <w:tblInd w:w="1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15"/>
              <w:gridCol w:w="1188"/>
              <w:gridCol w:w="1038"/>
              <w:gridCol w:w="1154"/>
              <w:gridCol w:w="984"/>
              <w:gridCol w:w="1054"/>
              <w:gridCol w:w="93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采样点</w:t>
                  </w:r>
                </w:p>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w:t>
                  </w:r>
                </w:p>
              </w:tc>
              <w:tc>
                <w:tcPr>
                  <w:tcW w:w="1396" w:type="pct"/>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D1</w:t>
                  </w:r>
                </w:p>
              </w:tc>
              <w:tc>
                <w:tcPr>
                  <w:tcW w:w="1341" w:type="pct"/>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D2</w:t>
                  </w:r>
                </w:p>
              </w:tc>
              <w:tc>
                <w:tcPr>
                  <w:tcW w:w="1249" w:type="pct"/>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D3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1" w:hRule="atLeast"/>
              </w:trPr>
              <w:tc>
                <w:tcPr>
                  <w:tcW w:w="1013"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p>
              </w:tc>
              <w:tc>
                <w:tcPr>
                  <w:tcW w:w="745"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监测值</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标准指数</w:t>
                  </w:r>
                </w:p>
              </w:tc>
              <w:tc>
                <w:tcPr>
                  <w:tcW w:w="72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监测值</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标准指数</w:t>
                  </w:r>
                </w:p>
              </w:tc>
              <w:tc>
                <w:tcPr>
                  <w:tcW w:w="66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监测值</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标准指数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01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highlight w:val="none"/>
                      <w:lang w:val="en-US" w:eastAsia="zh-CN"/>
                    </w:rPr>
                    <w:t>pH值</w:t>
                  </w:r>
                </w:p>
              </w:tc>
              <w:tc>
                <w:tcPr>
                  <w:tcW w:w="7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7.6</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w:t>
                  </w:r>
                </w:p>
              </w:tc>
              <w:tc>
                <w:tcPr>
                  <w:tcW w:w="72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7.5</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0.33</w:t>
                  </w:r>
                </w:p>
              </w:tc>
              <w:tc>
                <w:tcPr>
                  <w:tcW w:w="66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7.7</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溶解性总</w:t>
                  </w:r>
                </w:p>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highlight w:val="none"/>
                      <w:lang w:val="en-US" w:eastAsia="zh-CN"/>
                    </w:rPr>
                    <w:t>固体</w:t>
                  </w:r>
                </w:p>
              </w:tc>
              <w:tc>
                <w:tcPr>
                  <w:tcW w:w="745"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268</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0.268</w:t>
                  </w:r>
                </w:p>
              </w:tc>
              <w:tc>
                <w:tcPr>
                  <w:tcW w:w="72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281</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0.281</w:t>
                  </w:r>
                </w:p>
              </w:tc>
              <w:tc>
                <w:tcPr>
                  <w:tcW w:w="66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277</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0.277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highlight w:val="none"/>
                      <w:lang w:val="en-US" w:eastAsia="zh-CN"/>
                    </w:rPr>
                    <w:t>氨氮</w:t>
                  </w:r>
                </w:p>
              </w:tc>
              <w:tc>
                <w:tcPr>
                  <w:tcW w:w="745"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0.283</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0.566</w:t>
                  </w:r>
                </w:p>
              </w:tc>
              <w:tc>
                <w:tcPr>
                  <w:tcW w:w="72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0.295</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0.59</w:t>
                  </w:r>
                </w:p>
              </w:tc>
              <w:tc>
                <w:tcPr>
                  <w:tcW w:w="66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0.310</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0.62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widowControl/>
                    <w:kinsoku/>
                    <w:wordWrap/>
                    <w:overflowPunct/>
                    <w:topLinePunct w:val="0"/>
                    <w:autoSpaceDE/>
                    <w:autoSpaceDN/>
                    <w:bidi w:val="0"/>
                    <w:adjustRightInd/>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highlight w:val="none"/>
                      <w:lang w:val="en-US" w:eastAsia="zh-CN"/>
                    </w:rPr>
                    <w:t>氟化物</w:t>
                  </w:r>
                </w:p>
              </w:tc>
              <w:tc>
                <w:tcPr>
                  <w:tcW w:w="745"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0.768</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0.768</w:t>
                  </w:r>
                </w:p>
              </w:tc>
              <w:tc>
                <w:tcPr>
                  <w:tcW w:w="72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0.682</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0.682</w:t>
                  </w:r>
                </w:p>
              </w:tc>
              <w:tc>
                <w:tcPr>
                  <w:tcW w:w="66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0.515</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0.515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widowControl/>
                    <w:kinsoku/>
                    <w:wordWrap/>
                    <w:overflowPunct/>
                    <w:topLinePunct w:val="0"/>
                    <w:autoSpaceDE/>
                    <w:autoSpaceDN/>
                    <w:bidi w:val="0"/>
                    <w:adjustRightInd/>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0"/>
                      <w:sz w:val="21"/>
                      <w:szCs w:val="21"/>
                      <w:highlight w:val="none"/>
                      <w:lang w:val="en-US" w:eastAsia="zh-CN"/>
                    </w:rPr>
                    <w:t>氯化物</w:t>
                  </w:r>
                </w:p>
              </w:tc>
              <w:tc>
                <w:tcPr>
                  <w:tcW w:w="745"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auto"/>
                      <w:kern w:val="2"/>
                      <w:sz w:val="21"/>
                      <w:szCs w:val="21"/>
                      <w:highlight w:val="none"/>
                      <w:lang w:val="en-US" w:eastAsia="zh-CN" w:bidi="ar-SA"/>
                    </w:rPr>
                    <w:t>38.9</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0.156</w:t>
                  </w:r>
                </w:p>
              </w:tc>
              <w:tc>
                <w:tcPr>
                  <w:tcW w:w="72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auto"/>
                      <w:kern w:val="2"/>
                      <w:sz w:val="21"/>
                      <w:szCs w:val="21"/>
                      <w:highlight w:val="none"/>
                      <w:lang w:val="en-US" w:eastAsia="zh-CN" w:bidi="ar-SA"/>
                    </w:rPr>
                    <w:t>39.5</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0.158</w:t>
                  </w:r>
                </w:p>
              </w:tc>
              <w:tc>
                <w:tcPr>
                  <w:tcW w:w="66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auto"/>
                      <w:kern w:val="2"/>
                      <w:sz w:val="21"/>
                      <w:szCs w:val="21"/>
                      <w:highlight w:val="none"/>
                      <w:lang w:val="en-US" w:eastAsia="zh-CN" w:bidi="ar-SA"/>
                    </w:rPr>
                    <w:t>44.7</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0.179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硝酸盐</w:t>
                  </w:r>
                </w:p>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highlight w:val="none"/>
                      <w:lang w:eastAsia="zh-CN"/>
                    </w:rPr>
                    <w:t>（以</w:t>
                  </w:r>
                  <w:r>
                    <w:rPr>
                      <w:rFonts w:hint="default" w:ascii="Times New Roman" w:hAnsi="Times New Roman" w:eastAsia="宋体" w:cs="Times New Roman"/>
                      <w:b w:val="0"/>
                      <w:bCs w:val="0"/>
                      <w:color w:val="auto"/>
                      <w:sz w:val="21"/>
                      <w:szCs w:val="21"/>
                      <w:highlight w:val="none"/>
                      <w:lang w:val="en-US" w:eastAsia="zh-CN"/>
                    </w:rPr>
                    <w:t>N计</w:t>
                  </w:r>
                  <w:r>
                    <w:rPr>
                      <w:rFonts w:hint="default" w:ascii="Times New Roman" w:hAnsi="Times New Roman" w:eastAsia="宋体" w:cs="Times New Roman"/>
                      <w:b w:val="0"/>
                      <w:bCs w:val="0"/>
                      <w:color w:val="auto"/>
                      <w:sz w:val="21"/>
                      <w:szCs w:val="21"/>
                      <w:highlight w:val="none"/>
                      <w:lang w:eastAsia="zh-CN"/>
                    </w:rPr>
                    <w:t>）</w:t>
                  </w:r>
                </w:p>
              </w:tc>
              <w:tc>
                <w:tcPr>
                  <w:tcW w:w="745"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1.86</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0.093</w:t>
                  </w:r>
                </w:p>
              </w:tc>
              <w:tc>
                <w:tcPr>
                  <w:tcW w:w="72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2.02</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0.101</w:t>
                  </w:r>
                </w:p>
              </w:tc>
              <w:tc>
                <w:tcPr>
                  <w:tcW w:w="66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1.55</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0.078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widowControl/>
                    <w:kinsoku/>
                    <w:wordWrap/>
                    <w:overflowPunct/>
                    <w:topLinePunct w:val="0"/>
                    <w:autoSpaceDE/>
                    <w:autoSpaceDN/>
                    <w:bidi w:val="0"/>
                    <w:adjustRightInd/>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highlight w:val="none"/>
                      <w:lang w:val="en-US" w:eastAsia="zh-CN"/>
                    </w:rPr>
                    <w:t>硫酸盐</w:t>
                  </w:r>
                </w:p>
              </w:tc>
              <w:tc>
                <w:tcPr>
                  <w:tcW w:w="745"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147</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0.588</w:t>
                  </w:r>
                </w:p>
              </w:tc>
              <w:tc>
                <w:tcPr>
                  <w:tcW w:w="72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151</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0.604</w:t>
                  </w:r>
                </w:p>
              </w:tc>
              <w:tc>
                <w:tcPr>
                  <w:tcW w:w="66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149</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0.596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widowControl/>
                    <w:kinsoku/>
                    <w:wordWrap/>
                    <w:overflowPunct/>
                    <w:topLinePunct w:val="0"/>
                    <w:autoSpaceDE/>
                    <w:autoSpaceDN/>
                    <w:bidi w:val="0"/>
                    <w:adjustRightInd/>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highlight w:val="none"/>
                      <w:lang w:val="en-US" w:eastAsia="zh-CN"/>
                    </w:rPr>
                    <w:t>亚硝酸盐氮</w:t>
                  </w:r>
                </w:p>
              </w:tc>
              <w:tc>
                <w:tcPr>
                  <w:tcW w:w="745"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＜0.003</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＜0.003</w:t>
                  </w:r>
                </w:p>
              </w:tc>
              <w:tc>
                <w:tcPr>
                  <w:tcW w:w="72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＜0.003</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＜0.003</w:t>
                  </w:r>
                </w:p>
              </w:tc>
              <w:tc>
                <w:tcPr>
                  <w:tcW w:w="66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＜0.003</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0"/>
                      <w:sz w:val="21"/>
                      <w:szCs w:val="21"/>
                      <w:highlight w:val="none"/>
                      <w:lang w:val="en-US" w:eastAsia="zh-CN"/>
                    </w:rPr>
                    <w:t>总硬度</w:t>
                  </w:r>
                </w:p>
              </w:tc>
              <w:tc>
                <w:tcPr>
                  <w:tcW w:w="7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185</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0.41</w:t>
                  </w:r>
                </w:p>
              </w:tc>
              <w:tc>
                <w:tcPr>
                  <w:tcW w:w="7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207</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0.46</w:t>
                  </w:r>
                </w:p>
              </w:tc>
              <w:tc>
                <w:tcPr>
                  <w:tcW w:w="66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200</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highlight w:val="none"/>
                      <w:lang w:val="en-US" w:eastAsia="zh-CN"/>
                    </w:rPr>
                    <w:t>耗氧量</w:t>
                  </w:r>
                </w:p>
              </w:tc>
              <w:tc>
                <w:tcPr>
                  <w:tcW w:w="7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1.90</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0.63</w:t>
                  </w:r>
                </w:p>
              </w:tc>
              <w:tc>
                <w:tcPr>
                  <w:tcW w:w="7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1.84</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0.613</w:t>
                  </w:r>
                </w:p>
              </w:tc>
              <w:tc>
                <w:tcPr>
                  <w:tcW w:w="66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1.87</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0.623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highlight w:val="none"/>
                      <w:lang w:val="en-US" w:eastAsia="zh-CN"/>
                    </w:rPr>
                    <w:t>氰化物</w:t>
                  </w:r>
                </w:p>
              </w:tc>
              <w:tc>
                <w:tcPr>
                  <w:tcW w:w="745" w:type="pct"/>
                  <w:tcBorders>
                    <w:tl2br w:val="nil"/>
                    <w:tr2bl w:val="nil"/>
                  </w:tcBorders>
                  <w:vAlign w:val="center"/>
                </w:tcPr>
                <w:p>
                  <w:pPr>
                    <w:keepNext w:val="0"/>
                    <w:keepLines w:val="0"/>
                    <w:pageBreakBefore w:val="0"/>
                    <w:kinsoku/>
                    <w:wordWrap/>
                    <w:overflowPunct/>
                    <w:topLinePunct w:val="0"/>
                    <w:autoSpaceDE/>
                    <w:autoSpaceDN/>
                    <w:bidi w:val="0"/>
                    <w:adjustRightInd/>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＜0.004</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b w:val="0"/>
                      <w:bCs w:val="0"/>
                      <w:color w:val="auto"/>
                      <w:kern w:val="2"/>
                      <w:sz w:val="21"/>
                      <w:szCs w:val="21"/>
                      <w:highlight w:val="none"/>
                      <w:lang w:val="en-US" w:eastAsia="zh-CN" w:bidi="ar-SA"/>
                    </w:rPr>
                    <w:t>＜0.008</w:t>
                  </w:r>
                </w:p>
              </w:tc>
              <w:tc>
                <w:tcPr>
                  <w:tcW w:w="723" w:type="pct"/>
                  <w:tcBorders>
                    <w:tl2br w:val="nil"/>
                    <w:tr2bl w:val="nil"/>
                  </w:tcBorders>
                  <w:vAlign w:val="center"/>
                </w:tcPr>
                <w:p>
                  <w:pPr>
                    <w:keepNext w:val="0"/>
                    <w:keepLines w:val="0"/>
                    <w:pageBreakBefore w:val="0"/>
                    <w:kinsoku/>
                    <w:wordWrap/>
                    <w:overflowPunct/>
                    <w:topLinePunct w:val="0"/>
                    <w:autoSpaceDE/>
                    <w:autoSpaceDN/>
                    <w:bidi w:val="0"/>
                    <w:adjustRightInd/>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＜0.004</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＜0.008</w:t>
                  </w:r>
                </w:p>
              </w:tc>
              <w:tc>
                <w:tcPr>
                  <w:tcW w:w="661" w:type="pct"/>
                  <w:tcBorders>
                    <w:tl2br w:val="nil"/>
                    <w:tr2bl w:val="nil"/>
                  </w:tcBorders>
                  <w:vAlign w:val="center"/>
                </w:tcPr>
                <w:p>
                  <w:pPr>
                    <w:keepNext w:val="0"/>
                    <w:keepLines w:val="0"/>
                    <w:pageBreakBefore w:val="0"/>
                    <w:kinsoku/>
                    <w:wordWrap/>
                    <w:overflowPunct/>
                    <w:topLinePunct w:val="0"/>
                    <w:autoSpaceDE/>
                    <w:autoSpaceDN/>
                    <w:bidi w:val="0"/>
                    <w:adjustRightInd/>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＜0.004</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widowControl/>
                    <w:kinsoku/>
                    <w:wordWrap/>
                    <w:overflowPunct/>
                    <w:topLinePunct w:val="0"/>
                    <w:autoSpaceDE/>
                    <w:autoSpaceDN/>
                    <w:bidi w:val="0"/>
                    <w:adjustRightInd/>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0"/>
                      <w:sz w:val="21"/>
                      <w:szCs w:val="21"/>
                      <w:highlight w:val="none"/>
                      <w:lang w:eastAsia="zh-CN"/>
                    </w:rPr>
                    <w:t>挥发酚</w:t>
                  </w:r>
                </w:p>
              </w:tc>
              <w:tc>
                <w:tcPr>
                  <w:tcW w:w="745"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＜0.0003</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b w:val="0"/>
                      <w:bCs w:val="0"/>
                      <w:color w:val="auto"/>
                      <w:kern w:val="2"/>
                      <w:sz w:val="21"/>
                      <w:szCs w:val="21"/>
                      <w:highlight w:val="none"/>
                      <w:lang w:val="en-US" w:eastAsia="zh-CN" w:bidi="ar-SA"/>
                    </w:rPr>
                    <w:t>＜0.15</w:t>
                  </w:r>
                </w:p>
              </w:tc>
              <w:tc>
                <w:tcPr>
                  <w:tcW w:w="72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＜0.0003</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＜0.15</w:t>
                  </w:r>
                </w:p>
              </w:tc>
              <w:tc>
                <w:tcPr>
                  <w:tcW w:w="66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＜0.0003</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highlight w:val="none"/>
                      <w:lang w:val="en-US" w:eastAsia="zh-CN"/>
                    </w:rPr>
                    <w:t>六价铬</w:t>
                  </w:r>
                </w:p>
              </w:tc>
              <w:tc>
                <w:tcPr>
                  <w:tcW w:w="745" w:type="pct"/>
                  <w:tcBorders>
                    <w:tl2br w:val="nil"/>
                    <w:tr2bl w:val="nil"/>
                  </w:tcBorders>
                  <w:vAlign w:val="center"/>
                </w:tcPr>
                <w:p>
                  <w:pPr>
                    <w:keepNext w:val="0"/>
                    <w:keepLines w:val="0"/>
                    <w:pageBreakBefore w:val="0"/>
                    <w:kinsoku/>
                    <w:wordWrap/>
                    <w:overflowPunct/>
                    <w:topLinePunct w:val="0"/>
                    <w:autoSpaceDE/>
                    <w:autoSpaceDN/>
                    <w:bidi w:val="0"/>
                    <w:adjustRightInd/>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＜0.004</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sz w:val="21"/>
                      <w:szCs w:val="21"/>
                      <w:lang w:val="en-US" w:eastAsia="zh-CN"/>
                    </w:rPr>
                    <w:t>0.08</w:t>
                  </w:r>
                </w:p>
              </w:tc>
              <w:tc>
                <w:tcPr>
                  <w:tcW w:w="723" w:type="pct"/>
                  <w:tcBorders>
                    <w:tl2br w:val="nil"/>
                    <w:tr2bl w:val="nil"/>
                  </w:tcBorders>
                  <w:vAlign w:val="center"/>
                </w:tcPr>
                <w:p>
                  <w:pPr>
                    <w:keepNext w:val="0"/>
                    <w:keepLines w:val="0"/>
                    <w:pageBreakBefore w:val="0"/>
                    <w:kinsoku/>
                    <w:wordWrap/>
                    <w:overflowPunct/>
                    <w:topLinePunct w:val="0"/>
                    <w:autoSpaceDE/>
                    <w:autoSpaceDN/>
                    <w:bidi w:val="0"/>
                    <w:adjustRightInd/>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＜0.004</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sz w:val="21"/>
                      <w:szCs w:val="21"/>
                      <w:lang w:val="en-US" w:eastAsia="zh-CN"/>
                    </w:rPr>
                    <w:t>0.08</w:t>
                  </w:r>
                </w:p>
              </w:tc>
              <w:tc>
                <w:tcPr>
                  <w:tcW w:w="661" w:type="pct"/>
                  <w:tcBorders>
                    <w:tl2br w:val="nil"/>
                    <w:tr2bl w:val="nil"/>
                  </w:tcBorders>
                  <w:vAlign w:val="center"/>
                </w:tcPr>
                <w:p>
                  <w:pPr>
                    <w:keepNext w:val="0"/>
                    <w:keepLines w:val="0"/>
                    <w:pageBreakBefore w:val="0"/>
                    <w:kinsoku/>
                    <w:wordWrap/>
                    <w:overflowPunct/>
                    <w:topLinePunct w:val="0"/>
                    <w:autoSpaceDE/>
                    <w:autoSpaceDN/>
                    <w:bidi w:val="0"/>
                    <w:adjustRightInd/>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＜0.004</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sz w:val="21"/>
                      <w:szCs w:val="21"/>
                      <w:lang w:val="en-US" w:eastAsia="zh-CN"/>
                    </w:rPr>
                    <w:t>0.08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汞</w:t>
                  </w:r>
                </w:p>
              </w:tc>
              <w:tc>
                <w:tcPr>
                  <w:tcW w:w="745"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＜0.00004</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b w:val="0"/>
                      <w:bCs w:val="0"/>
                      <w:color w:val="auto"/>
                      <w:kern w:val="2"/>
                      <w:sz w:val="21"/>
                      <w:szCs w:val="21"/>
                      <w:highlight w:val="none"/>
                      <w:lang w:val="en-US" w:eastAsia="zh-CN" w:bidi="ar-SA"/>
                    </w:rPr>
                    <w:t>＜0.04</w:t>
                  </w:r>
                </w:p>
              </w:tc>
              <w:tc>
                <w:tcPr>
                  <w:tcW w:w="72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＜0.00004</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＜0.04</w:t>
                  </w:r>
                </w:p>
              </w:tc>
              <w:tc>
                <w:tcPr>
                  <w:tcW w:w="66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＜0.00004</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砷</w:t>
                  </w:r>
                </w:p>
              </w:tc>
              <w:tc>
                <w:tcPr>
                  <w:tcW w:w="745"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＜0.0003</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b w:val="0"/>
                      <w:bCs w:val="0"/>
                      <w:color w:val="auto"/>
                      <w:kern w:val="2"/>
                      <w:sz w:val="21"/>
                      <w:szCs w:val="21"/>
                      <w:highlight w:val="none"/>
                      <w:lang w:val="en-US" w:eastAsia="zh-CN" w:bidi="ar-SA"/>
                    </w:rPr>
                    <w:t>＜0.03</w:t>
                  </w:r>
                </w:p>
              </w:tc>
              <w:tc>
                <w:tcPr>
                  <w:tcW w:w="72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＜0.0003</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＜0.03</w:t>
                  </w:r>
                </w:p>
              </w:tc>
              <w:tc>
                <w:tcPr>
                  <w:tcW w:w="66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＜0.0003</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铅</w:t>
                  </w:r>
                </w:p>
              </w:tc>
              <w:tc>
                <w:tcPr>
                  <w:tcW w:w="7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b w:val="0"/>
                      <w:bCs w:val="0"/>
                      <w:color w:val="auto"/>
                      <w:kern w:val="2"/>
                      <w:sz w:val="21"/>
                      <w:szCs w:val="21"/>
                      <w:highlight w:val="none"/>
                      <w:lang w:val="en-US" w:eastAsia="zh-CN" w:bidi="ar-SA"/>
                    </w:rPr>
                    <w:t>＜0.001</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b w:val="0"/>
                      <w:bCs w:val="0"/>
                      <w:color w:val="auto"/>
                      <w:kern w:val="2"/>
                      <w:sz w:val="21"/>
                      <w:szCs w:val="21"/>
                      <w:highlight w:val="none"/>
                      <w:lang w:val="en-US" w:eastAsia="zh-CN" w:bidi="ar-SA"/>
                    </w:rPr>
                    <w:t>＜0.1</w:t>
                  </w:r>
                </w:p>
              </w:tc>
              <w:tc>
                <w:tcPr>
                  <w:tcW w:w="7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＜0.001</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＜0.1</w:t>
                  </w:r>
                </w:p>
              </w:tc>
              <w:tc>
                <w:tcPr>
                  <w:tcW w:w="66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＜0.001</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镉</w:t>
                  </w:r>
                </w:p>
              </w:tc>
              <w:tc>
                <w:tcPr>
                  <w:tcW w:w="7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b w:val="0"/>
                      <w:bCs w:val="0"/>
                      <w:color w:val="auto"/>
                      <w:kern w:val="2"/>
                      <w:sz w:val="21"/>
                      <w:szCs w:val="21"/>
                      <w:highlight w:val="none"/>
                      <w:lang w:val="en-US" w:eastAsia="zh-CN" w:bidi="ar-SA"/>
                    </w:rPr>
                    <w:t>＜0.001</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b w:val="0"/>
                      <w:bCs w:val="0"/>
                      <w:color w:val="auto"/>
                      <w:kern w:val="2"/>
                      <w:sz w:val="21"/>
                      <w:szCs w:val="21"/>
                      <w:highlight w:val="none"/>
                      <w:lang w:val="en-US" w:eastAsia="zh-CN" w:bidi="ar-SA"/>
                    </w:rPr>
                    <w:t>＜0.2</w:t>
                  </w:r>
                </w:p>
              </w:tc>
              <w:tc>
                <w:tcPr>
                  <w:tcW w:w="7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＜0.001</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＜0.2</w:t>
                  </w:r>
                </w:p>
              </w:tc>
              <w:tc>
                <w:tcPr>
                  <w:tcW w:w="66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＜0.001</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afterAutospacing="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铁</w:t>
                  </w:r>
                </w:p>
              </w:tc>
              <w:tc>
                <w:tcPr>
                  <w:tcW w:w="7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＜0.03</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b w:val="0"/>
                      <w:bCs w:val="0"/>
                      <w:color w:val="auto"/>
                      <w:kern w:val="2"/>
                      <w:sz w:val="21"/>
                      <w:szCs w:val="21"/>
                      <w:highlight w:val="none"/>
                      <w:lang w:val="en-US" w:eastAsia="zh-CN" w:bidi="ar-SA"/>
                    </w:rPr>
                    <w:t>＜0.1</w:t>
                  </w:r>
                </w:p>
              </w:tc>
              <w:tc>
                <w:tcPr>
                  <w:tcW w:w="7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＜0.03</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＜0.1</w:t>
                  </w:r>
                </w:p>
              </w:tc>
              <w:tc>
                <w:tcPr>
                  <w:tcW w:w="66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＜0.03</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kern w:val="0"/>
                      <w:sz w:val="21"/>
                      <w:szCs w:val="21"/>
                      <w:highlight w:val="none"/>
                      <w:lang w:eastAsia="zh-CN"/>
                    </w:rPr>
                    <w:t>锰</w:t>
                  </w:r>
                </w:p>
              </w:tc>
              <w:tc>
                <w:tcPr>
                  <w:tcW w:w="7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＜0.01</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b w:val="0"/>
                      <w:bCs w:val="0"/>
                      <w:color w:val="auto"/>
                      <w:kern w:val="2"/>
                      <w:sz w:val="21"/>
                      <w:szCs w:val="21"/>
                      <w:highlight w:val="none"/>
                      <w:lang w:val="en-US" w:eastAsia="zh-CN" w:bidi="ar-SA"/>
                    </w:rPr>
                    <w:t>＜0.1</w:t>
                  </w:r>
                </w:p>
              </w:tc>
              <w:tc>
                <w:tcPr>
                  <w:tcW w:w="7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＜0.01</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＜0.1</w:t>
                  </w:r>
                </w:p>
              </w:tc>
              <w:tc>
                <w:tcPr>
                  <w:tcW w:w="66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＜0.01</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钾</w:t>
                  </w:r>
                </w:p>
              </w:tc>
              <w:tc>
                <w:tcPr>
                  <w:tcW w:w="7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3.25</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7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3.25</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6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3.26</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钠</w:t>
                  </w:r>
                </w:p>
              </w:tc>
              <w:tc>
                <w:tcPr>
                  <w:tcW w:w="7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50.8</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0.254</w:t>
                  </w:r>
                </w:p>
              </w:tc>
              <w:tc>
                <w:tcPr>
                  <w:tcW w:w="7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52.9</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0.265</w:t>
                  </w:r>
                </w:p>
              </w:tc>
              <w:tc>
                <w:tcPr>
                  <w:tcW w:w="66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51.6</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0.258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钙</w:t>
                  </w:r>
                </w:p>
              </w:tc>
              <w:tc>
                <w:tcPr>
                  <w:tcW w:w="7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72.6</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7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72.7</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6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71.9</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镁</w:t>
                  </w:r>
                </w:p>
              </w:tc>
              <w:tc>
                <w:tcPr>
                  <w:tcW w:w="7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10.1</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7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10.2</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6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10.2</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highlight w:val="none"/>
                      <w:lang w:val="en-US" w:eastAsia="zh-CN"/>
                    </w:rPr>
                    <w:t>碳酸盐（以CaCO</w:t>
                  </w:r>
                  <w:r>
                    <w:rPr>
                      <w:rFonts w:hint="default" w:ascii="Times New Roman" w:hAnsi="Times New Roman" w:eastAsia="宋体" w:cs="Times New Roman"/>
                      <w:b w:val="0"/>
                      <w:bCs w:val="0"/>
                      <w:color w:val="auto"/>
                      <w:sz w:val="21"/>
                      <w:szCs w:val="21"/>
                      <w:highlight w:val="none"/>
                      <w:vertAlign w:val="subscript"/>
                      <w:lang w:val="en-US" w:eastAsia="zh-CN"/>
                    </w:rPr>
                    <w:t>3</w:t>
                  </w:r>
                  <w:r>
                    <w:rPr>
                      <w:rFonts w:hint="default" w:ascii="Times New Roman" w:hAnsi="Times New Roman" w:eastAsia="宋体" w:cs="Times New Roman"/>
                      <w:b w:val="0"/>
                      <w:bCs w:val="0"/>
                      <w:color w:val="auto"/>
                      <w:sz w:val="21"/>
                      <w:szCs w:val="21"/>
                      <w:highlight w:val="none"/>
                      <w:lang w:val="en-US" w:eastAsia="zh-CN"/>
                    </w:rPr>
                    <w:t>计）</w:t>
                  </w:r>
                </w:p>
              </w:tc>
              <w:tc>
                <w:tcPr>
                  <w:tcW w:w="7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highlight w:val="none"/>
                      <w:lang w:val="en-US" w:eastAsia="zh-CN"/>
                    </w:rPr>
                    <w:t>0</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7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highlight w:val="none"/>
                      <w:lang w:val="en-US" w:eastAsia="zh-CN"/>
                    </w:rPr>
                    <w:t>0</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6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highlight w:val="none"/>
                      <w:lang w:val="en-US" w:eastAsia="zh-CN"/>
                    </w:rPr>
                    <w:t>0</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highlight w:val="none"/>
                      <w:lang w:val="en-US" w:eastAsia="zh-CN"/>
                    </w:rPr>
                    <w:t>重碳酸盐（以CaCO</w:t>
                  </w:r>
                  <w:r>
                    <w:rPr>
                      <w:rFonts w:hint="default" w:ascii="Times New Roman" w:hAnsi="Times New Roman" w:eastAsia="宋体" w:cs="Times New Roman"/>
                      <w:b w:val="0"/>
                      <w:bCs w:val="0"/>
                      <w:color w:val="auto"/>
                      <w:sz w:val="21"/>
                      <w:szCs w:val="21"/>
                      <w:highlight w:val="none"/>
                      <w:vertAlign w:val="subscript"/>
                      <w:lang w:val="en-US" w:eastAsia="zh-CN"/>
                    </w:rPr>
                    <w:t>3</w:t>
                  </w:r>
                  <w:r>
                    <w:rPr>
                      <w:rFonts w:hint="default" w:ascii="Times New Roman" w:hAnsi="Times New Roman" w:eastAsia="宋体" w:cs="Times New Roman"/>
                      <w:b w:val="0"/>
                      <w:bCs w:val="0"/>
                      <w:color w:val="auto"/>
                      <w:sz w:val="21"/>
                      <w:szCs w:val="21"/>
                      <w:highlight w:val="none"/>
                      <w:lang w:val="en-US" w:eastAsia="zh-CN"/>
                    </w:rPr>
                    <w:t>计）</w:t>
                  </w:r>
                </w:p>
              </w:tc>
              <w:tc>
                <w:tcPr>
                  <w:tcW w:w="7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highlight w:val="none"/>
                      <w:lang w:val="en-US" w:eastAsia="zh-CN"/>
                    </w:rPr>
                    <w:t>123</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7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highlight w:val="none"/>
                      <w:lang w:val="en-US" w:eastAsia="zh-CN"/>
                    </w:rPr>
                    <w:t>124</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6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highlight w:val="none"/>
                      <w:lang w:val="en-US" w:eastAsia="zh-CN"/>
                    </w:rPr>
                    <w:t>121</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lang w:val="en-US" w:eastAsia="zh-CN"/>
                    </w:rPr>
                    <w:t>总大肠菌群</w:t>
                  </w:r>
                  <w:r>
                    <w:rPr>
                      <w:rFonts w:hint="eastAsia" w:ascii="Times New Roman" w:hAnsi="Times New Roman" w:cs="Times New Roman"/>
                      <w:b w:val="0"/>
                      <w:bCs w:val="0"/>
                      <w:color w:val="auto"/>
                      <w:sz w:val="20"/>
                      <w:szCs w:val="20"/>
                      <w:lang w:val="en-US" w:eastAsia="zh-CN"/>
                    </w:rPr>
                    <w:t>（MPN/100mL）</w:t>
                  </w:r>
                </w:p>
              </w:tc>
              <w:tc>
                <w:tcPr>
                  <w:tcW w:w="745"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b w:val="0"/>
                      <w:bCs w:val="0"/>
                      <w:color w:val="auto"/>
                      <w:kern w:val="2"/>
                      <w:sz w:val="21"/>
                      <w:szCs w:val="21"/>
                      <w:highlight w:val="none"/>
                      <w:lang w:val="en-US" w:eastAsia="zh-CN" w:bidi="ar-SA"/>
                    </w:rPr>
                    <w:t>＜</w:t>
                  </w:r>
                  <w:r>
                    <w:rPr>
                      <w:rFonts w:hint="eastAsia" w:ascii="Times New Roman" w:hAnsi="Times New Roman" w:cs="Times New Roman"/>
                      <w:b w:val="0"/>
                      <w:bCs w:val="0"/>
                      <w:color w:val="auto"/>
                      <w:kern w:val="2"/>
                      <w:sz w:val="21"/>
                      <w:szCs w:val="21"/>
                      <w:highlight w:val="none"/>
                      <w:lang w:val="en-US" w:eastAsia="zh-CN" w:bidi="ar-SA"/>
                    </w:rPr>
                    <w:t>1</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sz w:val="21"/>
                      <w:szCs w:val="21"/>
                      <w:lang w:val="en-US" w:eastAsia="zh-CN"/>
                    </w:rPr>
                    <w:t>0.</w:t>
                  </w:r>
                  <w:r>
                    <w:rPr>
                      <w:rFonts w:hint="eastAsia" w:ascii="Times New Roman" w:hAnsi="Times New Roman" w:cs="Times New Roman"/>
                      <w:sz w:val="21"/>
                      <w:szCs w:val="21"/>
                      <w:lang w:val="en-US" w:eastAsia="zh-CN"/>
                    </w:rPr>
                    <w:t>333</w:t>
                  </w:r>
                </w:p>
              </w:tc>
              <w:tc>
                <w:tcPr>
                  <w:tcW w:w="1154" w:type="dxa"/>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b w:val="0"/>
                      <w:bCs w:val="0"/>
                      <w:color w:val="auto"/>
                      <w:kern w:val="2"/>
                      <w:sz w:val="21"/>
                      <w:szCs w:val="21"/>
                      <w:highlight w:val="none"/>
                      <w:lang w:val="en-US" w:eastAsia="zh-CN" w:bidi="ar-SA"/>
                    </w:rPr>
                    <w:t>＜</w:t>
                  </w:r>
                  <w:r>
                    <w:rPr>
                      <w:rFonts w:hint="eastAsia" w:ascii="Times New Roman" w:hAnsi="Times New Roman" w:cs="Times New Roman"/>
                      <w:b w:val="0"/>
                      <w:bCs w:val="0"/>
                      <w:color w:val="auto"/>
                      <w:kern w:val="2"/>
                      <w:sz w:val="21"/>
                      <w:szCs w:val="21"/>
                      <w:highlight w:val="none"/>
                      <w:lang w:val="en-US" w:eastAsia="zh-CN" w:bidi="ar-SA"/>
                    </w:rPr>
                    <w:t>1</w:t>
                  </w:r>
                </w:p>
              </w:tc>
              <w:tc>
                <w:tcPr>
                  <w:tcW w:w="984" w:type="dxa"/>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sz w:val="21"/>
                      <w:szCs w:val="21"/>
                      <w:lang w:val="en-US" w:eastAsia="zh-CN"/>
                    </w:rPr>
                    <w:t>0.</w:t>
                  </w:r>
                  <w:r>
                    <w:rPr>
                      <w:rFonts w:hint="eastAsia" w:ascii="Times New Roman" w:hAnsi="Times New Roman" w:cs="Times New Roman"/>
                      <w:sz w:val="21"/>
                      <w:szCs w:val="21"/>
                      <w:lang w:val="en-US" w:eastAsia="zh-CN"/>
                    </w:rPr>
                    <w:t>333</w:t>
                  </w:r>
                </w:p>
              </w:tc>
              <w:tc>
                <w:tcPr>
                  <w:tcW w:w="1054" w:type="dxa"/>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b w:val="0"/>
                      <w:bCs w:val="0"/>
                      <w:color w:val="auto"/>
                      <w:kern w:val="2"/>
                      <w:sz w:val="21"/>
                      <w:szCs w:val="21"/>
                      <w:highlight w:val="none"/>
                      <w:lang w:val="en-US" w:eastAsia="zh-CN" w:bidi="ar-SA"/>
                    </w:rPr>
                    <w:t>＜</w:t>
                  </w:r>
                  <w:r>
                    <w:rPr>
                      <w:rFonts w:hint="eastAsia" w:ascii="Times New Roman" w:hAnsi="Times New Roman" w:cs="Times New Roman"/>
                      <w:b w:val="0"/>
                      <w:bCs w:val="0"/>
                      <w:color w:val="auto"/>
                      <w:kern w:val="2"/>
                      <w:sz w:val="21"/>
                      <w:szCs w:val="21"/>
                      <w:highlight w:val="none"/>
                      <w:lang w:val="en-US" w:eastAsia="zh-CN" w:bidi="ar-SA"/>
                    </w:rPr>
                    <w:t>1</w:t>
                  </w:r>
                </w:p>
              </w:tc>
              <w:tc>
                <w:tcPr>
                  <w:tcW w:w="938" w:type="dxa"/>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sz w:val="21"/>
                      <w:szCs w:val="21"/>
                      <w:lang w:val="en-US" w:eastAsia="zh-CN"/>
                    </w:rPr>
                    <w:t>0.</w:t>
                  </w:r>
                  <w:r>
                    <w:rPr>
                      <w:rFonts w:hint="eastAsia" w:ascii="Times New Roman" w:hAnsi="Times New Roman" w:cs="Times New Roman"/>
                      <w:sz w:val="21"/>
                      <w:szCs w:val="21"/>
                      <w:lang w:val="en-US" w:eastAsia="zh-CN"/>
                    </w:rPr>
                    <w:t>333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3"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highlight w:val="none"/>
                      <w:lang w:val="en-US" w:eastAsia="zh-CN"/>
                    </w:rPr>
                    <w:t>细菌总数</w:t>
                  </w:r>
                  <w:r>
                    <w:rPr>
                      <w:rFonts w:hint="eastAsia" w:ascii="Times New Roman" w:hAnsi="Times New Roman" w:cs="Times New Roman"/>
                      <w:b w:val="0"/>
                      <w:bCs w:val="0"/>
                      <w:color w:val="auto"/>
                      <w:sz w:val="21"/>
                      <w:szCs w:val="21"/>
                      <w:highlight w:val="none"/>
                      <w:lang w:val="en-US" w:eastAsia="zh-CN"/>
                    </w:rPr>
                    <w:t>（CFN/mL）</w:t>
                  </w:r>
                </w:p>
              </w:tc>
              <w:tc>
                <w:tcPr>
                  <w:tcW w:w="74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highlight w:val="none"/>
                      <w:lang w:val="en-US" w:eastAsia="zh-CN"/>
                    </w:rPr>
                    <w:t>56</w:t>
                  </w:r>
                </w:p>
              </w:tc>
              <w:tc>
                <w:tcPr>
                  <w:tcW w:w="651"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0.56</w:t>
                  </w:r>
                </w:p>
              </w:tc>
              <w:tc>
                <w:tcPr>
                  <w:tcW w:w="7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highlight w:val="none"/>
                      <w:lang w:val="en-US" w:eastAsia="zh-CN"/>
                    </w:rPr>
                    <w:t>62</w:t>
                  </w:r>
                </w:p>
              </w:tc>
              <w:tc>
                <w:tcPr>
                  <w:tcW w:w="617"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0.62</w:t>
                  </w:r>
                </w:p>
              </w:tc>
              <w:tc>
                <w:tcPr>
                  <w:tcW w:w="66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afterAutospacing="0" w:line="240" w:lineRule="auto"/>
                    <w:ind w:left="0" w:left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highlight w:val="none"/>
                      <w:lang w:val="en-US" w:eastAsia="zh-CN"/>
                    </w:rPr>
                    <w:t>66</w:t>
                  </w:r>
                </w:p>
              </w:tc>
              <w:tc>
                <w:tcPr>
                  <w:tcW w:w="588" w:type="pct"/>
                  <w:tcBorders>
                    <w:tl2br w:val="nil"/>
                    <w:tr2bl w:val="nil"/>
                  </w:tcBorders>
                  <w:vAlign w:val="center"/>
                </w:tcPr>
                <w:p>
                  <w:pPr>
                    <w:keepNext w:val="0"/>
                    <w:keepLines w:val="0"/>
                    <w:pageBreakBefore w:val="0"/>
                    <w:kinsoku/>
                    <w:wordWrap/>
                    <w:overflowPunct/>
                    <w:topLinePunct w:val="0"/>
                    <w:autoSpaceDE/>
                    <w:autoSpaceDN/>
                    <w:bidi w:val="0"/>
                    <w:adjustRightInd/>
                    <w:snapToGrid w:val="0"/>
                    <w:spacing w:afterAutospacing="0" w:line="240" w:lineRule="auto"/>
                    <w:ind w:lef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0.66</w:t>
                  </w:r>
                </w:p>
              </w:tc>
            </w:tr>
          </w:tbl>
          <w:p>
            <w:pPr>
              <w:autoSpaceDE w:val="0"/>
              <w:autoSpaceDN w:val="0"/>
              <w:adjustRightInd w:val="0"/>
              <w:spacing w:line="520" w:lineRule="exact"/>
              <w:ind w:firstLine="480" w:firstLineChars="200"/>
              <w:rPr>
                <w:b/>
                <w:bCs/>
                <w:sz w:val="24"/>
              </w:rPr>
            </w:pPr>
            <w:r>
              <w:rPr>
                <w:rFonts w:hint="eastAsia"/>
                <w:sz w:val="24"/>
                <w:lang w:val="zh-CN"/>
              </w:rPr>
              <w:t>根据</w:t>
            </w:r>
            <w:r>
              <w:rPr>
                <w:sz w:val="24"/>
                <w:lang w:val="zh-CN"/>
              </w:rPr>
              <w:t>评价可知，</w:t>
            </w:r>
            <w:r>
              <w:rPr>
                <w:rFonts w:hint="eastAsia"/>
                <w:sz w:val="24"/>
                <w:lang w:val="zh-CN"/>
              </w:rPr>
              <w:t>所有</w:t>
            </w:r>
            <w:r>
              <w:rPr>
                <w:sz w:val="24"/>
                <w:lang w:val="zh-CN"/>
              </w:rPr>
              <w:t>监测指标</w:t>
            </w:r>
            <w:r>
              <w:rPr>
                <w:rFonts w:hint="eastAsia"/>
                <w:sz w:val="24"/>
                <w:lang w:val="zh-CN"/>
              </w:rPr>
              <w:t>均</w:t>
            </w:r>
            <w:r>
              <w:rPr>
                <w:sz w:val="24"/>
                <w:lang w:val="zh-CN"/>
              </w:rPr>
              <w:t>满足《地下水质量标准》（GB/T14848-</w:t>
            </w:r>
            <w:r>
              <w:rPr>
                <w:rFonts w:hint="eastAsia"/>
                <w:sz w:val="24"/>
                <w:lang w:val="zh-CN"/>
              </w:rPr>
              <w:t>2017</w:t>
            </w:r>
            <w:r>
              <w:rPr>
                <w:sz w:val="24"/>
                <w:lang w:val="zh-CN"/>
              </w:rPr>
              <w:t>）中</w:t>
            </w:r>
            <w:r>
              <w:rPr>
                <w:rFonts w:hint="eastAsia"/>
                <w:sz w:val="24"/>
              </w:rPr>
              <w:t>III</w:t>
            </w:r>
            <w:r>
              <w:rPr>
                <w:sz w:val="24"/>
                <w:lang w:val="zh-CN"/>
              </w:rPr>
              <w:t>类水标准的要</w:t>
            </w:r>
            <w:r>
              <w:rPr>
                <w:rFonts w:hint="eastAsia"/>
                <w:sz w:val="24"/>
                <w:lang w:val="zh-CN"/>
              </w:rPr>
              <w:t>求</w:t>
            </w:r>
            <w:r>
              <w:rPr>
                <w:sz w:val="24"/>
                <w:lang w:val="zh-CN"/>
              </w:rPr>
              <w:t>。</w:t>
            </w:r>
          </w:p>
          <w:p>
            <w:pPr>
              <w:autoSpaceDE w:val="0"/>
              <w:autoSpaceDN w:val="0"/>
              <w:adjustRightInd w:val="0"/>
              <w:spacing w:line="520" w:lineRule="exact"/>
              <w:ind w:firstLine="482" w:firstLineChars="200"/>
              <w:rPr>
                <w:b/>
                <w:bCs/>
                <w:sz w:val="24"/>
                <w:szCs w:val="32"/>
              </w:rPr>
            </w:pPr>
            <w:r>
              <w:rPr>
                <w:rFonts w:hint="eastAsia"/>
                <w:b/>
                <w:bCs/>
                <w:sz w:val="24"/>
                <w:szCs w:val="32"/>
              </w:rPr>
              <w:t>4、土壤环境</w:t>
            </w:r>
          </w:p>
          <w:p>
            <w:pPr>
              <w:autoSpaceDE w:val="0"/>
              <w:autoSpaceDN w:val="0"/>
              <w:adjustRightInd w:val="0"/>
              <w:spacing w:line="520" w:lineRule="exact"/>
              <w:ind w:firstLine="480" w:firstLineChars="200"/>
            </w:pPr>
            <w:r>
              <w:rPr>
                <w:rFonts w:hint="eastAsia"/>
                <w:sz w:val="24"/>
                <w:szCs w:val="32"/>
              </w:rPr>
              <w:t>根据《环境影响评价技术导则</w:t>
            </w:r>
            <w:r>
              <w:rPr>
                <w:rFonts w:hint="eastAsia"/>
                <w:sz w:val="24"/>
                <w:szCs w:val="32"/>
                <w:lang w:val="en-US" w:eastAsia="zh-CN"/>
              </w:rPr>
              <w:t xml:space="preserve">  </w:t>
            </w:r>
            <w:r>
              <w:rPr>
                <w:rFonts w:hint="eastAsia"/>
                <w:sz w:val="24"/>
                <w:szCs w:val="32"/>
              </w:rPr>
              <w:t>土壤环境（试行）》（HJ964-2018）附录A中注1：仅切割组装的、单纯混合和分装的、编织物及其制造品制造的。列入IV类。本项目仅涉及原料的混合，所以本项目可不开展土壤环境影响评价。</w:t>
            </w:r>
          </w:p>
          <w:p>
            <w:pPr>
              <w:autoSpaceDE w:val="0"/>
              <w:autoSpaceDN w:val="0"/>
              <w:adjustRightInd w:val="0"/>
              <w:spacing w:line="520" w:lineRule="exact"/>
              <w:ind w:firstLine="482" w:firstLineChars="200"/>
              <w:rPr>
                <w:b/>
                <w:bCs/>
                <w:sz w:val="24"/>
              </w:rPr>
            </w:pPr>
            <w:r>
              <w:rPr>
                <w:rFonts w:hint="eastAsia"/>
                <w:b/>
                <w:bCs/>
                <w:sz w:val="24"/>
              </w:rPr>
              <w:t>5、</w:t>
            </w:r>
            <w:r>
              <w:rPr>
                <w:b/>
                <w:bCs/>
                <w:sz w:val="24"/>
              </w:rPr>
              <w:t>声环境</w:t>
            </w:r>
          </w:p>
          <w:p>
            <w:pPr>
              <w:autoSpaceDE w:val="0"/>
              <w:autoSpaceDN w:val="0"/>
              <w:adjustRightInd w:val="0"/>
              <w:spacing w:line="520" w:lineRule="exact"/>
              <w:ind w:firstLine="480" w:firstLineChars="200"/>
              <w:rPr>
                <w:sz w:val="24"/>
                <w:lang w:val="zh-CN"/>
              </w:rPr>
            </w:pPr>
            <w:r>
              <w:rPr>
                <w:rFonts w:hint="eastAsia"/>
                <w:sz w:val="24"/>
              </w:rPr>
              <w:t>项目位于新疆维吾尔自治区昌吉回族自治州吉木萨尔县庆阳湖乡水溪沟，中心地理坐标为：东经88</w:t>
            </w:r>
            <w:r>
              <w:rPr>
                <w:sz w:val="24"/>
              </w:rPr>
              <w:t>°</w:t>
            </w:r>
            <w:r>
              <w:rPr>
                <w:rFonts w:hint="eastAsia"/>
                <w:sz w:val="24"/>
              </w:rPr>
              <w:t>58</w:t>
            </w:r>
            <w:r>
              <w:rPr>
                <w:sz w:val="24"/>
              </w:rPr>
              <w:t>′</w:t>
            </w:r>
            <w:r>
              <w:rPr>
                <w:rFonts w:hint="eastAsia"/>
                <w:sz w:val="24"/>
              </w:rPr>
              <w:t>22.783</w:t>
            </w:r>
            <w:r>
              <w:rPr>
                <w:sz w:val="24"/>
              </w:rPr>
              <w:t>″，</w:t>
            </w:r>
            <w:r>
              <w:rPr>
                <w:rFonts w:hint="eastAsia"/>
                <w:sz w:val="24"/>
              </w:rPr>
              <w:t>北纬43</w:t>
            </w:r>
            <w:r>
              <w:rPr>
                <w:sz w:val="24"/>
              </w:rPr>
              <w:t>°</w:t>
            </w:r>
            <w:r>
              <w:rPr>
                <w:rFonts w:hint="eastAsia"/>
                <w:sz w:val="24"/>
              </w:rPr>
              <w:t>59</w:t>
            </w:r>
            <w:r>
              <w:rPr>
                <w:sz w:val="24"/>
              </w:rPr>
              <w:t>′</w:t>
            </w:r>
            <w:r>
              <w:rPr>
                <w:rFonts w:hint="eastAsia"/>
                <w:sz w:val="24"/>
              </w:rPr>
              <w:t>14.042</w:t>
            </w:r>
            <w:r>
              <w:rPr>
                <w:sz w:val="24"/>
              </w:rPr>
              <w:t>″</w:t>
            </w:r>
            <w:r>
              <w:rPr>
                <w:rFonts w:hint="eastAsia"/>
                <w:sz w:val="24"/>
              </w:rPr>
              <w:t>。东、南侧为空地，西、北侧为废弃房屋。本项目用地为工业用地</w:t>
            </w:r>
            <w:r>
              <w:rPr>
                <w:rFonts w:hint="eastAsia"/>
                <w:sz w:val="24"/>
                <w:lang w:val="zh-CN"/>
              </w:rPr>
              <w:t>，项目所在区域属于</w:t>
            </w:r>
            <w:r>
              <w:rPr>
                <w:rFonts w:hint="eastAsia"/>
                <w:sz w:val="24"/>
                <w:lang w:val="en-US" w:eastAsia="zh-CN"/>
              </w:rPr>
              <w:t>2</w:t>
            </w:r>
            <w:r>
              <w:rPr>
                <w:rFonts w:hint="eastAsia"/>
                <w:sz w:val="24"/>
                <w:lang w:val="zh-CN"/>
              </w:rPr>
              <w:t>类区域，执行《声环境质量标准》（GB3096-2008）</w:t>
            </w:r>
            <w:r>
              <w:rPr>
                <w:rFonts w:hint="eastAsia"/>
                <w:sz w:val="24"/>
                <w:lang w:val="en-US" w:eastAsia="zh-CN"/>
              </w:rPr>
              <w:t>2</w:t>
            </w:r>
            <w:r>
              <w:rPr>
                <w:rFonts w:hint="eastAsia"/>
                <w:sz w:val="24"/>
                <w:lang w:val="zh-CN"/>
              </w:rPr>
              <w:t>类标准，即昼间≤6</w:t>
            </w:r>
            <w:r>
              <w:rPr>
                <w:rFonts w:hint="eastAsia"/>
                <w:sz w:val="24"/>
                <w:lang w:val="en-US" w:eastAsia="zh-CN"/>
              </w:rPr>
              <w:t>0</w:t>
            </w:r>
            <w:r>
              <w:rPr>
                <w:rFonts w:hint="eastAsia"/>
                <w:sz w:val="24"/>
                <w:lang w:val="zh-CN"/>
              </w:rPr>
              <w:t>dB(A)、夜间≤</w:t>
            </w:r>
            <w:r>
              <w:rPr>
                <w:rFonts w:hint="eastAsia"/>
                <w:sz w:val="24"/>
              </w:rPr>
              <w:t>5</w:t>
            </w:r>
            <w:r>
              <w:rPr>
                <w:rFonts w:hint="eastAsia"/>
                <w:sz w:val="24"/>
                <w:lang w:val="en-US" w:eastAsia="zh-CN"/>
              </w:rPr>
              <w:t>0</w:t>
            </w:r>
            <w:r>
              <w:rPr>
                <w:rFonts w:hint="eastAsia"/>
                <w:sz w:val="24"/>
                <w:lang w:val="zh-CN"/>
              </w:rPr>
              <w:t>dB(A)。</w:t>
            </w:r>
          </w:p>
          <w:p>
            <w:pPr>
              <w:autoSpaceDE w:val="0"/>
              <w:autoSpaceDN w:val="0"/>
              <w:adjustRightInd w:val="0"/>
              <w:spacing w:line="520" w:lineRule="exact"/>
              <w:ind w:firstLine="480" w:firstLineChars="200"/>
              <w:rPr>
                <w:rFonts w:hAnsi="宋体" w:cs="宋体"/>
                <w:kern w:val="0"/>
              </w:rPr>
            </w:pPr>
            <w:r>
              <w:rPr>
                <w:rFonts w:hint="eastAsia"/>
                <w:sz w:val="24"/>
                <w:lang w:val="zh-CN"/>
              </w:rPr>
              <w:t>本项目为</w:t>
            </w:r>
            <w:r>
              <w:rPr>
                <w:rFonts w:hint="eastAsia"/>
                <w:sz w:val="24"/>
                <w:lang w:val="en-US" w:eastAsia="zh-CN"/>
              </w:rPr>
              <w:t>迁建</w:t>
            </w:r>
            <w:r>
              <w:rPr>
                <w:rFonts w:hint="eastAsia"/>
                <w:sz w:val="24"/>
                <w:lang w:val="zh-CN"/>
              </w:rPr>
              <w:t>项目，由于项目</w:t>
            </w:r>
            <w:r>
              <w:rPr>
                <w:sz w:val="24"/>
                <w:lang w:val="zh-CN"/>
              </w:rPr>
              <w:t>厂界外50m</w:t>
            </w:r>
            <w:r>
              <w:rPr>
                <w:rFonts w:hint="eastAsia"/>
                <w:sz w:val="24"/>
                <w:lang w:val="zh-CN"/>
              </w:rPr>
              <w:t>范围内不存在声环境保护目标，本次评价不对项目区进行现状监测</w:t>
            </w:r>
            <w:r>
              <w:rPr>
                <w:sz w:val="24"/>
                <w:lang w:val="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00" w:type="dxa"/>
            <w:vAlign w:val="center"/>
          </w:tcPr>
          <w:p>
            <w:pPr>
              <w:adjustRightInd w:val="0"/>
              <w:snapToGrid w:val="0"/>
              <w:jc w:val="center"/>
              <w:rPr>
                <w:rFonts w:ascii="宋体" w:hAnsi="宋体" w:cs="宋体"/>
                <w:kern w:val="0"/>
                <w:sz w:val="24"/>
              </w:rPr>
            </w:pPr>
            <w:r>
              <w:rPr>
                <w:rFonts w:hint="eastAsia" w:ascii="宋体" w:hAnsi="宋体" w:cs="宋体"/>
                <w:kern w:val="0"/>
                <w:sz w:val="24"/>
              </w:rPr>
              <w:t>环</w:t>
            </w:r>
          </w:p>
          <w:p>
            <w:pPr>
              <w:adjustRightInd w:val="0"/>
              <w:snapToGrid w:val="0"/>
              <w:jc w:val="center"/>
              <w:rPr>
                <w:rFonts w:ascii="宋体" w:hAnsi="宋体" w:cs="宋体"/>
                <w:kern w:val="0"/>
                <w:sz w:val="24"/>
              </w:rPr>
            </w:pPr>
            <w:r>
              <w:rPr>
                <w:rFonts w:hint="eastAsia" w:ascii="宋体" w:hAnsi="宋体" w:cs="宋体"/>
                <w:kern w:val="0"/>
                <w:sz w:val="24"/>
              </w:rPr>
              <w:t>境</w:t>
            </w:r>
          </w:p>
          <w:p>
            <w:pPr>
              <w:adjustRightInd w:val="0"/>
              <w:snapToGrid w:val="0"/>
              <w:jc w:val="center"/>
              <w:rPr>
                <w:rFonts w:ascii="宋体" w:hAnsi="宋体" w:cs="宋体"/>
                <w:kern w:val="0"/>
                <w:sz w:val="24"/>
              </w:rPr>
            </w:pPr>
            <w:r>
              <w:rPr>
                <w:rFonts w:hint="eastAsia" w:ascii="宋体" w:hAnsi="宋体" w:cs="宋体"/>
                <w:kern w:val="0"/>
                <w:sz w:val="24"/>
              </w:rPr>
              <w:t>保</w:t>
            </w:r>
          </w:p>
          <w:p>
            <w:pPr>
              <w:adjustRightInd w:val="0"/>
              <w:snapToGrid w:val="0"/>
              <w:jc w:val="center"/>
              <w:rPr>
                <w:rFonts w:ascii="宋体" w:hAnsi="宋体" w:cs="宋体"/>
                <w:kern w:val="0"/>
                <w:sz w:val="24"/>
              </w:rPr>
            </w:pPr>
            <w:r>
              <w:rPr>
                <w:rFonts w:hint="eastAsia" w:ascii="宋体" w:hAnsi="宋体" w:cs="宋体"/>
                <w:kern w:val="0"/>
                <w:sz w:val="24"/>
              </w:rPr>
              <w:t>护</w:t>
            </w:r>
          </w:p>
          <w:p>
            <w:pPr>
              <w:adjustRightInd w:val="0"/>
              <w:snapToGrid w:val="0"/>
              <w:jc w:val="center"/>
              <w:rPr>
                <w:rFonts w:ascii="宋体" w:hAnsi="宋体" w:cs="宋体"/>
                <w:kern w:val="0"/>
                <w:sz w:val="24"/>
              </w:rPr>
            </w:pPr>
            <w:r>
              <w:rPr>
                <w:rFonts w:hint="eastAsia" w:ascii="宋体" w:hAnsi="宋体" w:cs="宋体"/>
                <w:kern w:val="0"/>
                <w:sz w:val="24"/>
              </w:rPr>
              <w:t>目</w:t>
            </w:r>
          </w:p>
          <w:p>
            <w:pPr>
              <w:adjustRightInd w:val="0"/>
              <w:snapToGrid w:val="0"/>
              <w:jc w:val="center"/>
              <w:rPr>
                <w:rFonts w:ascii="宋体" w:hAnsi="宋体" w:cs="宋体"/>
                <w:kern w:val="0"/>
                <w:sz w:val="24"/>
              </w:rPr>
            </w:pPr>
            <w:r>
              <w:rPr>
                <w:rFonts w:hint="eastAsia" w:ascii="宋体" w:hAnsi="宋体" w:cs="宋体"/>
                <w:kern w:val="0"/>
                <w:sz w:val="24"/>
              </w:rPr>
              <w:t>标</w:t>
            </w:r>
          </w:p>
        </w:tc>
        <w:tc>
          <w:tcPr>
            <w:tcW w:w="8190" w:type="dxa"/>
            <w:vAlign w:val="center"/>
          </w:tcPr>
          <w:p>
            <w:pPr>
              <w:spacing w:line="480" w:lineRule="exact"/>
              <w:ind w:firstLine="482" w:firstLineChars="200"/>
              <w:rPr>
                <w:b/>
                <w:bCs/>
                <w:sz w:val="24"/>
              </w:rPr>
            </w:pPr>
            <w:r>
              <w:rPr>
                <w:rFonts w:hint="eastAsia"/>
                <w:b/>
                <w:bCs/>
                <w:sz w:val="24"/>
              </w:rPr>
              <w:t>1、</w:t>
            </w:r>
            <w:r>
              <w:rPr>
                <w:b/>
                <w:bCs/>
                <w:sz w:val="24"/>
              </w:rPr>
              <w:t>大气环境</w:t>
            </w:r>
          </w:p>
          <w:p>
            <w:pPr>
              <w:spacing w:line="480" w:lineRule="exact"/>
              <w:ind w:firstLine="480" w:firstLineChars="200"/>
              <w:rPr>
                <w:sz w:val="24"/>
              </w:rPr>
            </w:pPr>
            <w:r>
              <w:rPr>
                <w:rFonts w:hint="eastAsia"/>
                <w:sz w:val="24"/>
              </w:rPr>
              <w:t>本项目厂界外500m范围内无自然保护区、风景名胜区、居住区、文化区和农村地区中人群较集中的区域等保护目标。</w:t>
            </w:r>
          </w:p>
          <w:p>
            <w:pPr>
              <w:spacing w:line="480" w:lineRule="exact"/>
              <w:ind w:firstLine="482" w:firstLineChars="200"/>
              <w:rPr>
                <w:b/>
                <w:bCs/>
                <w:sz w:val="24"/>
              </w:rPr>
            </w:pPr>
            <w:r>
              <w:rPr>
                <w:rFonts w:hint="eastAsia"/>
                <w:b/>
                <w:bCs/>
                <w:sz w:val="24"/>
              </w:rPr>
              <w:t>2、</w:t>
            </w:r>
            <w:r>
              <w:rPr>
                <w:b/>
                <w:bCs/>
                <w:sz w:val="24"/>
              </w:rPr>
              <w:t>声环境</w:t>
            </w:r>
          </w:p>
          <w:p>
            <w:pPr>
              <w:spacing w:line="480" w:lineRule="exact"/>
              <w:ind w:firstLine="480" w:firstLineChars="200"/>
              <w:rPr>
                <w:sz w:val="24"/>
              </w:rPr>
            </w:pPr>
            <w:r>
              <w:rPr>
                <w:rFonts w:hint="eastAsia"/>
                <w:sz w:val="24"/>
              </w:rPr>
              <w:t>本项目厂界外50m范围内无声环境保护目标。</w:t>
            </w:r>
          </w:p>
          <w:p>
            <w:pPr>
              <w:spacing w:line="480" w:lineRule="exact"/>
              <w:ind w:firstLine="482" w:firstLineChars="200"/>
              <w:rPr>
                <w:b/>
                <w:bCs/>
                <w:sz w:val="24"/>
              </w:rPr>
            </w:pPr>
            <w:r>
              <w:rPr>
                <w:rFonts w:hint="eastAsia"/>
                <w:b/>
                <w:bCs/>
                <w:sz w:val="24"/>
              </w:rPr>
              <w:t>3、</w:t>
            </w:r>
            <w:r>
              <w:rPr>
                <w:b/>
                <w:bCs/>
                <w:sz w:val="24"/>
              </w:rPr>
              <w:t>地下水环境</w:t>
            </w:r>
          </w:p>
          <w:p>
            <w:pPr>
              <w:spacing w:line="480" w:lineRule="exact"/>
              <w:ind w:firstLine="480" w:firstLineChars="200"/>
              <w:rPr>
                <w:rFonts w:ascii="宋体" w:hAnsi="宋体"/>
                <w:kern w:val="0"/>
              </w:rPr>
            </w:pPr>
            <w:r>
              <w:rPr>
                <w:rFonts w:hint="eastAsia"/>
                <w:sz w:val="24"/>
              </w:rPr>
              <w:t>本项目厂界外500m范围内无地下水集中式饮用水水源和热水、矿泉水、温泉等特殊地下水资源。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tcMar>
              <w:left w:w="28" w:type="dxa"/>
              <w:right w:w="28" w:type="dxa"/>
            </w:tcMar>
            <w:vAlign w:val="center"/>
          </w:tcPr>
          <w:p>
            <w:pPr>
              <w:adjustRightInd w:val="0"/>
              <w:snapToGrid w:val="0"/>
              <w:jc w:val="center"/>
              <w:rPr>
                <w:rFonts w:ascii="宋体" w:hAnsi="宋体" w:cs="宋体"/>
                <w:kern w:val="0"/>
                <w:sz w:val="24"/>
              </w:rPr>
            </w:pPr>
            <w:r>
              <w:rPr>
                <w:rFonts w:hint="eastAsia" w:ascii="宋体" w:hAnsi="宋体" w:cs="宋体"/>
                <w:kern w:val="0"/>
                <w:sz w:val="24"/>
              </w:rPr>
              <w:t>污</w:t>
            </w:r>
          </w:p>
          <w:p>
            <w:pPr>
              <w:adjustRightInd w:val="0"/>
              <w:snapToGrid w:val="0"/>
              <w:jc w:val="center"/>
              <w:rPr>
                <w:rFonts w:ascii="宋体" w:hAnsi="宋体" w:cs="宋体"/>
                <w:kern w:val="0"/>
                <w:sz w:val="24"/>
              </w:rPr>
            </w:pPr>
            <w:r>
              <w:rPr>
                <w:rFonts w:hint="eastAsia" w:ascii="宋体" w:hAnsi="宋体" w:cs="宋体"/>
                <w:kern w:val="0"/>
                <w:sz w:val="24"/>
              </w:rPr>
              <w:t>染</w:t>
            </w:r>
          </w:p>
          <w:p>
            <w:pPr>
              <w:adjustRightInd w:val="0"/>
              <w:snapToGrid w:val="0"/>
              <w:jc w:val="center"/>
              <w:rPr>
                <w:rFonts w:ascii="宋体" w:hAnsi="宋体" w:cs="宋体"/>
                <w:kern w:val="0"/>
                <w:sz w:val="24"/>
              </w:rPr>
            </w:pPr>
            <w:r>
              <w:rPr>
                <w:rFonts w:hint="eastAsia" w:ascii="宋体" w:hAnsi="宋体" w:cs="宋体"/>
                <w:kern w:val="0"/>
                <w:sz w:val="24"/>
              </w:rPr>
              <w:t>物</w:t>
            </w:r>
          </w:p>
          <w:p>
            <w:pPr>
              <w:adjustRightInd w:val="0"/>
              <w:snapToGrid w:val="0"/>
              <w:jc w:val="center"/>
              <w:rPr>
                <w:rFonts w:ascii="宋体" w:hAnsi="宋体" w:cs="宋体"/>
                <w:kern w:val="0"/>
                <w:sz w:val="24"/>
              </w:rPr>
            </w:pPr>
            <w:r>
              <w:rPr>
                <w:rFonts w:hint="eastAsia" w:ascii="宋体" w:hAnsi="宋体" w:cs="宋体"/>
                <w:kern w:val="0"/>
                <w:sz w:val="24"/>
              </w:rPr>
              <w:t>排</w:t>
            </w:r>
          </w:p>
          <w:p>
            <w:pPr>
              <w:adjustRightInd w:val="0"/>
              <w:snapToGrid w:val="0"/>
              <w:jc w:val="center"/>
              <w:rPr>
                <w:rFonts w:ascii="宋体" w:hAnsi="宋体" w:cs="宋体"/>
                <w:kern w:val="0"/>
                <w:sz w:val="24"/>
              </w:rPr>
            </w:pPr>
            <w:r>
              <w:rPr>
                <w:rFonts w:hint="eastAsia" w:ascii="宋体" w:hAnsi="宋体" w:cs="宋体"/>
                <w:kern w:val="0"/>
                <w:sz w:val="24"/>
              </w:rPr>
              <w:t>放</w:t>
            </w:r>
          </w:p>
          <w:p>
            <w:pPr>
              <w:adjustRightInd w:val="0"/>
              <w:snapToGrid w:val="0"/>
              <w:jc w:val="center"/>
              <w:rPr>
                <w:rFonts w:ascii="宋体" w:hAnsi="宋体" w:cs="宋体"/>
                <w:kern w:val="0"/>
                <w:sz w:val="24"/>
              </w:rPr>
            </w:pPr>
            <w:r>
              <w:rPr>
                <w:rFonts w:hint="eastAsia" w:ascii="宋体" w:hAnsi="宋体" w:cs="宋体"/>
                <w:kern w:val="0"/>
                <w:sz w:val="24"/>
              </w:rPr>
              <w:t>控</w:t>
            </w:r>
          </w:p>
          <w:p>
            <w:pPr>
              <w:adjustRightInd w:val="0"/>
              <w:snapToGrid w:val="0"/>
              <w:jc w:val="center"/>
              <w:rPr>
                <w:rFonts w:ascii="宋体" w:hAnsi="宋体" w:cs="宋体"/>
                <w:kern w:val="0"/>
                <w:sz w:val="24"/>
              </w:rPr>
            </w:pPr>
            <w:r>
              <w:rPr>
                <w:rFonts w:hint="eastAsia" w:ascii="宋体" w:hAnsi="宋体" w:cs="宋体"/>
                <w:kern w:val="0"/>
                <w:sz w:val="24"/>
              </w:rPr>
              <w:t>制</w:t>
            </w:r>
          </w:p>
          <w:p>
            <w:pPr>
              <w:adjustRightInd w:val="0"/>
              <w:snapToGrid w:val="0"/>
              <w:jc w:val="center"/>
              <w:rPr>
                <w:rFonts w:ascii="宋体" w:hAnsi="宋体" w:cs="宋体"/>
                <w:kern w:val="0"/>
                <w:sz w:val="24"/>
              </w:rPr>
            </w:pPr>
            <w:r>
              <w:rPr>
                <w:rFonts w:hint="eastAsia" w:ascii="宋体" w:hAnsi="宋体" w:cs="宋体"/>
                <w:kern w:val="0"/>
                <w:sz w:val="24"/>
              </w:rPr>
              <w:t>标</w:t>
            </w:r>
          </w:p>
          <w:p>
            <w:pPr>
              <w:adjustRightInd w:val="0"/>
              <w:snapToGrid w:val="0"/>
              <w:jc w:val="center"/>
              <w:rPr>
                <w:rFonts w:ascii="宋体" w:hAnsi="宋体" w:cs="宋体"/>
                <w:kern w:val="0"/>
                <w:sz w:val="24"/>
              </w:rPr>
            </w:pPr>
            <w:r>
              <w:rPr>
                <w:rFonts w:hint="eastAsia" w:ascii="宋体" w:hAnsi="宋体" w:cs="宋体"/>
                <w:kern w:val="0"/>
                <w:sz w:val="24"/>
              </w:rPr>
              <w:t>准</w:t>
            </w:r>
          </w:p>
        </w:tc>
        <w:tc>
          <w:tcPr>
            <w:tcW w:w="8190" w:type="dxa"/>
            <w:vAlign w:val="center"/>
          </w:tcPr>
          <w:p>
            <w:pPr>
              <w:pStyle w:val="63"/>
              <w:numPr>
                <w:ilvl w:val="0"/>
                <w:numId w:val="12"/>
              </w:numPr>
              <w:rPr>
                <w:rFonts w:hAnsi="宋体"/>
              </w:rPr>
            </w:pPr>
            <w:r>
              <w:rPr>
                <w:rFonts w:hint="eastAsia"/>
                <w:szCs w:val="22"/>
              </w:rPr>
              <w:t>大气污染物：本项目施工期厂界颗粒物</w:t>
            </w:r>
            <w:r>
              <w:rPr>
                <w:rFonts w:hint="eastAsia" w:hAnsi="宋体"/>
              </w:rPr>
              <w:t>执行《大气污染物综合排放标准》（GB16297-1996）</w:t>
            </w:r>
            <w:r>
              <w:rPr>
                <w:rFonts w:hint="eastAsia"/>
                <w:szCs w:val="22"/>
              </w:rPr>
              <w:t>表2颗粒物无组织排放限值（1mg/m</w:t>
            </w:r>
            <w:r>
              <w:rPr>
                <w:rFonts w:hint="eastAsia"/>
                <w:szCs w:val="22"/>
                <w:vertAlign w:val="superscript"/>
              </w:rPr>
              <w:t>3</w:t>
            </w:r>
            <w:r>
              <w:rPr>
                <w:rFonts w:hint="eastAsia"/>
                <w:szCs w:val="22"/>
              </w:rPr>
              <w:t>）。</w:t>
            </w:r>
          </w:p>
          <w:p>
            <w:pPr>
              <w:pStyle w:val="63"/>
              <w:adjustRightInd/>
              <w:rPr>
                <w:rFonts w:hAnsi="宋体"/>
              </w:rPr>
            </w:pPr>
            <w:r>
              <w:rPr>
                <w:rFonts w:hint="eastAsia"/>
                <w:szCs w:val="22"/>
              </w:rPr>
              <w:t>运营期</w:t>
            </w:r>
            <w:r>
              <w:rPr>
                <w:rFonts w:hint="eastAsia" w:hAnsi="宋体"/>
              </w:rPr>
              <w:t>厂界颗粒物执行《大气污染物综合排放标准》（GB16297-1996）</w:t>
            </w:r>
            <w:r>
              <w:rPr>
                <w:rFonts w:hint="eastAsia"/>
                <w:szCs w:val="22"/>
              </w:rPr>
              <w:t>表2颗粒物无组织排放限值（1mg/m</w:t>
            </w:r>
            <w:r>
              <w:rPr>
                <w:rFonts w:hint="eastAsia"/>
                <w:szCs w:val="22"/>
                <w:vertAlign w:val="superscript"/>
              </w:rPr>
              <w:t>3</w:t>
            </w:r>
            <w:r>
              <w:rPr>
                <w:rFonts w:hint="eastAsia"/>
                <w:szCs w:val="22"/>
              </w:rPr>
              <w:t>）</w:t>
            </w:r>
            <w:r>
              <w:rPr>
                <w:rFonts w:hint="eastAsia" w:hAnsi="宋体"/>
              </w:rPr>
              <w:t>。</w:t>
            </w:r>
          </w:p>
          <w:p>
            <w:pPr>
              <w:pStyle w:val="63"/>
              <w:rPr>
                <w:szCs w:val="22"/>
              </w:rPr>
            </w:pPr>
            <w:r>
              <w:rPr>
                <w:rFonts w:hint="eastAsia" w:hAnsi="宋体"/>
              </w:rPr>
              <w:t>厂界VOCs执行《大气污染物综合排放标准》（GB16297-1996）</w:t>
            </w:r>
            <w:r>
              <w:rPr>
                <w:rFonts w:hint="eastAsia"/>
                <w:szCs w:val="22"/>
              </w:rPr>
              <w:t>表2非甲烷总烃无组织排放限值（4mg/m</w:t>
            </w:r>
            <w:r>
              <w:rPr>
                <w:rFonts w:hint="eastAsia"/>
                <w:szCs w:val="22"/>
                <w:vertAlign w:val="superscript"/>
              </w:rPr>
              <w:t>3</w:t>
            </w:r>
            <w:r>
              <w:rPr>
                <w:rFonts w:hint="eastAsia"/>
                <w:szCs w:val="22"/>
              </w:rPr>
              <w:t>）；</w:t>
            </w:r>
            <w:r>
              <w:t>厂区内执行《挥发性有机物无组织排放控制标准》（GB37822—2019）表A.1中排放限值监控点处1h平均浓度</w:t>
            </w:r>
            <w:r>
              <w:rPr>
                <w:rFonts w:hint="eastAsia"/>
                <w:lang w:val="en-US" w:eastAsia="zh-CN"/>
              </w:rPr>
              <w:t>10</w:t>
            </w:r>
            <w:r>
              <w:t>mg/m³及监控点处任意一次浓度值</w:t>
            </w:r>
            <w:r>
              <w:rPr>
                <w:rFonts w:hint="eastAsia"/>
                <w:lang w:val="en-US" w:eastAsia="zh-CN"/>
              </w:rPr>
              <w:t>3</w:t>
            </w:r>
            <w:r>
              <w:t>0mg/m³要求</w:t>
            </w:r>
            <w:r>
              <w:rPr>
                <w:rFonts w:hint="eastAsia" w:hAnsi="宋体"/>
              </w:rPr>
              <w:t>。</w:t>
            </w:r>
          </w:p>
          <w:p>
            <w:pPr>
              <w:pStyle w:val="79"/>
              <w:ind w:firstLine="480" w:firstLineChars="200"/>
              <w:jc w:val="both"/>
              <w:rPr>
                <w:rFonts w:ascii="Times New Roman" w:hAnsi="Times New Roman" w:eastAsia="宋体" w:cs="Times New Roman"/>
              </w:rPr>
            </w:pPr>
            <w:r>
              <w:rPr>
                <w:rFonts w:ascii="Times New Roman" w:hAnsi="Times New Roman" w:eastAsia="宋体" w:cs="Times New Roman"/>
                <w:szCs w:val="22"/>
              </w:rPr>
              <w:t>油烟执行《饮食业油烟排放标准</w:t>
            </w:r>
            <w:r>
              <w:rPr>
                <w:rStyle w:val="35"/>
                <w:rFonts w:ascii="Times New Roman" w:hAnsi="Times New Roman" w:eastAsia="宋体" w:cs="Times New Roman"/>
                <w:sz w:val="24"/>
                <w:szCs w:val="22"/>
              </w:rPr>
              <w:t>（试行）</w:t>
            </w:r>
            <w:r>
              <w:rPr>
                <w:rFonts w:ascii="Times New Roman" w:hAnsi="Times New Roman" w:eastAsia="宋体" w:cs="Times New Roman"/>
                <w:szCs w:val="22"/>
              </w:rPr>
              <w:t>》（GB18483—2001）中2.0mg/m</w:t>
            </w:r>
            <w:r>
              <w:rPr>
                <w:rFonts w:ascii="Times New Roman" w:hAnsi="Times New Roman" w:eastAsia="宋体" w:cs="Times New Roman"/>
                <w:szCs w:val="22"/>
                <w:vertAlign w:val="superscript"/>
              </w:rPr>
              <w:t>3</w:t>
            </w:r>
            <w:r>
              <w:rPr>
                <w:rFonts w:ascii="Times New Roman" w:hAnsi="Times New Roman" w:eastAsia="宋体" w:cs="Times New Roman"/>
                <w:szCs w:val="22"/>
              </w:rPr>
              <w:t>的标准限值要求</w:t>
            </w:r>
            <w:r>
              <w:rPr>
                <w:rFonts w:ascii="Times New Roman" w:hAnsi="Times New Roman" w:eastAsia="宋体" w:cs="Times New Roman"/>
                <w:sz w:val="28"/>
              </w:rPr>
              <w:t>。</w:t>
            </w:r>
          </w:p>
          <w:p>
            <w:pPr>
              <w:pStyle w:val="36"/>
              <w:spacing w:before="0" w:beforeLines="0"/>
              <w:rPr>
                <w:sz w:val="24"/>
              </w:rPr>
            </w:pPr>
            <w:r>
              <w:rPr>
                <w:sz w:val="24"/>
              </w:rPr>
              <w:t>表3-</w:t>
            </w:r>
            <w:r>
              <w:rPr>
                <w:rFonts w:hint="eastAsia"/>
                <w:sz w:val="24"/>
              </w:rPr>
              <w:t>4</w:t>
            </w:r>
            <w:r>
              <w:rPr>
                <w:sz w:val="24"/>
              </w:rPr>
              <w:t xml:space="preserve">  </w:t>
            </w:r>
            <w:r>
              <w:rPr>
                <w:rFonts w:hint="eastAsia"/>
                <w:sz w:val="24"/>
              </w:rPr>
              <w:t>大气污染物排放限值  单位：</w:t>
            </w:r>
            <w:r>
              <w:rPr>
                <w:sz w:val="24"/>
              </w:rPr>
              <w:t>mg/m</w:t>
            </w:r>
            <w:r>
              <w:rPr>
                <w:sz w:val="24"/>
                <w:vertAlign w:val="superscript"/>
              </w:rPr>
              <w:t>3</w:t>
            </w:r>
          </w:p>
          <w:tbl>
            <w:tblPr>
              <w:tblStyle w:val="30"/>
              <w:tblW w:w="491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28"/>
              <w:gridCol w:w="1636"/>
              <w:gridCol w:w="2851"/>
              <w:gridCol w:w="262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4" w:type="pct"/>
                  <w:tcBorders>
                    <w:tl2br w:val="nil"/>
                    <w:tr2bl w:val="nil"/>
                  </w:tcBorders>
                  <w:vAlign w:val="center"/>
                </w:tcPr>
                <w:p>
                  <w:pPr>
                    <w:pStyle w:val="39"/>
                    <w:ind w:firstLine="0" w:firstLineChars="0"/>
                    <w:jc w:val="center"/>
                    <w:rPr>
                      <w:szCs w:val="21"/>
                    </w:rPr>
                  </w:pPr>
                  <w:r>
                    <w:rPr>
                      <w:szCs w:val="21"/>
                    </w:rPr>
                    <w:t>序号</w:t>
                  </w:r>
                </w:p>
              </w:tc>
              <w:tc>
                <w:tcPr>
                  <w:tcW w:w="1043" w:type="pct"/>
                  <w:tcBorders>
                    <w:tl2br w:val="nil"/>
                    <w:tr2bl w:val="nil"/>
                  </w:tcBorders>
                  <w:vAlign w:val="center"/>
                </w:tcPr>
                <w:p>
                  <w:pPr>
                    <w:pStyle w:val="39"/>
                    <w:ind w:firstLine="0" w:firstLineChars="0"/>
                    <w:jc w:val="center"/>
                    <w:rPr>
                      <w:szCs w:val="21"/>
                    </w:rPr>
                  </w:pPr>
                  <w:r>
                    <w:rPr>
                      <w:szCs w:val="21"/>
                    </w:rPr>
                    <w:t>项目</w:t>
                  </w:r>
                </w:p>
              </w:tc>
              <w:tc>
                <w:tcPr>
                  <w:tcW w:w="1817" w:type="pct"/>
                  <w:tcBorders>
                    <w:tl2br w:val="nil"/>
                    <w:tr2bl w:val="nil"/>
                  </w:tcBorders>
                  <w:vAlign w:val="center"/>
                </w:tcPr>
                <w:p>
                  <w:pPr>
                    <w:pStyle w:val="39"/>
                    <w:ind w:firstLine="0" w:firstLineChars="0"/>
                    <w:jc w:val="center"/>
                    <w:rPr>
                      <w:szCs w:val="21"/>
                    </w:rPr>
                  </w:pPr>
                  <w:r>
                    <w:rPr>
                      <w:szCs w:val="21"/>
                    </w:rPr>
                    <w:t>标准值</w:t>
                  </w:r>
                </w:p>
              </w:tc>
              <w:tc>
                <w:tcPr>
                  <w:tcW w:w="1674" w:type="pct"/>
                  <w:tcBorders>
                    <w:tl2br w:val="nil"/>
                    <w:tr2bl w:val="nil"/>
                  </w:tcBorders>
                  <w:vAlign w:val="center"/>
                </w:tcPr>
                <w:p>
                  <w:pPr>
                    <w:pStyle w:val="39"/>
                    <w:ind w:firstLine="0" w:firstLineChars="0"/>
                    <w:jc w:val="center"/>
                    <w:rPr>
                      <w:szCs w:val="21"/>
                    </w:rPr>
                  </w:pPr>
                  <w:r>
                    <w:rPr>
                      <w:szCs w:val="21"/>
                    </w:rPr>
                    <w:t>执行标准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4" w:hRule="atLeast"/>
              </w:trPr>
              <w:tc>
                <w:tcPr>
                  <w:tcW w:w="464" w:type="pct"/>
                  <w:tcBorders>
                    <w:tl2br w:val="nil"/>
                    <w:tr2bl w:val="nil"/>
                  </w:tcBorders>
                  <w:vAlign w:val="center"/>
                </w:tcPr>
                <w:p>
                  <w:pPr>
                    <w:pStyle w:val="39"/>
                    <w:ind w:firstLine="0" w:firstLineChars="0"/>
                    <w:jc w:val="center"/>
                    <w:rPr>
                      <w:szCs w:val="21"/>
                    </w:rPr>
                  </w:pPr>
                  <w:r>
                    <w:rPr>
                      <w:rFonts w:hint="eastAsia"/>
                      <w:szCs w:val="21"/>
                    </w:rPr>
                    <w:t>1</w:t>
                  </w:r>
                </w:p>
              </w:tc>
              <w:tc>
                <w:tcPr>
                  <w:tcW w:w="1043" w:type="pct"/>
                  <w:tcBorders>
                    <w:tl2br w:val="nil"/>
                    <w:tr2bl w:val="nil"/>
                  </w:tcBorders>
                  <w:vAlign w:val="center"/>
                </w:tcPr>
                <w:p>
                  <w:pPr>
                    <w:pStyle w:val="39"/>
                    <w:ind w:firstLine="0" w:firstLineChars="0"/>
                    <w:jc w:val="center"/>
                    <w:rPr>
                      <w:szCs w:val="21"/>
                    </w:rPr>
                  </w:pPr>
                  <w:r>
                    <w:rPr>
                      <w:rFonts w:hint="eastAsia"/>
                      <w:szCs w:val="21"/>
                    </w:rPr>
                    <w:t>施工厂界无组织颗粒物</w:t>
                  </w:r>
                </w:p>
              </w:tc>
              <w:tc>
                <w:tcPr>
                  <w:tcW w:w="1817" w:type="pct"/>
                  <w:tcBorders>
                    <w:tl2br w:val="nil"/>
                    <w:tr2bl w:val="nil"/>
                  </w:tcBorders>
                  <w:vAlign w:val="center"/>
                </w:tcPr>
                <w:p>
                  <w:pPr>
                    <w:pStyle w:val="39"/>
                    <w:ind w:firstLine="0" w:firstLineChars="0"/>
                    <w:jc w:val="center"/>
                    <w:rPr>
                      <w:szCs w:val="21"/>
                    </w:rPr>
                  </w:pPr>
                  <w:r>
                    <w:rPr>
                      <w:szCs w:val="21"/>
                    </w:rPr>
                    <w:t>1</w:t>
                  </w:r>
                </w:p>
              </w:tc>
              <w:tc>
                <w:tcPr>
                  <w:tcW w:w="1674" w:type="pct"/>
                  <w:tcBorders>
                    <w:tl2br w:val="nil"/>
                    <w:tr2bl w:val="nil"/>
                  </w:tcBorders>
                  <w:vAlign w:val="center"/>
                </w:tcPr>
                <w:p>
                  <w:pPr>
                    <w:pStyle w:val="39"/>
                    <w:ind w:firstLine="0" w:firstLineChars="0"/>
                    <w:jc w:val="center"/>
                    <w:rPr>
                      <w:szCs w:val="21"/>
                    </w:rPr>
                  </w:pPr>
                  <w:r>
                    <w:rPr>
                      <w:szCs w:val="21"/>
                    </w:rPr>
                    <w:t>《大气污染物综合排放标准》（GB16297-1996）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464" w:type="pct"/>
                  <w:tcBorders>
                    <w:tl2br w:val="nil"/>
                    <w:tr2bl w:val="nil"/>
                  </w:tcBorders>
                  <w:vAlign w:val="center"/>
                </w:tcPr>
                <w:p>
                  <w:pPr>
                    <w:pStyle w:val="39"/>
                    <w:ind w:firstLine="0" w:firstLineChars="0"/>
                    <w:jc w:val="center"/>
                    <w:rPr>
                      <w:szCs w:val="21"/>
                    </w:rPr>
                  </w:pPr>
                  <w:r>
                    <w:rPr>
                      <w:rFonts w:hint="eastAsia"/>
                      <w:szCs w:val="21"/>
                    </w:rPr>
                    <w:t>2</w:t>
                  </w:r>
                </w:p>
              </w:tc>
              <w:tc>
                <w:tcPr>
                  <w:tcW w:w="1043" w:type="pct"/>
                  <w:tcBorders>
                    <w:tl2br w:val="nil"/>
                    <w:tr2bl w:val="nil"/>
                  </w:tcBorders>
                  <w:vAlign w:val="center"/>
                </w:tcPr>
                <w:p>
                  <w:pPr>
                    <w:pStyle w:val="39"/>
                    <w:ind w:firstLine="0" w:firstLineChars="0"/>
                    <w:jc w:val="center"/>
                    <w:rPr>
                      <w:szCs w:val="21"/>
                    </w:rPr>
                  </w:pPr>
                  <w:r>
                    <w:rPr>
                      <w:rFonts w:hint="eastAsia"/>
                      <w:szCs w:val="21"/>
                    </w:rPr>
                    <w:t>运营期</w:t>
                  </w:r>
                  <w:r>
                    <w:rPr>
                      <w:szCs w:val="21"/>
                    </w:rPr>
                    <w:t>厂界无组织颗粒物</w:t>
                  </w:r>
                </w:p>
              </w:tc>
              <w:tc>
                <w:tcPr>
                  <w:tcW w:w="1817" w:type="pct"/>
                  <w:tcBorders>
                    <w:tl2br w:val="nil"/>
                    <w:tr2bl w:val="nil"/>
                  </w:tcBorders>
                  <w:vAlign w:val="center"/>
                </w:tcPr>
                <w:p>
                  <w:pPr>
                    <w:pStyle w:val="39"/>
                    <w:ind w:firstLine="0" w:firstLineChars="0"/>
                    <w:jc w:val="center"/>
                    <w:rPr>
                      <w:szCs w:val="21"/>
                    </w:rPr>
                  </w:pPr>
                  <w:r>
                    <w:rPr>
                      <w:szCs w:val="21"/>
                    </w:rPr>
                    <w:t>1</w:t>
                  </w:r>
                </w:p>
              </w:tc>
              <w:tc>
                <w:tcPr>
                  <w:tcW w:w="1674" w:type="pct"/>
                  <w:tcBorders>
                    <w:tl2br w:val="nil"/>
                    <w:tr2bl w:val="nil"/>
                  </w:tcBorders>
                  <w:vAlign w:val="center"/>
                </w:tcPr>
                <w:p>
                  <w:pPr>
                    <w:pStyle w:val="39"/>
                    <w:ind w:firstLine="0" w:firstLineChars="0"/>
                    <w:jc w:val="center"/>
                    <w:rPr>
                      <w:szCs w:val="21"/>
                    </w:rPr>
                  </w:pPr>
                  <w:r>
                    <w:rPr>
                      <w:szCs w:val="21"/>
                    </w:rPr>
                    <w:t>《大气污染物综合排放标准》（GB16297-1996）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4" w:type="pct"/>
                  <w:tcBorders>
                    <w:tl2br w:val="nil"/>
                    <w:tr2bl w:val="nil"/>
                  </w:tcBorders>
                  <w:vAlign w:val="center"/>
                </w:tcPr>
                <w:p>
                  <w:pPr>
                    <w:pStyle w:val="39"/>
                    <w:ind w:firstLine="0" w:firstLineChars="0"/>
                    <w:jc w:val="center"/>
                    <w:rPr>
                      <w:szCs w:val="21"/>
                    </w:rPr>
                  </w:pPr>
                  <w:r>
                    <w:rPr>
                      <w:rFonts w:hint="eastAsia"/>
                      <w:szCs w:val="21"/>
                    </w:rPr>
                    <w:t>3</w:t>
                  </w:r>
                </w:p>
              </w:tc>
              <w:tc>
                <w:tcPr>
                  <w:tcW w:w="1043" w:type="pct"/>
                  <w:tcBorders>
                    <w:tl2br w:val="nil"/>
                    <w:tr2bl w:val="nil"/>
                  </w:tcBorders>
                  <w:vAlign w:val="center"/>
                </w:tcPr>
                <w:p>
                  <w:pPr>
                    <w:pStyle w:val="39"/>
                    <w:ind w:firstLine="0" w:firstLineChars="0"/>
                    <w:jc w:val="center"/>
                    <w:rPr>
                      <w:szCs w:val="21"/>
                    </w:rPr>
                  </w:pPr>
                  <w:r>
                    <w:rPr>
                      <w:rFonts w:hint="eastAsia"/>
                      <w:szCs w:val="21"/>
                    </w:rPr>
                    <w:t>厂界无组织VOCs</w:t>
                  </w:r>
                </w:p>
              </w:tc>
              <w:tc>
                <w:tcPr>
                  <w:tcW w:w="1817" w:type="pct"/>
                  <w:tcBorders>
                    <w:tl2br w:val="nil"/>
                    <w:tr2bl w:val="nil"/>
                  </w:tcBorders>
                  <w:vAlign w:val="center"/>
                </w:tcPr>
                <w:p>
                  <w:pPr>
                    <w:pStyle w:val="39"/>
                    <w:ind w:firstLine="0" w:firstLineChars="0"/>
                    <w:jc w:val="center"/>
                    <w:rPr>
                      <w:szCs w:val="21"/>
                    </w:rPr>
                  </w:pPr>
                  <w:r>
                    <w:rPr>
                      <w:rFonts w:hint="eastAsia"/>
                      <w:szCs w:val="21"/>
                    </w:rPr>
                    <w:t>4</w:t>
                  </w:r>
                </w:p>
              </w:tc>
              <w:tc>
                <w:tcPr>
                  <w:tcW w:w="1674" w:type="pct"/>
                  <w:tcBorders>
                    <w:tl2br w:val="nil"/>
                    <w:tr2bl w:val="nil"/>
                  </w:tcBorders>
                  <w:vAlign w:val="center"/>
                </w:tcPr>
                <w:p>
                  <w:pPr>
                    <w:pStyle w:val="39"/>
                    <w:ind w:firstLine="0" w:firstLineChars="0"/>
                    <w:jc w:val="center"/>
                    <w:rPr>
                      <w:szCs w:val="21"/>
                    </w:rPr>
                  </w:pPr>
                  <w:r>
                    <w:rPr>
                      <w:szCs w:val="21"/>
                    </w:rPr>
                    <w:t>《大气污染物综合排放标准》（GB16297-1996）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4" w:type="pct"/>
                  <w:tcBorders>
                    <w:tl2br w:val="nil"/>
                    <w:tr2bl w:val="nil"/>
                  </w:tcBorders>
                  <w:vAlign w:val="center"/>
                </w:tcPr>
                <w:p>
                  <w:pPr>
                    <w:pStyle w:val="39"/>
                    <w:ind w:firstLine="0" w:firstLineChars="0"/>
                    <w:jc w:val="center"/>
                    <w:rPr>
                      <w:szCs w:val="21"/>
                    </w:rPr>
                  </w:pPr>
                  <w:r>
                    <w:rPr>
                      <w:rFonts w:hint="eastAsia"/>
                      <w:szCs w:val="21"/>
                    </w:rPr>
                    <w:t>4</w:t>
                  </w:r>
                </w:p>
              </w:tc>
              <w:tc>
                <w:tcPr>
                  <w:tcW w:w="1043" w:type="pct"/>
                  <w:tcBorders>
                    <w:tl2br w:val="nil"/>
                    <w:tr2bl w:val="nil"/>
                  </w:tcBorders>
                  <w:vAlign w:val="center"/>
                </w:tcPr>
                <w:p>
                  <w:pPr>
                    <w:pStyle w:val="39"/>
                    <w:ind w:firstLine="0" w:firstLineChars="0"/>
                    <w:jc w:val="center"/>
                    <w:rPr>
                      <w:szCs w:val="21"/>
                    </w:rPr>
                  </w:pPr>
                  <w:r>
                    <w:rPr>
                      <w:szCs w:val="21"/>
                    </w:rPr>
                    <w:t>厂区内无组织VOCs</w:t>
                  </w:r>
                </w:p>
              </w:tc>
              <w:tc>
                <w:tcPr>
                  <w:tcW w:w="1817" w:type="pct"/>
                  <w:tcBorders>
                    <w:tl2br w:val="nil"/>
                    <w:tr2bl w:val="nil"/>
                  </w:tcBorders>
                  <w:vAlign w:val="center"/>
                </w:tcPr>
                <w:p>
                  <w:pPr>
                    <w:pStyle w:val="39"/>
                    <w:ind w:firstLine="0" w:firstLineChars="0"/>
                    <w:jc w:val="center"/>
                    <w:rPr>
                      <w:szCs w:val="21"/>
                    </w:rPr>
                  </w:pPr>
                  <w:r>
                    <w:rPr>
                      <w:szCs w:val="21"/>
                    </w:rPr>
                    <w:t>监控点处1h平均浓度</w:t>
                  </w:r>
                  <w:r>
                    <w:rPr>
                      <w:rFonts w:hint="eastAsia"/>
                      <w:szCs w:val="21"/>
                      <w:lang w:val="en-US" w:eastAsia="zh-CN"/>
                    </w:rPr>
                    <w:t>10</w:t>
                  </w:r>
                  <w:r>
                    <w:rPr>
                      <w:szCs w:val="21"/>
                    </w:rPr>
                    <w:t>mg/m³及监控点处任意一次浓度值</w:t>
                  </w:r>
                  <w:r>
                    <w:rPr>
                      <w:rFonts w:hint="eastAsia"/>
                      <w:szCs w:val="21"/>
                      <w:lang w:val="en-US" w:eastAsia="zh-CN"/>
                    </w:rPr>
                    <w:t>3</w:t>
                  </w:r>
                  <w:r>
                    <w:rPr>
                      <w:szCs w:val="21"/>
                    </w:rPr>
                    <w:t>0mg/m³要求</w:t>
                  </w:r>
                </w:p>
              </w:tc>
              <w:tc>
                <w:tcPr>
                  <w:tcW w:w="1674" w:type="pct"/>
                  <w:tcBorders>
                    <w:tl2br w:val="nil"/>
                    <w:tr2bl w:val="nil"/>
                  </w:tcBorders>
                  <w:vAlign w:val="center"/>
                </w:tcPr>
                <w:p>
                  <w:pPr>
                    <w:pStyle w:val="39"/>
                    <w:ind w:firstLine="0" w:firstLineChars="0"/>
                    <w:jc w:val="center"/>
                    <w:rPr>
                      <w:szCs w:val="21"/>
                    </w:rPr>
                  </w:pPr>
                  <w:r>
                    <w:rPr>
                      <w:szCs w:val="21"/>
                    </w:rPr>
                    <w:t>《挥发性有机物无组织排放控制标准》（GB37822</w:t>
                  </w:r>
                  <w:r>
                    <w:rPr>
                      <w:rFonts w:hint="eastAsia"/>
                      <w:szCs w:val="21"/>
                    </w:rPr>
                    <w:t>-</w:t>
                  </w:r>
                  <w:r>
                    <w:rPr>
                      <w:szCs w:val="21"/>
                    </w:rPr>
                    <w:t>2019）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4" w:type="pct"/>
                  <w:tcBorders>
                    <w:tl2br w:val="nil"/>
                    <w:tr2bl w:val="nil"/>
                  </w:tcBorders>
                  <w:vAlign w:val="center"/>
                </w:tcPr>
                <w:p>
                  <w:pPr>
                    <w:pStyle w:val="39"/>
                    <w:ind w:firstLine="0" w:firstLineChars="0"/>
                    <w:jc w:val="center"/>
                    <w:rPr>
                      <w:szCs w:val="21"/>
                    </w:rPr>
                  </w:pPr>
                  <w:r>
                    <w:rPr>
                      <w:rFonts w:hint="eastAsia"/>
                      <w:szCs w:val="21"/>
                    </w:rPr>
                    <w:t>5</w:t>
                  </w:r>
                </w:p>
              </w:tc>
              <w:tc>
                <w:tcPr>
                  <w:tcW w:w="1043" w:type="pct"/>
                  <w:tcBorders>
                    <w:tl2br w:val="nil"/>
                    <w:tr2bl w:val="nil"/>
                  </w:tcBorders>
                  <w:vAlign w:val="center"/>
                </w:tcPr>
                <w:p>
                  <w:pPr>
                    <w:pStyle w:val="39"/>
                    <w:ind w:firstLine="0" w:firstLineChars="0"/>
                    <w:jc w:val="center"/>
                    <w:rPr>
                      <w:szCs w:val="21"/>
                    </w:rPr>
                  </w:pPr>
                  <w:r>
                    <w:rPr>
                      <w:rFonts w:hint="eastAsia"/>
                      <w:szCs w:val="21"/>
                    </w:rPr>
                    <w:t>食堂油烟</w:t>
                  </w:r>
                </w:p>
              </w:tc>
              <w:tc>
                <w:tcPr>
                  <w:tcW w:w="1817" w:type="pct"/>
                  <w:tcBorders>
                    <w:tl2br w:val="nil"/>
                    <w:tr2bl w:val="nil"/>
                  </w:tcBorders>
                  <w:vAlign w:val="center"/>
                </w:tcPr>
                <w:p>
                  <w:pPr>
                    <w:pStyle w:val="39"/>
                    <w:ind w:firstLine="0" w:firstLineChars="0"/>
                    <w:jc w:val="center"/>
                    <w:rPr>
                      <w:szCs w:val="21"/>
                    </w:rPr>
                  </w:pPr>
                  <w:r>
                    <w:rPr>
                      <w:rFonts w:hint="eastAsia"/>
                      <w:szCs w:val="21"/>
                    </w:rPr>
                    <w:t>2</w:t>
                  </w:r>
                </w:p>
              </w:tc>
              <w:tc>
                <w:tcPr>
                  <w:tcW w:w="1674" w:type="pct"/>
                  <w:tcBorders>
                    <w:tl2br w:val="nil"/>
                    <w:tr2bl w:val="nil"/>
                  </w:tcBorders>
                  <w:vAlign w:val="center"/>
                </w:tcPr>
                <w:p>
                  <w:pPr>
                    <w:pStyle w:val="39"/>
                    <w:ind w:firstLine="0" w:firstLineChars="0"/>
                    <w:jc w:val="center"/>
                    <w:rPr>
                      <w:szCs w:val="21"/>
                    </w:rPr>
                  </w:pPr>
                  <w:r>
                    <w:rPr>
                      <w:szCs w:val="21"/>
                    </w:rPr>
                    <w:t>《饮食业油烟排放标准（试行）》（GB18483-2001）</w:t>
                  </w:r>
                </w:p>
              </w:tc>
            </w:tr>
          </w:tbl>
          <w:p>
            <w:pPr>
              <w:pStyle w:val="63"/>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baseline"/>
              <w:rPr>
                <w:rFonts w:hint="eastAsia" w:eastAsia="宋体" w:cs="Times New Roman"/>
                <w:lang w:eastAsia="zh-CN"/>
              </w:rPr>
            </w:pPr>
            <w:r>
              <w:rPr>
                <w:sz w:val="24"/>
              </w:rPr>
              <w:t>（2）废水：</w:t>
            </w:r>
            <w:r>
              <w:rPr>
                <w:rFonts w:hint="eastAsia"/>
                <w:sz w:val="24"/>
              </w:rPr>
              <w:t>施工期</w:t>
            </w:r>
            <w:r>
              <w:rPr>
                <w:rFonts w:hint="eastAsia"/>
                <w:sz w:val="24"/>
                <w:lang w:val="en-US" w:eastAsia="zh-CN"/>
              </w:rPr>
              <w:t>生产</w:t>
            </w:r>
            <w:r>
              <w:rPr>
                <w:kern w:val="0"/>
                <w:sz w:val="24"/>
              </w:rPr>
              <w:t>废水执行《污水综合排放标准》（GB8978-1996）</w:t>
            </w:r>
            <w:r>
              <w:rPr>
                <w:rFonts w:hint="eastAsia"/>
                <w:kern w:val="0"/>
                <w:sz w:val="24"/>
                <w:lang w:val="en-US" w:eastAsia="zh-CN"/>
              </w:rPr>
              <w:t>表4</w:t>
            </w:r>
            <w:r>
              <w:rPr>
                <w:kern w:val="0"/>
                <w:sz w:val="24"/>
              </w:rPr>
              <w:t>三级标准</w:t>
            </w:r>
            <w:r>
              <w:rPr>
                <w:rFonts w:hint="eastAsia"/>
                <w:kern w:val="0"/>
                <w:sz w:val="24"/>
              </w:rPr>
              <w:t>。</w:t>
            </w:r>
            <w:r>
              <w:rPr>
                <w:rFonts w:hint="eastAsia"/>
                <w:kern w:val="0"/>
                <w:sz w:val="24"/>
                <w:lang w:val="en-US" w:eastAsia="zh-CN"/>
              </w:rPr>
              <w:t>运营期废水执行</w:t>
            </w:r>
            <w:r>
              <w:rPr>
                <w:rFonts w:cs="Times New Roman"/>
              </w:rPr>
              <w:t>《城市污水再利用城市杂用水水质》（GB/T18920-20</w:t>
            </w:r>
            <w:r>
              <w:rPr>
                <w:rFonts w:hint="eastAsia" w:cs="Times New Roman"/>
              </w:rPr>
              <w:t>20</w:t>
            </w:r>
            <w:r>
              <w:rPr>
                <w:rFonts w:cs="Times New Roman"/>
              </w:rPr>
              <w:t>）</w:t>
            </w:r>
            <w:r>
              <w:rPr>
                <w:rFonts w:hint="eastAsia" w:cs="Times New Roman"/>
              </w:rPr>
              <w:t>绿化用水标准限值</w:t>
            </w:r>
            <w:r>
              <w:rPr>
                <w:rFonts w:hint="eastAsia" w:cs="Times New Roman"/>
                <w:lang w:eastAsia="zh-CN"/>
              </w:rPr>
              <w:t>。</w:t>
            </w:r>
          </w:p>
          <w:p>
            <w:pPr>
              <w:pStyle w:val="36"/>
              <w:spacing w:before="0" w:beforeLines="0"/>
              <w:rPr>
                <w:sz w:val="24"/>
              </w:rPr>
            </w:pPr>
            <w:r>
              <w:rPr>
                <w:sz w:val="24"/>
              </w:rPr>
              <w:t>表3-</w:t>
            </w:r>
            <w:r>
              <w:rPr>
                <w:rFonts w:hint="eastAsia"/>
                <w:sz w:val="24"/>
              </w:rPr>
              <w:t>5</w:t>
            </w:r>
            <w:r>
              <w:rPr>
                <w:sz w:val="24"/>
              </w:rPr>
              <w:t xml:space="preserve">  </w:t>
            </w:r>
            <w:r>
              <w:rPr>
                <w:rFonts w:hint="eastAsia"/>
                <w:sz w:val="24"/>
              </w:rPr>
              <w:t>污水综合排放</w:t>
            </w:r>
            <w:r>
              <w:rPr>
                <w:sz w:val="24"/>
              </w:rPr>
              <w:t>标准</w:t>
            </w:r>
            <w:r>
              <w:rPr>
                <w:rFonts w:hint="eastAsia"/>
                <w:sz w:val="24"/>
              </w:rPr>
              <w:t xml:space="preserve">  单位：mg/L</w:t>
            </w:r>
          </w:p>
          <w:tbl>
            <w:tblPr>
              <w:tblStyle w:val="30"/>
              <w:tblW w:w="4998" w:type="pct"/>
              <w:tblInd w:w="1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08"/>
              <w:gridCol w:w="1942"/>
              <w:gridCol w:w="46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3" w:type="pct"/>
                  <w:tcBorders>
                    <w:tl2br w:val="nil"/>
                    <w:tr2bl w:val="nil"/>
                  </w:tcBorders>
                </w:tcPr>
                <w:p>
                  <w:pPr>
                    <w:pStyle w:val="39"/>
                    <w:ind w:firstLine="0" w:firstLineChars="0"/>
                    <w:jc w:val="center"/>
                  </w:pPr>
                  <w:r>
                    <w:rPr>
                      <w:rFonts w:hint="eastAsia"/>
                    </w:rPr>
                    <w:t>序号</w:t>
                  </w:r>
                </w:p>
              </w:tc>
              <w:tc>
                <w:tcPr>
                  <w:tcW w:w="1218" w:type="pct"/>
                  <w:tcBorders>
                    <w:tl2br w:val="nil"/>
                    <w:tr2bl w:val="nil"/>
                  </w:tcBorders>
                </w:tcPr>
                <w:p>
                  <w:pPr>
                    <w:pStyle w:val="39"/>
                    <w:ind w:firstLine="0" w:firstLineChars="0"/>
                    <w:jc w:val="center"/>
                  </w:pPr>
                  <w:r>
                    <w:rPr>
                      <w:rFonts w:hint="eastAsia"/>
                    </w:rPr>
                    <w:t>项目</w:t>
                  </w:r>
                </w:p>
              </w:tc>
              <w:tc>
                <w:tcPr>
                  <w:tcW w:w="2898" w:type="pct"/>
                  <w:tcBorders>
                    <w:tl2br w:val="nil"/>
                    <w:tr2bl w:val="nil"/>
                  </w:tcBorders>
                </w:tcPr>
                <w:p>
                  <w:pPr>
                    <w:pStyle w:val="39"/>
                    <w:ind w:firstLine="420"/>
                    <w:jc w:val="center"/>
                  </w:pPr>
                  <w:r>
                    <w:rPr>
                      <w:rFonts w:hint="eastAsia"/>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3" w:type="pct"/>
                  <w:tcBorders>
                    <w:tl2br w:val="nil"/>
                    <w:tr2bl w:val="nil"/>
                  </w:tcBorders>
                </w:tcPr>
                <w:p>
                  <w:pPr>
                    <w:pStyle w:val="39"/>
                    <w:ind w:firstLine="0" w:firstLineChars="0"/>
                    <w:jc w:val="center"/>
                  </w:pPr>
                  <w:r>
                    <w:rPr>
                      <w:rFonts w:hint="eastAsia"/>
                    </w:rPr>
                    <w:t>1</w:t>
                  </w:r>
                </w:p>
              </w:tc>
              <w:tc>
                <w:tcPr>
                  <w:tcW w:w="1218" w:type="pct"/>
                  <w:tcBorders>
                    <w:tl2br w:val="nil"/>
                    <w:tr2bl w:val="nil"/>
                  </w:tcBorders>
                </w:tcPr>
                <w:p>
                  <w:pPr>
                    <w:pStyle w:val="39"/>
                    <w:ind w:firstLine="0" w:firstLineChars="0"/>
                    <w:jc w:val="center"/>
                  </w:pPr>
                  <w:r>
                    <w:rPr>
                      <w:rFonts w:hint="eastAsia"/>
                    </w:rPr>
                    <w:t>pH</w:t>
                  </w:r>
                </w:p>
              </w:tc>
              <w:tc>
                <w:tcPr>
                  <w:tcW w:w="2898" w:type="pct"/>
                  <w:tcBorders>
                    <w:tl2br w:val="nil"/>
                    <w:tr2bl w:val="nil"/>
                  </w:tcBorders>
                </w:tcPr>
                <w:p>
                  <w:pPr>
                    <w:pStyle w:val="39"/>
                    <w:ind w:firstLine="420"/>
                    <w:jc w:val="center"/>
                  </w:pPr>
                  <w:r>
                    <w:rPr>
                      <w:rFonts w:hint="eastAsia"/>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3" w:type="pct"/>
                  <w:tcBorders>
                    <w:tl2br w:val="nil"/>
                    <w:tr2bl w:val="nil"/>
                  </w:tcBorders>
                </w:tcPr>
                <w:p>
                  <w:pPr>
                    <w:pStyle w:val="39"/>
                    <w:ind w:firstLine="0" w:firstLineChars="0"/>
                    <w:jc w:val="center"/>
                  </w:pPr>
                  <w:r>
                    <w:rPr>
                      <w:rFonts w:hint="eastAsia"/>
                    </w:rPr>
                    <w:t>2</w:t>
                  </w:r>
                </w:p>
              </w:tc>
              <w:tc>
                <w:tcPr>
                  <w:tcW w:w="1218" w:type="pct"/>
                  <w:tcBorders>
                    <w:tl2br w:val="nil"/>
                    <w:tr2bl w:val="nil"/>
                  </w:tcBorders>
                </w:tcPr>
                <w:p>
                  <w:pPr>
                    <w:pStyle w:val="39"/>
                    <w:ind w:firstLine="0" w:firstLineChars="0"/>
                    <w:jc w:val="center"/>
                  </w:pPr>
                  <w:r>
                    <w:rPr>
                      <w:rFonts w:hint="eastAsia"/>
                    </w:rPr>
                    <w:t>悬浮物</w:t>
                  </w:r>
                </w:p>
              </w:tc>
              <w:tc>
                <w:tcPr>
                  <w:tcW w:w="2898" w:type="pct"/>
                  <w:tcBorders>
                    <w:tl2br w:val="nil"/>
                    <w:tr2bl w:val="nil"/>
                  </w:tcBorders>
                </w:tcPr>
                <w:p>
                  <w:pPr>
                    <w:pStyle w:val="39"/>
                    <w:ind w:firstLine="420"/>
                    <w:jc w:val="center"/>
                  </w:pPr>
                  <w:r>
                    <w:rPr>
                      <w:rFonts w:hint="eastAsia"/>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3" w:type="pct"/>
                  <w:tcBorders>
                    <w:tl2br w:val="nil"/>
                    <w:tr2bl w:val="nil"/>
                  </w:tcBorders>
                </w:tcPr>
                <w:p>
                  <w:pPr>
                    <w:pStyle w:val="39"/>
                    <w:ind w:firstLine="0" w:firstLineChars="0"/>
                    <w:jc w:val="center"/>
                  </w:pPr>
                  <w:r>
                    <w:rPr>
                      <w:rFonts w:hint="eastAsia"/>
                    </w:rPr>
                    <w:t>3</w:t>
                  </w:r>
                </w:p>
              </w:tc>
              <w:tc>
                <w:tcPr>
                  <w:tcW w:w="1218" w:type="pct"/>
                  <w:tcBorders>
                    <w:tl2br w:val="nil"/>
                    <w:tr2bl w:val="nil"/>
                  </w:tcBorders>
                </w:tcPr>
                <w:p>
                  <w:pPr>
                    <w:pStyle w:val="39"/>
                    <w:ind w:firstLine="0" w:firstLineChars="0"/>
                    <w:jc w:val="center"/>
                  </w:pPr>
                  <w:r>
                    <w:rPr>
                      <w:rFonts w:hint="eastAsia"/>
                    </w:rPr>
                    <w:t>BOD</w:t>
                  </w:r>
                  <w:r>
                    <w:rPr>
                      <w:rFonts w:hint="eastAsia"/>
                      <w:vertAlign w:val="subscript"/>
                    </w:rPr>
                    <w:t>5</w:t>
                  </w:r>
                </w:p>
              </w:tc>
              <w:tc>
                <w:tcPr>
                  <w:tcW w:w="2898" w:type="pct"/>
                  <w:tcBorders>
                    <w:tl2br w:val="nil"/>
                    <w:tr2bl w:val="nil"/>
                  </w:tcBorders>
                </w:tcPr>
                <w:p>
                  <w:pPr>
                    <w:pStyle w:val="39"/>
                    <w:ind w:firstLine="420"/>
                    <w:jc w:val="center"/>
                  </w:pPr>
                  <w:r>
                    <w:rPr>
                      <w:rFonts w:hint="eastAsia"/>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3" w:type="pct"/>
                  <w:tcBorders>
                    <w:tl2br w:val="nil"/>
                    <w:tr2bl w:val="nil"/>
                  </w:tcBorders>
                </w:tcPr>
                <w:p>
                  <w:pPr>
                    <w:pStyle w:val="39"/>
                    <w:ind w:firstLine="0" w:firstLineChars="0"/>
                    <w:jc w:val="center"/>
                  </w:pPr>
                  <w:r>
                    <w:rPr>
                      <w:rFonts w:hint="eastAsia"/>
                    </w:rPr>
                    <w:t>4</w:t>
                  </w:r>
                </w:p>
              </w:tc>
              <w:tc>
                <w:tcPr>
                  <w:tcW w:w="1218" w:type="pct"/>
                  <w:tcBorders>
                    <w:tl2br w:val="nil"/>
                    <w:tr2bl w:val="nil"/>
                  </w:tcBorders>
                </w:tcPr>
                <w:p>
                  <w:pPr>
                    <w:pStyle w:val="39"/>
                    <w:ind w:firstLine="0" w:firstLineChars="0"/>
                    <w:jc w:val="center"/>
                    <w:rPr>
                      <w:vertAlign w:val="subscript"/>
                    </w:rPr>
                  </w:pPr>
                  <w:r>
                    <w:rPr>
                      <w:rFonts w:hint="eastAsia"/>
                    </w:rPr>
                    <w:t>CODCr</w:t>
                  </w:r>
                </w:p>
              </w:tc>
              <w:tc>
                <w:tcPr>
                  <w:tcW w:w="2898" w:type="pct"/>
                  <w:tcBorders>
                    <w:tl2br w:val="nil"/>
                    <w:tr2bl w:val="nil"/>
                  </w:tcBorders>
                </w:tcPr>
                <w:p>
                  <w:pPr>
                    <w:pStyle w:val="39"/>
                    <w:ind w:firstLine="420"/>
                    <w:jc w:val="center"/>
                  </w:pPr>
                  <w:r>
                    <w:rPr>
                      <w:rFonts w:hint="eastAsia"/>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3" w:type="pct"/>
                  <w:tcBorders>
                    <w:tl2br w:val="nil"/>
                    <w:tr2bl w:val="nil"/>
                  </w:tcBorders>
                </w:tcPr>
                <w:p>
                  <w:pPr>
                    <w:pStyle w:val="39"/>
                    <w:ind w:firstLine="0" w:firstLineChars="0"/>
                    <w:jc w:val="center"/>
                  </w:pPr>
                  <w:r>
                    <w:rPr>
                      <w:rFonts w:hint="eastAsia"/>
                    </w:rPr>
                    <w:t>5</w:t>
                  </w:r>
                </w:p>
              </w:tc>
              <w:tc>
                <w:tcPr>
                  <w:tcW w:w="1218" w:type="pct"/>
                  <w:tcBorders>
                    <w:tl2br w:val="nil"/>
                    <w:tr2bl w:val="nil"/>
                  </w:tcBorders>
                </w:tcPr>
                <w:p>
                  <w:pPr>
                    <w:pStyle w:val="39"/>
                    <w:ind w:firstLine="0" w:firstLineChars="0"/>
                    <w:jc w:val="center"/>
                  </w:pPr>
                  <w:r>
                    <w:rPr>
                      <w:rFonts w:hint="eastAsia"/>
                    </w:rPr>
                    <w:t>动植物油</w:t>
                  </w:r>
                </w:p>
              </w:tc>
              <w:tc>
                <w:tcPr>
                  <w:tcW w:w="2898" w:type="pct"/>
                  <w:tcBorders>
                    <w:tl2br w:val="nil"/>
                    <w:tr2bl w:val="nil"/>
                  </w:tcBorders>
                </w:tcPr>
                <w:p>
                  <w:pPr>
                    <w:pStyle w:val="39"/>
                    <w:ind w:firstLine="420"/>
                    <w:jc w:val="center"/>
                  </w:pPr>
                  <w:r>
                    <w:rPr>
                      <w:rFonts w:hint="eastAsia"/>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3" w:type="pct"/>
                  <w:tcBorders>
                    <w:tl2br w:val="nil"/>
                    <w:tr2bl w:val="nil"/>
                  </w:tcBorders>
                </w:tcPr>
                <w:p>
                  <w:pPr>
                    <w:pStyle w:val="39"/>
                    <w:ind w:firstLine="0" w:firstLineChars="0"/>
                    <w:jc w:val="center"/>
                  </w:pPr>
                  <w:r>
                    <w:rPr>
                      <w:rFonts w:hint="eastAsia"/>
                    </w:rPr>
                    <w:t>6</w:t>
                  </w:r>
                </w:p>
              </w:tc>
              <w:tc>
                <w:tcPr>
                  <w:tcW w:w="1218" w:type="pct"/>
                  <w:tcBorders>
                    <w:tl2br w:val="nil"/>
                    <w:tr2bl w:val="nil"/>
                  </w:tcBorders>
                </w:tcPr>
                <w:p>
                  <w:pPr>
                    <w:pStyle w:val="39"/>
                    <w:ind w:firstLine="0" w:firstLineChars="0"/>
                    <w:jc w:val="center"/>
                  </w:pPr>
                  <w:r>
                    <w:rPr>
                      <w:rFonts w:hint="eastAsia"/>
                    </w:rPr>
                    <w:t>石油类</w:t>
                  </w:r>
                </w:p>
              </w:tc>
              <w:tc>
                <w:tcPr>
                  <w:tcW w:w="2898" w:type="pct"/>
                  <w:tcBorders>
                    <w:tl2br w:val="nil"/>
                    <w:tr2bl w:val="nil"/>
                  </w:tcBorders>
                </w:tcPr>
                <w:p>
                  <w:pPr>
                    <w:pStyle w:val="39"/>
                    <w:ind w:firstLine="420"/>
                    <w:jc w:val="center"/>
                  </w:pPr>
                  <w:r>
                    <w:rPr>
                      <w:rFonts w:hint="eastAsia"/>
                    </w:rPr>
                    <w:t>30</w:t>
                  </w:r>
                </w:p>
              </w:tc>
            </w:tr>
          </w:tbl>
          <w:p>
            <w:pPr>
              <w:pStyle w:val="6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黑体" w:cs="Times New Roman"/>
                <w:lang w:val="en-US" w:eastAsia="zh-CN"/>
              </w:rPr>
            </w:pPr>
            <w:r>
              <w:rPr>
                <w:rFonts w:hint="default" w:ascii="Times New Roman" w:hAnsi="Times New Roman" w:eastAsia="黑体" w:cs="Times New Roman"/>
                <w:lang w:eastAsia="zh-CN"/>
              </w:rPr>
              <w:t>表</w:t>
            </w:r>
            <w:r>
              <w:rPr>
                <w:rFonts w:hint="default" w:ascii="Times New Roman" w:hAnsi="Times New Roman" w:eastAsia="黑体" w:cs="Times New Roman"/>
                <w:lang w:val="en-US" w:eastAsia="zh-CN"/>
              </w:rPr>
              <w:t>3-</w:t>
            </w:r>
            <w:r>
              <w:rPr>
                <w:rFonts w:hint="eastAsia" w:eastAsia="黑体" w:cs="Times New Roman"/>
                <w:lang w:val="en-US" w:eastAsia="zh-CN"/>
              </w:rPr>
              <w:t>6</w:t>
            </w:r>
            <w:r>
              <w:rPr>
                <w:rFonts w:hint="default" w:ascii="Times New Roman" w:hAnsi="Times New Roman" w:eastAsia="黑体" w:cs="Times New Roman"/>
                <w:lang w:val="en-US" w:eastAsia="zh-CN"/>
              </w:rPr>
              <w:t xml:space="preserve">  《城市污水再利用城市杂用水水质》（GB/T18920-2020）绿化用水</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54"/>
              <w:gridCol w:w="2655"/>
              <w:gridCol w:w="26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op w:val="single" w:color="auto" w:sz="12" w:space="0"/>
                    <w:left w:val="nil"/>
                    <w:bottom w:val="single" w:color="auto" w:sz="6" w:space="0"/>
                    <w:right w:val="single" w:color="auto" w:sz="6" w:space="0"/>
                  </w:tcBorders>
                </w:tcPr>
                <w:p>
                  <w:pPr>
                    <w:pStyle w:val="63"/>
                    <w:spacing w:line="240" w:lineRule="auto"/>
                    <w:ind w:firstLine="0" w:firstLineChars="0"/>
                    <w:jc w:val="center"/>
                    <w:rPr>
                      <w:sz w:val="21"/>
                      <w:szCs w:val="20"/>
                    </w:rPr>
                  </w:pPr>
                  <w:r>
                    <w:rPr>
                      <w:rFonts w:hint="eastAsia"/>
                      <w:sz w:val="21"/>
                      <w:szCs w:val="20"/>
                    </w:rPr>
                    <w:t>序号</w:t>
                  </w:r>
                </w:p>
              </w:tc>
              <w:tc>
                <w:tcPr>
                  <w:tcW w:w="1666" w:type="pct"/>
                  <w:tcBorders>
                    <w:top w:val="single" w:color="auto" w:sz="12" w:space="0"/>
                    <w:left w:val="single" w:color="auto" w:sz="6" w:space="0"/>
                    <w:bottom w:val="single" w:color="auto" w:sz="6" w:space="0"/>
                    <w:right w:val="single" w:color="auto" w:sz="6" w:space="0"/>
                  </w:tcBorders>
                </w:tcPr>
                <w:p>
                  <w:pPr>
                    <w:pStyle w:val="63"/>
                    <w:spacing w:line="240" w:lineRule="auto"/>
                    <w:ind w:firstLine="0" w:firstLineChars="0"/>
                    <w:jc w:val="center"/>
                    <w:rPr>
                      <w:sz w:val="21"/>
                      <w:szCs w:val="20"/>
                    </w:rPr>
                  </w:pPr>
                  <w:r>
                    <w:rPr>
                      <w:rFonts w:hint="eastAsia"/>
                      <w:sz w:val="21"/>
                      <w:szCs w:val="20"/>
                    </w:rPr>
                    <w:t>项目</w:t>
                  </w:r>
                </w:p>
              </w:tc>
              <w:tc>
                <w:tcPr>
                  <w:tcW w:w="1666" w:type="pct"/>
                  <w:tcBorders>
                    <w:top w:val="single" w:color="auto" w:sz="12" w:space="0"/>
                    <w:left w:val="single" w:color="auto" w:sz="6" w:space="0"/>
                    <w:bottom w:val="single" w:color="auto" w:sz="6" w:space="0"/>
                    <w:right w:val="nil"/>
                  </w:tcBorders>
                </w:tcPr>
                <w:p>
                  <w:pPr>
                    <w:pStyle w:val="63"/>
                    <w:spacing w:line="240" w:lineRule="auto"/>
                    <w:ind w:firstLine="0" w:firstLineChars="0"/>
                    <w:jc w:val="center"/>
                    <w:rPr>
                      <w:sz w:val="21"/>
                      <w:szCs w:val="20"/>
                    </w:rPr>
                  </w:pPr>
                  <w:r>
                    <w:rPr>
                      <w:rFonts w:hint="eastAsia"/>
                      <w:sz w:val="21"/>
                      <w:szCs w:val="20"/>
                    </w:rPr>
                    <w:t>城市绿化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66" w:type="pct"/>
                  <w:tcBorders>
                    <w:top w:val="single" w:color="auto" w:sz="6" w:space="0"/>
                    <w:left w:val="nil"/>
                    <w:bottom w:val="single" w:color="auto" w:sz="6" w:space="0"/>
                    <w:right w:val="single" w:color="auto" w:sz="6" w:space="0"/>
                  </w:tcBorders>
                </w:tcPr>
                <w:p>
                  <w:pPr>
                    <w:pStyle w:val="63"/>
                    <w:spacing w:line="240" w:lineRule="auto"/>
                    <w:ind w:firstLine="0" w:firstLineChars="0"/>
                    <w:jc w:val="center"/>
                    <w:rPr>
                      <w:sz w:val="21"/>
                      <w:szCs w:val="20"/>
                    </w:rPr>
                  </w:pPr>
                  <w:r>
                    <w:rPr>
                      <w:rFonts w:hint="eastAsia"/>
                      <w:sz w:val="21"/>
                      <w:szCs w:val="20"/>
                    </w:rPr>
                    <w:t>1</w:t>
                  </w:r>
                </w:p>
              </w:tc>
              <w:tc>
                <w:tcPr>
                  <w:tcW w:w="1666" w:type="pct"/>
                  <w:tcBorders>
                    <w:top w:val="single" w:color="auto" w:sz="6" w:space="0"/>
                    <w:left w:val="single" w:color="auto" w:sz="6" w:space="0"/>
                    <w:bottom w:val="single" w:color="auto" w:sz="6" w:space="0"/>
                    <w:right w:val="single" w:color="auto" w:sz="6" w:space="0"/>
                  </w:tcBorders>
                </w:tcPr>
                <w:p>
                  <w:pPr>
                    <w:pStyle w:val="63"/>
                    <w:spacing w:line="240" w:lineRule="auto"/>
                    <w:ind w:firstLine="0" w:firstLineChars="0"/>
                    <w:jc w:val="center"/>
                    <w:rPr>
                      <w:sz w:val="21"/>
                      <w:szCs w:val="20"/>
                    </w:rPr>
                  </w:pPr>
                  <w:r>
                    <w:rPr>
                      <w:rFonts w:hint="eastAsia"/>
                      <w:sz w:val="21"/>
                      <w:szCs w:val="20"/>
                    </w:rPr>
                    <w:t>BOD</w:t>
                  </w:r>
                  <w:r>
                    <w:rPr>
                      <w:rFonts w:hint="eastAsia"/>
                      <w:sz w:val="21"/>
                      <w:szCs w:val="20"/>
                      <w:vertAlign w:val="subscript"/>
                    </w:rPr>
                    <w:t>5</w:t>
                  </w:r>
                  <w:r>
                    <w:rPr>
                      <w:rFonts w:hint="eastAsia"/>
                      <w:sz w:val="21"/>
                      <w:szCs w:val="20"/>
                    </w:rPr>
                    <w:t>（mg/L）</w:t>
                  </w:r>
                </w:p>
              </w:tc>
              <w:tc>
                <w:tcPr>
                  <w:tcW w:w="1666" w:type="pct"/>
                  <w:tcBorders>
                    <w:top w:val="single" w:color="auto" w:sz="6" w:space="0"/>
                    <w:left w:val="single" w:color="auto" w:sz="6" w:space="0"/>
                    <w:bottom w:val="single" w:color="auto" w:sz="6" w:space="0"/>
                    <w:right w:val="nil"/>
                  </w:tcBorders>
                </w:tcPr>
                <w:p>
                  <w:pPr>
                    <w:pStyle w:val="63"/>
                    <w:spacing w:line="240" w:lineRule="auto"/>
                    <w:ind w:firstLine="0" w:firstLineChars="0"/>
                    <w:jc w:val="center"/>
                    <w:rPr>
                      <w:sz w:val="21"/>
                      <w:szCs w:val="20"/>
                    </w:rPr>
                  </w:pPr>
                  <w:r>
                    <w:rPr>
                      <w:rFonts w:hint="eastAsia"/>
                      <w:sz w:val="21"/>
                      <w:szCs w:val="20"/>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op w:val="single" w:color="auto" w:sz="6" w:space="0"/>
                    <w:left w:val="nil"/>
                    <w:bottom w:val="single" w:color="auto" w:sz="6" w:space="0"/>
                    <w:right w:val="single" w:color="auto" w:sz="6" w:space="0"/>
                  </w:tcBorders>
                </w:tcPr>
                <w:p>
                  <w:pPr>
                    <w:pStyle w:val="63"/>
                    <w:spacing w:line="240" w:lineRule="auto"/>
                    <w:ind w:firstLine="0" w:firstLineChars="0"/>
                    <w:jc w:val="center"/>
                    <w:rPr>
                      <w:sz w:val="21"/>
                      <w:szCs w:val="20"/>
                    </w:rPr>
                  </w:pPr>
                  <w:r>
                    <w:rPr>
                      <w:rFonts w:hint="eastAsia"/>
                      <w:sz w:val="21"/>
                      <w:szCs w:val="20"/>
                    </w:rPr>
                    <w:t>2</w:t>
                  </w:r>
                </w:p>
              </w:tc>
              <w:tc>
                <w:tcPr>
                  <w:tcW w:w="1666" w:type="pct"/>
                  <w:tcBorders>
                    <w:top w:val="single" w:color="auto" w:sz="6" w:space="0"/>
                    <w:left w:val="single" w:color="auto" w:sz="6" w:space="0"/>
                    <w:bottom w:val="single" w:color="auto" w:sz="6" w:space="0"/>
                    <w:right w:val="single" w:color="auto" w:sz="6" w:space="0"/>
                  </w:tcBorders>
                </w:tcPr>
                <w:p>
                  <w:pPr>
                    <w:pStyle w:val="63"/>
                    <w:spacing w:line="240" w:lineRule="auto"/>
                    <w:ind w:firstLine="0" w:firstLineChars="0"/>
                    <w:jc w:val="center"/>
                    <w:rPr>
                      <w:sz w:val="21"/>
                      <w:szCs w:val="20"/>
                    </w:rPr>
                  </w:pPr>
                  <w:r>
                    <w:rPr>
                      <w:rFonts w:hint="eastAsia"/>
                      <w:sz w:val="21"/>
                      <w:szCs w:val="20"/>
                    </w:rPr>
                    <w:t>氨氮（mg/L）</w:t>
                  </w:r>
                </w:p>
              </w:tc>
              <w:tc>
                <w:tcPr>
                  <w:tcW w:w="1666" w:type="pct"/>
                  <w:tcBorders>
                    <w:top w:val="single" w:color="auto" w:sz="6" w:space="0"/>
                    <w:left w:val="single" w:color="auto" w:sz="6" w:space="0"/>
                    <w:bottom w:val="single" w:color="auto" w:sz="6" w:space="0"/>
                    <w:right w:val="nil"/>
                  </w:tcBorders>
                </w:tcPr>
                <w:p>
                  <w:pPr>
                    <w:pStyle w:val="63"/>
                    <w:spacing w:line="240" w:lineRule="auto"/>
                    <w:ind w:firstLine="0" w:firstLineChars="0"/>
                    <w:jc w:val="center"/>
                    <w:rPr>
                      <w:sz w:val="21"/>
                      <w:szCs w:val="20"/>
                    </w:rPr>
                  </w:pPr>
                  <w:r>
                    <w:rPr>
                      <w:rFonts w:hint="eastAsia"/>
                      <w:sz w:val="21"/>
                      <w:szCs w:val="20"/>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66" w:type="pct"/>
                  <w:tcBorders>
                    <w:top w:val="single" w:color="auto" w:sz="6" w:space="0"/>
                    <w:left w:val="nil"/>
                    <w:bottom w:val="single" w:color="auto" w:sz="6" w:space="0"/>
                    <w:right w:val="single" w:color="auto" w:sz="6" w:space="0"/>
                  </w:tcBorders>
                </w:tcPr>
                <w:p>
                  <w:pPr>
                    <w:pStyle w:val="63"/>
                    <w:spacing w:line="240" w:lineRule="auto"/>
                    <w:ind w:firstLine="0" w:firstLineChars="0"/>
                    <w:jc w:val="center"/>
                    <w:rPr>
                      <w:sz w:val="21"/>
                      <w:szCs w:val="20"/>
                    </w:rPr>
                  </w:pPr>
                  <w:r>
                    <w:rPr>
                      <w:rFonts w:hint="eastAsia"/>
                      <w:sz w:val="21"/>
                      <w:szCs w:val="20"/>
                    </w:rPr>
                    <w:t>3</w:t>
                  </w:r>
                </w:p>
              </w:tc>
              <w:tc>
                <w:tcPr>
                  <w:tcW w:w="1666" w:type="pct"/>
                  <w:tcBorders>
                    <w:top w:val="single" w:color="auto" w:sz="6" w:space="0"/>
                    <w:left w:val="single" w:color="auto" w:sz="6" w:space="0"/>
                    <w:bottom w:val="single" w:color="auto" w:sz="6" w:space="0"/>
                    <w:right w:val="single" w:color="auto" w:sz="6" w:space="0"/>
                  </w:tcBorders>
                </w:tcPr>
                <w:p>
                  <w:pPr>
                    <w:pStyle w:val="63"/>
                    <w:spacing w:line="240" w:lineRule="auto"/>
                    <w:ind w:firstLine="0" w:firstLineChars="0"/>
                    <w:jc w:val="center"/>
                    <w:rPr>
                      <w:sz w:val="21"/>
                      <w:szCs w:val="20"/>
                    </w:rPr>
                  </w:pPr>
                  <w:r>
                    <w:rPr>
                      <w:rFonts w:hint="eastAsia"/>
                      <w:sz w:val="21"/>
                      <w:szCs w:val="20"/>
                      <w:lang w:val="en-US" w:eastAsia="zh-CN"/>
                    </w:rPr>
                    <w:t>溶解性总固体</w:t>
                  </w:r>
                  <w:r>
                    <w:rPr>
                      <w:rFonts w:hint="eastAsia"/>
                      <w:sz w:val="21"/>
                      <w:szCs w:val="20"/>
                    </w:rPr>
                    <w:t>（mg/L）</w:t>
                  </w:r>
                </w:p>
              </w:tc>
              <w:tc>
                <w:tcPr>
                  <w:tcW w:w="1666" w:type="pct"/>
                  <w:tcBorders>
                    <w:top w:val="single" w:color="auto" w:sz="6" w:space="0"/>
                    <w:left w:val="single" w:color="auto" w:sz="6" w:space="0"/>
                    <w:bottom w:val="single" w:color="auto" w:sz="6" w:space="0"/>
                    <w:right w:val="nil"/>
                  </w:tcBorders>
                </w:tcPr>
                <w:p>
                  <w:pPr>
                    <w:pStyle w:val="63"/>
                    <w:spacing w:line="240" w:lineRule="auto"/>
                    <w:ind w:firstLine="0" w:firstLineChars="0"/>
                    <w:jc w:val="center"/>
                    <w:rPr>
                      <w:sz w:val="21"/>
                      <w:szCs w:val="20"/>
                    </w:rPr>
                  </w:pPr>
                  <w:r>
                    <w:rPr>
                      <w:rFonts w:hint="eastAsia"/>
                      <w:sz w:val="21"/>
                      <w:szCs w:val="20"/>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66" w:type="pct"/>
                  <w:tcBorders>
                    <w:top w:val="single" w:color="auto" w:sz="6" w:space="0"/>
                    <w:left w:val="nil"/>
                    <w:bottom w:val="single" w:color="auto" w:sz="6" w:space="0"/>
                    <w:right w:val="single" w:color="auto" w:sz="6" w:space="0"/>
                  </w:tcBorders>
                </w:tcPr>
                <w:p>
                  <w:pPr>
                    <w:pStyle w:val="63"/>
                    <w:spacing w:line="240" w:lineRule="auto"/>
                    <w:ind w:firstLine="0" w:firstLineChars="0"/>
                    <w:jc w:val="center"/>
                    <w:rPr>
                      <w:sz w:val="21"/>
                      <w:szCs w:val="20"/>
                    </w:rPr>
                  </w:pPr>
                  <w:r>
                    <w:rPr>
                      <w:rFonts w:hint="eastAsia"/>
                      <w:sz w:val="21"/>
                      <w:szCs w:val="20"/>
                    </w:rPr>
                    <w:t>4</w:t>
                  </w:r>
                </w:p>
              </w:tc>
              <w:tc>
                <w:tcPr>
                  <w:tcW w:w="1666" w:type="pct"/>
                  <w:tcBorders>
                    <w:top w:val="single" w:color="auto" w:sz="6" w:space="0"/>
                    <w:left w:val="single" w:color="auto" w:sz="6" w:space="0"/>
                    <w:bottom w:val="single" w:color="auto" w:sz="6" w:space="0"/>
                    <w:right w:val="single" w:color="auto" w:sz="6" w:space="0"/>
                  </w:tcBorders>
                </w:tcPr>
                <w:p>
                  <w:pPr>
                    <w:pStyle w:val="63"/>
                    <w:spacing w:line="240" w:lineRule="auto"/>
                    <w:ind w:firstLine="0" w:firstLineChars="0"/>
                    <w:jc w:val="center"/>
                    <w:rPr>
                      <w:sz w:val="21"/>
                      <w:szCs w:val="20"/>
                    </w:rPr>
                  </w:pPr>
                  <w:r>
                    <w:rPr>
                      <w:rFonts w:hint="eastAsia"/>
                      <w:sz w:val="21"/>
                      <w:szCs w:val="20"/>
                    </w:rPr>
                    <w:t>pH</w:t>
                  </w:r>
                </w:p>
              </w:tc>
              <w:tc>
                <w:tcPr>
                  <w:tcW w:w="1666" w:type="pct"/>
                  <w:tcBorders>
                    <w:top w:val="single" w:color="auto" w:sz="6" w:space="0"/>
                    <w:left w:val="single" w:color="auto" w:sz="6" w:space="0"/>
                    <w:bottom w:val="single" w:color="auto" w:sz="6" w:space="0"/>
                    <w:right w:val="nil"/>
                  </w:tcBorders>
                </w:tcPr>
                <w:p>
                  <w:pPr>
                    <w:pStyle w:val="63"/>
                    <w:spacing w:line="240" w:lineRule="auto"/>
                    <w:ind w:firstLine="0" w:firstLineChars="0"/>
                    <w:jc w:val="center"/>
                    <w:rPr>
                      <w:sz w:val="21"/>
                      <w:szCs w:val="20"/>
                    </w:rPr>
                  </w:pPr>
                  <w:r>
                    <w:rPr>
                      <w:rFonts w:hint="eastAsia"/>
                      <w:sz w:val="21"/>
                      <w:szCs w:val="20"/>
                    </w:rPr>
                    <w:t>6.0-9.0</w:t>
                  </w:r>
                </w:p>
              </w:tc>
            </w:tr>
          </w:tbl>
          <w:p>
            <w:pPr>
              <w:spacing w:line="360" w:lineRule="auto"/>
              <w:ind w:firstLine="480" w:firstLineChars="200"/>
              <w:rPr>
                <w:sz w:val="24"/>
              </w:rPr>
            </w:pPr>
            <w:r>
              <w:rPr>
                <w:rFonts w:hint="eastAsia"/>
                <w:sz w:val="24"/>
              </w:rPr>
              <w:t>噪声：施工期噪声执行</w:t>
            </w:r>
            <w:r>
              <w:rPr>
                <w:sz w:val="24"/>
              </w:rPr>
              <w:t>《建筑施工场界环境噪声排放标准》（GB12523-2011）</w:t>
            </w:r>
            <w:r>
              <w:rPr>
                <w:rFonts w:hint="eastAsia"/>
                <w:sz w:val="24"/>
              </w:rPr>
              <w:t>中表1标准限值。</w:t>
            </w:r>
          </w:p>
          <w:p>
            <w:pPr>
              <w:pStyle w:val="36"/>
              <w:spacing w:before="0" w:beforeLines="0"/>
              <w:rPr>
                <w:sz w:val="24"/>
              </w:rPr>
            </w:pPr>
            <w:r>
              <w:rPr>
                <w:sz w:val="24"/>
              </w:rPr>
              <w:t>表3-</w:t>
            </w:r>
            <w:r>
              <w:rPr>
                <w:rFonts w:hint="eastAsia"/>
                <w:sz w:val="24"/>
                <w:lang w:val="en-US" w:eastAsia="zh-CN"/>
              </w:rPr>
              <w:t>7</w:t>
            </w:r>
            <w:r>
              <w:rPr>
                <w:sz w:val="24"/>
              </w:rPr>
              <w:t xml:space="preserve">  </w:t>
            </w:r>
            <w:r>
              <w:rPr>
                <w:sz w:val="24"/>
                <w:szCs w:val="32"/>
              </w:rPr>
              <w:t>建筑施工场界环境噪声排放标准</w:t>
            </w:r>
          </w:p>
          <w:tbl>
            <w:tblPr>
              <w:tblStyle w:val="29"/>
              <w:tblW w:w="4999"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02"/>
              <w:gridCol w:w="41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33" w:hRule="atLeast"/>
              </w:trPr>
              <w:tc>
                <w:tcPr>
                  <w:tcW w:w="2384" w:type="pct"/>
                  <w:tcBorders>
                    <w:tl2br w:val="nil"/>
                    <w:tr2bl w:val="nil"/>
                  </w:tcBorders>
                  <w:vAlign w:val="center"/>
                </w:tcPr>
                <w:p>
                  <w:pPr>
                    <w:jc w:val="center"/>
                    <w:rPr>
                      <w:szCs w:val="21"/>
                    </w:rPr>
                  </w:pPr>
                  <w:r>
                    <w:rPr>
                      <w:bCs/>
                      <w:kern w:val="0"/>
                      <w:szCs w:val="21"/>
                    </w:rPr>
                    <w:t>昼间/dB（A）</w:t>
                  </w:r>
                </w:p>
              </w:tc>
              <w:tc>
                <w:tcPr>
                  <w:tcW w:w="2615" w:type="pct"/>
                  <w:tcBorders>
                    <w:tl2br w:val="nil"/>
                    <w:tr2bl w:val="nil"/>
                  </w:tcBorders>
                  <w:vAlign w:val="center"/>
                </w:tcPr>
                <w:p>
                  <w:pPr>
                    <w:jc w:val="center"/>
                    <w:rPr>
                      <w:szCs w:val="21"/>
                    </w:rPr>
                  </w:pPr>
                  <w:r>
                    <w:rPr>
                      <w:bCs/>
                      <w:kern w:val="0"/>
                      <w:szCs w:val="21"/>
                    </w:rPr>
                    <w:t>夜间/dB（A）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2384" w:type="pct"/>
                  <w:tcBorders>
                    <w:tl2br w:val="nil"/>
                    <w:tr2bl w:val="nil"/>
                  </w:tcBorders>
                  <w:vAlign w:val="center"/>
                </w:tcPr>
                <w:p>
                  <w:pPr>
                    <w:jc w:val="center"/>
                    <w:rPr>
                      <w:szCs w:val="21"/>
                    </w:rPr>
                  </w:pPr>
                  <w:r>
                    <w:rPr>
                      <w:rFonts w:hint="eastAsia"/>
                      <w:szCs w:val="21"/>
                    </w:rPr>
                    <w:t>70</w:t>
                  </w:r>
                </w:p>
              </w:tc>
              <w:tc>
                <w:tcPr>
                  <w:tcW w:w="2615" w:type="pct"/>
                  <w:tcBorders>
                    <w:tl2br w:val="nil"/>
                    <w:tr2bl w:val="nil"/>
                  </w:tcBorders>
                  <w:vAlign w:val="center"/>
                </w:tcPr>
                <w:p>
                  <w:pPr>
                    <w:jc w:val="center"/>
                    <w:rPr>
                      <w:szCs w:val="21"/>
                    </w:rPr>
                  </w:pPr>
                  <w:r>
                    <w:rPr>
                      <w:rFonts w:hint="eastAsia"/>
                      <w:szCs w:val="21"/>
                    </w:rPr>
                    <w:t>55</w:t>
                  </w:r>
                </w:p>
              </w:tc>
            </w:tr>
          </w:tbl>
          <w:p>
            <w:pPr>
              <w:pStyle w:val="63"/>
              <w:rPr>
                <w:szCs w:val="22"/>
              </w:rPr>
            </w:pPr>
            <w:r>
              <w:rPr>
                <w:rFonts w:hint="eastAsia"/>
                <w:szCs w:val="22"/>
              </w:rPr>
              <w:t>运营期厂界</w:t>
            </w:r>
            <w:r>
              <w:rPr>
                <w:szCs w:val="22"/>
              </w:rPr>
              <w:t>噪声执行《工业企业厂界环境噪声排放标准》(GB12348-2008)中</w:t>
            </w:r>
            <w:r>
              <w:rPr>
                <w:rFonts w:hint="eastAsia"/>
                <w:szCs w:val="22"/>
                <w:lang w:val="en-US" w:eastAsia="zh-CN"/>
              </w:rPr>
              <w:t>2</w:t>
            </w:r>
            <w:r>
              <w:rPr>
                <w:szCs w:val="22"/>
              </w:rPr>
              <w:t>类标准</w:t>
            </w:r>
            <w:r>
              <w:rPr>
                <w:rFonts w:hint="eastAsia"/>
                <w:szCs w:val="22"/>
              </w:rPr>
              <w:t>；</w:t>
            </w:r>
          </w:p>
          <w:p>
            <w:pPr>
              <w:pStyle w:val="79"/>
              <w:spacing w:line="240" w:lineRule="auto"/>
              <w:rPr>
                <w:rFonts w:ascii="Times New Roman" w:hAnsi="Times New Roman" w:cs="Times New Roman"/>
              </w:rPr>
            </w:pPr>
            <w:r>
              <w:rPr>
                <w:rFonts w:ascii="Times New Roman" w:hAnsi="Times New Roman" w:cs="Times New Roman"/>
              </w:rPr>
              <w:t>表3-</w:t>
            </w:r>
            <w:r>
              <w:rPr>
                <w:rFonts w:hint="eastAsia" w:ascii="Times New Roman" w:hAnsi="Times New Roman" w:cs="Times New Roman"/>
                <w:lang w:val="en-US" w:eastAsia="zh-CN"/>
              </w:rPr>
              <w:t>8</w:t>
            </w:r>
            <w:r>
              <w:rPr>
                <w:rFonts w:ascii="Times New Roman" w:hAnsi="Times New Roman" w:cs="Times New Roman"/>
              </w:rPr>
              <w:t xml:space="preserve">  工业企业厂界环境噪声排放标准</w:t>
            </w:r>
            <w:r>
              <w:rPr>
                <w:rStyle w:val="35"/>
                <w:rFonts w:ascii="Times New Roman" w:hAnsi="Times New Roman" w:eastAsia="宋体" w:cs="Times New Roman"/>
                <w:snapToGrid/>
                <w:sz w:val="24"/>
              </w:rPr>
              <w:t xml:space="preserve">  </w:t>
            </w:r>
            <w:r>
              <w:rPr>
                <w:rFonts w:ascii="Times New Roman" w:hAnsi="Times New Roman" w:cs="Times New Roman"/>
              </w:rPr>
              <w:t>单位</w:t>
            </w:r>
            <w:r>
              <w:rPr>
                <w:rFonts w:ascii="Times New Roman" w:hAnsi="Times New Roman" w:eastAsia="宋体" w:cs="Times New Roman"/>
              </w:rPr>
              <w:t>：</w:t>
            </w:r>
            <w:r>
              <w:rPr>
                <w:rFonts w:ascii="Times New Roman" w:hAnsi="Times New Roman" w:cs="Times New Roman"/>
              </w:rPr>
              <w:t>dB（A）</w:t>
            </w:r>
          </w:p>
          <w:tbl>
            <w:tblPr>
              <w:tblStyle w:val="2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54"/>
              <w:gridCol w:w="2660"/>
              <w:gridCol w:w="26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6" w:hRule="atLeast"/>
              </w:trPr>
              <w:tc>
                <w:tcPr>
                  <w:tcW w:w="2654" w:type="dxa"/>
                  <w:vAlign w:val="center"/>
                </w:tcPr>
                <w:p>
                  <w:pPr>
                    <w:jc w:val="center"/>
                    <w:rPr>
                      <w:szCs w:val="21"/>
                    </w:rPr>
                  </w:pPr>
                  <w:r>
                    <w:rPr>
                      <w:szCs w:val="21"/>
                    </w:rPr>
                    <w:t>类  别</w:t>
                  </w:r>
                </w:p>
              </w:tc>
              <w:tc>
                <w:tcPr>
                  <w:tcW w:w="2660" w:type="dxa"/>
                  <w:vAlign w:val="center"/>
                </w:tcPr>
                <w:p>
                  <w:pPr>
                    <w:jc w:val="center"/>
                    <w:rPr>
                      <w:szCs w:val="21"/>
                    </w:rPr>
                  </w:pPr>
                  <w:r>
                    <w:rPr>
                      <w:szCs w:val="21"/>
                    </w:rPr>
                    <w:t>昼  间</w:t>
                  </w:r>
                </w:p>
              </w:tc>
              <w:tc>
                <w:tcPr>
                  <w:tcW w:w="2660" w:type="dxa"/>
                  <w:vAlign w:val="center"/>
                </w:tcPr>
                <w:p>
                  <w:pPr>
                    <w:jc w:val="center"/>
                    <w:rPr>
                      <w:szCs w:val="21"/>
                    </w:rPr>
                  </w:pPr>
                  <w:r>
                    <w:rPr>
                      <w:szCs w:val="21"/>
                    </w:rPr>
                    <w:t>夜  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654" w:type="dxa"/>
                  <w:vAlign w:val="center"/>
                </w:tcPr>
                <w:p>
                  <w:pPr>
                    <w:jc w:val="center"/>
                    <w:rPr>
                      <w:szCs w:val="21"/>
                    </w:rPr>
                  </w:pPr>
                  <w:r>
                    <w:rPr>
                      <w:rFonts w:hint="eastAsia"/>
                      <w:szCs w:val="21"/>
                      <w:lang w:val="en-US" w:eastAsia="zh-CN"/>
                    </w:rPr>
                    <w:t>2</w:t>
                  </w:r>
                  <w:r>
                    <w:rPr>
                      <w:szCs w:val="21"/>
                    </w:rPr>
                    <w:t>类标准</w:t>
                  </w:r>
                </w:p>
              </w:tc>
              <w:tc>
                <w:tcPr>
                  <w:tcW w:w="2660" w:type="dxa"/>
                  <w:vAlign w:val="center"/>
                </w:tcPr>
                <w:p>
                  <w:pPr>
                    <w:jc w:val="center"/>
                    <w:rPr>
                      <w:szCs w:val="21"/>
                    </w:rPr>
                  </w:pPr>
                  <w:r>
                    <w:rPr>
                      <w:szCs w:val="21"/>
                    </w:rPr>
                    <w:t>6</w:t>
                  </w:r>
                  <w:r>
                    <w:rPr>
                      <w:rFonts w:hint="eastAsia"/>
                      <w:szCs w:val="21"/>
                      <w:lang w:val="en-US" w:eastAsia="zh-CN"/>
                    </w:rPr>
                    <w:t>0</w:t>
                  </w:r>
                  <w:r>
                    <w:t>dB（A）</w:t>
                  </w:r>
                </w:p>
              </w:tc>
              <w:tc>
                <w:tcPr>
                  <w:tcW w:w="2660" w:type="dxa"/>
                  <w:vAlign w:val="center"/>
                </w:tcPr>
                <w:p>
                  <w:pPr>
                    <w:jc w:val="center"/>
                    <w:rPr>
                      <w:szCs w:val="21"/>
                    </w:rPr>
                  </w:pPr>
                  <w:r>
                    <w:rPr>
                      <w:szCs w:val="21"/>
                    </w:rPr>
                    <w:t>5</w:t>
                  </w:r>
                  <w:r>
                    <w:rPr>
                      <w:rFonts w:hint="eastAsia"/>
                      <w:szCs w:val="21"/>
                      <w:lang w:val="en-US" w:eastAsia="zh-CN"/>
                    </w:rPr>
                    <w:t>0</w:t>
                  </w:r>
                  <w:r>
                    <w:t>dB（A）</w:t>
                  </w:r>
                </w:p>
              </w:tc>
            </w:tr>
          </w:tbl>
          <w:p>
            <w:pPr>
              <w:pStyle w:val="63"/>
              <w:rPr>
                <w:bCs/>
              </w:rPr>
            </w:pPr>
            <w:r>
              <w:rPr>
                <w:rFonts w:hint="eastAsia"/>
                <w:szCs w:val="22"/>
              </w:rPr>
              <w:t>（4）一般固废：</w:t>
            </w:r>
            <w:r>
              <w:rPr>
                <w:rFonts w:hint="eastAsia"/>
                <w:bCs/>
              </w:rPr>
              <w:t>《一般工业固体废物贮存和填埋污染控制标准》（GB18599-2020）；</w:t>
            </w:r>
          </w:p>
          <w:p>
            <w:pPr>
              <w:pStyle w:val="63"/>
              <w:rPr>
                <w:rFonts w:ascii="宋体" w:hAnsi="宋体"/>
                <w:kern w:val="0"/>
              </w:rPr>
            </w:pPr>
            <w:r>
              <w:rPr>
                <w:rFonts w:hint="eastAsia"/>
                <w:szCs w:val="22"/>
              </w:rPr>
              <w:t>（5）危险废物：</w:t>
            </w:r>
            <w:r>
              <w:rPr>
                <w:szCs w:val="22"/>
              </w:rPr>
              <w:t>危险</w:t>
            </w:r>
            <w:r>
              <w:t>废物执行《危险废物贮存污染控制标准》（GB1859</w:t>
            </w:r>
            <w:r>
              <w:rPr>
                <w:rFonts w:hint="eastAsia"/>
              </w:rPr>
              <w:t>7</w:t>
            </w:r>
            <w:r>
              <w:t>-2001）及环保部公告2013第36号</w:t>
            </w:r>
            <w:r>
              <w:rPr>
                <w:rFonts w:hint="eastAsi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67" w:hRule="atLeast"/>
          <w:jc w:val="center"/>
        </w:trPr>
        <w:tc>
          <w:tcPr>
            <w:tcW w:w="800" w:type="dxa"/>
            <w:vAlign w:val="center"/>
          </w:tcPr>
          <w:p>
            <w:pPr>
              <w:adjustRightInd w:val="0"/>
              <w:snapToGrid w:val="0"/>
              <w:jc w:val="center"/>
              <w:rPr>
                <w:rFonts w:ascii="宋体" w:hAnsi="宋体" w:cs="宋体"/>
                <w:kern w:val="0"/>
                <w:sz w:val="24"/>
              </w:rPr>
            </w:pPr>
            <w:r>
              <w:rPr>
                <w:rFonts w:hint="eastAsia" w:ascii="宋体" w:hAnsi="宋体" w:cs="宋体"/>
                <w:kern w:val="0"/>
                <w:sz w:val="24"/>
              </w:rPr>
              <w:t>总</w:t>
            </w:r>
          </w:p>
          <w:p>
            <w:pPr>
              <w:adjustRightInd w:val="0"/>
              <w:snapToGrid w:val="0"/>
              <w:jc w:val="center"/>
              <w:rPr>
                <w:rFonts w:ascii="宋体" w:hAnsi="宋体" w:cs="宋体"/>
                <w:kern w:val="0"/>
                <w:sz w:val="24"/>
              </w:rPr>
            </w:pPr>
            <w:r>
              <w:rPr>
                <w:rFonts w:hint="eastAsia" w:ascii="宋体" w:hAnsi="宋体" w:cs="宋体"/>
                <w:kern w:val="0"/>
                <w:sz w:val="24"/>
              </w:rPr>
              <w:t>量</w:t>
            </w:r>
          </w:p>
          <w:p>
            <w:pPr>
              <w:adjustRightInd w:val="0"/>
              <w:snapToGrid w:val="0"/>
              <w:jc w:val="center"/>
              <w:rPr>
                <w:rFonts w:ascii="宋体" w:hAnsi="宋体" w:cs="宋体"/>
                <w:kern w:val="0"/>
                <w:sz w:val="24"/>
              </w:rPr>
            </w:pPr>
            <w:r>
              <w:rPr>
                <w:rFonts w:hint="eastAsia" w:ascii="宋体" w:hAnsi="宋体" w:cs="宋体"/>
                <w:kern w:val="0"/>
                <w:sz w:val="24"/>
              </w:rPr>
              <w:t>控</w:t>
            </w:r>
          </w:p>
          <w:p>
            <w:pPr>
              <w:adjustRightInd w:val="0"/>
              <w:snapToGrid w:val="0"/>
              <w:jc w:val="center"/>
              <w:rPr>
                <w:rFonts w:ascii="宋体" w:hAnsi="宋体" w:cs="宋体"/>
                <w:kern w:val="0"/>
                <w:sz w:val="24"/>
              </w:rPr>
            </w:pPr>
            <w:r>
              <w:rPr>
                <w:rFonts w:hint="eastAsia" w:ascii="宋体" w:hAnsi="宋体" w:cs="宋体"/>
                <w:kern w:val="0"/>
                <w:sz w:val="24"/>
              </w:rPr>
              <w:t>制</w:t>
            </w:r>
          </w:p>
          <w:p>
            <w:pPr>
              <w:adjustRightInd w:val="0"/>
              <w:snapToGrid w:val="0"/>
              <w:jc w:val="center"/>
              <w:rPr>
                <w:rFonts w:ascii="宋体" w:hAnsi="宋体" w:cs="宋体"/>
                <w:kern w:val="0"/>
                <w:sz w:val="24"/>
              </w:rPr>
            </w:pPr>
            <w:r>
              <w:rPr>
                <w:rFonts w:hint="eastAsia" w:ascii="宋体" w:hAnsi="宋体" w:cs="宋体"/>
                <w:kern w:val="0"/>
                <w:sz w:val="24"/>
              </w:rPr>
              <w:t>指</w:t>
            </w:r>
          </w:p>
          <w:p>
            <w:pPr>
              <w:adjustRightInd w:val="0"/>
              <w:snapToGrid w:val="0"/>
              <w:jc w:val="center"/>
              <w:rPr>
                <w:rFonts w:ascii="宋体" w:hAnsi="宋体" w:cs="宋体"/>
                <w:kern w:val="0"/>
                <w:sz w:val="24"/>
              </w:rPr>
            </w:pPr>
            <w:r>
              <w:rPr>
                <w:rFonts w:hint="eastAsia" w:ascii="宋体" w:hAnsi="宋体" w:cs="宋体"/>
                <w:kern w:val="0"/>
                <w:sz w:val="24"/>
              </w:rPr>
              <w:t>标</w:t>
            </w:r>
          </w:p>
        </w:tc>
        <w:tc>
          <w:tcPr>
            <w:tcW w:w="8190" w:type="dxa"/>
            <w:vAlign w:val="center"/>
          </w:tcPr>
          <w:p>
            <w:pPr>
              <w:spacing w:line="360" w:lineRule="auto"/>
              <w:ind w:firstLine="480" w:firstLineChars="200"/>
              <w:rPr>
                <w:rFonts w:ascii="宋体" w:hAnsi="宋体" w:cs="宋体"/>
                <w:sz w:val="24"/>
              </w:rPr>
            </w:pPr>
            <w:r>
              <w:rPr>
                <w:sz w:val="24"/>
              </w:rPr>
              <w:t>根据国家规定的总量控制污染物种类，结合本项目的排污特点、所在区域的环境质量现状等因素综合考虑，本项目</w:t>
            </w:r>
            <w:r>
              <w:rPr>
                <w:rFonts w:hint="eastAsia"/>
                <w:sz w:val="24"/>
              </w:rPr>
              <w:t>无需设置</w:t>
            </w:r>
            <w:r>
              <w:rPr>
                <w:sz w:val="24"/>
              </w:rPr>
              <w:t>总量控制污染物</w:t>
            </w:r>
            <w:r>
              <w:rPr>
                <w:bCs/>
                <w:sz w:val="24"/>
              </w:rPr>
              <w:t>。</w:t>
            </w:r>
          </w:p>
        </w:tc>
      </w:tr>
    </w:tbl>
    <w:p>
      <w:pPr>
        <w:pStyle w:val="25"/>
        <w:jc w:val="center"/>
        <w:outlineLvl w:val="0"/>
        <w:rPr>
          <w:rFonts w:ascii="黑体" w:hAnsi="黑体" w:eastAsia="黑体"/>
          <w:snapToGrid w:val="0"/>
          <w:sz w:val="30"/>
          <w:szCs w:val="30"/>
        </w:rPr>
      </w:pPr>
      <w:r>
        <w:rPr>
          <w:rFonts w:ascii="黑体" w:hAnsi="黑体" w:eastAsia="黑体"/>
          <w:snapToGrid w:val="0"/>
          <w:sz w:val="36"/>
          <w:szCs w:val="36"/>
        </w:rPr>
        <w:br w:type="page"/>
      </w:r>
      <w:r>
        <w:rPr>
          <w:rFonts w:hint="eastAsia" w:ascii="黑体" w:hAnsi="黑体" w:eastAsia="黑体"/>
          <w:snapToGrid w:val="0"/>
          <w:sz w:val="30"/>
          <w:szCs w:val="30"/>
        </w:rPr>
        <w:t>四、主要环境影响和保护措施</w:t>
      </w:r>
    </w:p>
    <w:tbl>
      <w:tblPr>
        <w:tblStyle w:val="29"/>
        <w:tblW w:w="984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10"/>
        <w:gridCol w:w="933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8" w:hRule="atLeast"/>
          <w:jc w:val="center"/>
        </w:trPr>
        <w:tc>
          <w:tcPr>
            <w:tcW w:w="581" w:type="dxa"/>
            <w:tcMar>
              <w:left w:w="28" w:type="dxa"/>
              <w:right w:w="28" w:type="dxa"/>
            </w:tcMar>
            <w:vAlign w:val="center"/>
          </w:tcPr>
          <w:p>
            <w:pPr>
              <w:widowControl/>
              <w:spacing w:line="520" w:lineRule="exact"/>
              <w:jc w:val="center"/>
              <w:rPr>
                <w:sz w:val="24"/>
              </w:rPr>
            </w:pPr>
            <w:r>
              <w:rPr>
                <w:sz w:val="24"/>
              </w:rPr>
              <w:t>施工</w:t>
            </w:r>
          </w:p>
          <w:p>
            <w:pPr>
              <w:widowControl/>
              <w:spacing w:line="520" w:lineRule="exact"/>
              <w:jc w:val="center"/>
              <w:rPr>
                <w:sz w:val="24"/>
              </w:rPr>
            </w:pPr>
            <w:r>
              <w:rPr>
                <w:sz w:val="24"/>
              </w:rPr>
              <w:t>期环</w:t>
            </w:r>
          </w:p>
          <w:p>
            <w:pPr>
              <w:widowControl/>
              <w:spacing w:line="520" w:lineRule="exact"/>
              <w:jc w:val="center"/>
              <w:rPr>
                <w:sz w:val="24"/>
              </w:rPr>
            </w:pPr>
            <w:r>
              <w:rPr>
                <w:sz w:val="24"/>
              </w:rPr>
              <w:t>境保</w:t>
            </w:r>
          </w:p>
          <w:p>
            <w:pPr>
              <w:widowControl/>
              <w:spacing w:line="520" w:lineRule="exact"/>
              <w:jc w:val="center"/>
              <w:rPr>
                <w:sz w:val="24"/>
              </w:rPr>
            </w:pPr>
            <w:r>
              <w:rPr>
                <w:sz w:val="24"/>
              </w:rPr>
              <w:t>护措</w:t>
            </w:r>
          </w:p>
          <w:p>
            <w:pPr>
              <w:widowControl/>
              <w:spacing w:line="520" w:lineRule="exact"/>
              <w:jc w:val="center"/>
              <w:rPr>
                <w:sz w:val="24"/>
              </w:rPr>
            </w:pPr>
            <w:r>
              <w:rPr>
                <w:sz w:val="24"/>
              </w:rPr>
              <w:t>施</w:t>
            </w:r>
          </w:p>
        </w:tc>
        <w:tc>
          <w:tcPr>
            <w:tcW w:w="9265" w:type="dxa"/>
            <w:vAlign w:val="center"/>
          </w:tcPr>
          <w:p>
            <w:pPr>
              <w:widowControl/>
              <w:spacing w:line="520" w:lineRule="exact"/>
              <w:ind w:firstLine="482" w:firstLineChars="200"/>
              <w:rPr>
                <w:b/>
                <w:bCs/>
                <w:sz w:val="24"/>
              </w:rPr>
            </w:pPr>
            <w:r>
              <w:rPr>
                <w:b/>
                <w:bCs/>
                <w:sz w:val="24"/>
              </w:rPr>
              <w:t>1</w:t>
            </w:r>
            <w:r>
              <w:rPr>
                <w:rFonts w:hint="eastAsia"/>
                <w:b/>
                <w:bCs/>
                <w:sz w:val="24"/>
              </w:rPr>
              <w:t>、</w:t>
            </w:r>
            <w:r>
              <w:rPr>
                <w:b/>
                <w:bCs/>
                <w:sz w:val="24"/>
              </w:rPr>
              <w:t>大气环境</w:t>
            </w:r>
          </w:p>
          <w:p>
            <w:pPr>
              <w:widowControl/>
              <w:spacing w:line="520" w:lineRule="exact"/>
              <w:ind w:firstLine="480" w:firstLineChars="200"/>
              <w:rPr>
                <w:sz w:val="24"/>
              </w:rPr>
            </w:pPr>
            <w:r>
              <w:rPr>
                <w:rFonts w:hint="eastAsia"/>
                <w:sz w:val="24"/>
              </w:rPr>
              <w:t>本项目施工期主要大气污染物为扬尘和</w:t>
            </w:r>
            <w:r>
              <w:rPr>
                <w:sz w:val="24"/>
              </w:rPr>
              <w:t>施工机械尾气</w:t>
            </w:r>
            <w:r>
              <w:rPr>
                <w:rFonts w:hint="eastAsia"/>
                <w:sz w:val="24"/>
              </w:rPr>
              <w:t>。</w:t>
            </w:r>
          </w:p>
          <w:p>
            <w:pPr>
              <w:widowControl/>
              <w:spacing w:line="520" w:lineRule="exact"/>
              <w:ind w:firstLine="482" w:firstLineChars="200"/>
              <w:rPr>
                <w:sz w:val="24"/>
              </w:rPr>
            </w:pPr>
            <w:r>
              <w:rPr>
                <w:rFonts w:hint="eastAsia"/>
                <w:b/>
                <w:bCs/>
                <w:sz w:val="24"/>
              </w:rPr>
              <w:t>施工扬尘污染</w:t>
            </w:r>
            <w:r>
              <w:rPr>
                <w:b/>
                <w:bCs/>
                <w:sz w:val="24"/>
              </w:rPr>
              <w:t>防治措施：</w:t>
            </w:r>
          </w:p>
          <w:p>
            <w:pPr>
              <w:widowControl/>
              <w:spacing w:line="520" w:lineRule="exact"/>
              <w:ind w:firstLine="480" w:firstLineChars="200"/>
              <w:rPr>
                <w:sz w:val="24"/>
              </w:rPr>
            </w:pPr>
            <w:r>
              <w:rPr>
                <w:rFonts w:hint="eastAsia"/>
                <w:sz w:val="24"/>
              </w:rPr>
              <w:t>（1）</w:t>
            </w:r>
            <w:r>
              <w:rPr>
                <w:sz w:val="24"/>
              </w:rPr>
              <w:t>在</w:t>
            </w:r>
            <w:r>
              <w:rPr>
                <w:rFonts w:hint="eastAsia"/>
                <w:sz w:val="24"/>
                <w:lang w:val="en-US" w:eastAsia="zh-CN"/>
              </w:rPr>
              <w:t>遗留建筑拆除及</w:t>
            </w:r>
            <w:r>
              <w:rPr>
                <w:sz w:val="24"/>
              </w:rPr>
              <w:t>施工机械机运行时洒水防止扬尘。对操作人员实行卫生防护，如配带口罩风镜等。</w:t>
            </w:r>
          </w:p>
          <w:p>
            <w:pPr>
              <w:widowControl/>
              <w:spacing w:line="520" w:lineRule="exact"/>
              <w:ind w:firstLine="480" w:firstLineChars="200"/>
              <w:rPr>
                <w:sz w:val="24"/>
              </w:rPr>
            </w:pPr>
            <w:r>
              <w:rPr>
                <w:rFonts w:hint="eastAsia"/>
                <w:sz w:val="24"/>
              </w:rPr>
              <w:t>（2）</w:t>
            </w:r>
            <w:r>
              <w:rPr>
                <w:sz w:val="24"/>
              </w:rPr>
              <w:t>对于运输沙土及其它施工材料、倒运土方的车辆应加盖篷布，以避免运输过程中产生的粉尘影响运输道路沿途的空气质量，保证施工车辆工况良好，以降低尾气CO、NO</w:t>
            </w:r>
            <w:r>
              <w:rPr>
                <w:sz w:val="24"/>
                <w:vertAlign w:val="subscript"/>
              </w:rPr>
              <w:t>x</w:t>
            </w:r>
            <w:r>
              <w:rPr>
                <w:sz w:val="24"/>
              </w:rPr>
              <w:t>、SO</w:t>
            </w:r>
            <w:r>
              <w:rPr>
                <w:sz w:val="24"/>
                <w:vertAlign w:val="subscript"/>
              </w:rPr>
              <w:t>2</w:t>
            </w:r>
            <w:r>
              <w:rPr>
                <w:sz w:val="24"/>
              </w:rPr>
              <w:t>等的排放。</w:t>
            </w:r>
          </w:p>
          <w:p>
            <w:pPr>
              <w:widowControl/>
              <w:spacing w:line="520" w:lineRule="exact"/>
              <w:ind w:firstLine="480" w:firstLineChars="200"/>
              <w:rPr>
                <w:sz w:val="24"/>
              </w:rPr>
            </w:pPr>
            <w:r>
              <w:rPr>
                <w:rFonts w:hint="eastAsia"/>
                <w:sz w:val="24"/>
              </w:rPr>
              <w:t>（3）</w:t>
            </w:r>
            <w:r>
              <w:rPr>
                <w:sz w:val="24"/>
              </w:rPr>
              <w:t>运输道路应经常洒水，以减少扬尘污染，限制车辆行驶速度（不大于5km/h）。</w:t>
            </w:r>
          </w:p>
          <w:p>
            <w:pPr>
              <w:widowControl/>
              <w:spacing w:line="520" w:lineRule="exact"/>
              <w:ind w:firstLine="480" w:firstLineChars="200"/>
              <w:rPr>
                <w:sz w:val="24"/>
              </w:rPr>
            </w:pPr>
            <w:r>
              <w:rPr>
                <w:rFonts w:hint="eastAsia"/>
                <w:sz w:val="24"/>
              </w:rPr>
              <w:t>（4）</w:t>
            </w:r>
            <w:r>
              <w:rPr>
                <w:sz w:val="24"/>
              </w:rPr>
              <w:t>文明施工，对施工机械进行适当的保养、维修和操作，以减少施工作业中大气污染物的排放。</w:t>
            </w:r>
          </w:p>
          <w:p>
            <w:pPr>
              <w:widowControl/>
              <w:spacing w:line="520" w:lineRule="exact"/>
              <w:ind w:firstLine="480" w:firstLineChars="200"/>
              <w:rPr>
                <w:sz w:val="24"/>
              </w:rPr>
            </w:pPr>
            <w:r>
              <w:rPr>
                <w:rFonts w:hint="eastAsia"/>
                <w:sz w:val="24"/>
              </w:rPr>
              <w:t>（5）</w:t>
            </w:r>
            <w:r>
              <w:rPr>
                <w:sz w:val="24"/>
              </w:rPr>
              <w:t>禁止六级及以上大风天气施工，避免在大风天气进行大量挖土、堆土及运输土方的工作。</w:t>
            </w:r>
          </w:p>
          <w:p>
            <w:pPr>
              <w:widowControl/>
              <w:spacing w:line="520" w:lineRule="exact"/>
              <w:ind w:firstLine="480" w:firstLineChars="200"/>
              <w:rPr>
                <w:sz w:val="24"/>
              </w:rPr>
            </w:pPr>
            <w:r>
              <w:rPr>
                <w:rFonts w:hint="eastAsia"/>
                <w:sz w:val="24"/>
              </w:rPr>
              <w:t>（6）</w:t>
            </w:r>
            <w:r>
              <w:rPr>
                <w:sz w:val="24"/>
              </w:rPr>
              <w:t>施工过程中如遇重污染天气预警，必须立即停止施工。</w:t>
            </w:r>
          </w:p>
          <w:p>
            <w:pPr>
              <w:widowControl/>
              <w:spacing w:line="520" w:lineRule="exact"/>
              <w:ind w:firstLine="480" w:firstLineChars="200"/>
              <w:rPr>
                <w:sz w:val="24"/>
              </w:rPr>
            </w:pPr>
            <w:r>
              <w:rPr>
                <w:rFonts w:hint="eastAsia"/>
                <w:sz w:val="24"/>
              </w:rPr>
              <w:t>（7）</w:t>
            </w:r>
            <w:r>
              <w:rPr>
                <w:sz w:val="24"/>
              </w:rPr>
              <w:t>做好施工现场周边土地平整工作，对挖方产生的临时堆土实行定期喷洒、覆盖等防护措施。</w:t>
            </w:r>
          </w:p>
          <w:p>
            <w:pPr>
              <w:widowControl/>
              <w:spacing w:line="520" w:lineRule="exact"/>
              <w:ind w:firstLine="480" w:firstLineChars="200"/>
              <w:rPr>
                <w:sz w:val="24"/>
              </w:rPr>
            </w:pPr>
            <w:r>
              <w:rPr>
                <w:rFonts w:hint="eastAsia"/>
                <w:sz w:val="24"/>
              </w:rPr>
              <w:t>（8）</w:t>
            </w:r>
            <w:r>
              <w:rPr>
                <w:sz w:val="24"/>
              </w:rPr>
              <w:t>施工场地四周设防尘彩钢板减少扬尘影响建设方在采取上述措施后，预计能减少施工废气对周围环境的影响，且这种影响是暂时的，随施工结束影响逐渐消失。</w:t>
            </w:r>
          </w:p>
          <w:p>
            <w:pPr>
              <w:widowControl/>
              <w:spacing w:line="520" w:lineRule="exact"/>
              <w:ind w:firstLine="480" w:firstLineChars="200"/>
              <w:rPr>
                <w:sz w:val="24"/>
              </w:rPr>
            </w:pPr>
            <w:r>
              <w:rPr>
                <w:sz w:val="24"/>
              </w:rPr>
              <w:t>（</w:t>
            </w:r>
            <w:r>
              <w:rPr>
                <w:rFonts w:hint="eastAsia"/>
                <w:sz w:val="24"/>
              </w:rPr>
              <w:t>9</w:t>
            </w:r>
            <w:r>
              <w:rPr>
                <w:sz w:val="24"/>
              </w:rPr>
              <w:t>）运输车辆、机械设备废气</w:t>
            </w:r>
            <w:r>
              <w:rPr>
                <w:rFonts w:hint="eastAsia"/>
                <w:sz w:val="24"/>
              </w:rPr>
              <w:t>防治措施</w:t>
            </w:r>
          </w:p>
          <w:p>
            <w:pPr>
              <w:widowControl/>
              <w:spacing w:line="520" w:lineRule="exact"/>
              <w:ind w:firstLine="480" w:firstLineChars="200"/>
              <w:rPr>
                <w:sz w:val="24"/>
              </w:rPr>
            </w:pPr>
            <w:r>
              <w:rPr>
                <w:rFonts w:hint="eastAsia"/>
                <w:sz w:val="24"/>
              </w:rPr>
              <w:t>施工机械尾气</w:t>
            </w:r>
            <w:r>
              <w:rPr>
                <w:sz w:val="24"/>
              </w:rPr>
              <w:t>主要含有CO、NO</w:t>
            </w:r>
            <w:r>
              <w:rPr>
                <w:sz w:val="24"/>
                <w:vertAlign w:val="subscript"/>
              </w:rPr>
              <w:t>x</w:t>
            </w:r>
            <w:r>
              <w:rPr>
                <w:sz w:val="24"/>
              </w:rPr>
              <w:t>等污染物。</w:t>
            </w:r>
            <w:r>
              <w:rPr>
                <w:rFonts w:hint="eastAsia"/>
                <w:sz w:val="24"/>
              </w:rPr>
              <w:t>应采取以下措施</w:t>
            </w:r>
            <w:r>
              <w:rPr>
                <w:rFonts w:hint="eastAsia"/>
                <w:b/>
                <w:bCs/>
                <w:sz w:val="24"/>
              </w:rPr>
              <w:t>：</w:t>
            </w:r>
            <w:r>
              <w:rPr>
                <w:sz w:val="24"/>
              </w:rPr>
              <w:t>施工场地内限速行驶并保持路面的清洁。加强对施工车辆的检修和维护，严禁使用超期服役和尾气超标的车辆。对施工期进出现场车流量进行合理安排，防止施工现场车流量过大。尽可能使用耗油低，排气小的施工车辆，选用优质燃油，减少机械和车辆有害废气排放。施工过程中禁止将废弃的建筑材料作为燃料燃烧</w:t>
            </w:r>
            <w:r>
              <w:rPr>
                <w:rFonts w:hint="eastAsia"/>
                <w:sz w:val="24"/>
              </w:rPr>
              <w:t>。</w:t>
            </w:r>
          </w:p>
          <w:p>
            <w:pPr>
              <w:widowControl/>
              <w:spacing w:line="520" w:lineRule="exact"/>
              <w:ind w:firstLine="482" w:firstLineChars="200"/>
              <w:rPr>
                <w:b/>
                <w:bCs/>
                <w:sz w:val="24"/>
              </w:rPr>
            </w:pPr>
            <w:r>
              <w:rPr>
                <w:b/>
                <w:bCs/>
                <w:sz w:val="24"/>
              </w:rPr>
              <w:t>2</w:t>
            </w:r>
            <w:r>
              <w:rPr>
                <w:rFonts w:hint="eastAsia"/>
                <w:b/>
                <w:bCs/>
                <w:sz w:val="24"/>
              </w:rPr>
              <w:t>、</w:t>
            </w:r>
            <w:r>
              <w:rPr>
                <w:b/>
                <w:bCs/>
                <w:sz w:val="24"/>
              </w:rPr>
              <w:t>水环境</w:t>
            </w:r>
          </w:p>
          <w:p>
            <w:pPr>
              <w:widowControl/>
              <w:spacing w:line="520" w:lineRule="exact"/>
              <w:ind w:firstLine="480" w:firstLineChars="200"/>
              <w:rPr>
                <w:sz w:val="24"/>
              </w:rPr>
            </w:pPr>
            <w:r>
              <w:rPr>
                <w:rFonts w:hint="eastAsia"/>
                <w:sz w:val="24"/>
              </w:rPr>
              <w:t>施工废水包括施工机械清洗废水及施工人员生活污水，主要污染物有</w:t>
            </w:r>
            <w:r>
              <w:rPr>
                <w:sz w:val="24"/>
              </w:rPr>
              <w:t>SS、石油类</w:t>
            </w:r>
            <w:r>
              <w:rPr>
                <w:rFonts w:hint="eastAsia"/>
                <w:sz w:val="24"/>
              </w:rPr>
              <w:t>、</w:t>
            </w:r>
            <w:r>
              <w:rPr>
                <w:sz w:val="24"/>
              </w:rPr>
              <w:t>COD</w:t>
            </w:r>
            <w:r>
              <w:rPr>
                <w:rFonts w:hint="eastAsia"/>
                <w:sz w:val="24"/>
                <w:vertAlign w:val="subscript"/>
              </w:rPr>
              <w:t>Cr</w:t>
            </w:r>
            <w:r>
              <w:rPr>
                <w:sz w:val="24"/>
              </w:rPr>
              <w:t>、BOD</w:t>
            </w:r>
            <w:r>
              <w:rPr>
                <w:rFonts w:hint="eastAsia"/>
                <w:sz w:val="24"/>
                <w:vertAlign w:val="subscript"/>
              </w:rPr>
              <w:t>5</w:t>
            </w:r>
            <w:r>
              <w:rPr>
                <w:sz w:val="24"/>
              </w:rPr>
              <w:t>等</w:t>
            </w:r>
            <w:r>
              <w:rPr>
                <w:rFonts w:hint="eastAsia"/>
                <w:sz w:val="24"/>
              </w:rPr>
              <w:t>。</w:t>
            </w:r>
          </w:p>
          <w:p>
            <w:pPr>
              <w:widowControl/>
              <w:spacing w:line="520" w:lineRule="exact"/>
              <w:ind w:firstLine="480" w:firstLineChars="200"/>
              <w:rPr>
                <w:sz w:val="24"/>
                <w:lang w:val="zh-CN"/>
              </w:rPr>
            </w:pPr>
            <w:r>
              <w:rPr>
                <w:rFonts w:hint="eastAsia"/>
                <w:sz w:val="24"/>
              </w:rPr>
              <w:t>施工生产废水设临时沉砂池将废水沉淀后作为施工生产用水或场地洒水，生产废水不外排</w:t>
            </w:r>
            <w:r>
              <w:rPr>
                <w:sz w:val="24"/>
              </w:rPr>
              <w:t>水</w:t>
            </w:r>
            <w:r>
              <w:rPr>
                <w:rFonts w:hint="eastAsia"/>
                <w:sz w:val="24"/>
              </w:rPr>
              <w:t>；生活污水排入厂区防渗化粪池，委托环卫部门吸污车定期清运。</w:t>
            </w:r>
          </w:p>
          <w:p>
            <w:pPr>
              <w:widowControl/>
              <w:spacing w:line="520" w:lineRule="exact"/>
              <w:ind w:firstLine="482" w:firstLineChars="200"/>
              <w:rPr>
                <w:b/>
                <w:bCs/>
                <w:sz w:val="24"/>
              </w:rPr>
            </w:pPr>
            <w:r>
              <w:rPr>
                <w:b/>
                <w:bCs/>
                <w:sz w:val="24"/>
              </w:rPr>
              <w:t>3</w:t>
            </w:r>
            <w:r>
              <w:rPr>
                <w:rFonts w:hint="eastAsia"/>
                <w:b/>
                <w:bCs/>
                <w:sz w:val="24"/>
              </w:rPr>
              <w:t>、</w:t>
            </w:r>
            <w:r>
              <w:rPr>
                <w:b/>
                <w:bCs/>
                <w:sz w:val="24"/>
              </w:rPr>
              <w:t>噪声</w:t>
            </w:r>
          </w:p>
          <w:p>
            <w:pPr>
              <w:widowControl/>
              <w:spacing w:line="520" w:lineRule="exact"/>
              <w:ind w:firstLine="480" w:firstLineChars="200"/>
              <w:rPr>
                <w:sz w:val="24"/>
                <w:lang w:val="zh-CN"/>
              </w:rPr>
            </w:pPr>
            <w:r>
              <w:rPr>
                <w:sz w:val="24"/>
                <w:lang w:val="zh-CN"/>
              </w:rPr>
              <w:t>本项目施工期间的噪声主要来自施工机械和运输车辆，为了减少施工现场噪声污染的影响，施工过程中可采取以下噪声防治措施：</w:t>
            </w:r>
          </w:p>
          <w:p>
            <w:pPr>
              <w:widowControl/>
              <w:spacing w:line="520" w:lineRule="exact"/>
              <w:ind w:firstLine="480" w:firstLineChars="200"/>
              <w:rPr>
                <w:sz w:val="24"/>
                <w:lang w:val="zh-CN"/>
              </w:rPr>
            </w:pPr>
            <w:r>
              <w:rPr>
                <w:rFonts w:hint="eastAsia"/>
                <w:sz w:val="24"/>
                <w:lang w:val="zh-CN"/>
              </w:rPr>
              <w:t>（</w:t>
            </w:r>
            <w:r>
              <w:rPr>
                <w:rFonts w:hint="eastAsia"/>
                <w:sz w:val="24"/>
              </w:rPr>
              <w:t>1</w:t>
            </w:r>
            <w:r>
              <w:rPr>
                <w:rFonts w:hint="eastAsia"/>
                <w:sz w:val="24"/>
                <w:lang w:val="zh-CN"/>
              </w:rPr>
              <w:t>）</w:t>
            </w:r>
            <w:r>
              <w:rPr>
                <w:sz w:val="24"/>
                <w:lang w:val="zh-CN"/>
              </w:rPr>
              <w:t>合理布局高噪声设备，空压机、电锯、备用发电机等可移动的高噪声设备放置在远离环境敏感点一侧，避免在同一地点安排大量动力机械设备，以免局部声级过高。</w:t>
            </w:r>
          </w:p>
          <w:p>
            <w:pPr>
              <w:widowControl/>
              <w:spacing w:line="520" w:lineRule="exact"/>
              <w:ind w:firstLine="480" w:firstLineChars="200"/>
              <w:rPr>
                <w:sz w:val="24"/>
                <w:lang w:val="zh-CN"/>
              </w:rPr>
            </w:pPr>
            <w:r>
              <w:rPr>
                <w:rFonts w:hint="eastAsia"/>
                <w:sz w:val="24"/>
                <w:lang w:val="zh-CN"/>
              </w:rPr>
              <w:t>（</w:t>
            </w:r>
            <w:r>
              <w:rPr>
                <w:rFonts w:hint="eastAsia"/>
                <w:sz w:val="24"/>
              </w:rPr>
              <w:t>2</w:t>
            </w:r>
            <w:r>
              <w:rPr>
                <w:rFonts w:hint="eastAsia"/>
                <w:sz w:val="24"/>
                <w:lang w:val="zh-CN"/>
              </w:rPr>
              <w:t>）</w:t>
            </w:r>
            <w:r>
              <w:rPr>
                <w:sz w:val="24"/>
                <w:lang w:val="zh-CN"/>
              </w:rPr>
              <w:t>施工单位应尽量选用低噪声或带有隔音、消音的机械设备，如以液压机械代替燃油机械，并加强对设备的维护保养。</w:t>
            </w:r>
          </w:p>
          <w:p>
            <w:pPr>
              <w:widowControl/>
              <w:spacing w:line="520" w:lineRule="exact"/>
              <w:ind w:firstLine="480" w:firstLineChars="200"/>
              <w:rPr>
                <w:sz w:val="24"/>
                <w:lang w:val="zh-CN"/>
              </w:rPr>
            </w:pPr>
            <w:r>
              <w:rPr>
                <w:rFonts w:hint="eastAsia"/>
                <w:sz w:val="24"/>
                <w:lang w:val="zh-CN"/>
              </w:rPr>
              <w:t>（</w:t>
            </w:r>
            <w:r>
              <w:rPr>
                <w:rFonts w:hint="eastAsia"/>
                <w:sz w:val="24"/>
              </w:rPr>
              <w:t>3</w:t>
            </w:r>
            <w:r>
              <w:rPr>
                <w:rFonts w:hint="eastAsia"/>
                <w:sz w:val="24"/>
                <w:lang w:val="zh-CN"/>
              </w:rPr>
              <w:t>）</w:t>
            </w:r>
            <w:r>
              <w:rPr>
                <w:sz w:val="24"/>
                <w:lang w:val="zh-CN"/>
              </w:rPr>
              <w:t>降低人为噪声，按规定操作机械设备，模板、支架拆卸吊装过程中，遵守作业规定，减少碰撞噪音。尽量少用哨子等指挥作业，而代以现代化设备，如用无线对讲机等。</w:t>
            </w:r>
          </w:p>
          <w:p>
            <w:pPr>
              <w:widowControl/>
              <w:spacing w:line="520" w:lineRule="exact"/>
              <w:ind w:firstLine="480" w:firstLineChars="200"/>
              <w:rPr>
                <w:sz w:val="24"/>
                <w:lang w:val="zh-CN"/>
              </w:rPr>
            </w:pPr>
            <w:r>
              <w:rPr>
                <w:rFonts w:hint="eastAsia"/>
                <w:sz w:val="24"/>
                <w:lang w:val="zh-CN"/>
              </w:rPr>
              <w:t>（</w:t>
            </w:r>
            <w:r>
              <w:rPr>
                <w:rFonts w:hint="eastAsia"/>
                <w:sz w:val="24"/>
              </w:rPr>
              <w:t>4</w:t>
            </w:r>
            <w:r>
              <w:rPr>
                <w:rFonts w:hint="eastAsia"/>
                <w:sz w:val="24"/>
                <w:lang w:val="zh-CN"/>
              </w:rPr>
              <w:t>）</w:t>
            </w:r>
            <w:r>
              <w:rPr>
                <w:sz w:val="24"/>
                <w:lang w:val="zh-CN"/>
              </w:rPr>
              <w:t>对位置相对固定的高噪声机械设备，尽量在工棚内操作，不能进入棚内的，可采取围档之类的单面隔声板。对各施工环节中噪声较为突出且又难以对声源进行降噪的设备装置，应采取临时围障措施，围障最好敷以吸声材料，以此达到降噪效果。</w:t>
            </w:r>
          </w:p>
          <w:p>
            <w:pPr>
              <w:widowControl/>
              <w:spacing w:line="520" w:lineRule="exact"/>
              <w:ind w:firstLine="480" w:firstLineChars="200"/>
              <w:rPr>
                <w:sz w:val="24"/>
                <w:lang w:val="zh-CN"/>
              </w:rPr>
            </w:pPr>
            <w:r>
              <w:rPr>
                <w:rFonts w:hint="eastAsia"/>
                <w:sz w:val="24"/>
                <w:lang w:val="zh-CN"/>
              </w:rPr>
              <w:t>（</w:t>
            </w:r>
            <w:r>
              <w:rPr>
                <w:rFonts w:hint="eastAsia"/>
                <w:sz w:val="24"/>
              </w:rPr>
              <w:t>5</w:t>
            </w:r>
            <w:r>
              <w:rPr>
                <w:rFonts w:hint="eastAsia"/>
                <w:sz w:val="24"/>
                <w:lang w:val="zh-CN"/>
              </w:rPr>
              <w:t>）</w:t>
            </w:r>
            <w:r>
              <w:rPr>
                <w:sz w:val="24"/>
                <w:lang w:val="zh-CN"/>
              </w:rPr>
              <w:t>加强运输车辆的管理，按规定组织车辆运输，合理规定运输通道。施工场地内道路应尽量保持平坦，减少由于道路不平而引起的车辆颠簸噪声。</w:t>
            </w:r>
          </w:p>
          <w:p>
            <w:pPr>
              <w:widowControl/>
              <w:numPr>
                <w:ilvl w:val="0"/>
                <w:numId w:val="13"/>
              </w:numPr>
              <w:spacing w:line="520" w:lineRule="exact"/>
              <w:ind w:firstLine="482" w:firstLineChars="200"/>
              <w:rPr>
                <w:b/>
                <w:bCs/>
                <w:sz w:val="24"/>
              </w:rPr>
            </w:pPr>
            <w:r>
              <w:rPr>
                <w:b/>
                <w:bCs/>
                <w:sz w:val="24"/>
              </w:rPr>
              <w:t>固体废物</w:t>
            </w:r>
          </w:p>
          <w:p>
            <w:pPr>
              <w:widowControl/>
              <w:spacing w:line="520" w:lineRule="exact"/>
              <w:ind w:firstLine="480" w:firstLineChars="200"/>
              <w:rPr>
                <w:sz w:val="24"/>
              </w:rPr>
            </w:pPr>
            <w:r>
              <w:rPr>
                <w:rFonts w:hint="eastAsia"/>
                <w:sz w:val="24"/>
              </w:rPr>
              <w:t>拆除建筑物产生的建筑垃圾送指定建筑垃圾场填埋处理，不会对环境产生明显影响。</w:t>
            </w:r>
          </w:p>
          <w:p>
            <w:pPr>
              <w:widowControl/>
              <w:spacing w:line="520" w:lineRule="exact"/>
              <w:ind w:firstLine="480" w:firstLineChars="200"/>
              <w:rPr>
                <w:sz w:val="24"/>
              </w:rPr>
            </w:pPr>
            <w:r>
              <w:rPr>
                <w:rFonts w:hint="eastAsia"/>
                <w:sz w:val="24"/>
              </w:rPr>
              <w:t>施工期基础开挖产生的土石方，产生量较少，可就地用于场区平整。产生的建筑垃圾，主要包括废木料、废金属、废钢筋等杂物，可回收的应尽量回收，不能回收的经集中收集后由施工单位及时清运。</w:t>
            </w:r>
          </w:p>
          <w:p>
            <w:pPr>
              <w:pStyle w:val="63"/>
            </w:pPr>
            <w:r>
              <w:rPr>
                <w:rFonts w:hint="eastAsia"/>
              </w:rPr>
              <w:t>施工期员工生活垃圾收集后交由环卫部门及时清运至生活垃圾填埋场处理，不得随意抛洒。</w:t>
            </w:r>
          </w:p>
          <w:p>
            <w:pPr>
              <w:widowControl/>
              <w:spacing w:line="520" w:lineRule="exact"/>
              <w:ind w:firstLine="482" w:firstLineChars="200"/>
              <w:rPr>
                <w:b/>
                <w:bCs/>
                <w:sz w:val="24"/>
                <w:szCs w:val="32"/>
              </w:rPr>
            </w:pPr>
            <w:r>
              <w:rPr>
                <w:rFonts w:hint="eastAsia"/>
                <w:b/>
                <w:bCs/>
                <w:sz w:val="24"/>
                <w:szCs w:val="32"/>
              </w:rPr>
              <w:t>5、</w:t>
            </w:r>
            <w:r>
              <w:rPr>
                <w:b/>
                <w:bCs/>
                <w:sz w:val="24"/>
                <w:szCs w:val="32"/>
              </w:rPr>
              <w:t>防沙治沙</w:t>
            </w:r>
          </w:p>
          <w:p>
            <w:pPr>
              <w:pStyle w:val="69"/>
              <w:spacing w:beforeLines="0" w:line="520" w:lineRule="exact"/>
              <w:ind w:firstLine="480"/>
              <w:rPr>
                <w:rFonts w:ascii="Times New Roman" w:hAnsi="Times New Roman" w:eastAsia="宋体"/>
                <w:sz w:val="24"/>
                <w:szCs w:val="24"/>
              </w:rPr>
            </w:pPr>
            <w:r>
              <w:rPr>
                <w:rFonts w:ascii="Times New Roman" w:hAnsi="Times New Roman" w:eastAsia="宋体"/>
                <w:sz w:val="24"/>
                <w:szCs w:val="24"/>
              </w:rPr>
              <w:t>经现场踏勘，项目区周边植被较少，地表裸露，需要进行防沙治沙工作，应以预防为主，防治结合，综合治理的原则，遵循生态规律。</w:t>
            </w:r>
          </w:p>
          <w:p>
            <w:pPr>
              <w:pStyle w:val="69"/>
              <w:spacing w:beforeLines="0" w:line="520" w:lineRule="exact"/>
              <w:ind w:firstLine="480"/>
              <w:rPr>
                <w:rFonts w:ascii="Times New Roman" w:hAnsi="Times New Roman" w:eastAsia="宋体"/>
                <w:sz w:val="24"/>
                <w:szCs w:val="24"/>
              </w:rPr>
            </w:pPr>
            <w:r>
              <w:rPr>
                <w:rFonts w:ascii="Times New Roman" w:hAnsi="Times New Roman" w:eastAsia="宋体"/>
                <w:sz w:val="24"/>
                <w:szCs w:val="24"/>
              </w:rPr>
              <w:t>根据相关要求，本环评提出了以下防沙治沙措施。</w:t>
            </w:r>
          </w:p>
          <w:p>
            <w:pPr>
              <w:pStyle w:val="69"/>
              <w:numPr>
                <w:ilvl w:val="0"/>
                <w:numId w:val="14"/>
              </w:numPr>
              <w:spacing w:beforeLines="0" w:line="520" w:lineRule="exact"/>
              <w:ind w:firstLine="480"/>
              <w:rPr>
                <w:rFonts w:ascii="Times New Roman" w:hAnsi="Times New Roman" w:eastAsia="宋体"/>
                <w:sz w:val="24"/>
                <w:szCs w:val="24"/>
              </w:rPr>
            </w:pPr>
            <w:r>
              <w:rPr>
                <w:rFonts w:ascii="Times New Roman" w:hAnsi="Times New Roman" w:eastAsia="宋体"/>
                <w:sz w:val="24"/>
                <w:szCs w:val="24"/>
              </w:rPr>
              <w:t>要求建设单位在项目区内植树造林，播撒草种，可减少裸露地表，减少起尘，减弱并阻挡风沙，切实做好防风固沙工作；</w:t>
            </w:r>
          </w:p>
          <w:p>
            <w:pPr>
              <w:pStyle w:val="69"/>
              <w:numPr>
                <w:ilvl w:val="0"/>
                <w:numId w:val="14"/>
              </w:numPr>
              <w:spacing w:beforeLines="0" w:line="520" w:lineRule="exact"/>
              <w:ind w:firstLine="480"/>
              <w:rPr>
                <w:rFonts w:ascii="Times New Roman" w:hAnsi="Times New Roman" w:eastAsia="宋体"/>
                <w:sz w:val="24"/>
                <w:szCs w:val="24"/>
              </w:rPr>
            </w:pPr>
            <w:r>
              <w:rPr>
                <w:rFonts w:ascii="Times New Roman" w:hAnsi="Times New Roman" w:eastAsia="宋体"/>
                <w:sz w:val="24"/>
                <w:szCs w:val="24"/>
              </w:rPr>
              <w:t>应与当地防风固沙、环保绿化的政策结合，结合项目区所在的实际环境，主动配合风沙治理工作；</w:t>
            </w:r>
          </w:p>
          <w:p>
            <w:pPr>
              <w:widowControl/>
              <w:numPr>
                <w:ilvl w:val="0"/>
                <w:numId w:val="14"/>
              </w:numPr>
              <w:spacing w:line="520" w:lineRule="exact"/>
              <w:ind w:firstLine="480" w:firstLineChars="200"/>
              <w:jc w:val="left"/>
              <w:rPr>
                <w:sz w:val="24"/>
              </w:rPr>
            </w:pPr>
            <w:r>
              <w:rPr>
                <w:sz w:val="24"/>
              </w:rPr>
              <w:t>向职工灌输防风固沙，保护环境的理念，贴出防沙治沙措施标识牌，增强人员防沙治沙意识，提高防沙治沙能力</w:t>
            </w:r>
            <w:r>
              <w:rPr>
                <w:rFonts w:hint="eastAsia"/>
                <w:sz w:val="24"/>
              </w:rPr>
              <w:t>;</w:t>
            </w:r>
          </w:p>
          <w:p>
            <w:pPr>
              <w:widowControl/>
              <w:numPr>
                <w:ilvl w:val="0"/>
                <w:numId w:val="14"/>
              </w:numPr>
              <w:spacing w:line="520" w:lineRule="exact"/>
              <w:ind w:firstLine="480" w:firstLineChars="200"/>
              <w:jc w:val="left"/>
              <w:rPr>
                <w:color w:val="000000"/>
                <w:kern w:val="0"/>
                <w:sz w:val="24"/>
                <w:lang w:bidi="ar"/>
              </w:rPr>
            </w:pPr>
            <w:r>
              <w:rPr>
                <w:color w:val="000000"/>
                <w:kern w:val="0"/>
                <w:sz w:val="24"/>
                <w:lang w:bidi="ar"/>
              </w:rPr>
              <w:t>施工单位根据项目特点合理设计施工方案；</w:t>
            </w:r>
          </w:p>
          <w:p>
            <w:pPr>
              <w:widowControl/>
              <w:spacing w:line="520" w:lineRule="exact"/>
              <w:ind w:firstLine="480" w:firstLineChars="200"/>
              <w:jc w:val="left"/>
              <w:rPr>
                <w:sz w:val="24"/>
              </w:rPr>
            </w:pPr>
            <w:r>
              <w:rPr>
                <w:color w:val="000000"/>
                <w:kern w:val="0"/>
                <w:sz w:val="24"/>
                <w:lang w:bidi="ar"/>
              </w:rPr>
              <w:t>（5）在施工过程中应划定施工场地范围，限定施工机械行驶路线，严禁扰动工程区以外的土地；</w:t>
            </w:r>
          </w:p>
          <w:p>
            <w:pPr>
              <w:widowControl/>
              <w:spacing w:line="520" w:lineRule="exact"/>
              <w:ind w:firstLine="480" w:firstLineChars="200"/>
              <w:jc w:val="left"/>
              <w:rPr>
                <w:sz w:val="24"/>
              </w:rPr>
            </w:pPr>
            <w:r>
              <w:rPr>
                <w:color w:val="000000"/>
                <w:kern w:val="0"/>
                <w:sz w:val="24"/>
                <w:lang w:bidi="ar"/>
              </w:rPr>
              <w:t xml:space="preserve">（6）对于施工期工程平整场地的产生的弃方应集中堆放，严禁任意堆放，注意对开挖处及时进行回填、压实，以降低废土场侵蚀模数；要求在堆土区边界设立挡土墙及有组织的排水沟渠； </w:t>
            </w:r>
          </w:p>
          <w:p>
            <w:pPr>
              <w:widowControl/>
              <w:spacing w:line="520" w:lineRule="exact"/>
              <w:ind w:firstLine="480" w:firstLineChars="200"/>
              <w:jc w:val="left"/>
              <w:rPr>
                <w:sz w:val="24"/>
              </w:rPr>
            </w:pPr>
            <w:r>
              <w:rPr>
                <w:color w:val="000000"/>
                <w:kern w:val="0"/>
                <w:sz w:val="24"/>
                <w:lang w:bidi="ar"/>
              </w:rPr>
              <w:t xml:space="preserve">（7）实行施工全过程管理，加强施工队伍环保意识教育，加强施工期环境监理，文明施工； </w:t>
            </w:r>
          </w:p>
          <w:p>
            <w:pPr>
              <w:pStyle w:val="63"/>
            </w:pPr>
            <w:r>
              <w:rPr>
                <w:color w:val="000000"/>
                <w:kern w:val="0"/>
                <w:lang w:bidi="ar"/>
              </w:rPr>
              <w:t>（</w:t>
            </w:r>
            <w:r>
              <w:rPr>
                <w:rFonts w:hint="eastAsia"/>
                <w:color w:val="000000"/>
                <w:kern w:val="0"/>
                <w:lang w:bidi="ar"/>
              </w:rPr>
              <w:t>8</w:t>
            </w:r>
            <w:r>
              <w:rPr>
                <w:color w:val="000000"/>
                <w:kern w:val="0"/>
                <w:lang w:bidi="ar"/>
              </w:rPr>
              <w:t>）项目建成后，应根据设计植树种草，增加植被覆盖度，防止产生水土流失造成风沙。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31" w:hRule="atLeast"/>
          <w:jc w:val="center"/>
        </w:trPr>
        <w:tc>
          <w:tcPr>
            <w:tcW w:w="581" w:type="dxa"/>
            <w:tcMar>
              <w:left w:w="28" w:type="dxa"/>
              <w:right w:w="28" w:type="dxa"/>
            </w:tcMar>
            <w:vAlign w:val="center"/>
          </w:tcPr>
          <w:p>
            <w:pPr>
              <w:adjustRightInd w:val="0"/>
              <w:snapToGrid w:val="0"/>
              <w:spacing w:line="520" w:lineRule="exact"/>
              <w:jc w:val="center"/>
              <w:rPr>
                <w:bCs/>
                <w:sz w:val="24"/>
              </w:rPr>
            </w:pPr>
            <w:r>
              <w:rPr>
                <w:bCs/>
                <w:sz w:val="24"/>
              </w:rPr>
              <w:t>运营</w:t>
            </w:r>
          </w:p>
          <w:p>
            <w:pPr>
              <w:adjustRightInd w:val="0"/>
              <w:snapToGrid w:val="0"/>
              <w:spacing w:line="520" w:lineRule="exact"/>
              <w:jc w:val="center"/>
              <w:rPr>
                <w:bCs/>
                <w:sz w:val="24"/>
              </w:rPr>
            </w:pPr>
            <w:r>
              <w:rPr>
                <w:bCs/>
                <w:sz w:val="24"/>
              </w:rPr>
              <w:t>期环</w:t>
            </w:r>
          </w:p>
          <w:p>
            <w:pPr>
              <w:adjustRightInd w:val="0"/>
              <w:snapToGrid w:val="0"/>
              <w:spacing w:line="520" w:lineRule="exact"/>
              <w:jc w:val="center"/>
              <w:rPr>
                <w:bCs/>
                <w:sz w:val="24"/>
              </w:rPr>
            </w:pPr>
            <w:r>
              <w:rPr>
                <w:bCs/>
                <w:sz w:val="24"/>
              </w:rPr>
              <w:t>境影</w:t>
            </w:r>
          </w:p>
          <w:p>
            <w:pPr>
              <w:adjustRightInd w:val="0"/>
              <w:snapToGrid w:val="0"/>
              <w:spacing w:line="520" w:lineRule="exact"/>
              <w:jc w:val="center"/>
              <w:rPr>
                <w:bCs/>
                <w:sz w:val="24"/>
              </w:rPr>
            </w:pPr>
            <w:r>
              <w:rPr>
                <w:bCs/>
                <w:sz w:val="24"/>
              </w:rPr>
              <w:t>响和</w:t>
            </w:r>
          </w:p>
          <w:p>
            <w:pPr>
              <w:adjustRightInd w:val="0"/>
              <w:snapToGrid w:val="0"/>
              <w:spacing w:line="520" w:lineRule="exact"/>
              <w:jc w:val="center"/>
              <w:rPr>
                <w:bCs/>
                <w:sz w:val="24"/>
              </w:rPr>
            </w:pPr>
            <w:r>
              <w:rPr>
                <w:bCs/>
                <w:sz w:val="24"/>
              </w:rPr>
              <w:t>保护</w:t>
            </w:r>
          </w:p>
          <w:p>
            <w:pPr>
              <w:adjustRightInd w:val="0"/>
              <w:snapToGrid w:val="0"/>
              <w:spacing w:line="520" w:lineRule="exact"/>
              <w:jc w:val="center"/>
              <w:rPr>
                <w:bCs/>
                <w:sz w:val="24"/>
              </w:rPr>
            </w:pPr>
            <w:r>
              <w:rPr>
                <w:bCs/>
                <w:sz w:val="24"/>
              </w:rPr>
              <w:t>措施</w:t>
            </w:r>
          </w:p>
        </w:tc>
        <w:tc>
          <w:tcPr>
            <w:tcW w:w="9265" w:type="dxa"/>
            <w:vAlign w:val="center"/>
          </w:tcPr>
          <w:p>
            <w:pPr>
              <w:widowControl/>
              <w:numPr>
                <w:ilvl w:val="0"/>
                <w:numId w:val="15"/>
              </w:numPr>
              <w:spacing w:line="520" w:lineRule="exact"/>
              <w:ind w:firstLine="482" w:firstLineChars="200"/>
              <w:rPr>
                <w:b/>
                <w:bCs/>
                <w:sz w:val="24"/>
              </w:rPr>
            </w:pPr>
            <w:r>
              <w:rPr>
                <w:rFonts w:hint="eastAsia"/>
                <w:b/>
                <w:bCs/>
                <w:sz w:val="24"/>
              </w:rPr>
              <w:t>大气环境影响分析</w:t>
            </w:r>
          </w:p>
          <w:p>
            <w:pPr>
              <w:snapToGrid w:val="0"/>
              <w:spacing w:line="520" w:lineRule="exact"/>
              <w:ind w:firstLine="482" w:firstLineChars="200"/>
              <w:rPr>
                <w:rFonts w:hAnsi="宋体"/>
                <w:b/>
                <w:bCs/>
                <w:sz w:val="24"/>
              </w:rPr>
            </w:pPr>
            <w:r>
              <w:rPr>
                <w:rFonts w:hint="eastAsia" w:hAnsi="宋体"/>
                <w:b/>
                <w:bCs/>
                <w:sz w:val="24"/>
              </w:rPr>
              <w:t>1</w:t>
            </w:r>
            <w:r>
              <w:rPr>
                <w:rFonts w:hAnsi="宋体"/>
                <w:b/>
                <w:bCs/>
                <w:sz w:val="24"/>
              </w:rPr>
              <w:t>.1</w:t>
            </w:r>
            <w:r>
              <w:rPr>
                <w:rFonts w:hint="eastAsia" w:hAnsi="宋体"/>
                <w:b/>
                <w:bCs/>
                <w:sz w:val="24"/>
              </w:rPr>
              <w:t>大气污染物源强估算</w:t>
            </w:r>
          </w:p>
          <w:p>
            <w:pPr>
              <w:widowControl/>
              <w:spacing w:line="520" w:lineRule="exact"/>
              <w:ind w:firstLine="480" w:firstLineChars="200"/>
              <w:rPr>
                <w:sz w:val="24"/>
              </w:rPr>
            </w:pPr>
            <w:r>
              <w:rPr>
                <w:rFonts w:hint="eastAsia" w:hAnsi="宋体"/>
                <w:kern w:val="0"/>
                <w:sz w:val="24"/>
              </w:rPr>
              <w:t>1.1.1多孔粒状硝酸铵上料粉尘</w:t>
            </w:r>
          </w:p>
          <w:p>
            <w:pPr>
              <w:adjustRightInd w:val="0"/>
              <w:snapToGrid w:val="0"/>
              <w:spacing w:line="520" w:lineRule="exact"/>
              <w:ind w:firstLine="480" w:firstLineChars="200"/>
              <w:rPr>
                <w:rFonts w:hint="eastAsia"/>
                <w:sz w:val="24"/>
                <w:lang w:val="en-US" w:eastAsia="zh-CN"/>
              </w:rPr>
            </w:pPr>
            <w:r>
              <w:rPr>
                <w:rFonts w:hint="eastAsia"/>
                <w:sz w:val="24"/>
              </w:rPr>
              <w:t>本项目多孔粒状硝酸铵原料上料过程中会产生少量的颗粒物</w:t>
            </w:r>
            <w:r>
              <w:rPr>
                <w:rFonts w:hint="eastAsia"/>
                <w:sz w:val="24"/>
                <w:lang w:eastAsia="zh-CN"/>
              </w:rPr>
              <w:t>，</w:t>
            </w:r>
            <w:r>
              <w:rPr>
                <w:rFonts w:hint="eastAsia"/>
                <w:sz w:val="24"/>
              </w:rPr>
              <w:t>本项目多孔粒状硝酸铵使用量为</w:t>
            </w:r>
            <w:r>
              <w:rPr>
                <w:rFonts w:hint="eastAsia"/>
                <w:sz w:val="24"/>
                <w:lang w:val="en-US" w:eastAsia="zh-CN"/>
              </w:rPr>
              <w:t>6800</w:t>
            </w:r>
            <w:r>
              <w:rPr>
                <w:rFonts w:hint="eastAsia"/>
                <w:sz w:val="24"/>
              </w:rPr>
              <w:t>t/a。根据《环境影响实用技术指南》中建议无组织排放量可按原料年用量的0.1‰~0.4‰计算，本项目按0.</w:t>
            </w:r>
            <w:r>
              <w:rPr>
                <w:rFonts w:hint="eastAsia"/>
                <w:sz w:val="24"/>
                <w:lang w:val="en-US" w:eastAsia="zh-CN"/>
              </w:rPr>
              <w:t>25</w:t>
            </w:r>
            <w:r>
              <w:rPr>
                <w:rFonts w:hint="eastAsia"/>
                <w:sz w:val="24"/>
              </w:rPr>
              <w:t>‰计，则本项目上料工序颗粒物产生量</w:t>
            </w:r>
            <w:r>
              <w:rPr>
                <w:rFonts w:hint="eastAsia"/>
                <w:sz w:val="24"/>
                <w:lang w:val="en-US" w:eastAsia="zh-CN"/>
              </w:rPr>
              <w:t>1.7</w:t>
            </w:r>
            <w:r>
              <w:rPr>
                <w:rFonts w:hint="eastAsia"/>
                <w:sz w:val="24"/>
              </w:rPr>
              <w:t>t/a。本项目硝酸铵上料工序</w:t>
            </w:r>
            <w:r>
              <w:rPr>
                <w:rFonts w:hint="eastAsia"/>
                <w:sz w:val="24"/>
                <w:lang w:val="en-US" w:eastAsia="zh-CN"/>
              </w:rPr>
              <w:t>采用密闭式全自动上料，可减少99%的粉尘逸散，则本项目无组织颗粒物排放量为0.017t/a，本项目生产规模、生产设备同迁建前基本一致，引用《多孔粒状铵油炸药（吉木萨尔）地面站扩能项目竣工环境保护验收监测报告表》中监测数据说明本项目上料粉尘排放情况。</w:t>
            </w:r>
          </w:p>
          <w:p>
            <w:pPr>
              <w:adjustRightInd w:val="0"/>
              <w:snapToGrid w:val="0"/>
              <w:spacing w:line="240" w:lineRule="auto"/>
              <w:ind w:firstLine="420"/>
              <w:jc w:val="center"/>
              <w:rPr>
                <w:rFonts w:eastAsia="黑体" w:cs="Times New Roman"/>
                <w:sz w:val="24"/>
                <w:szCs w:val="32"/>
              </w:rPr>
            </w:pPr>
            <w:r>
              <w:rPr>
                <w:rFonts w:hint="eastAsia" w:ascii="黑体" w:hAnsi="黑体" w:eastAsia="黑体" w:cs="黑体"/>
                <w:sz w:val="24"/>
                <w:szCs w:val="32"/>
              </w:rPr>
              <w:t>表</w:t>
            </w:r>
            <w:r>
              <w:rPr>
                <w:rFonts w:hint="eastAsia" w:ascii="黑体" w:hAnsi="黑体" w:eastAsia="黑体" w:cs="黑体"/>
                <w:sz w:val="24"/>
                <w:szCs w:val="32"/>
                <w:lang w:val="en-US" w:eastAsia="zh-CN"/>
              </w:rPr>
              <w:t>4-1</w:t>
            </w:r>
            <w:r>
              <w:rPr>
                <w:rFonts w:hint="eastAsia" w:ascii="黑体" w:hAnsi="黑体" w:eastAsia="黑体" w:cs="黑体"/>
                <w:sz w:val="24"/>
                <w:szCs w:val="32"/>
              </w:rPr>
              <w:t xml:space="preserve">  无组织颗粒物监测结果  单位：</w:t>
            </w:r>
            <w:r>
              <w:rPr>
                <w:rFonts w:eastAsia="黑体" w:cs="Times New Roman"/>
                <w:sz w:val="24"/>
                <w:szCs w:val="32"/>
              </w:rPr>
              <w:t>mg/m</w:t>
            </w:r>
            <w:r>
              <w:rPr>
                <w:rFonts w:eastAsia="黑体" w:cs="Times New Roman"/>
                <w:sz w:val="24"/>
                <w:szCs w:val="32"/>
                <w:vertAlign w:val="superscript"/>
              </w:rPr>
              <w:t>3</w:t>
            </w:r>
          </w:p>
          <w:tbl>
            <w:tblPr>
              <w:tblStyle w:val="29"/>
              <w:tblpPr w:leftFromText="180" w:rightFromText="180" w:vertAnchor="text" w:horzAnchor="page" w:tblpXSpec="center" w:tblpYSpec="inside"/>
              <w:tblOverlap w:val="never"/>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87"/>
              <w:gridCol w:w="1466"/>
              <w:gridCol w:w="1506"/>
              <w:gridCol w:w="1514"/>
              <w:gridCol w:w="1685"/>
              <w:gridCol w:w="175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51" w:type="pct"/>
                  <w:vMerge w:val="restart"/>
                  <w:tcBorders>
                    <w:right w:val="single" w:color="auto" w:sz="4" w:space="0"/>
                  </w:tcBorders>
                  <w:vAlign w:val="center"/>
                </w:tcPr>
                <w:p>
                  <w:pPr>
                    <w:pStyle w:val="74"/>
                    <w:spacing w:line="280" w:lineRule="exact"/>
                  </w:pPr>
                  <w:r>
                    <w:t>监测点位</w:t>
                  </w:r>
                </w:p>
              </w:tc>
              <w:tc>
                <w:tcPr>
                  <w:tcW w:w="803" w:type="pct"/>
                  <w:vMerge w:val="restart"/>
                  <w:tcBorders>
                    <w:left w:val="single" w:color="auto" w:sz="4" w:space="0"/>
                  </w:tcBorders>
                  <w:vAlign w:val="center"/>
                </w:tcPr>
                <w:p>
                  <w:pPr>
                    <w:pStyle w:val="74"/>
                    <w:spacing w:line="280" w:lineRule="exact"/>
                  </w:pPr>
                  <w:r>
                    <w:t>采样</w:t>
                  </w:r>
                  <w:r>
                    <w:rPr>
                      <w:rFonts w:hint="eastAsia"/>
                    </w:rPr>
                    <w:t>点位</w:t>
                  </w:r>
                </w:p>
              </w:tc>
              <w:tc>
                <w:tcPr>
                  <w:tcW w:w="3544" w:type="pct"/>
                  <w:gridSpan w:val="4"/>
                  <w:vAlign w:val="center"/>
                </w:tcPr>
                <w:p>
                  <w:pPr>
                    <w:pStyle w:val="74"/>
                    <w:spacing w:line="280" w:lineRule="exact"/>
                  </w:pPr>
                  <w:r>
                    <w:rPr>
                      <w:rFonts w:hint="eastAsia"/>
                    </w:rPr>
                    <w:t>采样频次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2" w:hRule="exact"/>
                <w:jc w:val="center"/>
              </w:trPr>
              <w:tc>
                <w:tcPr>
                  <w:tcW w:w="651" w:type="pct"/>
                  <w:vMerge w:val="continue"/>
                  <w:tcBorders>
                    <w:right w:val="single" w:color="auto" w:sz="4" w:space="0"/>
                  </w:tcBorders>
                  <w:vAlign w:val="center"/>
                </w:tcPr>
                <w:p>
                  <w:pPr>
                    <w:pStyle w:val="74"/>
                    <w:spacing w:line="280" w:lineRule="exact"/>
                  </w:pPr>
                </w:p>
              </w:tc>
              <w:tc>
                <w:tcPr>
                  <w:tcW w:w="803" w:type="pct"/>
                  <w:vMerge w:val="continue"/>
                  <w:tcBorders>
                    <w:left w:val="single" w:color="auto" w:sz="4" w:space="0"/>
                  </w:tcBorders>
                  <w:vAlign w:val="center"/>
                </w:tcPr>
                <w:p>
                  <w:pPr>
                    <w:pStyle w:val="74"/>
                    <w:spacing w:line="280" w:lineRule="exact"/>
                  </w:pPr>
                </w:p>
              </w:tc>
              <w:tc>
                <w:tcPr>
                  <w:tcW w:w="826" w:type="pct"/>
                  <w:vAlign w:val="center"/>
                </w:tcPr>
                <w:p>
                  <w:pPr>
                    <w:pStyle w:val="74"/>
                    <w:spacing w:line="280" w:lineRule="exact"/>
                  </w:pPr>
                  <w:r>
                    <w:rPr>
                      <w:rFonts w:hint="eastAsia"/>
                    </w:rPr>
                    <w:t>第1次</w:t>
                  </w:r>
                </w:p>
              </w:tc>
              <w:tc>
                <w:tcPr>
                  <w:tcW w:w="830" w:type="pct"/>
                  <w:vAlign w:val="center"/>
                </w:tcPr>
                <w:p>
                  <w:pPr>
                    <w:pStyle w:val="74"/>
                    <w:spacing w:line="280" w:lineRule="exact"/>
                  </w:pPr>
                  <w:r>
                    <w:rPr>
                      <w:rFonts w:hint="eastAsia"/>
                    </w:rPr>
                    <w:t>第2次</w:t>
                  </w:r>
                </w:p>
              </w:tc>
              <w:tc>
                <w:tcPr>
                  <w:tcW w:w="924" w:type="pct"/>
                  <w:vAlign w:val="center"/>
                </w:tcPr>
                <w:p>
                  <w:pPr>
                    <w:pStyle w:val="74"/>
                    <w:spacing w:line="280" w:lineRule="exact"/>
                  </w:pPr>
                  <w:r>
                    <w:rPr>
                      <w:rFonts w:hint="eastAsia"/>
                    </w:rPr>
                    <w:t>第3次</w:t>
                  </w:r>
                </w:p>
              </w:tc>
              <w:tc>
                <w:tcPr>
                  <w:tcW w:w="963" w:type="pct"/>
                  <w:vAlign w:val="center"/>
                </w:tcPr>
                <w:p>
                  <w:pPr>
                    <w:pStyle w:val="74"/>
                    <w:spacing w:line="280" w:lineRule="exact"/>
                  </w:pPr>
                  <w:r>
                    <w:rPr>
                      <w:rFonts w:hint="eastAsia"/>
                    </w:rPr>
                    <w:t>第4次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51" w:type="pct"/>
                  <w:vMerge w:val="restart"/>
                  <w:vAlign w:val="center"/>
                </w:tcPr>
                <w:p>
                  <w:pPr>
                    <w:pStyle w:val="74"/>
                    <w:spacing w:line="280" w:lineRule="exact"/>
                  </w:pPr>
                  <w:r>
                    <w:t>2020年</w:t>
                  </w:r>
                </w:p>
                <w:p>
                  <w:pPr>
                    <w:pStyle w:val="74"/>
                    <w:spacing w:line="280" w:lineRule="exact"/>
                  </w:pPr>
                  <w:r>
                    <w:rPr>
                      <w:rFonts w:hint="eastAsia"/>
                    </w:rPr>
                    <w:t>9</w:t>
                  </w:r>
                  <w:r>
                    <w:t>月</w:t>
                  </w:r>
                  <w:r>
                    <w:rPr>
                      <w:rFonts w:hint="eastAsia"/>
                    </w:rPr>
                    <w:t>20</w:t>
                  </w:r>
                  <w:r>
                    <w:t>日</w:t>
                  </w:r>
                </w:p>
              </w:tc>
              <w:tc>
                <w:tcPr>
                  <w:tcW w:w="803" w:type="pct"/>
                  <w:vAlign w:val="center"/>
                </w:tcPr>
                <w:p>
                  <w:pPr>
                    <w:pStyle w:val="74"/>
                    <w:spacing w:line="280" w:lineRule="exact"/>
                  </w:pPr>
                  <w:r>
                    <w:rPr>
                      <w:rFonts w:hint="eastAsia"/>
                    </w:rPr>
                    <w:t>W1</w:t>
                  </w:r>
                </w:p>
              </w:tc>
              <w:tc>
                <w:tcPr>
                  <w:tcW w:w="1373" w:type="dxa"/>
                  <w:vAlign w:val="center"/>
                </w:tcPr>
                <w:p>
                  <w:pPr>
                    <w:pStyle w:val="74"/>
                    <w:spacing w:line="280" w:lineRule="exact"/>
                  </w:pPr>
                  <w:r>
                    <w:rPr>
                      <w:rFonts w:hint="eastAsia"/>
                    </w:rPr>
                    <w:t>0.100</w:t>
                  </w:r>
                </w:p>
              </w:tc>
              <w:tc>
                <w:tcPr>
                  <w:tcW w:w="1380" w:type="dxa"/>
                  <w:vAlign w:val="center"/>
                </w:tcPr>
                <w:p>
                  <w:pPr>
                    <w:pStyle w:val="74"/>
                    <w:spacing w:line="280" w:lineRule="exact"/>
                  </w:pPr>
                  <w:r>
                    <w:rPr>
                      <w:rFonts w:hint="eastAsia"/>
                    </w:rPr>
                    <w:t>0.216</w:t>
                  </w:r>
                </w:p>
              </w:tc>
              <w:tc>
                <w:tcPr>
                  <w:tcW w:w="1536" w:type="dxa"/>
                  <w:vAlign w:val="center"/>
                </w:tcPr>
                <w:p>
                  <w:pPr>
                    <w:pStyle w:val="74"/>
                    <w:spacing w:line="280" w:lineRule="exact"/>
                  </w:pPr>
                  <w:r>
                    <w:rPr>
                      <w:rFonts w:hint="eastAsia"/>
                    </w:rPr>
                    <w:t>0.200</w:t>
                  </w:r>
                </w:p>
              </w:tc>
              <w:tc>
                <w:tcPr>
                  <w:tcW w:w="1602" w:type="dxa"/>
                  <w:vAlign w:val="center"/>
                </w:tcPr>
                <w:p>
                  <w:pPr>
                    <w:pStyle w:val="74"/>
                    <w:spacing w:line="280" w:lineRule="exact"/>
                  </w:pPr>
                  <w:r>
                    <w:rPr>
                      <w:rFonts w:hint="eastAsia"/>
                    </w:rPr>
                    <w:t>0.233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51" w:type="pct"/>
                  <w:vMerge w:val="continue"/>
                  <w:vAlign w:val="center"/>
                </w:tcPr>
                <w:p>
                  <w:pPr>
                    <w:pStyle w:val="74"/>
                    <w:spacing w:line="280" w:lineRule="exact"/>
                  </w:pPr>
                </w:p>
              </w:tc>
              <w:tc>
                <w:tcPr>
                  <w:tcW w:w="803" w:type="pct"/>
                  <w:vAlign w:val="center"/>
                </w:tcPr>
                <w:p>
                  <w:pPr>
                    <w:pStyle w:val="74"/>
                    <w:spacing w:line="280" w:lineRule="exact"/>
                  </w:pPr>
                  <w:r>
                    <w:rPr>
                      <w:rFonts w:hint="eastAsia"/>
                    </w:rPr>
                    <w:t>W2</w:t>
                  </w:r>
                </w:p>
              </w:tc>
              <w:tc>
                <w:tcPr>
                  <w:tcW w:w="1373" w:type="dxa"/>
                  <w:vAlign w:val="center"/>
                </w:tcPr>
                <w:p>
                  <w:pPr>
                    <w:pStyle w:val="74"/>
                    <w:spacing w:line="280" w:lineRule="exact"/>
                  </w:pPr>
                  <w:r>
                    <w:rPr>
                      <w:rFonts w:hint="eastAsia"/>
                    </w:rPr>
                    <w:t>0.083</w:t>
                  </w:r>
                </w:p>
              </w:tc>
              <w:tc>
                <w:tcPr>
                  <w:tcW w:w="1380" w:type="dxa"/>
                  <w:vAlign w:val="center"/>
                </w:tcPr>
                <w:p>
                  <w:pPr>
                    <w:pStyle w:val="74"/>
                    <w:spacing w:line="280" w:lineRule="exact"/>
                  </w:pPr>
                  <w:r>
                    <w:rPr>
                      <w:rFonts w:hint="eastAsia"/>
                    </w:rPr>
                    <w:t>0.233</w:t>
                  </w:r>
                </w:p>
              </w:tc>
              <w:tc>
                <w:tcPr>
                  <w:tcW w:w="1536" w:type="dxa"/>
                  <w:vAlign w:val="center"/>
                </w:tcPr>
                <w:p>
                  <w:pPr>
                    <w:pStyle w:val="74"/>
                    <w:spacing w:line="280" w:lineRule="exact"/>
                  </w:pPr>
                  <w:r>
                    <w:rPr>
                      <w:rFonts w:hint="eastAsia"/>
                    </w:rPr>
                    <w:t>0.200</w:t>
                  </w:r>
                </w:p>
              </w:tc>
              <w:tc>
                <w:tcPr>
                  <w:tcW w:w="1602" w:type="dxa"/>
                  <w:vAlign w:val="center"/>
                </w:tcPr>
                <w:p>
                  <w:pPr>
                    <w:pStyle w:val="74"/>
                    <w:spacing w:line="280" w:lineRule="exact"/>
                  </w:pPr>
                  <w:r>
                    <w:rPr>
                      <w:rFonts w:hint="eastAsia"/>
                    </w:rPr>
                    <w:t>0.250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7" w:hRule="exact"/>
                <w:jc w:val="center"/>
              </w:trPr>
              <w:tc>
                <w:tcPr>
                  <w:tcW w:w="651" w:type="pct"/>
                  <w:vMerge w:val="continue"/>
                  <w:vAlign w:val="center"/>
                </w:tcPr>
                <w:p>
                  <w:pPr>
                    <w:pStyle w:val="74"/>
                    <w:spacing w:line="280" w:lineRule="exact"/>
                  </w:pPr>
                </w:p>
              </w:tc>
              <w:tc>
                <w:tcPr>
                  <w:tcW w:w="803" w:type="pct"/>
                  <w:vAlign w:val="center"/>
                </w:tcPr>
                <w:p>
                  <w:pPr>
                    <w:pStyle w:val="74"/>
                    <w:spacing w:line="280" w:lineRule="exact"/>
                  </w:pPr>
                  <w:r>
                    <w:rPr>
                      <w:rFonts w:hint="eastAsia"/>
                    </w:rPr>
                    <w:t>W3</w:t>
                  </w:r>
                </w:p>
              </w:tc>
              <w:tc>
                <w:tcPr>
                  <w:tcW w:w="1373" w:type="dxa"/>
                  <w:vAlign w:val="center"/>
                </w:tcPr>
                <w:p>
                  <w:pPr>
                    <w:pStyle w:val="74"/>
                    <w:spacing w:line="280" w:lineRule="exact"/>
                  </w:pPr>
                  <w:r>
                    <w:rPr>
                      <w:rFonts w:hint="eastAsia"/>
                    </w:rPr>
                    <w:t>0.083</w:t>
                  </w:r>
                </w:p>
              </w:tc>
              <w:tc>
                <w:tcPr>
                  <w:tcW w:w="1380" w:type="dxa"/>
                  <w:vAlign w:val="center"/>
                </w:tcPr>
                <w:p>
                  <w:pPr>
                    <w:pStyle w:val="74"/>
                    <w:spacing w:line="280" w:lineRule="exact"/>
                  </w:pPr>
                  <w:r>
                    <w:rPr>
                      <w:rFonts w:hint="eastAsia"/>
                    </w:rPr>
                    <w:t>0.267</w:t>
                  </w:r>
                </w:p>
              </w:tc>
              <w:tc>
                <w:tcPr>
                  <w:tcW w:w="1536" w:type="dxa"/>
                  <w:vAlign w:val="center"/>
                </w:tcPr>
                <w:p>
                  <w:pPr>
                    <w:pStyle w:val="74"/>
                    <w:spacing w:line="280" w:lineRule="exact"/>
                  </w:pPr>
                  <w:r>
                    <w:rPr>
                      <w:rFonts w:hint="eastAsia"/>
                    </w:rPr>
                    <w:t>0.183</w:t>
                  </w:r>
                </w:p>
              </w:tc>
              <w:tc>
                <w:tcPr>
                  <w:tcW w:w="1602" w:type="dxa"/>
                  <w:vAlign w:val="center"/>
                </w:tcPr>
                <w:p>
                  <w:pPr>
                    <w:pStyle w:val="74"/>
                    <w:spacing w:line="280" w:lineRule="exact"/>
                  </w:pPr>
                  <w:r>
                    <w:rPr>
                      <w:rFonts w:hint="eastAsia"/>
                    </w:rPr>
                    <w:t>0.216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51" w:type="pct"/>
                  <w:vMerge w:val="continue"/>
                  <w:vAlign w:val="center"/>
                </w:tcPr>
                <w:p>
                  <w:pPr>
                    <w:pStyle w:val="74"/>
                    <w:spacing w:line="280" w:lineRule="exact"/>
                  </w:pPr>
                </w:p>
              </w:tc>
              <w:tc>
                <w:tcPr>
                  <w:tcW w:w="803" w:type="pct"/>
                  <w:vAlign w:val="center"/>
                </w:tcPr>
                <w:p>
                  <w:pPr>
                    <w:pStyle w:val="74"/>
                    <w:spacing w:line="280" w:lineRule="exact"/>
                  </w:pPr>
                  <w:r>
                    <w:rPr>
                      <w:rFonts w:hint="eastAsia"/>
                    </w:rPr>
                    <w:t>W4</w:t>
                  </w:r>
                </w:p>
              </w:tc>
              <w:tc>
                <w:tcPr>
                  <w:tcW w:w="1373" w:type="dxa"/>
                  <w:vAlign w:val="center"/>
                </w:tcPr>
                <w:p>
                  <w:pPr>
                    <w:pStyle w:val="74"/>
                    <w:spacing w:line="280" w:lineRule="exact"/>
                  </w:pPr>
                  <w:r>
                    <w:rPr>
                      <w:rFonts w:hint="eastAsia"/>
                    </w:rPr>
                    <w:t>0.067</w:t>
                  </w:r>
                </w:p>
              </w:tc>
              <w:tc>
                <w:tcPr>
                  <w:tcW w:w="1380" w:type="dxa"/>
                  <w:vAlign w:val="center"/>
                </w:tcPr>
                <w:p>
                  <w:pPr>
                    <w:pStyle w:val="74"/>
                    <w:spacing w:line="280" w:lineRule="exact"/>
                  </w:pPr>
                  <w:r>
                    <w:rPr>
                      <w:rFonts w:hint="eastAsia"/>
                    </w:rPr>
                    <w:t>0.233</w:t>
                  </w:r>
                </w:p>
              </w:tc>
              <w:tc>
                <w:tcPr>
                  <w:tcW w:w="1536" w:type="dxa"/>
                  <w:vAlign w:val="center"/>
                </w:tcPr>
                <w:p>
                  <w:pPr>
                    <w:pStyle w:val="74"/>
                    <w:spacing w:line="280" w:lineRule="exact"/>
                  </w:pPr>
                  <w:r>
                    <w:rPr>
                      <w:rFonts w:hint="eastAsia"/>
                    </w:rPr>
                    <w:t>0.200</w:t>
                  </w:r>
                </w:p>
              </w:tc>
              <w:tc>
                <w:tcPr>
                  <w:tcW w:w="1602" w:type="dxa"/>
                  <w:vAlign w:val="center"/>
                </w:tcPr>
                <w:p>
                  <w:pPr>
                    <w:pStyle w:val="74"/>
                    <w:spacing w:line="280" w:lineRule="exact"/>
                  </w:pPr>
                  <w:r>
                    <w:rPr>
                      <w:rFonts w:hint="eastAsia"/>
                    </w:rPr>
                    <w:t>0.250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51" w:type="pct"/>
                  <w:vMerge w:val="restart"/>
                  <w:vAlign w:val="center"/>
                </w:tcPr>
                <w:p>
                  <w:pPr>
                    <w:pStyle w:val="74"/>
                    <w:spacing w:line="280" w:lineRule="exact"/>
                  </w:pPr>
                  <w:r>
                    <w:t>2020年</w:t>
                  </w:r>
                </w:p>
                <w:p>
                  <w:pPr>
                    <w:pStyle w:val="74"/>
                    <w:spacing w:line="280" w:lineRule="exact"/>
                  </w:pPr>
                  <w:r>
                    <w:rPr>
                      <w:rFonts w:hint="eastAsia"/>
                    </w:rPr>
                    <w:t>9</w:t>
                  </w:r>
                  <w:r>
                    <w:t>月</w:t>
                  </w:r>
                  <w:r>
                    <w:rPr>
                      <w:rFonts w:hint="eastAsia"/>
                    </w:rPr>
                    <w:t>21</w:t>
                  </w:r>
                  <w:r>
                    <w:t>日</w:t>
                  </w:r>
                </w:p>
              </w:tc>
              <w:tc>
                <w:tcPr>
                  <w:tcW w:w="803" w:type="pct"/>
                  <w:vAlign w:val="center"/>
                </w:tcPr>
                <w:p>
                  <w:pPr>
                    <w:pStyle w:val="74"/>
                    <w:spacing w:line="280" w:lineRule="exact"/>
                  </w:pPr>
                  <w:r>
                    <w:rPr>
                      <w:rFonts w:hint="eastAsia"/>
                    </w:rPr>
                    <w:t>W1</w:t>
                  </w:r>
                </w:p>
              </w:tc>
              <w:tc>
                <w:tcPr>
                  <w:tcW w:w="1373" w:type="dxa"/>
                  <w:vAlign w:val="center"/>
                </w:tcPr>
                <w:p>
                  <w:pPr>
                    <w:pStyle w:val="74"/>
                    <w:spacing w:line="280" w:lineRule="exact"/>
                  </w:pPr>
                  <w:r>
                    <w:rPr>
                      <w:rFonts w:hint="eastAsia"/>
                    </w:rPr>
                    <w:t>0.100</w:t>
                  </w:r>
                </w:p>
              </w:tc>
              <w:tc>
                <w:tcPr>
                  <w:tcW w:w="1380" w:type="dxa"/>
                  <w:vAlign w:val="center"/>
                </w:tcPr>
                <w:p>
                  <w:pPr>
                    <w:pStyle w:val="74"/>
                    <w:spacing w:line="280" w:lineRule="exact"/>
                  </w:pPr>
                  <w:r>
                    <w:rPr>
                      <w:rFonts w:hint="eastAsia"/>
                    </w:rPr>
                    <w:t>0.216</w:t>
                  </w:r>
                </w:p>
              </w:tc>
              <w:tc>
                <w:tcPr>
                  <w:tcW w:w="1536" w:type="dxa"/>
                  <w:vAlign w:val="center"/>
                </w:tcPr>
                <w:p>
                  <w:pPr>
                    <w:pStyle w:val="74"/>
                    <w:spacing w:line="280" w:lineRule="exact"/>
                  </w:pPr>
                  <w:r>
                    <w:rPr>
                      <w:rFonts w:hint="eastAsia"/>
                    </w:rPr>
                    <w:t>0.250</w:t>
                  </w:r>
                </w:p>
              </w:tc>
              <w:tc>
                <w:tcPr>
                  <w:tcW w:w="1602" w:type="dxa"/>
                  <w:vAlign w:val="center"/>
                </w:tcPr>
                <w:p>
                  <w:pPr>
                    <w:pStyle w:val="74"/>
                    <w:spacing w:line="280" w:lineRule="exact"/>
                  </w:pPr>
                  <w:r>
                    <w:rPr>
                      <w:rFonts w:hint="eastAsia"/>
                    </w:rPr>
                    <w:t>0.233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51" w:type="pct"/>
                  <w:vMerge w:val="continue"/>
                  <w:vAlign w:val="center"/>
                </w:tcPr>
                <w:p>
                  <w:pPr>
                    <w:pStyle w:val="74"/>
                    <w:spacing w:line="280" w:lineRule="exact"/>
                  </w:pPr>
                </w:p>
              </w:tc>
              <w:tc>
                <w:tcPr>
                  <w:tcW w:w="803" w:type="pct"/>
                  <w:vAlign w:val="center"/>
                </w:tcPr>
                <w:p>
                  <w:pPr>
                    <w:pStyle w:val="74"/>
                    <w:spacing w:line="280" w:lineRule="exact"/>
                  </w:pPr>
                  <w:r>
                    <w:rPr>
                      <w:rFonts w:hint="eastAsia"/>
                    </w:rPr>
                    <w:t>W2</w:t>
                  </w:r>
                </w:p>
              </w:tc>
              <w:tc>
                <w:tcPr>
                  <w:tcW w:w="1373" w:type="dxa"/>
                  <w:vAlign w:val="center"/>
                </w:tcPr>
                <w:p>
                  <w:pPr>
                    <w:pStyle w:val="74"/>
                    <w:spacing w:line="280" w:lineRule="exact"/>
                  </w:pPr>
                  <w:r>
                    <w:rPr>
                      <w:rFonts w:hint="eastAsia"/>
                    </w:rPr>
                    <w:t>0.116</w:t>
                  </w:r>
                </w:p>
              </w:tc>
              <w:tc>
                <w:tcPr>
                  <w:tcW w:w="1380" w:type="dxa"/>
                  <w:vAlign w:val="center"/>
                </w:tcPr>
                <w:p>
                  <w:pPr>
                    <w:pStyle w:val="74"/>
                    <w:spacing w:line="280" w:lineRule="exact"/>
                  </w:pPr>
                  <w:r>
                    <w:rPr>
                      <w:rFonts w:hint="eastAsia"/>
                    </w:rPr>
                    <w:t>0.250</w:t>
                  </w:r>
                </w:p>
              </w:tc>
              <w:tc>
                <w:tcPr>
                  <w:tcW w:w="1536" w:type="dxa"/>
                  <w:vAlign w:val="center"/>
                </w:tcPr>
                <w:p>
                  <w:pPr>
                    <w:pStyle w:val="74"/>
                    <w:spacing w:line="280" w:lineRule="exact"/>
                  </w:pPr>
                  <w:r>
                    <w:rPr>
                      <w:rFonts w:hint="eastAsia"/>
                    </w:rPr>
                    <w:t>0.266</w:t>
                  </w:r>
                </w:p>
              </w:tc>
              <w:tc>
                <w:tcPr>
                  <w:tcW w:w="1602" w:type="dxa"/>
                  <w:vAlign w:val="center"/>
                </w:tcPr>
                <w:p>
                  <w:pPr>
                    <w:pStyle w:val="74"/>
                    <w:spacing w:line="280" w:lineRule="exact"/>
                  </w:pPr>
                  <w:r>
                    <w:rPr>
                      <w:rFonts w:hint="eastAsia"/>
                    </w:rPr>
                    <w:t>0.233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51" w:type="pct"/>
                  <w:vMerge w:val="continue"/>
                  <w:vAlign w:val="center"/>
                </w:tcPr>
                <w:p>
                  <w:pPr>
                    <w:pStyle w:val="74"/>
                    <w:spacing w:line="280" w:lineRule="exact"/>
                  </w:pPr>
                </w:p>
              </w:tc>
              <w:tc>
                <w:tcPr>
                  <w:tcW w:w="803" w:type="pct"/>
                  <w:vAlign w:val="center"/>
                </w:tcPr>
                <w:p>
                  <w:pPr>
                    <w:pStyle w:val="74"/>
                    <w:spacing w:line="280" w:lineRule="exact"/>
                  </w:pPr>
                  <w:r>
                    <w:rPr>
                      <w:rFonts w:hint="eastAsia"/>
                    </w:rPr>
                    <w:t>W3</w:t>
                  </w:r>
                </w:p>
              </w:tc>
              <w:tc>
                <w:tcPr>
                  <w:tcW w:w="1373" w:type="dxa"/>
                  <w:vAlign w:val="center"/>
                </w:tcPr>
                <w:p>
                  <w:pPr>
                    <w:pStyle w:val="74"/>
                    <w:spacing w:line="280" w:lineRule="exact"/>
                  </w:pPr>
                  <w:r>
                    <w:rPr>
                      <w:rFonts w:hint="eastAsia"/>
                    </w:rPr>
                    <w:t>0.083</w:t>
                  </w:r>
                </w:p>
              </w:tc>
              <w:tc>
                <w:tcPr>
                  <w:tcW w:w="1380" w:type="dxa"/>
                  <w:vAlign w:val="center"/>
                </w:tcPr>
                <w:p>
                  <w:pPr>
                    <w:pStyle w:val="74"/>
                    <w:spacing w:line="280" w:lineRule="exact"/>
                  </w:pPr>
                  <w:r>
                    <w:rPr>
                      <w:rFonts w:hint="eastAsia"/>
                    </w:rPr>
                    <w:t>0.250</w:t>
                  </w:r>
                </w:p>
              </w:tc>
              <w:tc>
                <w:tcPr>
                  <w:tcW w:w="1536" w:type="dxa"/>
                  <w:vAlign w:val="center"/>
                </w:tcPr>
                <w:p>
                  <w:pPr>
                    <w:pStyle w:val="74"/>
                    <w:spacing w:line="280" w:lineRule="exact"/>
                  </w:pPr>
                  <w:r>
                    <w:rPr>
                      <w:rFonts w:hint="eastAsia"/>
                    </w:rPr>
                    <w:t>0.266</w:t>
                  </w:r>
                </w:p>
              </w:tc>
              <w:tc>
                <w:tcPr>
                  <w:tcW w:w="1602" w:type="dxa"/>
                  <w:vAlign w:val="center"/>
                </w:tcPr>
                <w:p>
                  <w:pPr>
                    <w:pStyle w:val="74"/>
                    <w:spacing w:line="280" w:lineRule="exact"/>
                  </w:pPr>
                  <w:r>
                    <w:rPr>
                      <w:rFonts w:hint="eastAsia"/>
                    </w:rPr>
                    <w:t>0.300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51" w:type="pct"/>
                  <w:vMerge w:val="continue"/>
                  <w:vAlign w:val="center"/>
                </w:tcPr>
                <w:p>
                  <w:pPr>
                    <w:pStyle w:val="74"/>
                    <w:spacing w:line="280" w:lineRule="exact"/>
                  </w:pPr>
                </w:p>
              </w:tc>
              <w:tc>
                <w:tcPr>
                  <w:tcW w:w="803" w:type="pct"/>
                  <w:vAlign w:val="center"/>
                </w:tcPr>
                <w:p>
                  <w:pPr>
                    <w:pStyle w:val="74"/>
                    <w:spacing w:line="280" w:lineRule="exact"/>
                  </w:pPr>
                  <w:r>
                    <w:rPr>
                      <w:rFonts w:hint="eastAsia"/>
                    </w:rPr>
                    <w:t>W4</w:t>
                  </w:r>
                </w:p>
              </w:tc>
              <w:tc>
                <w:tcPr>
                  <w:tcW w:w="1373" w:type="dxa"/>
                  <w:vAlign w:val="center"/>
                </w:tcPr>
                <w:p>
                  <w:pPr>
                    <w:pStyle w:val="74"/>
                    <w:spacing w:line="280" w:lineRule="exact"/>
                  </w:pPr>
                  <w:r>
                    <w:rPr>
                      <w:rFonts w:hint="eastAsia"/>
                    </w:rPr>
                    <w:t>0.116</w:t>
                  </w:r>
                </w:p>
              </w:tc>
              <w:tc>
                <w:tcPr>
                  <w:tcW w:w="1380" w:type="dxa"/>
                  <w:vAlign w:val="center"/>
                </w:tcPr>
                <w:p>
                  <w:pPr>
                    <w:pStyle w:val="74"/>
                    <w:spacing w:line="280" w:lineRule="exact"/>
                  </w:pPr>
                  <w:r>
                    <w:rPr>
                      <w:rFonts w:hint="eastAsia"/>
                    </w:rPr>
                    <w:t>0.283</w:t>
                  </w:r>
                </w:p>
              </w:tc>
              <w:tc>
                <w:tcPr>
                  <w:tcW w:w="1536" w:type="dxa"/>
                  <w:vAlign w:val="center"/>
                </w:tcPr>
                <w:p>
                  <w:pPr>
                    <w:pStyle w:val="74"/>
                    <w:spacing w:line="280" w:lineRule="exact"/>
                  </w:pPr>
                  <w:r>
                    <w:rPr>
                      <w:rFonts w:hint="eastAsia"/>
                    </w:rPr>
                    <w:t>0.300</w:t>
                  </w:r>
                </w:p>
              </w:tc>
              <w:tc>
                <w:tcPr>
                  <w:tcW w:w="1602" w:type="dxa"/>
                  <w:vAlign w:val="center"/>
                </w:tcPr>
                <w:p>
                  <w:pPr>
                    <w:pStyle w:val="74"/>
                    <w:spacing w:line="280" w:lineRule="exact"/>
                  </w:pPr>
                  <w:r>
                    <w:rPr>
                      <w:rFonts w:hint="eastAsia"/>
                    </w:rPr>
                    <w:t>0.266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1455" w:type="pct"/>
                  <w:gridSpan w:val="2"/>
                  <w:vAlign w:val="center"/>
                </w:tcPr>
                <w:p>
                  <w:pPr>
                    <w:pStyle w:val="74"/>
                    <w:spacing w:line="280" w:lineRule="exact"/>
                  </w:pPr>
                  <w:r>
                    <w:rPr>
                      <w:rFonts w:hint="eastAsia"/>
                    </w:rPr>
                    <w:t>颗粒物</w:t>
                  </w:r>
                  <w:r>
                    <w:t>最大值</w:t>
                  </w:r>
                </w:p>
              </w:tc>
              <w:tc>
                <w:tcPr>
                  <w:tcW w:w="3544" w:type="pct"/>
                  <w:gridSpan w:val="4"/>
                  <w:vAlign w:val="center"/>
                </w:tcPr>
                <w:p>
                  <w:pPr>
                    <w:pStyle w:val="74"/>
                    <w:spacing w:line="280" w:lineRule="exact"/>
                  </w:pPr>
                  <w:r>
                    <w:rPr>
                      <w:rFonts w:hint="eastAsia"/>
                    </w:rPr>
                    <w:t>0.300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3" w:hRule="exact"/>
                <w:jc w:val="center"/>
              </w:trPr>
              <w:tc>
                <w:tcPr>
                  <w:tcW w:w="1455" w:type="pct"/>
                  <w:gridSpan w:val="2"/>
                  <w:vAlign w:val="center"/>
                </w:tcPr>
                <w:p>
                  <w:pPr>
                    <w:pStyle w:val="74"/>
                    <w:spacing w:line="280" w:lineRule="exact"/>
                  </w:pPr>
                  <w:r>
                    <w:rPr>
                      <w:rFonts w:hint="eastAsia"/>
                    </w:rPr>
                    <w:t>颗粒物</w:t>
                  </w:r>
                  <w:r>
                    <w:t>标准限值</w:t>
                  </w:r>
                </w:p>
              </w:tc>
              <w:tc>
                <w:tcPr>
                  <w:tcW w:w="3544" w:type="pct"/>
                  <w:gridSpan w:val="4"/>
                  <w:vAlign w:val="center"/>
                </w:tcPr>
                <w:p>
                  <w:pPr>
                    <w:pStyle w:val="74"/>
                    <w:spacing w:line="280" w:lineRule="exact"/>
                  </w:pPr>
                  <w:r>
                    <w:rPr>
                      <w:rFonts w:hint="eastAsia"/>
                    </w:rPr>
                    <w:t>1</w:t>
                  </w:r>
                  <w: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3" w:hRule="exact"/>
                <w:jc w:val="center"/>
              </w:trPr>
              <w:tc>
                <w:tcPr>
                  <w:tcW w:w="1455" w:type="pct"/>
                  <w:gridSpan w:val="2"/>
                  <w:vAlign w:val="center"/>
                </w:tcPr>
                <w:p>
                  <w:pPr>
                    <w:pStyle w:val="74"/>
                    <w:spacing w:line="280" w:lineRule="exact"/>
                  </w:pPr>
                  <w:r>
                    <w:t>评价结果</w:t>
                  </w:r>
                </w:p>
              </w:tc>
              <w:tc>
                <w:tcPr>
                  <w:tcW w:w="3544" w:type="pct"/>
                  <w:gridSpan w:val="4"/>
                  <w:vAlign w:val="center"/>
                </w:tcPr>
                <w:p>
                  <w:pPr>
                    <w:pStyle w:val="74"/>
                    <w:spacing w:line="280" w:lineRule="exact"/>
                  </w:pPr>
                  <w:r>
                    <w:t>达标</w:t>
                  </w:r>
                </w:p>
              </w:tc>
            </w:tr>
          </w:tbl>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sz w:val="24"/>
                <w:lang w:val="en-US" w:eastAsia="zh-CN"/>
              </w:rPr>
            </w:pPr>
            <w:r>
              <w:drawing>
                <wp:inline distT="0" distB="0" distL="114300" distR="114300">
                  <wp:extent cx="5019040" cy="3811270"/>
                  <wp:effectExtent l="19050" t="19050" r="29210" b="36830"/>
                  <wp:docPr id="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8"/>
                          <pic:cNvPicPr>
                            <a:picLocks noChangeAspect="1"/>
                          </pic:cNvPicPr>
                        </pic:nvPicPr>
                        <pic:blipFill>
                          <a:blip r:embed="rId27"/>
                          <a:stretch>
                            <a:fillRect/>
                          </a:stretch>
                        </pic:blipFill>
                        <pic:spPr>
                          <a:xfrm>
                            <a:off x="0" y="0"/>
                            <a:ext cx="5019040" cy="3811270"/>
                          </a:xfrm>
                          <a:prstGeom prst="rect">
                            <a:avLst/>
                          </a:prstGeom>
                          <a:noFill/>
                          <a:ln w="19050">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黑体" w:cs="Times New Roman"/>
                <w:sz w:val="24"/>
                <w:lang w:val="en-US" w:eastAsia="zh-CN"/>
              </w:rPr>
            </w:pPr>
            <w:r>
              <w:rPr>
                <w:rFonts w:hint="default" w:ascii="Times New Roman" w:hAnsi="Times New Roman" w:eastAsia="黑体" w:cs="Times New Roman"/>
                <w:sz w:val="24"/>
                <w:lang w:val="en-US" w:eastAsia="zh-CN"/>
              </w:rPr>
              <w:t xml:space="preserve">4-1  </w:t>
            </w:r>
            <w:r>
              <w:rPr>
                <w:rFonts w:hint="eastAsia" w:eastAsia="黑体" w:cs="Times New Roman"/>
                <w:sz w:val="24"/>
                <w:lang w:val="en-US" w:eastAsia="zh-CN"/>
              </w:rPr>
              <w:t>大气</w:t>
            </w:r>
            <w:r>
              <w:rPr>
                <w:rFonts w:hint="default" w:ascii="Times New Roman" w:hAnsi="Times New Roman" w:eastAsia="黑体" w:cs="Times New Roman"/>
                <w:sz w:val="24"/>
                <w:lang w:val="en-US" w:eastAsia="zh-CN"/>
              </w:rPr>
              <w:t>监测点位图</w:t>
            </w:r>
          </w:p>
          <w:p>
            <w:pPr>
              <w:adjustRightInd w:val="0"/>
              <w:snapToGrid w:val="0"/>
              <w:spacing w:line="520" w:lineRule="exact"/>
              <w:ind w:firstLine="480" w:firstLineChars="200"/>
              <w:rPr>
                <w:sz w:val="24"/>
              </w:rPr>
            </w:pPr>
            <w:r>
              <w:rPr>
                <w:rFonts w:hint="eastAsia"/>
                <w:sz w:val="24"/>
                <w:lang w:val="en-US" w:eastAsia="zh-CN"/>
              </w:rPr>
              <w:t>根据上表，迁建前工程厂界颗粒物</w:t>
            </w:r>
            <w:r>
              <w:rPr>
                <w:rFonts w:hint="eastAsia"/>
                <w:sz w:val="24"/>
              </w:rPr>
              <w:t>满足《大气污染物综合排放标准》（GB16297-1996）表2颗粒物无组织排放限值（1mg/m</w:t>
            </w:r>
            <w:r>
              <w:rPr>
                <w:rFonts w:hint="eastAsia"/>
                <w:sz w:val="24"/>
                <w:vertAlign w:val="superscript"/>
              </w:rPr>
              <w:t>3</w:t>
            </w:r>
            <w:r>
              <w:rPr>
                <w:rFonts w:hint="eastAsia"/>
                <w:sz w:val="24"/>
              </w:rPr>
              <w:t>）</w:t>
            </w:r>
            <w:r>
              <w:rPr>
                <w:rFonts w:hint="eastAsia"/>
                <w:sz w:val="24"/>
                <w:lang w:eastAsia="zh-CN"/>
              </w:rPr>
              <w:t>，</w:t>
            </w:r>
            <w:r>
              <w:rPr>
                <w:rFonts w:hint="eastAsia"/>
                <w:sz w:val="24"/>
                <w:lang w:val="en-US" w:eastAsia="zh-CN"/>
              </w:rPr>
              <w:t>以此类比，本项目上料粉尘也满足</w:t>
            </w:r>
            <w:r>
              <w:rPr>
                <w:rFonts w:hint="eastAsia"/>
                <w:sz w:val="24"/>
              </w:rPr>
              <w:t>《大气污染物综合排放标准》（GB16297-1996）表2颗粒物无组织排放限值（1mg/m</w:t>
            </w:r>
            <w:r>
              <w:rPr>
                <w:rFonts w:hint="eastAsia"/>
                <w:sz w:val="24"/>
                <w:vertAlign w:val="superscript"/>
              </w:rPr>
              <w:t>3</w:t>
            </w:r>
            <w:r>
              <w:rPr>
                <w:rFonts w:hint="eastAsia"/>
                <w:sz w:val="24"/>
              </w:rPr>
              <w:t>）。</w:t>
            </w:r>
          </w:p>
          <w:p>
            <w:pPr>
              <w:adjustRightInd w:val="0"/>
              <w:snapToGrid w:val="0"/>
              <w:spacing w:line="520" w:lineRule="exact"/>
              <w:ind w:firstLine="480" w:firstLineChars="200"/>
              <w:rPr>
                <w:rFonts w:hAnsi="宋体"/>
                <w:kern w:val="0"/>
                <w:sz w:val="24"/>
              </w:rPr>
            </w:pPr>
            <w:r>
              <w:rPr>
                <w:sz w:val="24"/>
              </w:rPr>
              <w:t>1.1.2</w:t>
            </w:r>
            <w:r>
              <w:rPr>
                <w:rFonts w:hint="eastAsia"/>
                <w:sz w:val="24"/>
              </w:rPr>
              <w:t>柴油储罐装卸、储存废气</w:t>
            </w:r>
          </w:p>
          <w:p>
            <w:pPr>
              <w:spacing w:line="520" w:lineRule="exact"/>
              <w:ind w:firstLine="480" w:firstLineChars="200"/>
              <w:rPr>
                <w:sz w:val="24"/>
                <w:szCs w:val="32"/>
              </w:rPr>
            </w:pPr>
            <w:r>
              <w:rPr>
                <w:rFonts w:hint="eastAsia" w:hAnsi="宋体"/>
                <w:sz w:val="24"/>
                <w:szCs w:val="32"/>
              </w:rPr>
              <w:t>柴油在</w:t>
            </w:r>
            <w:r>
              <w:rPr>
                <w:rFonts w:hint="eastAsia" w:hAnsi="宋体"/>
                <w:sz w:val="24"/>
                <w:szCs w:val="32"/>
                <w:lang w:val="en-US" w:eastAsia="zh-CN"/>
              </w:rPr>
              <w:t>双层</w:t>
            </w:r>
            <w:r>
              <w:rPr>
                <w:rFonts w:hint="eastAsia" w:hAnsi="宋体"/>
                <w:sz w:val="24"/>
                <w:szCs w:val="32"/>
              </w:rPr>
              <w:t>储罐中贮存和装卸时会有少量有机废气挥发，该环节产污系数参考《排放源统计调查产排污核算方法和系数手册（2021年版）》（附表3工业源挥发性有机物通用源项核算系数手册）中柴油储罐工作损失排放系数和静置损失排放系数核算本环节VOC</w:t>
            </w:r>
            <w:r>
              <w:rPr>
                <w:rFonts w:hint="eastAsia" w:hAnsi="宋体"/>
                <w:sz w:val="24"/>
                <w:szCs w:val="32"/>
                <w:vertAlign w:val="subscript"/>
              </w:rPr>
              <w:t>S</w:t>
            </w:r>
            <w:r>
              <w:rPr>
                <w:rFonts w:hint="eastAsia" w:hAnsi="宋体"/>
                <w:sz w:val="24"/>
                <w:szCs w:val="32"/>
              </w:rPr>
              <w:t>产生量。</w:t>
            </w:r>
          </w:p>
          <w:p>
            <w:pPr>
              <w:widowControl/>
              <w:jc w:val="center"/>
              <w:rPr>
                <w:rFonts w:eastAsia="黑体"/>
                <w:sz w:val="24"/>
              </w:rPr>
            </w:pPr>
            <w:r>
              <w:rPr>
                <w:rFonts w:hint="eastAsia" w:eastAsia="黑体"/>
                <w:sz w:val="24"/>
              </w:rPr>
              <w:t>4-</w:t>
            </w:r>
            <w:r>
              <w:rPr>
                <w:rFonts w:hint="eastAsia" w:eastAsia="黑体"/>
                <w:sz w:val="24"/>
                <w:lang w:val="en-US" w:eastAsia="zh-CN"/>
              </w:rPr>
              <w:t>2</w:t>
            </w:r>
            <w:r>
              <w:rPr>
                <w:rFonts w:hint="eastAsia" w:eastAsia="黑体"/>
                <w:sz w:val="24"/>
              </w:rPr>
              <w:t xml:space="preserve">  柴油储罐VOCs损失系数</w:t>
            </w:r>
          </w:p>
          <w:tbl>
            <w:tblPr>
              <w:tblStyle w:val="30"/>
              <w:tblW w:w="9049" w:type="dxa"/>
              <w:tblInd w:w="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04"/>
              <w:gridCol w:w="1087"/>
              <w:gridCol w:w="1350"/>
              <w:gridCol w:w="1250"/>
              <w:gridCol w:w="888"/>
              <w:gridCol w:w="2050"/>
              <w:gridCol w:w="162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04" w:type="dxa"/>
                  <w:tcBorders>
                    <w:tl2br w:val="nil"/>
                    <w:tr2bl w:val="nil"/>
                  </w:tcBorders>
                  <w:vAlign w:val="center"/>
                </w:tcPr>
                <w:p>
                  <w:pPr>
                    <w:pStyle w:val="6"/>
                    <w:spacing w:before="0" w:after="0" w:line="240" w:lineRule="auto"/>
                    <w:jc w:val="center"/>
                    <w:rPr>
                      <w:rFonts w:ascii="Times New Roman" w:hAnsi="Times New Roman" w:eastAsia="宋体"/>
                      <w:b w:val="0"/>
                      <w:bCs w:val="0"/>
                      <w:sz w:val="21"/>
                      <w:szCs w:val="21"/>
                    </w:rPr>
                  </w:pPr>
                  <w:r>
                    <w:rPr>
                      <w:rFonts w:ascii="Times New Roman" w:hAnsi="Times New Roman" w:eastAsia="宋体"/>
                      <w:b w:val="0"/>
                      <w:bCs w:val="0"/>
                      <w:sz w:val="21"/>
                      <w:szCs w:val="21"/>
                    </w:rPr>
                    <w:t>物料名称</w:t>
                  </w:r>
                </w:p>
              </w:tc>
              <w:tc>
                <w:tcPr>
                  <w:tcW w:w="1087" w:type="dxa"/>
                  <w:tcBorders>
                    <w:tl2br w:val="nil"/>
                    <w:tr2bl w:val="nil"/>
                  </w:tcBorders>
                  <w:vAlign w:val="center"/>
                </w:tcPr>
                <w:p>
                  <w:pPr>
                    <w:pStyle w:val="6"/>
                    <w:spacing w:before="0" w:after="0" w:line="240" w:lineRule="auto"/>
                    <w:jc w:val="center"/>
                    <w:rPr>
                      <w:rFonts w:ascii="Times New Roman" w:hAnsi="Times New Roman" w:eastAsia="宋体"/>
                      <w:b w:val="0"/>
                      <w:bCs w:val="0"/>
                      <w:sz w:val="21"/>
                      <w:szCs w:val="21"/>
                    </w:rPr>
                  </w:pPr>
                  <w:r>
                    <w:rPr>
                      <w:rFonts w:ascii="Times New Roman" w:hAnsi="Times New Roman" w:eastAsia="宋体"/>
                      <w:b w:val="0"/>
                      <w:bCs w:val="0"/>
                      <w:sz w:val="21"/>
                      <w:szCs w:val="21"/>
                    </w:rPr>
                    <w:t>储罐类型</w:t>
                  </w:r>
                </w:p>
              </w:tc>
              <w:tc>
                <w:tcPr>
                  <w:tcW w:w="1350" w:type="dxa"/>
                  <w:tcBorders>
                    <w:tl2br w:val="nil"/>
                    <w:tr2bl w:val="nil"/>
                  </w:tcBorders>
                  <w:vAlign w:val="center"/>
                </w:tcPr>
                <w:p>
                  <w:pPr>
                    <w:pStyle w:val="6"/>
                    <w:spacing w:before="0" w:after="0" w:line="240" w:lineRule="auto"/>
                    <w:jc w:val="center"/>
                    <w:rPr>
                      <w:rFonts w:ascii="Times New Roman" w:hAnsi="Times New Roman" w:eastAsia="宋体"/>
                      <w:b w:val="0"/>
                      <w:bCs w:val="0"/>
                      <w:sz w:val="21"/>
                      <w:szCs w:val="21"/>
                    </w:rPr>
                  </w:pPr>
                  <w:r>
                    <w:rPr>
                      <w:rFonts w:ascii="Times New Roman" w:hAnsi="Times New Roman" w:eastAsia="宋体"/>
                      <w:b w:val="0"/>
                      <w:bCs w:val="0"/>
                      <w:sz w:val="21"/>
                      <w:szCs w:val="21"/>
                    </w:rPr>
                    <w:t>储罐容积V（立方米）</w:t>
                  </w:r>
                </w:p>
              </w:tc>
              <w:tc>
                <w:tcPr>
                  <w:tcW w:w="1250" w:type="dxa"/>
                  <w:tcBorders>
                    <w:tl2br w:val="nil"/>
                    <w:tr2bl w:val="nil"/>
                  </w:tcBorders>
                  <w:vAlign w:val="center"/>
                </w:tcPr>
                <w:p>
                  <w:pPr>
                    <w:pStyle w:val="6"/>
                    <w:spacing w:before="0" w:after="0" w:line="240" w:lineRule="auto"/>
                    <w:jc w:val="center"/>
                    <w:rPr>
                      <w:rFonts w:ascii="Times New Roman" w:hAnsi="Times New Roman" w:eastAsia="宋体"/>
                      <w:b w:val="0"/>
                      <w:bCs w:val="0"/>
                      <w:sz w:val="21"/>
                      <w:szCs w:val="21"/>
                    </w:rPr>
                  </w:pPr>
                  <w:r>
                    <w:rPr>
                      <w:rFonts w:ascii="Times New Roman" w:hAnsi="Times New Roman" w:eastAsia="宋体"/>
                      <w:b w:val="0"/>
                      <w:bCs w:val="0"/>
                      <w:sz w:val="21"/>
                      <w:szCs w:val="21"/>
                    </w:rPr>
                    <w:t>储存温度（摄氏度）</w:t>
                  </w:r>
                </w:p>
              </w:tc>
              <w:tc>
                <w:tcPr>
                  <w:tcW w:w="888" w:type="dxa"/>
                  <w:tcBorders>
                    <w:tl2br w:val="nil"/>
                    <w:tr2bl w:val="nil"/>
                  </w:tcBorders>
                  <w:vAlign w:val="center"/>
                </w:tcPr>
                <w:p>
                  <w:pPr>
                    <w:pStyle w:val="6"/>
                    <w:spacing w:before="0" w:after="0" w:line="240" w:lineRule="auto"/>
                    <w:jc w:val="center"/>
                    <w:rPr>
                      <w:rFonts w:ascii="Times New Roman" w:hAnsi="Times New Roman" w:eastAsia="宋体"/>
                      <w:b w:val="0"/>
                      <w:bCs w:val="0"/>
                      <w:sz w:val="21"/>
                      <w:szCs w:val="21"/>
                    </w:rPr>
                  </w:pPr>
                  <w:r>
                    <w:rPr>
                      <w:rFonts w:ascii="Times New Roman" w:hAnsi="Times New Roman" w:eastAsia="宋体"/>
                      <w:b w:val="0"/>
                      <w:bCs w:val="0"/>
                      <w:sz w:val="21"/>
                      <w:szCs w:val="21"/>
                    </w:rPr>
                    <w:t>污染物指标</w:t>
                  </w:r>
                </w:p>
              </w:tc>
              <w:tc>
                <w:tcPr>
                  <w:tcW w:w="2050" w:type="dxa"/>
                  <w:tcBorders>
                    <w:tl2br w:val="nil"/>
                    <w:tr2bl w:val="nil"/>
                  </w:tcBorders>
                  <w:vAlign w:val="center"/>
                </w:tcPr>
                <w:p>
                  <w:pPr>
                    <w:pStyle w:val="6"/>
                    <w:spacing w:before="0" w:after="0" w:line="240" w:lineRule="auto"/>
                    <w:jc w:val="center"/>
                    <w:rPr>
                      <w:rFonts w:ascii="Times New Roman" w:hAnsi="Times New Roman" w:eastAsia="宋体"/>
                      <w:b w:val="0"/>
                      <w:bCs w:val="0"/>
                      <w:sz w:val="21"/>
                      <w:szCs w:val="21"/>
                    </w:rPr>
                  </w:pPr>
                  <w:r>
                    <w:rPr>
                      <w:rFonts w:ascii="Times New Roman" w:hAnsi="Times New Roman" w:eastAsia="宋体"/>
                      <w:b w:val="0"/>
                      <w:bCs w:val="0"/>
                      <w:sz w:val="21"/>
                      <w:szCs w:val="21"/>
                    </w:rPr>
                    <w:t>工作损失排放系数（千克/吨-周转量）</w:t>
                  </w:r>
                </w:p>
              </w:tc>
              <w:tc>
                <w:tcPr>
                  <w:tcW w:w="1620" w:type="dxa"/>
                  <w:tcBorders>
                    <w:tl2br w:val="nil"/>
                    <w:tr2bl w:val="nil"/>
                  </w:tcBorders>
                  <w:vAlign w:val="center"/>
                </w:tcPr>
                <w:p>
                  <w:pPr>
                    <w:pStyle w:val="6"/>
                    <w:spacing w:before="0" w:after="0" w:line="240" w:lineRule="auto"/>
                    <w:jc w:val="center"/>
                    <w:rPr>
                      <w:rFonts w:ascii="Times New Roman" w:hAnsi="Times New Roman" w:eastAsia="宋体"/>
                      <w:b w:val="0"/>
                      <w:bCs w:val="0"/>
                      <w:sz w:val="21"/>
                      <w:szCs w:val="21"/>
                    </w:rPr>
                  </w:pPr>
                  <w:r>
                    <w:rPr>
                      <w:rFonts w:ascii="Times New Roman" w:hAnsi="Times New Roman" w:eastAsia="宋体"/>
                      <w:b w:val="0"/>
                      <w:bCs w:val="0"/>
                      <w:sz w:val="21"/>
                      <w:szCs w:val="21"/>
                    </w:rPr>
                    <w:t>静置损失排放系数（千克/年）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04" w:type="dxa"/>
                  <w:tcBorders>
                    <w:tl2br w:val="nil"/>
                    <w:tr2bl w:val="nil"/>
                  </w:tcBorders>
                  <w:vAlign w:val="center"/>
                </w:tcPr>
                <w:p>
                  <w:pPr>
                    <w:pStyle w:val="6"/>
                    <w:spacing w:before="0" w:after="0" w:line="240" w:lineRule="auto"/>
                    <w:jc w:val="center"/>
                    <w:rPr>
                      <w:rFonts w:ascii="Times New Roman" w:hAnsi="Times New Roman" w:eastAsia="宋体"/>
                      <w:b w:val="0"/>
                      <w:bCs w:val="0"/>
                      <w:sz w:val="21"/>
                      <w:szCs w:val="21"/>
                    </w:rPr>
                  </w:pPr>
                  <w:r>
                    <w:rPr>
                      <w:rFonts w:ascii="Times New Roman" w:hAnsi="Times New Roman" w:eastAsia="宋体"/>
                      <w:b w:val="0"/>
                      <w:bCs w:val="0"/>
                      <w:sz w:val="21"/>
                      <w:szCs w:val="21"/>
                    </w:rPr>
                    <w:t>柴油</w:t>
                  </w:r>
                </w:p>
              </w:tc>
              <w:tc>
                <w:tcPr>
                  <w:tcW w:w="1087" w:type="dxa"/>
                  <w:tcBorders>
                    <w:tl2br w:val="nil"/>
                    <w:tr2bl w:val="nil"/>
                  </w:tcBorders>
                  <w:vAlign w:val="center"/>
                </w:tcPr>
                <w:p>
                  <w:pPr>
                    <w:pStyle w:val="6"/>
                    <w:spacing w:before="0" w:after="0" w:line="240" w:lineRule="auto"/>
                    <w:jc w:val="center"/>
                    <w:rPr>
                      <w:rFonts w:ascii="Times New Roman" w:hAnsi="Times New Roman" w:eastAsia="宋体"/>
                      <w:b w:val="0"/>
                      <w:bCs w:val="0"/>
                      <w:sz w:val="21"/>
                      <w:szCs w:val="21"/>
                    </w:rPr>
                  </w:pPr>
                  <w:r>
                    <w:rPr>
                      <w:rFonts w:ascii="Times New Roman" w:hAnsi="Times New Roman" w:eastAsia="宋体"/>
                      <w:b w:val="0"/>
                      <w:bCs w:val="0"/>
                      <w:sz w:val="21"/>
                      <w:szCs w:val="21"/>
                    </w:rPr>
                    <w:t>固定顶罐</w:t>
                  </w:r>
                </w:p>
              </w:tc>
              <w:tc>
                <w:tcPr>
                  <w:tcW w:w="1350" w:type="dxa"/>
                  <w:tcBorders>
                    <w:tl2br w:val="nil"/>
                    <w:tr2bl w:val="nil"/>
                  </w:tcBorders>
                  <w:vAlign w:val="center"/>
                </w:tcPr>
                <w:p>
                  <w:pPr>
                    <w:pStyle w:val="6"/>
                    <w:spacing w:before="0" w:after="0" w:line="240" w:lineRule="auto"/>
                    <w:jc w:val="center"/>
                    <w:rPr>
                      <w:rFonts w:ascii="Times New Roman" w:hAnsi="Times New Roman" w:eastAsia="宋体"/>
                      <w:b w:val="0"/>
                      <w:bCs w:val="0"/>
                      <w:sz w:val="21"/>
                      <w:szCs w:val="21"/>
                    </w:rPr>
                  </w:pPr>
                  <w:r>
                    <w:rPr>
                      <w:rFonts w:ascii="Times New Roman" w:hAnsi="Times New Roman" w:eastAsia="宋体"/>
                      <w:b w:val="0"/>
                      <w:bCs w:val="0"/>
                      <w:sz w:val="21"/>
                      <w:szCs w:val="21"/>
                    </w:rPr>
                    <w:t>V≤100</w:t>
                  </w:r>
                </w:p>
              </w:tc>
              <w:tc>
                <w:tcPr>
                  <w:tcW w:w="1250" w:type="dxa"/>
                  <w:tcBorders>
                    <w:tl2br w:val="nil"/>
                    <w:tr2bl w:val="nil"/>
                  </w:tcBorders>
                  <w:vAlign w:val="center"/>
                </w:tcPr>
                <w:p>
                  <w:pPr>
                    <w:pStyle w:val="6"/>
                    <w:spacing w:before="0" w:after="0" w:line="240" w:lineRule="auto"/>
                    <w:jc w:val="center"/>
                    <w:rPr>
                      <w:rFonts w:ascii="Times New Roman" w:hAnsi="Times New Roman" w:eastAsia="宋体"/>
                      <w:b w:val="0"/>
                      <w:bCs w:val="0"/>
                      <w:sz w:val="21"/>
                      <w:szCs w:val="21"/>
                    </w:rPr>
                  </w:pPr>
                  <w:r>
                    <w:rPr>
                      <w:rFonts w:ascii="Times New Roman" w:hAnsi="Times New Roman" w:eastAsia="宋体"/>
                      <w:b w:val="0"/>
                      <w:bCs w:val="0"/>
                      <w:sz w:val="21"/>
                      <w:szCs w:val="21"/>
                    </w:rPr>
                    <w:t>常温</w:t>
                  </w:r>
                </w:p>
              </w:tc>
              <w:tc>
                <w:tcPr>
                  <w:tcW w:w="888" w:type="dxa"/>
                  <w:tcBorders>
                    <w:tl2br w:val="nil"/>
                    <w:tr2bl w:val="nil"/>
                  </w:tcBorders>
                  <w:vAlign w:val="center"/>
                </w:tcPr>
                <w:p>
                  <w:pPr>
                    <w:pStyle w:val="6"/>
                    <w:spacing w:before="0" w:after="0" w:line="240" w:lineRule="auto"/>
                    <w:jc w:val="center"/>
                    <w:rPr>
                      <w:rFonts w:ascii="Times New Roman" w:hAnsi="Times New Roman" w:eastAsia="宋体"/>
                      <w:b w:val="0"/>
                      <w:bCs w:val="0"/>
                      <w:sz w:val="21"/>
                      <w:szCs w:val="21"/>
                      <w:vertAlign w:val="subscript"/>
                    </w:rPr>
                  </w:pPr>
                  <w:r>
                    <w:rPr>
                      <w:rFonts w:ascii="Times New Roman" w:hAnsi="Times New Roman" w:eastAsia="宋体"/>
                      <w:b w:val="0"/>
                      <w:bCs w:val="0"/>
                      <w:sz w:val="21"/>
                      <w:szCs w:val="21"/>
                    </w:rPr>
                    <w:t>VOC</w:t>
                  </w:r>
                  <w:r>
                    <w:rPr>
                      <w:rFonts w:ascii="Times New Roman" w:hAnsi="Times New Roman" w:eastAsia="宋体"/>
                      <w:b w:val="0"/>
                      <w:bCs w:val="0"/>
                      <w:sz w:val="21"/>
                      <w:szCs w:val="21"/>
                      <w:vertAlign w:val="subscript"/>
                    </w:rPr>
                    <w:t>S</w:t>
                  </w:r>
                </w:p>
              </w:tc>
              <w:tc>
                <w:tcPr>
                  <w:tcW w:w="2050" w:type="dxa"/>
                  <w:tcBorders>
                    <w:tl2br w:val="nil"/>
                    <w:tr2bl w:val="nil"/>
                  </w:tcBorders>
                  <w:vAlign w:val="center"/>
                </w:tcPr>
                <w:p>
                  <w:pPr>
                    <w:pStyle w:val="6"/>
                    <w:spacing w:before="0" w:after="0" w:line="240" w:lineRule="auto"/>
                    <w:jc w:val="center"/>
                    <w:rPr>
                      <w:rFonts w:ascii="Times New Roman" w:hAnsi="Times New Roman" w:eastAsia="宋体"/>
                      <w:b w:val="0"/>
                      <w:bCs w:val="0"/>
                      <w:sz w:val="21"/>
                      <w:szCs w:val="21"/>
                    </w:rPr>
                  </w:pPr>
                  <w:r>
                    <w:rPr>
                      <w:rFonts w:ascii="Times New Roman" w:hAnsi="Times New Roman" w:eastAsia="宋体"/>
                      <w:b w:val="0"/>
                      <w:bCs w:val="0"/>
                      <w:sz w:val="21"/>
                      <w:szCs w:val="21"/>
                    </w:rPr>
                    <w:t>0.06705</w:t>
                  </w:r>
                </w:p>
              </w:tc>
              <w:tc>
                <w:tcPr>
                  <w:tcW w:w="1620" w:type="dxa"/>
                  <w:tcBorders>
                    <w:tl2br w:val="nil"/>
                    <w:tr2bl w:val="nil"/>
                  </w:tcBorders>
                  <w:vAlign w:val="center"/>
                </w:tcPr>
                <w:p>
                  <w:pPr>
                    <w:pStyle w:val="6"/>
                    <w:spacing w:before="0" w:after="0" w:line="240" w:lineRule="auto"/>
                    <w:jc w:val="center"/>
                    <w:rPr>
                      <w:rFonts w:ascii="Times New Roman" w:hAnsi="Times New Roman" w:eastAsia="宋体"/>
                      <w:b w:val="0"/>
                      <w:bCs w:val="0"/>
                      <w:sz w:val="21"/>
                      <w:szCs w:val="21"/>
                    </w:rPr>
                  </w:pPr>
                  <w:r>
                    <w:rPr>
                      <w:rFonts w:ascii="Times New Roman" w:hAnsi="Times New Roman" w:eastAsia="宋体"/>
                      <w:b w:val="0"/>
                      <w:bCs w:val="0"/>
                      <w:sz w:val="21"/>
                      <w:szCs w:val="21"/>
                    </w:rPr>
                    <w:t>14.321</w:t>
                  </w:r>
                </w:p>
              </w:tc>
            </w:tr>
          </w:tbl>
          <w:p>
            <w:pPr>
              <w:pStyle w:val="6"/>
              <w:spacing w:before="0" w:after="0" w:line="520" w:lineRule="exact"/>
              <w:ind w:firstLine="480" w:firstLineChars="200"/>
              <w:rPr>
                <w:rFonts w:hint="eastAsia" w:ascii="Times New Roman" w:hAnsi="Times New Roman" w:eastAsia="宋体"/>
                <w:b w:val="0"/>
                <w:bCs w:val="0"/>
                <w:sz w:val="24"/>
                <w:szCs w:val="24"/>
                <w:vertAlign w:val="baseline"/>
                <w:lang w:val="en-US" w:eastAsia="zh-CN"/>
              </w:rPr>
            </w:pPr>
            <w:r>
              <w:rPr>
                <w:rFonts w:ascii="Times New Roman" w:hAnsi="Times New Roman" w:eastAsia="宋体"/>
                <w:b w:val="0"/>
                <w:bCs w:val="0"/>
                <w:sz w:val="24"/>
                <w:szCs w:val="24"/>
              </w:rPr>
              <w:t>本项目柴油年储存量为400t，根据上表计算得工作损失VOC</w:t>
            </w:r>
            <w:r>
              <w:rPr>
                <w:rFonts w:ascii="Times New Roman" w:hAnsi="Times New Roman" w:eastAsia="宋体"/>
                <w:b w:val="0"/>
                <w:bCs w:val="0"/>
                <w:sz w:val="24"/>
                <w:szCs w:val="24"/>
                <w:vertAlign w:val="subscript"/>
              </w:rPr>
              <w:t>S</w:t>
            </w:r>
            <w:r>
              <w:rPr>
                <w:rFonts w:ascii="Times New Roman" w:hAnsi="Times New Roman" w:eastAsia="宋体"/>
                <w:b w:val="0"/>
                <w:bCs w:val="0"/>
                <w:sz w:val="24"/>
                <w:szCs w:val="24"/>
              </w:rPr>
              <w:t>量为0.027t/a，静置损失VOC</w:t>
            </w:r>
            <w:r>
              <w:rPr>
                <w:rFonts w:ascii="Times New Roman" w:hAnsi="Times New Roman" w:eastAsia="宋体"/>
                <w:b w:val="0"/>
                <w:bCs w:val="0"/>
                <w:sz w:val="24"/>
                <w:szCs w:val="24"/>
                <w:vertAlign w:val="subscript"/>
              </w:rPr>
              <w:t>S</w:t>
            </w:r>
            <w:r>
              <w:rPr>
                <w:rFonts w:ascii="Times New Roman" w:hAnsi="Times New Roman" w:eastAsia="宋体"/>
                <w:b w:val="0"/>
                <w:bCs w:val="0"/>
                <w:sz w:val="24"/>
                <w:szCs w:val="24"/>
              </w:rPr>
              <w:t>量为0.014t/a，本环节VOC</w:t>
            </w:r>
            <w:r>
              <w:rPr>
                <w:rFonts w:ascii="Times New Roman" w:hAnsi="Times New Roman" w:eastAsia="宋体"/>
                <w:b w:val="0"/>
                <w:bCs w:val="0"/>
                <w:sz w:val="24"/>
                <w:szCs w:val="24"/>
                <w:vertAlign w:val="subscript"/>
              </w:rPr>
              <w:t>S</w:t>
            </w:r>
            <w:r>
              <w:rPr>
                <w:rFonts w:ascii="Times New Roman" w:hAnsi="Times New Roman" w:eastAsia="宋体"/>
                <w:b w:val="0"/>
                <w:bCs w:val="0"/>
                <w:sz w:val="24"/>
                <w:szCs w:val="24"/>
              </w:rPr>
              <w:t>损失总量为0.041t/a。</w:t>
            </w:r>
            <w:r>
              <w:rPr>
                <w:rFonts w:hint="eastAsia" w:ascii="Times New Roman" w:hAnsi="Times New Roman" w:eastAsia="宋体"/>
                <w:b w:val="0"/>
                <w:bCs w:val="0"/>
                <w:sz w:val="24"/>
                <w:szCs w:val="24"/>
                <w:lang w:val="en-US" w:eastAsia="zh-CN"/>
              </w:rPr>
              <w:t>项目采用50m</w:t>
            </w:r>
            <w:r>
              <w:rPr>
                <w:rFonts w:hint="eastAsia" w:ascii="Times New Roman" w:hAnsi="Times New Roman" w:eastAsia="宋体"/>
                <w:b w:val="0"/>
                <w:bCs w:val="0"/>
                <w:sz w:val="24"/>
                <w:szCs w:val="24"/>
                <w:vertAlign w:val="superscript"/>
                <w:lang w:val="en-US" w:eastAsia="zh-CN"/>
              </w:rPr>
              <w:t>3</w:t>
            </w:r>
            <w:r>
              <w:rPr>
                <w:rFonts w:hint="eastAsia" w:ascii="Times New Roman" w:hAnsi="Times New Roman" w:eastAsia="宋体"/>
                <w:b w:val="0"/>
                <w:bCs w:val="0"/>
                <w:sz w:val="24"/>
                <w:szCs w:val="24"/>
                <w:vertAlign w:val="baseline"/>
                <w:lang w:val="en-US" w:eastAsia="zh-CN"/>
              </w:rPr>
              <w:t>双层柴油储罐储存柴油，同迁建前工程一致，本次评价引用《多孔粒状铵油炸药（吉木萨尔）地面站扩能项目竣工环境保护验收监测报告表》中监测数据说明本项目柴油储罐无组织VOCs排放情况。</w:t>
            </w:r>
          </w:p>
          <w:p>
            <w:pPr>
              <w:adjustRightInd w:val="0"/>
              <w:snapToGrid w:val="0"/>
              <w:ind w:firstLine="420"/>
              <w:jc w:val="center"/>
              <w:rPr>
                <w:rFonts w:hint="default" w:ascii="Times New Roman" w:hAnsi="Times New Roman" w:eastAsia="黑体" w:cs="Times New Roman"/>
                <w:sz w:val="24"/>
                <w:szCs w:val="32"/>
              </w:rPr>
            </w:pPr>
            <w:r>
              <w:rPr>
                <w:rFonts w:hint="default" w:ascii="Times New Roman" w:hAnsi="Times New Roman" w:eastAsia="黑体" w:cs="Times New Roman"/>
                <w:sz w:val="24"/>
                <w:szCs w:val="32"/>
              </w:rPr>
              <w:t>表</w:t>
            </w:r>
            <w:r>
              <w:rPr>
                <w:rFonts w:hint="eastAsia" w:ascii="Times New Roman" w:hAnsi="Times New Roman" w:eastAsia="黑体" w:cs="Times New Roman"/>
                <w:sz w:val="24"/>
                <w:szCs w:val="32"/>
                <w:lang w:val="en-US" w:eastAsia="zh-CN"/>
              </w:rPr>
              <w:t>4-3</w:t>
            </w:r>
            <w:r>
              <w:rPr>
                <w:rFonts w:hint="default" w:ascii="Times New Roman" w:hAnsi="Times New Roman" w:eastAsia="黑体" w:cs="Times New Roman"/>
                <w:sz w:val="24"/>
                <w:szCs w:val="32"/>
              </w:rPr>
              <w:t xml:space="preserve">  无组织非甲烷总烃监测结果  单位：mg/m</w:t>
            </w:r>
            <w:r>
              <w:rPr>
                <w:rFonts w:hint="default" w:ascii="Times New Roman" w:hAnsi="Times New Roman" w:eastAsia="黑体" w:cs="Times New Roman"/>
                <w:sz w:val="24"/>
                <w:szCs w:val="32"/>
                <w:vertAlign w:val="superscript"/>
              </w:rPr>
              <w:t>3</w:t>
            </w:r>
          </w:p>
          <w:tbl>
            <w:tblPr>
              <w:tblStyle w:val="29"/>
              <w:tblpPr w:leftFromText="180" w:rightFromText="180" w:vertAnchor="text" w:horzAnchor="page" w:tblpXSpec="center" w:tblpYSpec="inside"/>
              <w:tblOverlap w:val="never"/>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87"/>
              <w:gridCol w:w="1468"/>
              <w:gridCol w:w="1614"/>
              <w:gridCol w:w="1614"/>
              <w:gridCol w:w="1614"/>
              <w:gridCol w:w="161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51" w:type="pct"/>
                  <w:vMerge w:val="restart"/>
                  <w:tcBorders>
                    <w:right w:val="single" w:color="auto" w:sz="4" w:space="0"/>
                  </w:tcBorders>
                  <w:vAlign w:val="center"/>
                </w:tcPr>
                <w:p>
                  <w:pPr>
                    <w:pStyle w:val="74"/>
                    <w:spacing w:line="280" w:lineRule="exact"/>
                  </w:pPr>
                  <w:r>
                    <w:t>监测点位</w:t>
                  </w:r>
                </w:p>
              </w:tc>
              <w:tc>
                <w:tcPr>
                  <w:tcW w:w="804" w:type="pct"/>
                  <w:vMerge w:val="restart"/>
                  <w:tcBorders>
                    <w:left w:val="single" w:color="auto" w:sz="4" w:space="0"/>
                  </w:tcBorders>
                  <w:vAlign w:val="center"/>
                </w:tcPr>
                <w:p>
                  <w:pPr>
                    <w:pStyle w:val="74"/>
                    <w:spacing w:line="280" w:lineRule="exact"/>
                  </w:pPr>
                  <w:r>
                    <w:t>采样</w:t>
                  </w:r>
                  <w:r>
                    <w:rPr>
                      <w:rFonts w:hint="eastAsia"/>
                    </w:rPr>
                    <w:t>点位</w:t>
                  </w:r>
                </w:p>
              </w:tc>
              <w:tc>
                <w:tcPr>
                  <w:tcW w:w="3543" w:type="pct"/>
                  <w:gridSpan w:val="4"/>
                  <w:vAlign w:val="center"/>
                </w:tcPr>
                <w:p>
                  <w:pPr>
                    <w:pStyle w:val="74"/>
                    <w:spacing w:line="280" w:lineRule="exact"/>
                  </w:pPr>
                  <w:r>
                    <w:rPr>
                      <w:rFonts w:hint="eastAsia"/>
                    </w:rPr>
                    <w:t>采样频次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2" w:hRule="exact"/>
                <w:jc w:val="center"/>
              </w:trPr>
              <w:tc>
                <w:tcPr>
                  <w:tcW w:w="651" w:type="pct"/>
                  <w:vMerge w:val="continue"/>
                  <w:tcBorders>
                    <w:right w:val="single" w:color="auto" w:sz="4" w:space="0"/>
                  </w:tcBorders>
                  <w:vAlign w:val="center"/>
                </w:tcPr>
                <w:p>
                  <w:pPr>
                    <w:pStyle w:val="74"/>
                    <w:spacing w:line="280" w:lineRule="exact"/>
                  </w:pPr>
                </w:p>
              </w:tc>
              <w:tc>
                <w:tcPr>
                  <w:tcW w:w="804" w:type="pct"/>
                  <w:vMerge w:val="continue"/>
                  <w:tcBorders>
                    <w:left w:val="single" w:color="auto" w:sz="4" w:space="0"/>
                  </w:tcBorders>
                  <w:vAlign w:val="center"/>
                </w:tcPr>
                <w:p>
                  <w:pPr>
                    <w:pStyle w:val="74"/>
                    <w:spacing w:line="280" w:lineRule="exact"/>
                  </w:pPr>
                </w:p>
              </w:tc>
              <w:tc>
                <w:tcPr>
                  <w:tcW w:w="885" w:type="pct"/>
                  <w:vAlign w:val="center"/>
                </w:tcPr>
                <w:p>
                  <w:pPr>
                    <w:pStyle w:val="74"/>
                    <w:spacing w:line="280" w:lineRule="exact"/>
                  </w:pPr>
                  <w:r>
                    <w:rPr>
                      <w:rFonts w:hint="eastAsia"/>
                    </w:rPr>
                    <w:t>第1次</w:t>
                  </w:r>
                </w:p>
              </w:tc>
              <w:tc>
                <w:tcPr>
                  <w:tcW w:w="885" w:type="pct"/>
                  <w:vAlign w:val="center"/>
                </w:tcPr>
                <w:p>
                  <w:pPr>
                    <w:pStyle w:val="74"/>
                    <w:spacing w:line="280" w:lineRule="exact"/>
                  </w:pPr>
                  <w:r>
                    <w:rPr>
                      <w:rFonts w:hint="eastAsia"/>
                    </w:rPr>
                    <w:t>第2次</w:t>
                  </w:r>
                </w:p>
              </w:tc>
              <w:tc>
                <w:tcPr>
                  <w:tcW w:w="885" w:type="pct"/>
                  <w:vAlign w:val="center"/>
                </w:tcPr>
                <w:p>
                  <w:pPr>
                    <w:pStyle w:val="74"/>
                    <w:spacing w:line="280" w:lineRule="exact"/>
                  </w:pPr>
                  <w:r>
                    <w:rPr>
                      <w:rFonts w:hint="eastAsia"/>
                    </w:rPr>
                    <w:t>第3次</w:t>
                  </w:r>
                </w:p>
              </w:tc>
              <w:tc>
                <w:tcPr>
                  <w:tcW w:w="886" w:type="pct"/>
                  <w:vAlign w:val="center"/>
                </w:tcPr>
                <w:p>
                  <w:pPr>
                    <w:pStyle w:val="74"/>
                    <w:spacing w:line="280" w:lineRule="exact"/>
                  </w:pPr>
                  <w:r>
                    <w:rPr>
                      <w:rFonts w:hint="eastAsia"/>
                    </w:rPr>
                    <w:t>第4次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51" w:type="pct"/>
                  <w:vMerge w:val="restart"/>
                  <w:vAlign w:val="center"/>
                </w:tcPr>
                <w:p>
                  <w:pPr>
                    <w:pStyle w:val="74"/>
                    <w:spacing w:line="280" w:lineRule="exact"/>
                  </w:pPr>
                  <w:r>
                    <w:t>2020年</w:t>
                  </w:r>
                </w:p>
                <w:p>
                  <w:pPr>
                    <w:pStyle w:val="74"/>
                    <w:spacing w:line="280" w:lineRule="exact"/>
                  </w:pPr>
                  <w:r>
                    <w:rPr>
                      <w:rFonts w:hint="eastAsia"/>
                    </w:rPr>
                    <w:t>9</w:t>
                  </w:r>
                  <w:r>
                    <w:t>月</w:t>
                  </w:r>
                  <w:r>
                    <w:rPr>
                      <w:rFonts w:hint="eastAsia"/>
                    </w:rPr>
                    <w:t>20</w:t>
                  </w:r>
                  <w:r>
                    <w:t>日</w:t>
                  </w:r>
                </w:p>
              </w:tc>
              <w:tc>
                <w:tcPr>
                  <w:tcW w:w="804" w:type="pct"/>
                  <w:vAlign w:val="center"/>
                </w:tcPr>
                <w:p>
                  <w:pPr>
                    <w:pStyle w:val="74"/>
                    <w:spacing w:line="280" w:lineRule="exact"/>
                  </w:pPr>
                  <w:r>
                    <w:rPr>
                      <w:rFonts w:hint="eastAsia"/>
                    </w:rPr>
                    <w:t>W1</w:t>
                  </w:r>
                </w:p>
              </w:tc>
              <w:tc>
                <w:tcPr>
                  <w:tcW w:w="885" w:type="pct"/>
                  <w:vAlign w:val="center"/>
                </w:tcPr>
                <w:p>
                  <w:pPr>
                    <w:pStyle w:val="74"/>
                    <w:spacing w:line="280" w:lineRule="exact"/>
                  </w:pPr>
                  <w:r>
                    <w:rPr>
                      <w:rFonts w:hint="eastAsia"/>
                    </w:rPr>
                    <w:t>0.42</w:t>
                  </w:r>
                </w:p>
              </w:tc>
              <w:tc>
                <w:tcPr>
                  <w:tcW w:w="885" w:type="pct"/>
                  <w:vAlign w:val="center"/>
                </w:tcPr>
                <w:p>
                  <w:pPr>
                    <w:pStyle w:val="74"/>
                    <w:spacing w:line="280" w:lineRule="exact"/>
                  </w:pPr>
                  <w:r>
                    <w:rPr>
                      <w:rFonts w:hint="eastAsia"/>
                    </w:rPr>
                    <w:t>0.52</w:t>
                  </w:r>
                </w:p>
              </w:tc>
              <w:tc>
                <w:tcPr>
                  <w:tcW w:w="885" w:type="pct"/>
                  <w:vAlign w:val="center"/>
                </w:tcPr>
                <w:p>
                  <w:pPr>
                    <w:pStyle w:val="74"/>
                    <w:spacing w:line="280" w:lineRule="exact"/>
                  </w:pPr>
                  <w:r>
                    <w:rPr>
                      <w:rFonts w:hint="eastAsia"/>
                    </w:rPr>
                    <w:t>0.54</w:t>
                  </w:r>
                </w:p>
              </w:tc>
              <w:tc>
                <w:tcPr>
                  <w:tcW w:w="886" w:type="pct"/>
                  <w:vAlign w:val="center"/>
                </w:tcPr>
                <w:p>
                  <w:pPr>
                    <w:pStyle w:val="74"/>
                    <w:spacing w:line="280" w:lineRule="exact"/>
                  </w:pPr>
                  <w:r>
                    <w:rPr>
                      <w:rFonts w:hint="eastAsia"/>
                    </w:rPr>
                    <w:t>0.54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51" w:type="pct"/>
                  <w:vMerge w:val="continue"/>
                  <w:vAlign w:val="center"/>
                </w:tcPr>
                <w:p>
                  <w:pPr>
                    <w:pStyle w:val="74"/>
                    <w:spacing w:line="280" w:lineRule="exact"/>
                  </w:pPr>
                </w:p>
              </w:tc>
              <w:tc>
                <w:tcPr>
                  <w:tcW w:w="804" w:type="pct"/>
                  <w:vAlign w:val="center"/>
                </w:tcPr>
                <w:p>
                  <w:pPr>
                    <w:pStyle w:val="74"/>
                    <w:spacing w:line="280" w:lineRule="exact"/>
                  </w:pPr>
                  <w:r>
                    <w:rPr>
                      <w:rFonts w:hint="eastAsia"/>
                    </w:rPr>
                    <w:t>W2</w:t>
                  </w:r>
                </w:p>
              </w:tc>
              <w:tc>
                <w:tcPr>
                  <w:tcW w:w="885" w:type="pct"/>
                  <w:vAlign w:val="center"/>
                </w:tcPr>
                <w:p>
                  <w:pPr>
                    <w:pStyle w:val="74"/>
                    <w:spacing w:line="280" w:lineRule="exact"/>
                  </w:pPr>
                  <w:r>
                    <w:rPr>
                      <w:rFonts w:hint="eastAsia"/>
                    </w:rPr>
                    <w:t>0.46</w:t>
                  </w:r>
                </w:p>
              </w:tc>
              <w:tc>
                <w:tcPr>
                  <w:tcW w:w="885" w:type="pct"/>
                  <w:vAlign w:val="center"/>
                </w:tcPr>
                <w:p>
                  <w:pPr>
                    <w:pStyle w:val="74"/>
                    <w:spacing w:line="280" w:lineRule="exact"/>
                  </w:pPr>
                  <w:r>
                    <w:rPr>
                      <w:rFonts w:hint="eastAsia"/>
                    </w:rPr>
                    <w:t>0.51</w:t>
                  </w:r>
                </w:p>
              </w:tc>
              <w:tc>
                <w:tcPr>
                  <w:tcW w:w="885" w:type="pct"/>
                  <w:vAlign w:val="center"/>
                </w:tcPr>
                <w:p>
                  <w:pPr>
                    <w:pStyle w:val="74"/>
                    <w:spacing w:line="280" w:lineRule="exact"/>
                  </w:pPr>
                  <w:r>
                    <w:rPr>
                      <w:rFonts w:hint="eastAsia"/>
                    </w:rPr>
                    <w:t>0.54</w:t>
                  </w:r>
                </w:p>
              </w:tc>
              <w:tc>
                <w:tcPr>
                  <w:tcW w:w="886" w:type="pct"/>
                  <w:vAlign w:val="center"/>
                </w:tcPr>
                <w:p>
                  <w:pPr>
                    <w:pStyle w:val="74"/>
                    <w:spacing w:line="280" w:lineRule="exact"/>
                  </w:pPr>
                  <w:r>
                    <w:rPr>
                      <w:rFonts w:hint="eastAsia"/>
                    </w:rPr>
                    <w:t>0.60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7" w:hRule="exact"/>
                <w:jc w:val="center"/>
              </w:trPr>
              <w:tc>
                <w:tcPr>
                  <w:tcW w:w="651" w:type="pct"/>
                  <w:vMerge w:val="continue"/>
                  <w:vAlign w:val="center"/>
                </w:tcPr>
                <w:p>
                  <w:pPr>
                    <w:pStyle w:val="74"/>
                    <w:spacing w:line="280" w:lineRule="exact"/>
                  </w:pPr>
                </w:p>
              </w:tc>
              <w:tc>
                <w:tcPr>
                  <w:tcW w:w="804" w:type="pct"/>
                  <w:vAlign w:val="center"/>
                </w:tcPr>
                <w:p>
                  <w:pPr>
                    <w:pStyle w:val="74"/>
                    <w:spacing w:line="280" w:lineRule="exact"/>
                  </w:pPr>
                  <w:r>
                    <w:rPr>
                      <w:rFonts w:hint="eastAsia"/>
                    </w:rPr>
                    <w:t>W3</w:t>
                  </w:r>
                </w:p>
              </w:tc>
              <w:tc>
                <w:tcPr>
                  <w:tcW w:w="885" w:type="pct"/>
                  <w:vAlign w:val="center"/>
                </w:tcPr>
                <w:p>
                  <w:pPr>
                    <w:pStyle w:val="74"/>
                    <w:spacing w:line="280" w:lineRule="exact"/>
                  </w:pPr>
                  <w:r>
                    <w:rPr>
                      <w:rFonts w:hint="eastAsia"/>
                    </w:rPr>
                    <w:t>0.45</w:t>
                  </w:r>
                </w:p>
              </w:tc>
              <w:tc>
                <w:tcPr>
                  <w:tcW w:w="885" w:type="pct"/>
                  <w:vAlign w:val="center"/>
                </w:tcPr>
                <w:p>
                  <w:pPr>
                    <w:pStyle w:val="74"/>
                    <w:spacing w:line="280" w:lineRule="exact"/>
                  </w:pPr>
                  <w:r>
                    <w:rPr>
                      <w:rFonts w:hint="eastAsia"/>
                    </w:rPr>
                    <w:t>0.54</w:t>
                  </w:r>
                </w:p>
              </w:tc>
              <w:tc>
                <w:tcPr>
                  <w:tcW w:w="885" w:type="pct"/>
                  <w:vAlign w:val="center"/>
                </w:tcPr>
                <w:p>
                  <w:pPr>
                    <w:pStyle w:val="74"/>
                    <w:spacing w:line="280" w:lineRule="exact"/>
                  </w:pPr>
                  <w:r>
                    <w:rPr>
                      <w:rFonts w:hint="eastAsia"/>
                    </w:rPr>
                    <w:t>0.53</w:t>
                  </w:r>
                </w:p>
              </w:tc>
              <w:tc>
                <w:tcPr>
                  <w:tcW w:w="886" w:type="pct"/>
                  <w:vAlign w:val="center"/>
                </w:tcPr>
                <w:p>
                  <w:pPr>
                    <w:pStyle w:val="74"/>
                    <w:spacing w:line="280" w:lineRule="exact"/>
                  </w:pPr>
                  <w:r>
                    <w:rPr>
                      <w:rFonts w:hint="eastAsia"/>
                    </w:rPr>
                    <w:t>0.56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51" w:type="pct"/>
                  <w:vMerge w:val="continue"/>
                  <w:vAlign w:val="center"/>
                </w:tcPr>
                <w:p>
                  <w:pPr>
                    <w:pStyle w:val="74"/>
                    <w:spacing w:line="280" w:lineRule="exact"/>
                  </w:pPr>
                </w:p>
              </w:tc>
              <w:tc>
                <w:tcPr>
                  <w:tcW w:w="804" w:type="pct"/>
                  <w:vAlign w:val="center"/>
                </w:tcPr>
                <w:p>
                  <w:pPr>
                    <w:pStyle w:val="74"/>
                    <w:spacing w:line="280" w:lineRule="exact"/>
                  </w:pPr>
                  <w:r>
                    <w:rPr>
                      <w:rFonts w:hint="eastAsia"/>
                    </w:rPr>
                    <w:t>W4</w:t>
                  </w:r>
                </w:p>
              </w:tc>
              <w:tc>
                <w:tcPr>
                  <w:tcW w:w="885" w:type="pct"/>
                  <w:vAlign w:val="center"/>
                </w:tcPr>
                <w:p>
                  <w:pPr>
                    <w:pStyle w:val="74"/>
                    <w:spacing w:line="280" w:lineRule="exact"/>
                  </w:pPr>
                  <w:r>
                    <w:rPr>
                      <w:rFonts w:hint="eastAsia"/>
                    </w:rPr>
                    <w:t>0.44</w:t>
                  </w:r>
                </w:p>
              </w:tc>
              <w:tc>
                <w:tcPr>
                  <w:tcW w:w="885" w:type="pct"/>
                  <w:vAlign w:val="center"/>
                </w:tcPr>
                <w:p>
                  <w:pPr>
                    <w:pStyle w:val="74"/>
                    <w:spacing w:line="280" w:lineRule="exact"/>
                  </w:pPr>
                  <w:r>
                    <w:rPr>
                      <w:rFonts w:hint="eastAsia"/>
                    </w:rPr>
                    <w:t>0.54</w:t>
                  </w:r>
                </w:p>
              </w:tc>
              <w:tc>
                <w:tcPr>
                  <w:tcW w:w="885" w:type="pct"/>
                  <w:vAlign w:val="center"/>
                </w:tcPr>
                <w:p>
                  <w:pPr>
                    <w:pStyle w:val="74"/>
                    <w:spacing w:line="280" w:lineRule="exact"/>
                  </w:pPr>
                  <w:r>
                    <w:rPr>
                      <w:rFonts w:hint="eastAsia"/>
                    </w:rPr>
                    <w:t>0.49</w:t>
                  </w:r>
                </w:p>
              </w:tc>
              <w:tc>
                <w:tcPr>
                  <w:tcW w:w="886" w:type="pct"/>
                  <w:vAlign w:val="center"/>
                </w:tcPr>
                <w:p>
                  <w:pPr>
                    <w:pStyle w:val="74"/>
                    <w:spacing w:line="280" w:lineRule="exact"/>
                  </w:pPr>
                  <w:r>
                    <w:rPr>
                      <w:rFonts w:hint="eastAsia"/>
                    </w:rPr>
                    <w:t>0.53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51" w:type="pct"/>
                  <w:vMerge w:val="restart"/>
                  <w:vAlign w:val="center"/>
                </w:tcPr>
                <w:p>
                  <w:pPr>
                    <w:pStyle w:val="74"/>
                    <w:spacing w:line="280" w:lineRule="exact"/>
                  </w:pPr>
                  <w:r>
                    <w:t>2020年</w:t>
                  </w:r>
                </w:p>
                <w:p>
                  <w:pPr>
                    <w:pStyle w:val="74"/>
                    <w:spacing w:line="280" w:lineRule="exact"/>
                  </w:pPr>
                  <w:r>
                    <w:rPr>
                      <w:rFonts w:hint="eastAsia"/>
                    </w:rPr>
                    <w:t>9</w:t>
                  </w:r>
                  <w:r>
                    <w:t>月</w:t>
                  </w:r>
                  <w:r>
                    <w:rPr>
                      <w:rFonts w:hint="eastAsia"/>
                    </w:rPr>
                    <w:t>21</w:t>
                  </w:r>
                  <w:r>
                    <w:t>日</w:t>
                  </w:r>
                </w:p>
              </w:tc>
              <w:tc>
                <w:tcPr>
                  <w:tcW w:w="804" w:type="pct"/>
                  <w:vAlign w:val="center"/>
                </w:tcPr>
                <w:p>
                  <w:pPr>
                    <w:pStyle w:val="74"/>
                    <w:spacing w:line="280" w:lineRule="exact"/>
                  </w:pPr>
                  <w:r>
                    <w:rPr>
                      <w:rFonts w:hint="eastAsia"/>
                    </w:rPr>
                    <w:t>W1</w:t>
                  </w:r>
                </w:p>
              </w:tc>
              <w:tc>
                <w:tcPr>
                  <w:tcW w:w="885" w:type="pct"/>
                  <w:vAlign w:val="center"/>
                </w:tcPr>
                <w:p>
                  <w:pPr>
                    <w:pStyle w:val="74"/>
                    <w:spacing w:line="280" w:lineRule="exact"/>
                  </w:pPr>
                  <w:r>
                    <w:rPr>
                      <w:rFonts w:hint="eastAsia"/>
                    </w:rPr>
                    <w:t>0.42</w:t>
                  </w:r>
                </w:p>
              </w:tc>
              <w:tc>
                <w:tcPr>
                  <w:tcW w:w="885" w:type="pct"/>
                  <w:vAlign w:val="center"/>
                </w:tcPr>
                <w:p>
                  <w:pPr>
                    <w:pStyle w:val="74"/>
                    <w:spacing w:line="280" w:lineRule="exact"/>
                  </w:pPr>
                  <w:r>
                    <w:rPr>
                      <w:rFonts w:hint="eastAsia"/>
                    </w:rPr>
                    <w:t>0.54</w:t>
                  </w:r>
                </w:p>
              </w:tc>
              <w:tc>
                <w:tcPr>
                  <w:tcW w:w="885" w:type="pct"/>
                  <w:vAlign w:val="center"/>
                </w:tcPr>
                <w:p>
                  <w:pPr>
                    <w:pStyle w:val="74"/>
                    <w:spacing w:line="280" w:lineRule="exact"/>
                  </w:pPr>
                  <w:r>
                    <w:rPr>
                      <w:rFonts w:hint="eastAsia"/>
                    </w:rPr>
                    <w:t>0.54</w:t>
                  </w:r>
                </w:p>
              </w:tc>
              <w:tc>
                <w:tcPr>
                  <w:tcW w:w="886" w:type="pct"/>
                  <w:vAlign w:val="center"/>
                </w:tcPr>
                <w:p>
                  <w:pPr>
                    <w:pStyle w:val="74"/>
                    <w:spacing w:line="280" w:lineRule="exact"/>
                  </w:pPr>
                  <w:r>
                    <w:rPr>
                      <w:rFonts w:hint="eastAsia"/>
                    </w:rPr>
                    <w:t>0.58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51" w:type="pct"/>
                  <w:vMerge w:val="continue"/>
                  <w:vAlign w:val="center"/>
                </w:tcPr>
                <w:p>
                  <w:pPr>
                    <w:pStyle w:val="74"/>
                    <w:spacing w:line="280" w:lineRule="exact"/>
                  </w:pPr>
                </w:p>
              </w:tc>
              <w:tc>
                <w:tcPr>
                  <w:tcW w:w="804" w:type="pct"/>
                  <w:vAlign w:val="center"/>
                </w:tcPr>
                <w:p>
                  <w:pPr>
                    <w:pStyle w:val="74"/>
                    <w:spacing w:line="280" w:lineRule="exact"/>
                  </w:pPr>
                  <w:r>
                    <w:rPr>
                      <w:rFonts w:hint="eastAsia"/>
                    </w:rPr>
                    <w:t>W2</w:t>
                  </w:r>
                </w:p>
              </w:tc>
              <w:tc>
                <w:tcPr>
                  <w:tcW w:w="885" w:type="pct"/>
                  <w:vAlign w:val="center"/>
                </w:tcPr>
                <w:p>
                  <w:pPr>
                    <w:pStyle w:val="74"/>
                    <w:spacing w:line="280" w:lineRule="exact"/>
                  </w:pPr>
                  <w:r>
                    <w:rPr>
                      <w:rFonts w:hint="eastAsia"/>
                    </w:rPr>
                    <w:t>0.40</w:t>
                  </w:r>
                </w:p>
              </w:tc>
              <w:tc>
                <w:tcPr>
                  <w:tcW w:w="885" w:type="pct"/>
                  <w:vAlign w:val="center"/>
                </w:tcPr>
                <w:p>
                  <w:pPr>
                    <w:pStyle w:val="74"/>
                    <w:spacing w:line="280" w:lineRule="exact"/>
                  </w:pPr>
                  <w:r>
                    <w:rPr>
                      <w:rFonts w:hint="eastAsia"/>
                    </w:rPr>
                    <w:t>0.55</w:t>
                  </w:r>
                </w:p>
              </w:tc>
              <w:tc>
                <w:tcPr>
                  <w:tcW w:w="885" w:type="pct"/>
                  <w:vAlign w:val="center"/>
                </w:tcPr>
                <w:p>
                  <w:pPr>
                    <w:pStyle w:val="74"/>
                    <w:spacing w:line="280" w:lineRule="exact"/>
                  </w:pPr>
                  <w:r>
                    <w:rPr>
                      <w:rFonts w:hint="eastAsia"/>
                    </w:rPr>
                    <w:t>0.52</w:t>
                  </w:r>
                </w:p>
              </w:tc>
              <w:tc>
                <w:tcPr>
                  <w:tcW w:w="886" w:type="pct"/>
                  <w:vAlign w:val="center"/>
                </w:tcPr>
                <w:p>
                  <w:pPr>
                    <w:pStyle w:val="74"/>
                    <w:spacing w:line="280" w:lineRule="exact"/>
                  </w:pPr>
                  <w:r>
                    <w:rPr>
                      <w:rFonts w:hint="eastAsia"/>
                    </w:rPr>
                    <w:t>0.58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51" w:type="pct"/>
                  <w:vMerge w:val="continue"/>
                  <w:vAlign w:val="center"/>
                </w:tcPr>
                <w:p>
                  <w:pPr>
                    <w:pStyle w:val="74"/>
                    <w:spacing w:line="280" w:lineRule="exact"/>
                  </w:pPr>
                </w:p>
              </w:tc>
              <w:tc>
                <w:tcPr>
                  <w:tcW w:w="804" w:type="pct"/>
                  <w:vAlign w:val="center"/>
                </w:tcPr>
                <w:p>
                  <w:pPr>
                    <w:pStyle w:val="74"/>
                    <w:spacing w:line="280" w:lineRule="exact"/>
                  </w:pPr>
                  <w:r>
                    <w:rPr>
                      <w:rFonts w:hint="eastAsia"/>
                    </w:rPr>
                    <w:t>W3</w:t>
                  </w:r>
                </w:p>
              </w:tc>
              <w:tc>
                <w:tcPr>
                  <w:tcW w:w="885" w:type="pct"/>
                  <w:vAlign w:val="center"/>
                </w:tcPr>
                <w:p>
                  <w:pPr>
                    <w:pStyle w:val="74"/>
                    <w:spacing w:line="280" w:lineRule="exact"/>
                  </w:pPr>
                  <w:r>
                    <w:rPr>
                      <w:rFonts w:hint="eastAsia"/>
                    </w:rPr>
                    <w:t>0.41</w:t>
                  </w:r>
                </w:p>
              </w:tc>
              <w:tc>
                <w:tcPr>
                  <w:tcW w:w="885" w:type="pct"/>
                  <w:vAlign w:val="center"/>
                </w:tcPr>
                <w:p>
                  <w:pPr>
                    <w:pStyle w:val="74"/>
                    <w:spacing w:line="280" w:lineRule="exact"/>
                  </w:pPr>
                  <w:r>
                    <w:rPr>
                      <w:rFonts w:hint="eastAsia"/>
                    </w:rPr>
                    <w:t>0.53</w:t>
                  </w:r>
                </w:p>
              </w:tc>
              <w:tc>
                <w:tcPr>
                  <w:tcW w:w="885" w:type="pct"/>
                  <w:vAlign w:val="center"/>
                </w:tcPr>
                <w:p>
                  <w:pPr>
                    <w:pStyle w:val="74"/>
                    <w:spacing w:line="280" w:lineRule="exact"/>
                  </w:pPr>
                  <w:r>
                    <w:rPr>
                      <w:rFonts w:hint="eastAsia"/>
                    </w:rPr>
                    <w:t>0.53</w:t>
                  </w:r>
                </w:p>
              </w:tc>
              <w:tc>
                <w:tcPr>
                  <w:tcW w:w="886" w:type="pct"/>
                  <w:vAlign w:val="center"/>
                </w:tcPr>
                <w:p>
                  <w:pPr>
                    <w:pStyle w:val="74"/>
                    <w:spacing w:line="280" w:lineRule="exact"/>
                  </w:pPr>
                  <w:r>
                    <w:rPr>
                      <w:rFonts w:hint="eastAsia"/>
                    </w:rPr>
                    <w:t>0.56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51" w:type="pct"/>
                  <w:vMerge w:val="continue"/>
                  <w:vAlign w:val="center"/>
                </w:tcPr>
                <w:p>
                  <w:pPr>
                    <w:pStyle w:val="74"/>
                    <w:spacing w:line="280" w:lineRule="exact"/>
                  </w:pPr>
                </w:p>
              </w:tc>
              <w:tc>
                <w:tcPr>
                  <w:tcW w:w="804" w:type="pct"/>
                  <w:vAlign w:val="center"/>
                </w:tcPr>
                <w:p>
                  <w:pPr>
                    <w:pStyle w:val="74"/>
                    <w:spacing w:line="280" w:lineRule="exact"/>
                  </w:pPr>
                  <w:r>
                    <w:rPr>
                      <w:rFonts w:hint="eastAsia"/>
                    </w:rPr>
                    <w:t>W4</w:t>
                  </w:r>
                </w:p>
              </w:tc>
              <w:tc>
                <w:tcPr>
                  <w:tcW w:w="885" w:type="pct"/>
                  <w:vAlign w:val="center"/>
                </w:tcPr>
                <w:p>
                  <w:pPr>
                    <w:pStyle w:val="74"/>
                    <w:spacing w:line="280" w:lineRule="exact"/>
                  </w:pPr>
                  <w:r>
                    <w:rPr>
                      <w:rFonts w:hint="eastAsia"/>
                    </w:rPr>
                    <w:t>0.42</w:t>
                  </w:r>
                </w:p>
              </w:tc>
              <w:tc>
                <w:tcPr>
                  <w:tcW w:w="885" w:type="pct"/>
                  <w:vAlign w:val="center"/>
                </w:tcPr>
                <w:p>
                  <w:pPr>
                    <w:pStyle w:val="74"/>
                    <w:spacing w:line="280" w:lineRule="exact"/>
                  </w:pPr>
                  <w:r>
                    <w:rPr>
                      <w:rFonts w:hint="eastAsia"/>
                    </w:rPr>
                    <w:t>0.56</w:t>
                  </w:r>
                </w:p>
              </w:tc>
              <w:tc>
                <w:tcPr>
                  <w:tcW w:w="885" w:type="pct"/>
                  <w:vAlign w:val="center"/>
                </w:tcPr>
                <w:p>
                  <w:pPr>
                    <w:pStyle w:val="74"/>
                    <w:spacing w:line="280" w:lineRule="exact"/>
                  </w:pPr>
                  <w:r>
                    <w:rPr>
                      <w:rFonts w:hint="eastAsia"/>
                    </w:rPr>
                    <w:t>0.52</w:t>
                  </w:r>
                </w:p>
              </w:tc>
              <w:tc>
                <w:tcPr>
                  <w:tcW w:w="886" w:type="pct"/>
                  <w:vAlign w:val="center"/>
                </w:tcPr>
                <w:p>
                  <w:pPr>
                    <w:pStyle w:val="74"/>
                    <w:spacing w:line="280" w:lineRule="exact"/>
                  </w:pPr>
                  <w:r>
                    <w:rPr>
                      <w:rFonts w:hint="eastAsia"/>
                    </w:rPr>
                    <w:t>0.58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1456" w:type="pct"/>
                  <w:gridSpan w:val="2"/>
                  <w:vAlign w:val="center"/>
                </w:tcPr>
                <w:p>
                  <w:pPr>
                    <w:pStyle w:val="74"/>
                    <w:spacing w:line="280" w:lineRule="exact"/>
                  </w:pPr>
                  <w:r>
                    <w:t>非甲烷烃最大值</w:t>
                  </w:r>
                </w:p>
              </w:tc>
              <w:tc>
                <w:tcPr>
                  <w:tcW w:w="3543" w:type="pct"/>
                  <w:gridSpan w:val="4"/>
                  <w:vAlign w:val="center"/>
                </w:tcPr>
                <w:p>
                  <w:pPr>
                    <w:pStyle w:val="74"/>
                    <w:spacing w:line="280" w:lineRule="exact"/>
                  </w:pPr>
                  <w:r>
                    <w:rPr>
                      <w:rFonts w:hint="eastAsia"/>
                    </w:rPr>
                    <w:t>0.60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3" w:hRule="exact"/>
                <w:jc w:val="center"/>
              </w:trPr>
              <w:tc>
                <w:tcPr>
                  <w:tcW w:w="1456" w:type="pct"/>
                  <w:gridSpan w:val="2"/>
                  <w:vAlign w:val="center"/>
                </w:tcPr>
                <w:p>
                  <w:pPr>
                    <w:pStyle w:val="74"/>
                    <w:spacing w:line="280" w:lineRule="exact"/>
                  </w:pPr>
                  <w:r>
                    <w:t>非甲烷烃标准限值</w:t>
                  </w:r>
                </w:p>
              </w:tc>
              <w:tc>
                <w:tcPr>
                  <w:tcW w:w="3543" w:type="pct"/>
                  <w:gridSpan w:val="4"/>
                  <w:vAlign w:val="center"/>
                </w:tcPr>
                <w:p>
                  <w:pPr>
                    <w:pStyle w:val="74"/>
                    <w:spacing w:line="280" w:lineRule="exact"/>
                  </w:pPr>
                  <w:r>
                    <w:t>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3" w:hRule="exact"/>
                <w:jc w:val="center"/>
              </w:trPr>
              <w:tc>
                <w:tcPr>
                  <w:tcW w:w="1456" w:type="pct"/>
                  <w:gridSpan w:val="2"/>
                  <w:vAlign w:val="center"/>
                </w:tcPr>
                <w:p>
                  <w:pPr>
                    <w:pStyle w:val="74"/>
                    <w:spacing w:line="280" w:lineRule="exact"/>
                  </w:pPr>
                  <w:r>
                    <w:t>评价结果</w:t>
                  </w:r>
                </w:p>
              </w:tc>
              <w:tc>
                <w:tcPr>
                  <w:tcW w:w="3543" w:type="pct"/>
                  <w:gridSpan w:val="4"/>
                  <w:vAlign w:val="center"/>
                </w:tcPr>
                <w:p>
                  <w:pPr>
                    <w:pStyle w:val="74"/>
                    <w:spacing w:line="280" w:lineRule="exact"/>
                  </w:pPr>
                  <w:r>
                    <w:t>达标</w:t>
                  </w:r>
                </w:p>
              </w:tc>
            </w:tr>
          </w:tbl>
          <w:p>
            <w:pPr>
              <w:pStyle w:val="6"/>
              <w:spacing w:before="0" w:after="0" w:line="520" w:lineRule="exact"/>
              <w:ind w:firstLine="480" w:firstLineChars="200"/>
              <w:rPr>
                <w:rFonts w:ascii="Times New Roman" w:hAnsi="Times New Roman" w:eastAsia="宋体"/>
                <w:b w:val="0"/>
                <w:bCs w:val="0"/>
                <w:sz w:val="24"/>
                <w:szCs w:val="24"/>
              </w:rPr>
            </w:pPr>
            <w:r>
              <w:rPr>
                <w:rFonts w:hint="eastAsia" w:ascii="Times New Roman" w:hAnsi="Times New Roman" w:eastAsia="宋体"/>
                <w:b w:val="0"/>
                <w:bCs w:val="0"/>
                <w:sz w:val="24"/>
                <w:szCs w:val="24"/>
              </w:rPr>
              <w:t>无组织排放非甲烷总烃厂区内满足《挥发性有机物无组织排放控制标准》（GB37822-2019）表A.1排放限值要求，厂界满足《大气污染物综合排放标准》（GB16297-1996）表2中的浓度限值。</w:t>
            </w:r>
          </w:p>
          <w:p>
            <w:pPr>
              <w:widowControl/>
              <w:spacing w:line="520" w:lineRule="exact"/>
              <w:ind w:firstLine="480" w:firstLineChars="200"/>
              <w:rPr>
                <w:sz w:val="24"/>
              </w:rPr>
            </w:pPr>
            <w:r>
              <w:rPr>
                <w:rFonts w:hint="eastAsia"/>
                <w:sz w:val="24"/>
              </w:rPr>
              <w:t>1.1.3食堂油烟</w:t>
            </w:r>
          </w:p>
          <w:p>
            <w:pPr>
              <w:widowControl/>
              <w:spacing w:line="520" w:lineRule="exact"/>
              <w:ind w:firstLine="480" w:firstLineChars="200"/>
              <w:rPr>
                <w:sz w:val="24"/>
              </w:rPr>
            </w:pPr>
            <w:r>
              <w:rPr>
                <w:rFonts w:hint="eastAsia" w:hAnsi="宋体"/>
                <w:sz w:val="24"/>
              </w:rPr>
              <w:t>厨房烹饪过程中会产生油烟，其是食用油加热到250℃以上，发生氧化、水解、聚合、裂解等反应，随沸腾的油挥发出来的烹调烟气。油烟是一种混合性烟气，据有关研究表明，油烟中含有300多种成分，主要是脂肪酸、烷烃、烯烃、醛、酮、醇、酯、芳香化合物、杂环化合物等。据调查，人均食用油用量约30g/人·d，在项目区食宿人员为70人，年工作250d，则项目食用油总用量约为0.525t/a。根据餐饮业类比调查，油烟挥发量一般占食用油用量的2-4%，但本项目油烟废气主要来自厂区食堂，油烟挥发量应低于纯餐饮业单位的油烟挥发量，因此，本项目食堂油烟挥发量按2%计算，油烟产生量为0.011t/a。</w:t>
            </w:r>
            <w:r>
              <w:rPr>
                <w:sz w:val="24"/>
              </w:rPr>
              <w:t>根据相关资料统计，烹饪油烟浓度一般为</w:t>
            </w:r>
            <w:r>
              <w:rPr>
                <w:rFonts w:hint="eastAsia"/>
                <w:sz w:val="24"/>
              </w:rPr>
              <w:t>4</w:t>
            </w:r>
            <w:r>
              <w:rPr>
                <w:sz w:val="24"/>
              </w:rPr>
              <w:t>mg/m</w:t>
            </w:r>
            <w:r>
              <w:rPr>
                <w:sz w:val="24"/>
                <w:vertAlign w:val="superscript"/>
              </w:rPr>
              <w:t>3</w:t>
            </w:r>
            <w:r>
              <w:rPr>
                <w:rFonts w:hint="eastAsia"/>
                <w:sz w:val="24"/>
              </w:rPr>
              <w:t>。</w:t>
            </w:r>
            <w:r>
              <w:rPr>
                <w:sz w:val="24"/>
              </w:rPr>
              <w:t>安装油烟净化设施，油烟平均去除率按</w:t>
            </w:r>
            <w:r>
              <w:rPr>
                <w:rFonts w:hint="eastAsia"/>
                <w:sz w:val="24"/>
              </w:rPr>
              <w:t>6</w:t>
            </w:r>
            <w:r>
              <w:rPr>
                <w:sz w:val="24"/>
              </w:rPr>
              <w:t>0%计，排放的油烟浓度降为1.6mg/m</w:t>
            </w:r>
            <w:r>
              <w:rPr>
                <w:sz w:val="24"/>
                <w:vertAlign w:val="superscript"/>
              </w:rPr>
              <w:t>3</w:t>
            </w:r>
            <w:r>
              <w:rPr>
                <w:sz w:val="24"/>
              </w:rPr>
              <w:t>，能够达到《饮食业油烟排放标准</w:t>
            </w:r>
            <w:r>
              <w:rPr>
                <w:rStyle w:val="35"/>
                <w:rFonts w:hint="eastAsia"/>
                <w:kern w:val="0"/>
                <w:sz w:val="24"/>
                <w:szCs w:val="22"/>
              </w:rPr>
              <w:t>（试行）</w:t>
            </w:r>
            <w:r>
              <w:rPr>
                <w:sz w:val="24"/>
              </w:rPr>
              <w:t>》（GB18483—2001）中2.0mg/m</w:t>
            </w:r>
            <w:r>
              <w:rPr>
                <w:sz w:val="24"/>
                <w:vertAlign w:val="superscript"/>
              </w:rPr>
              <w:t>3</w:t>
            </w:r>
            <w:r>
              <w:rPr>
                <w:sz w:val="24"/>
              </w:rPr>
              <w:t>的标准限值要求。</w:t>
            </w:r>
            <w:r>
              <w:rPr>
                <w:rFonts w:hint="eastAsia" w:hAnsi="宋体"/>
                <w:sz w:val="24"/>
              </w:rPr>
              <w:t>项目厨房产生油烟量较少，且为间断、不连续行排放，油烟经油烟净化器抽出室外，厂区通风条件较好，经稀释扩散后，对厂内员工及周围环境影响都很小</w:t>
            </w:r>
            <w:r>
              <w:rPr>
                <w:rFonts w:hAnsi="宋体"/>
                <w:sz w:val="24"/>
              </w:rPr>
              <w:t>。</w:t>
            </w:r>
          </w:p>
          <w:p>
            <w:pPr>
              <w:widowControl/>
              <w:jc w:val="center"/>
              <w:rPr>
                <w:rFonts w:eastAsia="黑体"/>
                <w:sz w:val="24"/>
              </w:rPr>
            </w:pPr>
            <w:r>
              <w:rPr>
                <w:rFonts w:eastAsia="黑体"/>
                <w:sz w:val="24"/>
              </w:rPr>
              <w:t>表4-</w:t>
            </w:r>
            <w:r>
              <w:rPr>
                <w:rFonts w:hint="eastAsia" w:eastAsia="黑体"/>
                <w:sz w:val="24"/>
                <w:lang w:val="en-US" w:eastAsia="zh-CN"/>
              </w:rPr>
              <w:t>4</w:t>
            </w:r>
            <w:r>
              <w:rPr>
                <w:rFonts w:eastAsia="黑体"/>
                <w:sz w:val="24"/>
              </w:rPr>
              <w:t xml:space="preserve">  废气排放情况一览表</w:t>
            </w:r>
          </w:p>
          <w:tbl>
            <w:tblPr>
              <w:tblStyle w:val="30"/>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84"/>
              <w:gridCol w:w="1235"/>
              <w:gridCol w:w="983"/>
              <w:gridCol w:w="1209"/>
              <w:gridCol w:w="2322"/>
              <w:gridCol w:w="1076"/>
              <w:gridCol w:w="120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2" w:hRule="atLeast"/>
                <w:jc w:val="center"/>
              </w:trPr>
              <w:tc>
                <w:tcPr>
                  <w:tcW w:w="595" w:type="pct"/>
                  <w:tcBorders>
                    <w:tl2br w:val="nil"/>
                    <w:tr2bl w:val="nil"/>
                  </w:tcBorders>
                  <w:vAlign w:val="center"/>
                </w:tcPr>
                <w:p>
                  <w:pPr>
                    <w:widowControl/>
                    <w:jc w:val="center"/>
                    <w:rPr>
                      <w:szCs w:val="21"/>
                    </w:rPr>
                  </w:pPr>
                  <w:r>
                    <w:rPr>
                      <w:szCs w:val="21"/>
                    </w:rPr>
                    <w:t>排放形式</w:t>
                  </w:r>
                </w:p>
              </w:tc>
              <w:tc>
                <w:tcPr>
                  <w:tcW w:w="677" w:type="pct"/>
                  <w:tcBorders>
                    <w:tl2br w:val="nil"/>
                    <w:tr2bl w:val="nil"/>
                  </w:tcBorders>
                  <w:vAlign w:val="center"/>
                </w:tcPr>
                <w:p>
                  <w:pPr>
                    <w:widowControl/>
                    <w:jc w:val="center"/>
                    <w:rPr>
                      <w:szCs w:val="21"/>
                    </w:rPr>
                  </w:pPr>
                  <w:r>
                    <w:rPr>
                      <w:szCs w:val="21"/>
                    </w:rPr>
                    <w:t>污染物</w:t>
                  </w:r>
                </w:p>
              </w:tc>
              <w:tc>
                <w:tcPr>
                  <w:tcW w:w="539" w:type="pct"/>
                  <w:tcBorders>
                    <w:tl2br w:val="nil"/>
                    <w:tr2bl w:val="nil"/>
                  </w:tcBorders>
                  <w:vAlign w:val="center"/>
                </w:tcPr>
                <w:p>
                  <w:pPr>
                    <w:widowControl/>
                    <w:jc w:val="center"/>
                    <w:rPr>
                      <w:szCs w:val="21"/>
                    </w:rPr>
                  </w:pPr>
                  <w:r>
                    <w:rPr>
                      <w:szCs w:val="21"/>
                    </w:rPr>
                    <w:t>产生量</w:t>
                  </w:r>
                </w:p>
                <w:p>
                  <w:pPr>
                    <w:pStyle w:val="2"/>
                    <w:rPr>
                      <w:rFonts w:ascii="Times New Roman"/>
                      <w:sz w:val="21"/>
                      <w:szCs w:val="21"/>
                    </w:rPr>
                  </w:pPr>
                  <w:r>
                    <w:rPr>
                      <w:rFonts w:ascii="Times New Roman"/>
                      <w:bCs/>
                      <w:sz w:val="21"/>
                      <w:szCs w:val="21"/>
                    </w:rPr>
                    <w:t>（t/a）</w:t>
                  </w:r>
                </w:p>
              </w:tc>
              <w:tc>
                <w:tcPr>
                  <w:tcW w:w="663" w:type="pct"/>
                  <w:tcBorders>
                    <w:tl2br w:val="nil"/>
                    <w:tr2bl w:val="nil"/>
                  </w:tcBorders>
                  <w:vAlign w:val="center"/>
                </w:tcPr>
                <w:p>
                  <w:pPr>
                    <w:widowControl/>
                    <w:jc w:val="center"/>
                    <w:rPr>
                      <w:szCs w:val="21"/>
                    </w:rPr>
                  </w:pPr>
                  <w:r>
                    <w:rPr>
                      <w:szCs w:val="21"/>
                    </w:rPr>
                    <w:t>产生浓度</w:t>
                  </w:r>
                </w:p>
                <w:p>
                  <w:pPr>
                    <w:pStyle w:val="2"/>
                    <w:rPr>
                      <w:rFonts w:ascii="Times New Roman"/>
                      <w:sz w:val="21"/>
                      <w:szCs w:val="21"/>
                    </w:rPr>
                  </w:pPr>
                  <w:r>
                    <w:rPr>
                      <w:rFonts w:ascii="Times New Roman"/>
                      <w:sz w:val="21"/>
                      <w:szCs w:val="21"/>
                    </w:rPr>
                    <w:t>（mg/m</w:t>
                  </w:r>
                  <w:r>
                    <w:rPr>
                      <w:rFonts w:ascii="Times New Roman"/>
                      <w:sz w:val="21"/>
                      <w:szCs w:val="21"/>
                      <w:vertAlign w:val="superscript"/>
                    </w:rPr>
                    <w:t>3</w:t>
                  </w:r>
                  <w:r>
                    <w:rPr>
                      <w:rFonts w:ascii="Times New Roman"/>
                      <w:sz w:val="21"/>
                      <w:szCs w:val="21"/>
                    </w:rPr>
                    <w:t>）</w:t>
                  </w:r>
                </w:p>
              </w:tc>
              <w:tc>
                <w:tcPr>
                  <w:tcW w:w="1273" w:type="pct"/>
                  <w:tcBorders>
                    <w:tl2br w:val="nil"/>
                    <w:tr2bl w:val="nil"/>
                  </w:tcBorders>
                  <w:vAlign w:val="center"/>
                </w:tcPr>
                <w:p>
                  <w:pPr>
                    <w:widowControl/>
                    <w:jc w:val="center"/>
                    <w:rPr>
                      <w:szCs w:val="21"/>
                    </w:rPr>
                  </w:pPr>
                  <w:r>
                    <w:rPr>
                      <w:szCs w:val="21"/>
                    </w:rPr>
                    <w:t>处理措施</w:t>
                  </w:r>
                </w:p>
              </w:tc>
              <w:tc>
                <w:tcPr>
                  <w:tcW w:w="590" w:type="pct"/>
                  <w:tcBorders>
                    <w:tl2br w:val="nil"/>
                    <w:tr2bl w:val="nil"/>
                  </w:tcBorders>
                  <w:vAlign w:val="center"/>
                </w:tcPr>
                <w:p>
                  <w:pPr>
                    <w:widowControl/>
                    <w:jc w:val="center"/>
                    <w:rPr>
                      <w:szCs w:val="21"/>
                    </w:rPr>
                  </w:pPr>
                  <w:r>
                    <w:rPr>
                      <w:szCs w:val="21"/>
                    </w:rPr>
                    <w:t>排放量（t/a）</w:t>
                  </w:r>
                </w:p>
              </w:tc>
              <w:tc>
                <w:tcPr>
                  <w:tcW w:w="661" w:type="pct"/>
                  <w:tcBorders>
                    <w:tl2br w:val="nil"/>
                    <w:tr2bl w:val="nil"/>
                  </w:tcBorders>
                  <w:vAlign w:val="center"/>
                </w:tcPr>
                <w:p>
                  <w:pPr>
                    <w:widowControl/>
                    <w:jc w:val="center"/>
                    <w:rPr>
                      <w:szCs w:val="21"/>
                    </w:rPr>
                  </w:pPr>
                  <w:r>
                    <w:rPr>
                      <w:szCs w:val="21"/>
                    </w:rPr>
                    <w:t>排放浓度（mg/m</w:t>
                  </w:r>
                  <w:r>
                    <w:rPr>
                      <w:szCs w:val="21"/>
                      <w:vertAlign w:val="superscript"/>
                    </w:rPr>
                    <w:t>3</w:t>
                  </w:r>
                  <w:r>
                    <w:rPr>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2" w:hRule="atLeast"/>
                <w:jc w:val="center"/>
              </w:trPr>
              <w:tc>
                <w:tcPr>
                  <w:tcW w:w="595" w:type="pct"/>
                  <w:tcBorders>
                    <w:tl2br w:val="nil"/>
                    <w:tr2bl w:val="nil"/>
                  </w:tcBorders>
                  <w:vAlign w:val="center"/>
                </w:tcPr>
                <w:p>
                  <w:pPr>
                    <w:widowControl/>
                    <w:jc w:val="center"/>
                    <w:rPr>
                      <w:szCs w:val="21"/>
                    </w:rPr>
                  </w:pPr>
                  <w:r>
                    <w:rPr>
                      <w:rFonts w:hint="eastAsia"/>
                      <w:szCs w:val="21"/>
                    </w:rPr>
                    <w:t>有组织</w:t>
                  </w:r>
                </w:p>
              </w:tc>
              <w:tc>
                <w:tcPr>
                  <w:tcW w:w="677" w:type="pct"/>
                  <w:tcBorders>
                    <w:tl2br w:val="nil"/>
                    <w:tr2bl w:val="nil"/>
                  </w:tcBorders>
                  <w:vAlign w:val="center"/>
                </w:tcPr>
                <w:p>
                  <w:pPr>
                    <w:widowControl/>
                    <w:jc w:val="center"/>
                    <w:rPr>
                      <w:szCs w:val="21"/>
                    </w:rPr>
                  </w:pPr>
                  <w:r>
                    <w:rPr>
                      <w:rFonts w:hint="eastAsia"/>
                      <w:szCs w:val="21"/>
                    </w:rPr>
                    <w:t>食堂油烟</w:t>
                  </w:r>
                </w:p>
              </w:tc>
              <w:tc>
                <w:tcPr>
                  <w:tcW w:w="539" w:type="pct"/>
                  <w:tcBorders>
                    <w:tl2br w:val="nil"/>
                    <w:tr2bl w:val="nil"/>
                  </w:tcBorders>
                  <w:vAlign w:val="center"/>
                </w:tcPr>
                <w:p>
                  <w:pPr>
                    <w:widowControl/>
                    <w:jc w:val="center"/>
                    <w:rPr>
                      <w:bCs/>
                      <w:szCs w:val="21"/>
                    </w:rPr>
                  </w:pPr>
                  <w:r>
                    <w:rPr>
                      <w:rFonts w:hint="eastAsia"/>
                      <w:szCs w:val="21"/>
                    </w:rPr>
                    <w:t>0.011</w:t>
                  </w:r>
                </w:p>
              </w:tc>
              <w:tc>
                <w:tcPr>
                  <w:tcW w:w="663" w:type="pct"/>
                  <w:tcBorders>
                    <w:tl2br w:val="nil"/>
                    <w:tr2bl w:val="nil"/>
                  </w:tcBorders>
                  <w:vAlign w:val="center"/>
                </w:tcPr>
                <w:p>
                  <w:pPr>
                    <w:pStyle w:val="2"/>
                    <w:jc w:val="center"/>
                    <w:rPr>
                      <w:rFonts w:ascii="Times New Roman"/>
                      <w:sz w:val="21"/>
                      <w:szCs w:val="21"/>
                    </w:rPr>
                  </w:pPr>
                  <w:r>
                    <w:rPr>
                      <w:rFonts w:hint="eastAsia" w:ascii="Times New Roman"/>
                      <w:sz w:val="21"/>
                      <w:szCs w:val="21"/>
                    </w:rPr>
                    <w:t>4</w:t>
                  </w:r>
                </w:p>
              </w:tc>
              <w:tc>
                <w:tcPr>
                  <w:tcW w:w="1273" w:type="pct"/>
                  <w:tcBorders>
                    <w:tl2br w:val="nil"/>
                    <w:tr2bl w:val="nil"/>
                  </w:tcBorders>
                  <w:vAlign w:val="center"/>
                </w:tcPr>
                <w:p>
                  <w:pPr>
                    <w:widowControl/>
                    <w:jc w:val="center"/>
                    <w:rPr>
                      <w:szCs w:val="21"/>
                    </w:rPr>
                  </w:pPr>
                  <w:r>
                    <w:rPr>
                      <w:rFonts w:hint="eastAsia"/>
                      <w:szCs w:val="21"/>
                    </w:rPr>
                    <w:t>油烟净化器</w:t>
                  </w:r>
                </w:p>
                <w:p>
                  <w:pPr>
                    <w:widowControl/>
                    <w:jc w:val="center"/>
                    <w:rPr>
                      <w:szCs w:val="21"/>
                    </w:rPr>
                  </w:pPr>
                  <w:r>
                    <w:rPr>
                      <w:rFonts w:hint="eastAsia"/>
                      <w:szCs w:val="21"/>
                    </w:rPr>
                    <w:t>（处理效率60%）</w:t>
                  </w:r>
                </w:p>
              </w:tc>
              <w:tc>
                <w:tcPr>
                  <w:tcW w:w="590" w:type="pct"/>
                  <w:tcBorders>
                    <w:tl2br w:val="nil"/>
                    <w:tr2bl w:val="nil"/>
                  </w:tcBorders>
                  <w:vAlign w:val="center"/>
                </w:tcPr>
                <w:p>
                  <w:pPr>
                    <w:widowControl/>
                    <w:jc w:val="center"/>
                    <w:rPr>
                      <w:szCs w:val="21"/>
                    </w:rPr>
                  </w:pPr>
                  <w:r>
                    <w:rPr>
                      <w:rFonts w:hint="eastAsia"/>
                      <w:szCs w:val="21"/>
                    </w:rPr>
                    <w:t>0.004</w:t>
                  </w:r>
                </w:p>
              </w:tc>
              <w:tc>
                <w:tcPr>
                  <w:tcW w:w="661" w:type="pct"/>
                  <w:tcBorders>
                    <w:tl2br w:val="nil"/>
                    <w:tr2bl w:val="nil"/>
                  </w:tcBorders>
                  <w:vAlign w:val="center"/>
                </w:tcPr>
                <w:p>
                  <w:pPr>
                    <w:widowControl/>
                    <w:jc w:val="center"/>
                    <w:rPr>
                      <w:szCs w:val="21"/>
                    </w:rPr>
                  </w:pPr>
                  <w:r>
                    <w:rPr>
                      <w:rFonts w:hint="eastAsia"/>
                      <w:szCs w:val="21"/>
                    </w:rPr>
                    <w:t>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95" w:type="pct"/>
                  <w:vMerge w:val="restart"/>
                  <w:tcBorders>
                    <w:tl2br w:val="nil"/>
                    <w:tr2bl w:val="nil"/>
                  </w:tcBorders>
                  <w:vAlign w:val="center"/>
                </w:tcPr>
                <w:p>
                  <w:pPr>
                    <w:widowControl/>
                    <w:jc w:val="center"/>
                    <w:rPr>
                      <w:szCs w:val="21"/>
                    </w:rPr>
                  </w:pPr>
                  <w:r>
                    <w:rPr>
                      <w:szCs w:val="21"/>
                    </w:rPr>
                    <w:t>无组织</w:t>
                  </w:r>
                </w:p>
              </w:tc>
              <w:tc>
                <w:tcPr>
                  <w:tcW w:w="677" w:type="pct"/>
                  <w:tcBorders>
                    <w:tl2br w:val="nil"/>
                    <w:tr2bl w:val="nil"/>
                  </w:tcBorders>
                  <w:vAlign w:val="center"/>
                </w:tcPr>
                <w:p>
                  <w:pPr>
                    <w:widowControl/>
                    <w:jc w:val="center"/>
                    <w:rPr>
                      <w:szCs w:val="21"/>
                    </w:rPr>
                  </w:pPr>
                  <w:r>
                    <w:rPr>
                      <w:rFonts w:hint="eastAsia"/>
                      <w:szCs w:val="21"/>
                    </w:rPr>
                    <w:t>上料粉尘</w:t>
                  </w:r>
                </w:p>
              </w:tc>
              <w:tc>
                <w:tcPr>
                  <w:tcW w:w="539" w:type="pct"/>
                  <w:tcBorders>
                    <w:tl2br w:val="nil"/>
                    <w:tr2bl w:val="nil"/>
                  </w:tcBorders>
                  <w:vAlign w:val="center"/>
                </w:tcPr>
                <w:p>
                  <w:pPr>
                    <w:widowControl/>
                    <w:jc w:val="center"/>
                    <w:rPr>
                      <w:szCs w:val="21"/>
                    </w:rPr>
                  </w:pPr>
                  <w:r>
                    <w:rPr>
                      <w:rFonts w:hint="eastAsia"/>
                      <w:szCs w:val="21"/>
                    </w:rPr>
                    <w:t>1.7</w:t>
                  </w:r>
                </w:p>
              </w:tc>
              <w:tc>
                <w:tcPr>
                  <w:tcW w:w="663" w:type="pct"/>
                  <w:tcBorders>
                    <w:tl2br w:val="nil"/>
                    <w:tr2bl w:val="nil"/>
                  </w:tcBorders>
                  <w:vAlign w:val="center"/>
                </w:tcPr>
                <w:p>
                  <w:pPr>
                    <w:widowControl/>
                    <w:jc w:val="center"/>
                    <w:rPr>
                      <w:szCs w:val="21"/>
                    </w:rPr>
                  </w:pPr>
                  <w:r>
                    <w:rPr>
                      <w:rFonts w:hint="eastAsia"/>
                      <w:szCs w:val="21"/>
                    </w:rPr>
                    <w:t>/</w:t>
                  </w:r>
                </w:p>
              </w:tc>
              <w:tc>
                <w:tcPr>
                  <w:tcW w:w="1273" w:type="pct"/>
                  <w:tcBorders>
                    <w:tl2br w:val="nil"/>
                    <w:tr2bl w:val="nil"/>
                  </w:tcBorders>
                  <w:vAlign w:val="center"/>
                </w:tcPr>
                <w:p>
                  <w:pPr>
                    <w:widowControl/>
                    <w:jc w:val="center"/>
                    <w:rPr>
                      <w:szCs w:val="21"/>
                    </w:rPr>
                  </w:pPr>
                  <w:r>
                    <w:rPr>
                      <w:rFonts w:hint="eastAsia"/>
                      <w:szCs w:val="21"/>
                    </w:rPr>
                    <w:t>密闭上料</w:t>
                  </w:r>
                </w:p>
                <w:p>
                  <w:pPr>
                    <w:widowControl/>
                    <w:jc w:val="center"/>
                    <w:rPr>
                      <w:szCs w:val="21"/>
                    </w:rPr>
                  </w:pPr>
                  <w:r>
                    <w:rPr>
                      <w:rFonts w:hint="eastAsia"/>
                      <w:szCs w:val="21"/>
                    </w:rPr>
                    <w:t>（抑尘效率99%）</w:t>
                  </w:r>
                </w:p>
              </w:tc>
              <w:tc>
                <w:tcPr>
                  <w:tcW w:w="590" w:type="pct"/>
                  <w:tcBorders>
                    <w:tl2br w:val="nil"/>
                    <w:tr2bl w:val="nil"/>
                  </w:tcBorders>
                  <w:vAlign w:val="center"/>
                </w:tcPr>
                <w:p>
                  <w:pPr>
                    <w:widowControl/>
                    <w:jc w:val="center"/>
                    <w:rPr>
                      <w:szCs w:val="21"/>
                    </w:rPr>
                  </w:pPr>
                  <w:r>
                    <w:rPr>
                      <w:rFonts w:hint="eastAsia"/>
                      <w:szCs w:val="21"/>
                    </w:rPr>
                    <w:t>0.017</w:t>
                  </w:r>
                </w:p>
              </w:tc>
              <w:tc>
                <w:tcPr>
                  <w:tcW w:w="661" w:type="pct"/>
                  <w:tcBorders>
                    <w:tl2br w:val="nil"/>
                    <w:tr2bl w:val="nil"/>
                  </w:tcBorders>
                  <w:vAlign w:val="center"/>
                </w:tcPr>
                <w:p>
                  <w:pPr>
                    <w:widowControl/>
                    <w:jc w:val="center"/>
                    <w:rPr>
                      <w:szCs w:val="21"/>
                    </w:rPr>
                  </w:pP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95" w:type="pct"/>
                  <w:vMerge w:val="continue"/>
                  <w:tcBorders>
                    <w:tl2br w:val="nil"/>
                    <w:tr2bl w:val="nil"/>
                  </w:tcBorders>
                  <w:vAlign w:val="center"/>
                </w:tcPr>
                <w:p>
                  <w:pPr>
                    <w:widowControl/>
                    <w:jc w:val="center"/>
                    <w:rPr>
                      <w:szCs w:val="21"/>
                    </w:rPr>
                  </w:pPr>
                </w:p>
              </w:tc>
              <w:tc>
                <w:tcPr>
                  <w:tcW w:w="677" w:type="pct"/>
                  <w:tcBorders>
                    <w:tl2br w:val="nil"/>
                    <w:tr2bl w:val="nil"/>
                  </w:tcBorders>
                  <w:vAlign w:val="center"/>
                </w:tcPr>
                <w:p>
                  <w:pPr>
                    <w:widowControl/>
                    <w:jc w:val="center"/>
                    <w:rPr>
                      <w:szCs w:val="21"/>
                    </w:rPr>
                  </w:pPr>
                  <w:r>
                    <w:rPr>
                      <w:rFonts w:hint="eastAsia"/>
                      <w:szCs w:val="21"/>
                    </w:rPr>
                    <w:t>储罐废气</w:t>
                  </w:r>
                </w:p>
              </w:tc>
              <w:tc>
                <w:tcPr>
                  <w:tcW w:w="539" w:type="pct"/>
                  <w:tcBorders>
                    <w:tl2br w:val="nil"/>
                    <w:tr2bl w:val="nil"/>
                  </w:tcBorders>
                  <w:vAlign w:val="center"/>
                </w:tcPr>
                <w:p>
                  <w:pPr>
                    <w:widowControl/>
                    <w:jc w:val="center"/>
                    <w:rPr>
                      <w:szCs w:val="21"/>
                    </w:rPr>
                  </w:pPr>
                  <w:r>
                    <w:rPr>
                      <w:rFonts w:hint="eastAsia"/>
                      <w:szCs w:val="21"/>
                    </w:rPr>
                    <w:t>0.041</w:t>
                  </w:r>
                </w:p>
              </w:tc>
              <w:tc>
                <w:tcPr>
                  <w:tcW w:w="663" w:type="pct"/>
                  <w:tcBorders>
                    <w:tl2br w:val="nil"/>
                    <w:tr2bl w:val="nil"/>
                  </w:tcBorders>
                  <w:vAlign w:val="center"/>
                </w:tcPr>
                <w:p>
                  <w:pPr>
                    <w:widowControl/>
                    <w:jc w:val="center"/>
                    <w:rPr>
                      <w:szCs w:val="21"/>
                    </w:rPr>
                  </w:pPr>
                  <w:r>
                    <w:rPr>
                      <w:rFonts w:hint="eastAsia"/>
                      <w:szCs w:val="21"/>
                    </w:rPr>
                    <w:t>/</w:t>
                  </w:r>
                </w:p>
              </w:tc>
              <w:tc>
                <w:tcPr>
                  <w:tcW w:w="1273" w:type="pct"/>
                  <w:tcBorders>
                    <w:tl2br w:val="nil"/>
                    <w:tr2bl w:val="nil"/>
                  </w:tcBorders>
                  <w:vAlign w:val="center"/>
                </w:tcPr>
                <w:p>
                  <w:pPr>
                    <w:widowControl/>
                    <w:jc w:val="center"/>
                    <w:rPr>
                      <w:rFonts w:hint="eastAsia" w:eastAsia="宋体"/>
                      <w:szCs w:val="21"/>
                      <w:lang w:val="en-US" w:eastAsia="zh-CN"/>
                    </w:rPr>
                  </w:pPr>
                  <w:r>
                    <w:rPr>
                      <w:rFonts w:hint="eastAsia"/>
                      <w:szCs w:val="21"/>
                      <w:lang w:val="en-US" w:eastAsia="zh-CN"/>
                    </w:rPr>
                    <w:t>/</w:t>
                  </w:r>
                </w:p>
              </w:tc>
              <w:tc>
                <w:tcPr>
                  <w:tcW w:w="590" w:type="pct"/>
                  <w:tcBorders>
                    <w:tl2br w:val="nil"/>
                    <w:tr2bl w:val="nil"/>
                  </w:tcBorders>
                  <w:vAlign w:val="center"/>
                </w:tcPr>
                <w:p>
                  <w:pPr>
                    <w:widowControl/>
                    <w:jc w:val="center"/>
                    <w:rPr>
                      <w:szCs w:val="21"/>
                    </w:rPr>
                  </w:pPr>
                  <w:r>
                    <w:rPr>
                      <w:rFonts w:hint="eastAsia"/>
                      <w:szCs w:val="21"/>
                    </w:rPr>
                    <w:t>0.0004</w:t>
                  </w:r>
                </w:p>
              </w:tc>
              <w:tc>
                <w:tcPr>
                  <w:tcW w:w="661" w:type="pct"/>
                  <w:tcBorders>
                    <w:tl2br w:val="nil"/>
                    <w:tr2bl w:val="nil"/>
                  </w:tcBorders>
                  <w:vAlign w:val="center"/>
                </w:tcPr>
                <w:p>
                  <w:pPr>
                    <w:widowControl/>
                    <w:jc w:val="center"/>
                    <w:rPr>
                      <w:szCs w:val="21"/>
                    </w:rPr>
                  </w:pPr>
                  <w:r>
                    <w:rPr>
                      <w:rFonts w:hint="eastAsia"/>
                      <w:szCs w:val="21"/>
                    </w:rPr>
                    <w:t>/</w:t>
                  </w:r>
                </w:p>
              </w:tc>
            </w:tr>
          </w:tbl>
          <w:p>
            <w:pPr>
              <w:widowControl/>
              <w:spacing w:line="520" w:lineRule="exact"/>
              <w:ind w:firstLine="482" w:firstLineChars="200"/>
              <w:rPr>
                <w:b/>
                <w:bCs/>
                <w:sz w:val="24"/>
              </w:rPr>
            </w:pPr>
            <w:r>
              <w:rPr>
                <w:rFonts w:hint="eastAsia"/>
                <w:b/>
                <w:bCs/>
                <w:sz w:val="24"/>
              </w:rPr>
              <w:t>1.2大气环境影响监测计划</w:t>
            </w:r>
          </w:p>
          <w:p>
            <w:pPr>
              <w:widowControl/>
              <w:ind w:firstLine="480" w:firstLineChars="200"/>
              <w:jc w:val="center"/>
              <w:rPr>
                <w:rFonts w:hint="default" w:ascii="Times New Roman" w:hAnsi="Times New Roman" w:eastAsia="黑体" w:cs="Times New Roman"/>
                <w:sz w:val="24"/>
              </w:rPr>
            </w:pPr>
            <w:r>
              <w:rPr>
                <w:rFonts w:hint="default" w:ascii="Times New Roman" w:hAnsi="Times New Roman" w:eastAsia="黑体" w:cs="Times New Roman"/>
                <w:sz w:val="24"/>
              </w:rPr>
              <w:t>表4-</w:t>
            </w:r>
            <w:r>
              <w:rPr>
                <w:rFonts w:hint="eastAsia" w:ascii="Times New Roman" w:hAnsi="Times New Roman" w:eastAsia="黑体" w:cs="Times New Roman"/>
                <w:sz w:val="24"/>
                <w:lang w:val="en-US" w:eastAsia="zh-CN"/>
              </w:rPr>
              <w:t>5</w:t>
            </w:r>
            <w:r>
              <w:rPr>
                <w:rFonts w:hint="default" w:ascii="Times New Roman" w:hAnsi="Times New Roman" w:eastAsia="黑体" w:cs="Times New Roman"/>
                <w:sz w:val="24"/>
              </w:rPr>
              <w:t xml:space="preserve">  环境质量监测方案</w:t>
            </w:r>
          </w:p>
          <w:tbl>
            <w:tblPr>
              <w:tblStyle w:val="3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67"/>
              <w:gridCol w:w="2086"/>
              <w:gridCol w:w="2281"/>
              <w:gridCol w:w="22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353" w:type="pct"/>
                  <w:tcBorders>
                    <w:tl2br w:val="nil"/>
                    <w:tr2bl w:val="nil"/>
                  </w:tcBorders>
                  <w:vAlign w:val="center"/>
                </w:tcPr>
                <w:p>
                  <w:pPr>
                    <w:pStyle w:val="75"/>
                    <w:rPr>
                      <w:iCs/>
                    </w:rPr>
                  </w:pPr>
                  <w:r>
                    <w:rPr>
                      <w:iCs/>
                    </w:rPr>
                    <w:t>监测位置</w:t>
                  </w:r>
                </w:p>
              </w:tc>
              <w:tc>
                <w:tcPr>
                  <w:tcW w:w="1144" w:type="pct"/>
                  <w:tcBorders>
                    <w:tl2br w:val="nil"/>
                    <w:tr2bl w:val="nil"/>
                  </w:tcBorders>
                  <w:vAlign w:val="center"/>
                </w:tcPr>
                <w:p>
                  <w:pPr>
                    <w:pStyle w:val="75"/>
                    <w:rPr>
                      <w:iCs/>
                    </w:rPr>
                  </w:pPr>
                  <w:r>
                    <w:rPr>
                      <w:iCs/>
                    </w:rPr>
                    <w:t>监测项目</w:t>
                  </w:r>
                </w:p>
              </w:tc>
              <w:tc>
                <w:tcPr>
                  <w:tcW w:w="1251" w:type="pct"/>
                  <w:tcBorders>
                    <w:tl2br w:val="nil"/>
                    <w:tr2bl w:val="nil"/>
                  </w:tcBorders>
                  <w:vAlign w:val="center"/>
                </w:tcPr>
                <w:p>
                  <w:pPr>
                    <w:pStyle w:val="75"/>
                    <w:rPr>
                      <w:iCs/>
                    </w:rPr>
                  </w:pPr>
                  <w:r>
                    <w:rPr>
                      <w:iCs/>
                    </w:rPr>
                    <w:t>监测频率</w:t>
                  </w:r>
                </w:p>
              </w:tc>
              <w:tc>
                <w:tcPr>
                  <w:tcW w:w="1251" w:type="pct"/>
                  <w:tcBorders>
                    <w:tl2br w:val="nil"/>
                    <w:tr2bl w:val="nil"/>
                  </w:tcBorders>
                  <w:vAlign w:val="center"/>
                </w:tcPr>
                <w:p>
                  <w:pPr>
                    <w:pStyle w:val="75"/>
                    <w:rPr>
                      <w:iCs/>
                    </w:rPr>
                  </w:pPr>
                  <w:r>
                    <w:rPr>
                      <w:iCs/>
                    </w:rPr>
                    <w:t>监测方式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53" w:type="pct"/>
                  <w:tcBorders>
                    <w:tl2br w:val="nil"/>
                    <w:tr2bl w:val="nil"/>
                  </w:tcBorders>
                  <w:vAlign w:val="center"/>
                </w:tcPr>
                <w:p>
                  <w:pPr>
                    <w:pStyle w:val="75"/>
                    <w:rPr>
                      <w:iCs/>
                    </w:rPr>
                  </w:pPr>
                  <w:r>
                    <w:rPr>
                      <w:rFonts w:hint="eastAsia"/>
                      <w:iCs/>
                    </w:rPr>
                    <w:t>厂房门窗或通风口外1m距地面1.5m以上位置</w:t>
                  </w:r>
                </w:p>
              </w:tc>
              <w:tc>
                <w:tcPr>
                  <w:tcW w:w="1144" w:type="pct"/>
                  <w:tcBorders>
                    <w:tl2br w:val="nil"/>
                    <w:tr2bl w:val="nil"/>
                  </w:tcBorders>
                  <w:vAlign w:val="center"/>
                </w:tcPr>
                <w:p>
                  <w:pPr>
                    <w:pStyle w:val="75"/>
                    <w:rPr>
                      <w:iCs/>
                    </w:rPr>
                  </w:pPr>
                  <w:r>
                    <w:rPr>
                      <w:rFonts w:hint="eastAsia"/>
                      <w:iCs/>
                    </w:rPr>
                    <w:t>厂界内VOCs</w:t>
                  </w:r>
                </w:p>
              </w:tc>
              <w:tc>
                <w:tcPr>
                  <w:tcW w:w="1251" w:type="pct"/>
                  <w:tcBorders>
                    <w:tl2br w:val="nil"/>
                    <w:tr2bl w:val="nil"/>
                  </w:tcBorders>
                  <w:vAlign w:val="center"/>
                </w:tcPr>
                <w:p>
                  <w:pPr>
                    <w:pStyle w:val="75"/>
                    <w:rPr>
                      <w:iCs/>
                    </w:rPr>
                  </w:pPr>
                  <w:r>
                    <w:rPr>
                      <w:iCs/>
                    </w:rPr>
                    <w:t>每年1次</w:t>
                  </w:r>
                </w:p>
              </w:tc>
              <w:tc>
                <w:tcPr>
                  <w:tcW w:w="1251" w:type="pct"/>
                  <w:tcBorders>
                    <w:tl2br w:val="nil"/>
                    <w:tr2bl w:val="nil"/>
                  </w:tcBorders>
                  <w:vAlign w:val="center"/>
                </w:tcPr>
                <w:p>
                  <w:pPr>
                    <w:pStyle w:val="75"/>
                    <w:rPr>
                      <w:iCs/>
                    </w:rPr>
                  </w:pPr>
                  <w:r>
                    <w:rPr>
                      <w:iCs/>
                    </w:rPr>
                    <w:t>委托第三方监测单位监测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53" w:type="pct"/>
                  <w:tcBorders>
                    <w:tl2br w:val="nil"/>
                    <w:tr2bl w:val="nil"/>
                  </w:tcBorders>
                  <w:vAlign w:val="center"/>
                </w:tcPr>
                <w:p>
                  <w:pPr>
                    <w:pStyle w:val="75"/>
                    <w:rPr>
                      <w:iCs/>
                    </w:rPr>
                  </w:pPr>
                  <w:r>
                    <w:rPr>
                      <w:rFonts w:hint="eastAsia"/>
                      <w:iCs/>
                    </w:rPr>
                    <w:t>厂界上风向1#，厂界下风向2#~4#</w:t>
                  </w:r>
                </w:p>
              </w:tc>
              <w:tc>
                <w:tcPr>
                  <w:tcW w:w="1144" w:type="pct"/>
                  <w:tcBorders>
                    <w:tl2br w:val="nil"/>
                    <w:tr2bl w:val="nil"/>
                  </w:tcBorders>
                  <w:vAlign w:val="center"/>
                </w:tcPr>
                <w:p>
                  <w:pPr>
                    <w:pStyle w:val="75"/>
                    <w:rPr>
                      <w:iCs/>
                    </w:rPr>
                  </w:pPr>
                  <w:r>
                    <w:rPr>
                      <w:rFonts w:hint="eastAsia"/>
                      <w:iCs/>
                    </w:rPr>
                    <w:t>无组织粉尘</w:t>
                  </w:r>
                </w:p>
              </w:tc>
              <w:tc>
                <w:tcPr>
                  <w:tcW w:w="1251" w:type="pct"/>
                  <w:tcBorders>
                    <w:tl2br w:val="nil"/>
                    <w:tr2bl w:val="nil"/>
                  </w:tcBorders>
                  <w:vAlign w:val="center"/>
                </w:tcPr>
                <w:p>
                  <w:pPr>
                    <w:pStyle w:val="75"/>
                    <w:rPr>
                      <w:iCs/>
                    </w:rPr>
                  </w:pPr>
                  <w:r>
                    <w:rPr>
                      <w:iCs/>
                    </w:rPr>
                    <w:t>每年1次</w:t>
                  </w:r>
                </w:p>
              </w:tc>
              <w:tc>
                <w:tcPr>
                  <w:tcW w:w="1251" w:type="pct"/>
                  <w:tcBorders>
                    <w:tl2br w:val="nil"/>
                    <w:tr2bl w:val="nil"/>
                  </w:tcBorders>
                  <w:vAlign w:val="center"/>
                </w:tcPr>
                <w:p>
                  <w:pPr>
                    <w:pStyle w:val="75"/>
                    <w:rPr>
                      <w:iCs/>
                    </w:rPr>
                  </w:pPr>
                  <w:r>
                    <w:rPr>
                      <w:iCs/>
                    </w:rPr>
                    <w:t>委托第三方监测单位监测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53" w:type="pct"/>
                  <w:tcBorders>
                    <w:tl2br w:val="nil"/>
                    <w:tr2bl w:val="nil"/>
                  </w:tcBorders>
                  <w:vAlign w:val="center"/>
                </w:tcPr>
                <w:p>
                  <w:pPr>
                    <w:pStyle w:val="75"/>
                    <w:rPr>
                      <w:iCs/>
                    </w:rPr>
                  </w:pPr>
                  <w:r>
                    <w:rPr>
                      <w:rFonts w:hint="eastAsia"/>
                      <w:iCs/>
                    </w:rPr>
                    <w:t>厂界外10m范围内浓度最高点</w:t>
                  </w:r>
                </w:p>
              </w:tc>
              <w:tc>
                <w:tcPr>
                  <w:tcW w:w="1144" w:type="pct"/>
                  <w:tcBorders>
                    <w:tl2br w:val="nil"/>
                    <w:tr2bl w:val="nil"/>
                  </w:tcBorders>
                  <w:vAlign w:val="center"/>
                </w:tcPr>
                <w:p>
                  <w:pPr>
                    <w:pStyle w:val="75"/>
                    <w:rPr>
                      <w:iCs/>
                    </w:rPr>
                  </w:pPr>
                  <w:r>
                    <w:rPr>
                      <w:rFonts w:hint="eastAsia"/>
                      <w:iCs/>
                    </w:rPr>
                    <w:t>无组织VOCs</w:t>
                  </w:r>
                </w:p>
              </w:tc>
              <w:tc>
                <w:tcPr>
                  <w:tcW w:w="1251" w:type="pct"/>
                  <w:tcBorders>
                    <w:tl2br w:val="nil"/>
                    <w:tr2bl w:val="nil"/>
                  </w:tcBorders>
                  <w:vAlign w:val="center"/>
                </w:tcPr>
                <w:p>
                  <w:pPr>
                    <w:pStyle w:val="75"/>
                    <w:rPr>
                      <w:iCs/>
                    </w:rPr>
                  </w:pPr>
                  <w:r>
                    <w:rPr>
                      <w:iCs/>
                    </w:rPr>
                    <w:t>每年1次</w:t>
                  </w:r>
                </w:p>
              </w:tc>
              <w:tc>
                <w:tcPr>
                  <w:tcW w:w="1251" w:type="pct"/>
                  <w:tcBorders>
                    <w:tl2br w:val="nil"/>
                    <w:tr2bl w:val="nil"/>
                  </w:tcBorders>
                  <w:vAlign w:val="center"/>
                </w:tcPr>
                <w:p>
                  <w:pPr>
                    <w:pStyle w:val="75"/>
                    <w:rPr>
                      <w:iCs/>
                    </w:rPr>
                  </w:pPr>
                  <w:r>
                    <w:rPr>
                      <w:iCs/>
                    </w:rPr>
                    <w:t>委托第三方监测单位监测</w:t>
                  </w:r>
                </w:p>
              </w:tc>
            </w:tr>
          </w:tbl>
          <w:p>
            <w:pPr>
              <w:widowControl/>
              <w:spacing w:line="520" w:lineRule="exact"/>
              <w:ind w:firstLine="482" w:firstLineChars="200"/>
              <w:rPr>
                <w:b/>
                <w:bCs/>
                <w:sz w:val="24"/>
              </w:rPr>
            </w:pPr>
            <w:r>
              <w:rPr>
                <w:rFonts w:hint="eastAsia"/>
                <w:b/>
                <w:bCs/>
                <w:sz w:val="24"/>
              </w:rPr>
              <w:t>2、废水</w:t>
            </w:r>
          </w:p>
          <w:p>
            <w:pPr>
              <w:pStyle w:val="63"/>
              <w:rPr>
                <w:rFonts w:cs="Times New Roman"/>
              </w:rPr>
            </w:pPr>
            <w:r>
              <w:t>本项目运营期产生的废水主要为生活污水</w:t>
            </w:r>
            <w:r>
              <w:rPr>
                <w:rFonts w:hint="eastAsia"/>
              </w:rPr>
              <w:t>、食堂废水、地埋冲洗废水及车辆冲洗废水</w:t>
            </w:r>
            <w:r>
              <w:t>。</w:t>
            </w:r>
          </w:p>
          <w:p>
            <w:pPr>
              <w:pStyle w:val="63"/>
              <w:ind w:firstLine="482"/>
              <w:rPr>
                <w:rFonts w:cs="Times New Roman"/>
                <w:b/>
                <w:bCs/>
              </w:rPr>
            </w:pPr>
            <w:r>
              <w:rPr>
                <w:rFonts w:hint="eastAsia" w:cs="Times New Roman"/>
                <w:b/>
                <w:bCs/>
              </w:rPr>
              <w:t>2</w:t>
            </w:r>
            <w:r>
              <w:rPr>
                <w:rFonts w:cs="Times New Roman"/>
                <w:b/>
                <w:bCs/>
              </w:rPr>
              <w:t>.</w:t>
            </w:r>
            <w:r>
              <w:rPr>
                <w:rFonts w:hint="eastAsia" w:cs="Times New Roman"/>
                <w:b/>
                <w:bCs/>
              </w:rPr>
              <w:t>1</w:t>
            </w:r>
            <w:r>
              <w:rPr>
                <w:rFonts w:cs="Times New Roman"/>
                <w:b/>
                <w:bCs/>
              </w:rPr>
              <w:t>生</w:t>
            </w:r>
            <w:r>
              <w:rPr>
                <w:rFonts w:hint="eastAsia" w:cs="Times New Roman"/>
                <w:b/>
                <w:bCs/>
              </w:rPr>
              <w:t>活污水</w:t>
            </w:r>
          </w:p>
          <w:p>
            <w:pPr>
              <w:adjustRightInd w:val="0"/>
              <w:snapToGrid w:val="0"/>
              <w:spacing w:line="520" w:lineRule="exact"/>
              <w:ind w:firstLine="480" w:firstLineChars="200"/>
              <w:rPr>
                <w:sz w:val="24"/>
              </w:rPr>
            </w:pPr>
            <w:r>
              <w:rPr>
                <w:sz w:val="24"/>
              </w:rPr>
              <w:t>生活用水主要为工作人员的日常生活用水。本项目生活污水排放量为</w:t>
            </w:r>
            <w:r>
              <w:rPr>
                <w:rFonts w:hint="eastAsia"/>
                <w:sz w:val="24"/>
              </w:rPr>
              <w:t>1120</w:t>
            </w:r>
            <w:r>
              <w:rPr>
                <w:sz w:val="24"/>
              </w:rPr>
              <w:t>m</w:t>
            </w:r>
            <w:r>
              <w:rPr>
                <w:sz w:val="24"/>
                <w:vertAlign w:val="superscript"/>
              </w:rPr>
              <w:t>3</w:t>
            </w:r>
            <w:r>
              <w:rPr>
                <w:sz w:val="24"/>
              </w:rPr>
              <w:t>/a；排入</w:t>
            </w:r>
            <w:r>
              <w:rPr>
                <w:rFonts w:hint="eastAsia"/>
                <w:sz w:val="24"/>
              </w:rPr>
              <w:t>厂区内</w:t>
            </w:r>
            <w:r>
              <w:rPr>
                <w:rFonts w:hint="eastAsia"/>
                <w:sz w:val="24"/>
                <w:lang w:val="en-US" w:eastAsia="zh-CN"/>
              </w:rPr>
              <w:t>地埋式一体化污水处理设施经处理后用于厂区绿化，冬储夏灌</w:t>
            </w:r>
            <w:r>
              <w:rPr>
                <w:sz w:val="24"/>
              </w:rPr>
              <w:t>。污染物浓度及产生量分别为COD</w:t>
            </w:r>
            <w:r>
              <w:rPr>
                <w:sz w:val="24"/>
                <w:vertAlign w:val="subscript"/>
              </w:rPr>
              <w:t>Cr</w:t>
            </w:r>
            <w:r>
              <w:rPr>
                <w:sz w:val="24"/>
              </w:rPr>
              <w:t>：400mg/L，</w:t>
            </w:r>
            <w:r>
              <w:rPr>
                <w:rFonts w:hint="eastAsia"/>
                <w:sz w:val="24"/>
              </w:rPr>
              <w:t>0.448</w:t>
            </w:r>
            <w:r>
              <w:rPr>
                <w:sz w:val="24"/>
              </w:rPr>
              <w:t>t/a；BOD</w:t>
            </w:r>
            <w:r>
              <w:rPr>
                <w:sz w:val="24"/>
                <w:vertAlign w:val="subscript"/>
              </w:rPr>
              <w:t>5</w:t>
            </w:r>
            <w:r>
              <w:rPr>
                <w:sz w:val="24"/>
              </w:rPr>
              <w:t>：200mg/L，</w:t>
            </w:r>
            <w:r>
              <w:rPr>
                <w:rFonts w:hint="eastAsia"/>
                <w:sz w:val="24"/>
              </w:rPr>
              <w:t>0.224</w:t>
            </w:r>
            <w:r>
              <w:rPr>
                <w:sz w:val="24"/>
              </w:rPr>
              <w:t>t/a；NH</w:t>
            </w:r>
            <w:r>
              <w:rPr>
                <w:sz w:val="24"/>
                <w:vertAlign w:val="subscript"/>
              </w:rPr>
              <w:t>3</w:t>
            </w:r>
            <w:r>
              <w:rPr>
                <w:sz w:val="24"/>
              </w:rPr>
              <w:t>-N：35mg/L，</w:t>
            </w:r>
            <w:r>
              <w:rPr>
                <w:rFonts w:hint="eastAsia"/>
                <w:sz w:val="24"/>
              </w:rPr>
              <w:t>0.039</w:t>
            </w:r>
            <w:r>
              <w:rPr>
                <w:sz w:val="24"/>
              </w:rPr>
              <w:t>t/a；SS：200mg/L，</w:t>
            </w:r>
            <w:r>
              <w:rPr>
                <w:rFonts w:hint="eastAsia"/>
                <w:sz w:val="24"/>
              </w:rPr>
              <w:t>0.224</w:t>
            </w:r>
            <w:r>
              <w:rPr>
                <w:sz w:val="24"/>
              </w:rPr>
              <w:t>t/a。</w:t>
            </w:r>
          </w:p>
          <w:p>
            <w:pPr>
              <w:adjustRightInd w:val="0"/>
              <w:snapToGrid w:val="0"/>
              <w:spacing w:line="520" w:lineRule="exact"/>
              <w:ind w:firstLine="482" w:firstLineChars="200"/>
              <w:rPr>
                <w:b/>
                <w:bCs/>
                <w:sz w:val="24"/>
              </w:rPr>
            </w:pPr>
            <w:r>
              <w:rPr>
                <w:rFonts w:hint="eastAsia"/>
                <w:b/>
                <w:bCs/>
                <w:sz w:val="24"/>
              </w:rPr>
              <w:t>2.2食堂废水</w:t>
            </w:r>
          </w:p>
          <w:p>
            <w:pPr>
              <w:adjustRightInd w:val="0"/>
              <w:snapToGrid w:val="0"/>
              <w:spacing w:line="520" w:lineRule="exact"/>
              <w:ind w:firstLine="480" w:firstLineChars="200"/>
              <w:rPr>
                <w:sz w:val="24"/>
              </w:rPr>
            </w:pPr>
            <w:r>
              <w:rPr>
                <w:rFonts w:hint="eastAsia"/>
                <w:sz w:val="24"/>
              </w:rPr>
              <w:t>食堂废水产生量为420m</w:t>
            </w:r>
            <w:r>
              <w:rPr>
                <w:rFonts w:hint="eastAsia"/>
                <w:sz w:val="24"/>
                <w:vertAlign w:val="superscript"/>
              </w:rPr>
              <w:t>3</w:t>
            </w:r>
            <w:r>
              <w:rPr>
                <w:rFonts w:hint="eastAsia"/>
                <w:sz w:val="24"/>
              </w:rPr>
              <w:t>/a，污水的主要污染物浓度为COD</w:t>
            </w:r>
            <w:r>
              <w:rPr>
                <w:rFonts w:hint="eastAsia"/>
                <w:sz w:val="24"/>
                <w:vertAlign w:val="subscript"/>
              </w:rPr>
              <w:t>Cr</w:t>
            </w:r>
            <w:r>
              <w:rPr>
                <w:rFonts w:hint="eastAsia"/>
                <w:sz w:val="24"/>
              </w:rPr>
              <w:t>：350mg/L、BOD</w:t>
            </w:r>
            <w:r>
              <w:rPr>
                <w:rFonts w:hint="eastAsia"/>
                <w:sz w:val="24"/>
                <w:vertAlign w:val="subscript"/>
              </w:rPr>
              <w:t>5</w:t>
            </w:r>
            <w:r>
              <w:rPr>
                <w:rFonts w:hint="eastAsia"/>
                <w:sz w:val="24"/>
              </w:rPr>
              <w:t>：200mg/L、SS：250mg/L、NH</w:t>
            </w:r>
            <w:r>
              <w:rPr>
                <w:rFonts w:hint="eastAsia"/>
                <w:sz w:val="24"/>
                <w:vertAlign w:val="subscript"/>
              </w:rPr>
              <w:t>3</w:t>
            </w:r>
            <w:r>
              <w:rPr>
                <w:rFonts w:hint="eastAsia"/>
                <w:sz w:val="24"/>
              </w:rPr>
              <w:t>-N：30mg/L和动植物油80mg/L，产生量分别为COD</w:t>
            </w:r>
            <w:r>
              <w:rPr>
                <w:rFonts w:hint="eastAsia"/>
                <w:sz w:val="24"/>
                <w:vertAlign w:val="subscript"/>
              </w:rPr>
              <w:t>Cr</w:t>
            </w:r>
            <w:r>
              <w:rPr>
                <w:rFonts w:hint="eastAsia"/>
                <w:sz w:val="24"/>
              </w:rPr>
              <w:t>：0.147t/a、BOD</w:t>
            </w:r>
            <w:r>
              <w:rPr>
                <w:rFonts w:hint="eastAsia"/>
                <w:sz w:val="24"/>
                <w:vertAlign w:val="subscript"/>
              </w:rPr>
              <w:t>5</w:t>
            </w:r>
            <w:r>
              <w:rPr>
                <w:rFonts w:hint="eastAsia"/>
                <w:sz w:val="24"/>
              </w:rPr>
              <w:t>：0.084t/a、SS：0.105t/a、NH</w:t>
            </w:r>
            <w:r>
              <w:rPr>
                <w:rFonts w:hint="eastAsia"/>
                <w:sz w:val="24"/>
                <w:vertAlign w:val="subscript"/>
              </w:rPr>
              <w:t>3</w:t>
            </w:r>
            <w:r>
              <w:rPr>
                <w:rFonts w:hint="eastAsia"/>
                <w:sz w:val="24"/>
              </w:rPr>
              <w:t>-N：0.013t/a、动植物油：0.035t/a。餐饮废水经隔油池（隔油效率50%）处理后动植物油排放为0.018t/a。食堂废水经隔油池处理后</w:t>
            </w:r>
            <w:r>
              <w:rPr>
                <w:rFonts w:hint="eastAsia"/>
                <w:sz w:val="24"/>
                <w:lang w:val="en-US" w:eastAsia="zh-CN"/>
              </w:rPr>
              <w:t>同生活污水一起</w:t>
            </w:r>
            <w:r>
              <w:rPr>
                <w:rFonts w:hint="eastAsia"/>
                <w:sz w:val="24"/>
              </w:rPr>
              <w:t>排入厂区内</w:t>
            </w:r>
            <w:r>
              <w:rPr>
                <w:rFonts w:hint="eastAsia"/>
                <w:sz w:val="24"/>
                <w:lang w:val="en-US" w:eastAsia="zh-CN"/>
              </w:rPr>
              <w:t>地埋式一体化污水处理设施经处理后用于厂区绿化，冬储夏灌</w:t>
            </w:r>
            <w:r>
              <w:rPr>
                <w:sz w:val="24"/>
              </w:rPr>
              <w:t>。</w:t>
            </w:r>
          </w:p>
          <w:p>
            <w:pPr>
              <w:adjustRightInd w:val="0"/>
              <w:snapToGrid w:val="0"/>
              <w:spacing w:line="520" w:lineRule="exact"/>
              <w:ind w:firstLine="482" w:firstLineChars="200"/>
              <w:rPr>
                <w:b/>
                <w:bCs/>
                <w:sz w:val="24"/>
              </w:rPr>
            </w:pPr>
            <w:r>
              <w:rPr>
                <w:rFonts w:hint="eastAsia"/>
                <w:b/>
                <w:bCs/>
                <w:sz w:val="24"/>
              </w:rPr>
              <w:t>2.3生产废水</w:t>
            </w:r>
          </w:p>
          <w:p>
            <w:pPr>
              <w:adjustRightInd w:val="0"/>
              <w:snapToGrid w:val="0"/>
              <w:spacing w:line="520" w:lineRule="exact"/>
              <w:ind w:firstLine="480" w:firstLineChars="200"/>
              <w:rPr>
                <w:sz w:val="24"/>
              </w:rPr>
            </w:pPr>
            <w:r>
              <w:rPr>
                <w:rFonts w:hint="eastAsia"/>
                <w:sz w:val="24"/>
              </w:rPr>
              <w:t>本项目生产废水主要为地面冲洗废水和车辆冲洗废水。地面冲洗废水产生量为191.588m</w:t>
            </w:r>
            <w:r>
              <w:rPr>
                <w:rFonts w:hint="eastAsia"/>
                <w:sz w:val="24"/>
                <w:vertAlign w:val="superscript"/>
              </w:rPr>
              <w:t>3</w:t>
            </w:r>
            <w:r>
              <w:rPr>
                <w:rFonts w:hint="eastAsia"/>
                <w:sz w:val="24"/>
              </w:rPr>
              <w:t>/a，其主要污染物浓度分别为COD</w:t>
            </w:r>
            <w:r>
              <w:rPr>
                <w:rFonts w:hint="eastAsia"/>
                <w:sz w:val="24"/>
                <w:vertAlign w:val="subscript"/>
              </w:rPr>
              <w:t>Cr</w:t>
            </w:r>
            <w:r>
              <w:rPr>
                <w:rFonts w:hint="eastAsia"/>
                <w:sz w:val="24"/>
              </w:rPr>
              <w:t>：</w:t>
            </w:r>
            <w:r>
              <w:rPr>
                <w:rFonts w:hint="eastAsia"/>
                <w:sz w:val="24"/>
                <w:lang w:val="en-US" w:eastAsia="zh-CN"/>
              </w:rPr>
              <w:t>15</w:t>
            </w:r>
            <w:r>
              <w:rPr>
                <w:rFonts w:hint="eastAsia"/>
                <w:sz w:val="24"/>
              </w:rPr>
              <w:t>0mg/L、BOD</w:t>
            </w:r>
            <w:r>
              <w:rPr>
                <w:rFonts w:hint="eastAsia"/>
                <w:sz w:val="24"/>
                <w:vertAlign w:val="subscript"/>
              </w:rPr>
              <w:t>5</w:t>
            </w:r>
            <w:r>
              <w:rPr>
                <w:rFonts w:hint="eastAsia"/>
                <w:sz w:val="24"/>
              </w:rPr>
              <w:t>：35mg/L、SS：250mg/L和石油类：80mg/L，产生量分别为COD</w:t>
            </w:r>
            <w:r>
              <w:rPr>
                <w:rFonts w:hint="eastAsia"/>
                <w:sz w:val="24"/>
                <w:vertAlign w:val="subscript"/>
              </w:rPr>
              <w:t>Cr</w:t>
            </w:r>
            <w:r>
              <w:rPr>
                <w:rFonts w:hint="eastAsia"/>
                <w:sz w:val="24"/>
              </w:rPr>
              <w:t>：</w:t>
            </w:r>
            <w:r>
              <w:rPr>
                <w:rFonts w:hint="eastAsia"/>
                <w:sz w:val="24"/>
                <w:lang w:val="en-US" w:eastAsia="zh-CN"/>
              </w:rPr>
              <w:t>0.027</w:t>
            </w:r>
            <w:r>
              <w:rPr>
                <w:rFonts w:hint="eastAsia"/>
                <w:sz w:val="24"/>
              </w:rPr>
              <w:t>t/a、BOD</w:t>
            </w:r>
            <w:r>
              <w:rPr>
                <w:rFonts w:hint="eastAsia"/>
                <w:sz w:val="24"/>
                <w:vertAlign w:val="subscript"/>
              </w:rPr>
              <w:t>5</w:t>
            </w:r>
            <w:r>
              <w:rPr>
                <w:rFonts w:hint="eastAsia"/>
                <w:sz w:val="24"/>
              </w:rPr>
              <w:t>：0.007t/a、SS：0.048t/a、石油类：0.015t/a。</w:t>
            </w:r>
          </w:p>
          <w:p>
            <w:pPr>
              <w:adjustRightInd w:val="0"/>
              <w:snapToGrid w:val="0"/>
              <w:spacing w:line="520" w:lineRule="exact"/>
              <w:ind w:firstLine="480" w:firstLineChars="200"/>
              <w:rPr>
                <w:sz w:val="24"/>
              </w:rPr>
            </w:pPr>
            <w:r>
              <w:rPr>
                <w:rFonts w:hint="eastAsia"/>
                <w:sz w:val="24"/>
              </w:rPr>
              <w:t>车辆冲洗废水产生量为11.25m</w:t>
            </w:r>
            <w:r>
              <w:rPr>
                <w:rFonts w:hint="eastAsia"/>
                <w:sz w:val="24"/>
                <w:vertAlign w:val="superscript"/>
              </w:rPr>
              <w:t>3</w:t>
            </w:r>
            <w:r>
              <w:rPr>
                <w:rFonts w:hint="eastAsia"/>
                <w:sz w:val="24"/>
              </w:rPr>
              <w:t>/a。其主要污染物浓度分别为COD</w:t>
            </w:r>
            <w:r>
              <w:rPr>
                <w:rFonts w:hint="eastAsia"/>
                <w:sz w:val="24"/>
                <w:vertAlign w:val="subscript"/>
              </w:rPr>
              <w:t>Cr</w:t>
            </w:r>
            <w:r>
              <w:rPr>
                <w:rFonts w:hint="eastAsia"/>
                <w:sz w:val="24"/>
              </w:rPr>
              <w:t>：</w:t>
            </w:r>
            <w:r>
              <w:rPr>
                <w:rFonts w:hint="eastAsia"/>
                <w:sz w:val="24"/>
                <w:lang w:val="en-US" w:eastAsia="zh-CN"/>
              </w:rPr>
              <w:t>180</w:t>
            </w:r>
            <w:r>
              <w:rPr>
                <w:rFonts w:hint="eastAsia"/>
                <w:sz w:val="24"/>
              </w:rPr>
              <w:t>mg/L、BOD</w:t>
            </w:r>
            <w:r>
              <w:rPr>
                <w:rFonts w:hint="eastAsia"/>
                <w:sz w:val="24"/>
                <w:vertAlign w:val="subscript"/>
              </w:rPr>
              <w:t>5</w:t>
            </w:r>
            <w:r>
              <w:rPr>
                <w:rFonts w:hint="eastAsia"/>
                <w:sz w:val="24"/>
              </w:rPr>
              <w:t>：40mg/L、SS：200mg/L和石油类：100mg/L，产生量分别为COD</w:t>
            </w:r>
            <w:r>
              <w:rPr>
                <w:rFonts w:hint="eastAsia"/>
                <w:sz w:val="24"/>
                <w:vertAlign w:val="subscript"/>
              </w:rPr>
              <w:t>Cr</w:t>
            </w:r>
            <w:r>
              <w:rPr>
                <w:rFonts w:hint="eastAsia"/>
                <w:sz w:val="24"/>
              </w:rPr>
              <w:t>：0.00</w:t>
            </w:r>
            <w:r>
              <w:rPr>
                <w:rFonts w:hint="eastAsia"/>
                <w:sz w:val="24"/>
                <w:lang w:val="en-US" w:eastAsia="zh-CN"/>
              </w:rPr>
              <w:t>2</w:t>
            </w:r>
            <w:r>
              <w:rPr>
                <w:rFonts w:hint="eastAsia"/>
                <w:sz w:val="24"/>
              </w:rPr>
              <w:t>t/a、BOD</w:t>
            </w:r>
            <w:r>
              <w:rPr>
                <w:rFonts w:hint="eastAsia"/>
                <w:sz w:val="24"/>
                <w:vertAlign w:val="subscript"/>
              </w:rPr>
              <w:t>5</w:t>
            </w:r>
            <w:r>
              <w:rPr>
                <w:rFonts w:hint="eastAsia"/>
                <w:sz w:val="24"/>
              </w:rPr>
              <w:t>：0.0005t/a、SS：0.002t/a、石油类：0.001t/a。</w:t>
            </w:r>
          </w:p>
          <w:p>
            <w:pPr>
              <w:adjustRightInd w:val="0"/>
              <w:snapToGrid w:val="0"/>
              <w:spacing w:line="520" w:lineRule="exact"/>
              <w:ind w:firstLine="480" w:firstLineChars="200"/>
              <w:rPr>
                <w:b/>
                <w:bCs/>
                <w:sz w:val="24"/>
              </w:rPr>
            </w:pPr>
            <w:r>
              <w:rPr>
                <w:rFonts w:hint="eastAsia"/>
                <w:sz w:val="24"/>
              </w:rPr>
              <w:t>生产废水经隔油沉淀池处理后排入厂区内</w:t>
            </w:r>
            <w:r>
              <w:rPr>
                <w:rFonts w:hint="eastAsia"/>
                <w:sz w:val="24"/>
                <w:lang w:val="en-US" w:eastAsia="zh-CN"/>
              </w:rPr>
              <w:t>地埋式一体化污水处理设施经处理后用于厂区绿化，冬储夏灌</w:t>
            </w:r>
            <w:r>
              <w:rPr>
                <w:sz w:val="24"/>
              </w:rPr>
              <w:t>。</w:t>
            </w:r>
          </w:p>
          <w:p>
            <w:pPr>
              <w:pStyle w:val="79"/>
              <w:keepNext w:val="0"/>
              <w:keepLines w:val="0"/>
              <w:pageBreakBefore w:val="0"/>
              <w:widowControl w:val="0"/>
              <w:kinsoku/>
              <w:wordWrap/>
              <w:overflowPunct/>
              <w:topLinePunct w:val="0"/>
              <w:autoSpaceDE/>
              <w:autoSpaceDN/>
              <w:bidi w:val="0"/>
              <w:adjustRightInd w:val="0"/>
              <w:snapToGrid w:val="0"/>
              <w:spacing w:line="240" w:lineRule="auto"/>
              <w:textAlignment w:val="baseline"/>
            </w:pPr>
            <w:r>
              <w:t>表4-</w:t>
            </w:r>
            <w:r>
              <w:rPr>
                <w:rFonts w:hint="eastAsia"/>
                <w:lang w:val="en-US" w:eastAsia="zh-CN"/>
              </w:rPr>
              <w:t>6</w:t>
            </w:r>
            <w:r>
              <w:t xml:space="preserve">  本项目水污染物产</w:t>
            </w:r>
            <w:r>
              <w:rPr>
                <w:rFonts w:hint="eastAsia"/>
                <w:lang w:val="en-US" w:eastAsia="zh-CN"/>
              </w:rPr>
              <w:t>排</w:t>
            </w:r>
            <w:r>
              <w:t>情况</w:t>
            </w:r>
          </w:p>
          <w:tbl>
            <w:tblPr>
              <w:tblStyle w:val="29"/>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9"/>
              <w:gridCol w:w="1117"/>
              <w:gridCol w:w="1091"/>
              <w:gridCol w:w="964"/>
              <w:gridCol w:w="2015"/>
              <w:gridCol w:w="1356"/>
              <w:gridCol w:w="12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719" w:type="pct"/>
                  <w:vAlign w:val="center"/>
                </w:tcPr>
                <w:p>
                  <w:pPr>
                    <w:pStyle w:val="40"/>
                    <w:snapToGrid w:val="0"/>
                    <w:spacing w:line="240" w:lineRule="auto"/>
                    <w:rPr>
                      <w:rFonts w:ascii="Times New Roman" w:hAnsi="Times New Roman"/>
                    </w:rPr>
                  </w:pPr>
                  <w:r>
                    <w:rPr>
                      <w:rFonts w:ascii="Times New Roman" w:hAnsi="Times New Roman"/>
                    </w:rPr>
                    <w:t>类别</w:t>
                  </w:r>
                </w:p>
              </w:tc>
              <w:tc>
                <w:tcPr>
                  <w:tcW w:w="614" w:type="pct"/>
                  <w:vAlign w:val="center"/>
                </w:tcPr>
                <w:p>
                  <w:pPr>
                    <w:pStyle w:val="40"/>
                    <w:snapToGrid w:val="0"/>
                    <w:spacing w:line="240" w:lineRule="auto"/>
                    <w:rPr>
                      <w:rFonts w:ascii="Times New Roman" w:hAnsi="Times New Roman"/>
                    </w:rPr>
                  </w:pPr>
                  <w:r>
                    <w:rPr>
                      <w:rFonts w:ascii="Times New Roman" w:hAnsi="Times New Roman"/>
                    </w:rPr>
                    <w:t>污染物</w:t>
                  </w:r>
                </w:p>
              </w:tc>
              <w:tc>
                <w:tcPr>
                  <w:tcW w:w="588" w:type="pct"/>
                  <w:vAlign w:val="center"/>
                </w:tcPr>
                <w:p>
                  <w:pPr>
                    <w:pStyle w:val="40"/>
                    <w:snapToGrid w:val="0"/>
                    <w:spacing w:line="240" w:lineRule="auto"/>
                    <w:rPr>
                      <w:rFonts w:ascii="Times New Roman" w:hAnsi="Times New Roman"/>
                    </w:rPr>
                  </w:pPr>
                  <w:r>
                    <w:rPr>
                      <w:rFonts w:ascii="Times New Roman" w:hAnsi="Times New Roman"/>
                    </w:rPr>
                    <w:t>产生浓度</w:t>
                  </w:r>
                </w:p>
                <w:p>
                  <w:pPr>
                    <w:pStyle w:val="40"/>
                    <w:snapToGrid w:val="0"/>
                    <w:spacing w:line="240" w:lineRule="auto"/>
                    <w:rPr>
                      <w:rFonts w:ascii="Times New Roman" w:hAnsi="Times New Roman"/>
                    </w:rPr>
                  </w:pPr>
                  <w:r>
                    <w:rPr>
                      <w:rFonts w:ascii="Times New Roman" w:hAnsi="Times New Roman"/>
                    </w:rPr>
                    <w:t>（mg/L）</w:t>
                  </w:r>
                </w:p>
              </w:tc>
              <w:tc>
                <w:tcPr>
                  <w:tcW w:w="530" w:type="pct"/>
                  <w:vAlign w:val="center"/>
                </w:tcPr>
                <w:p>
                  <w:pPr>
                    <w:pStyle w:val="40"/>
                    <w:snapToGrid w:val="0"/>
                    <w:spacing w:line="240" w:lineRule="auto"/>
                    <w:rPr>
                      <w:rFonts w:ascii="Times New Roman" w:hAnsi="Times New Roman"/>
                    </w:rPr>
                  </w:pPr>
                  <w:r>
                    <w:rPr>
                      <w:rFonts w:ascii="Times New Roman" w:hAnsi="Times New Roman"/>
                    </w:rPr>
                    <w:t>产生量</w:t>
                  </w:r>
                </w:p>
                <w:p>
                  <w:pPr>
                    <w:pStyle w:val="40"/>
                    <w:snapToGrid w:val="0"/>
                    <w:spacing w:line="240" w:lineRule="auto"/>
                    <w:rPr>
                      <w:rFonts w:ascii="Times New Roman" w:hAnsi="Times New Roman"/>
                    </w:rPr>
                  </w:pPr>
                  <w:r>
                    <w:rPr>
                      <w:rFonts w:ascii="Times New Roman" w:hAnsi="Times New Roman"/>
                    </w:rPr>
                    <w:t>（t/a）</w:t>
                  </w:r>
                </w:p>
              </w:tc>
              <w:tc>
                <w:tcPr>
                  <w:tcW w:w="1106" w:type="pct"/>
                  <w:vAlign w:val="center"/>
                </w:tcPr>
                <w:p>
                  <w:pPr>
                    <w:pStyle w:val="40"/>
                    <w:snapToGrid w:val="0"/>
                    <w:spacing w:line="240" w:lineRule="auto"/>
                    <w:rPr>
                      <w:rFonts w:ascii="Times New Roman" w:hAnsi="Times New Roman"/>
                    </w:rPr>
                  </w:pPr>
                  <w:r>
                    <w:rPr>
                      <w:rFonts w:hint="eastAsia" w:ascii="Times New Roman" w:hAnsi="Times New Roman"/>
                    </w:rPr>
                    <w:t>治理措施</w:t>
                  </w:r>
                </w:p>
              </w:tc>
              <w:tc>
                <w:tcPr>
                  <w:tcW w:w="745" w:type="pct"/>
                  <w:vAlign w:val="center"/>
                </w:tcPr>
                <w:p>
                  <w:pPr>
                    <w:pStyle w:val="40"/>
                    <w:snapToGrid w:val="0"/>
                    <w:spacing w:line="240" w:lineRule="auto"/>
                    <w:rPr>
                      <w:rFonts w:ascii="Times New Roman" w:hAnsi="Times New Roman"/>
                    </w:rPr>
                  </w:pPr>
                  <w:r>
                    <w:rPr>
                      <w:rFonts w:ascii="Times New Roman" w:hAnsi="Times New Roman"/>
                    </w:rPr>
                    <w:t>排放浓度</w:t>
                  </w:r>
                </w:p>
                <w:p>
                  <w:pPr>
                    <w:pStyle w:val="40"/>
                    <w:snapToGrid w:val="0"/>
                    <w:spacing w:line="240" w:lineRule="auto"/>
                    <w:rPr>
                      <w:rFonts w:ascii="Times New Roman" w:hAnsi="Times New Roman"/>
                    </w:rPr>
                  </w:pPr>
                  <w:r>
                    <w:rPr>
                      <w:rFonts w:ascii="Times New Roman" w:hAnsi="Times New Roman"/>
                    </w:rPr>
                    <w:t>（mg/L）</w:t>
                  </w:r>
                </w:p>
              </w:tc>
              <w:tc>
                <w:tcPr>
                  <w:tcW w:w="694" w:type="pct"/>
                  <w:vAlign w:val="center"/>
                </w:tcPr>
                <w:p>
                  <w:pPr>
                    <w:pStyle w:val="40"/>
                    <w:snapToGrid w:val="0"/>
                    <w:spacing w:line="240" w:lineRule="auto"/>
                    <w:rPr>
                      <w:rFonts w:ascii="Times New Roman" w:hAnsi="Times New Roman"/>
                    </w:rPr>
                  </w:pPr>
                  <w:r>
                    <w:rPr>
                      <w:rFonts w:ascii="Times New Roman" w:hAnsi="Times New Roman"/>
                    </w:rPr>
                    <w:t>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trPr>
              <w:tc>
                <w:tcPr>
                  <w:tcW w:w="719" w:type="pct"/>
                  <w:vMerge w:val="restart"/>
                  <w:vAlign w:val="center"/>
                </w:tcPr>
                <w:p>
                  <w:pPr>
                    <w:snapToGrid w:val="0"/>
                    <w:jc w:val="center"/>
                    <w:rPr>
                      <w:szCs w:val="21"/>
                    </w:rPr>
                  </w:pPr>
                  <w:r>
                    <w:rPr>
                      <w:rFonts w:hint="eastAsia"/>
                      <w:szCs w:val="21"/>
                    </w:rPr>
                    <w:t>地面冲洗废水191.588</w:t>
                  </w:r>
                  <w:r>
                    <w:rPr>
                      <w:szCs w:val="21"/>
                    </w:rPr>
                    <w:t>m</w:t>
                  </w:r>
                  <w:r>
                    <w:rPr>
                      <w:szCs w:val="21"/>
                      <w:vertAlign w:val="superscript"/>
                    </w:rPr>
                    <w:t>3</w:t>
                  </w:r>
                  <w:r>
                    <w:rPr>
                      <w:szCs w:val="21"/>
                    </w:rPr>
                    <w:t>/a</w:t>
                  </w:r>
                </w:p>
              </w:tc>
              <w:tc>
                <w:tcPr>
                  <w:tcW w:w="614" w:type="pct"/>
                  <w:vAlign w:val="center"/>
                </w:tcPr>
                <w:p>
                  <w:pPr>
                    <w:pStyle w:val="40"/>
                    <w:snapToGrid w:val="0"/>
                    <w:spacing w:line="240" w:lineRule="auto"/>
                    <w:rPr>
                      <w:rFonts w:ascii="Times New Roman" w:hAnsi="Times New Roman"/>
                      <w:vertAlign w:val="subscript"/>
                    </w:rPr>
                  </w:pPr>
                  <w:r>
                    <w:rPr>
                      <w:rFonts w:ascii="Times New Roman" w:hAnsi="Times New Roman"/>
                    </w:rPr>
                    <w:t>COD</w:t>
                  </w:r>
                  <w:r>
                    <w:rPr>
                      <w:rFonts w:hint="eastAsia" w:ascii="Times New Roman" w:hAnsi="Times New Roman"/>
                      <w:vertAlign w:val="subscript"/>
                    </w:rPr>
                    <w:t>Cr</w:t>
                  </w:r>
                </w:p>
              </w:tc>
              <w:tc>
                <w:tcPr>
                  <w:tcW w:w="588"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150</w:t>
                  </w:r>
                </w:p>
              </w:tc>
              <w:tc>
                <w:tcPr>
                  <w:tcW w:w="530"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0.027</w:t>
                  </w:r>
                </w:p>
              </w:tc>
              <w:tc>
                <w:tcPr>
                  <w:tcW w:w="1106" w:type="pct"/>
                  <w:vMerge w:val="restar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rPr>
                    <w:t>隔油沉淀池（石油类处理效率80%）</w:t>
                  </w:r>
                  <w:r>
                    <w:rPr>
                      <w:rFonts w:hint="eastAsia" w:ascii="Times New Roman" w:hAnsi="Times New Roman"/>
                      <w:lang w:val="en-US" w:eastAsia="zh-CN"/>
                    </w:rPr>
                    <w:t>处理后排入地埋式一体化污水处理设施（COD、SS处理效率90%，BOD处理效率95%）</w:t>
                  </w:r>
                </w:p>
              </w:tc>
              <w:tc>
                <w:tcPr>
                  <w:tcW w:w="745"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15</w:t>
                  </w:r>
                </w:p>
              </w:tc>
              <w:tc>
                <w:tcPr>
                  <w:tcW w:w="694"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trPr>
              <w:tc>
                <w:tcPr>
                  <w:tcW w:w="719" w:type="pct"/>
                  <w:vMerge w:val="continue"/>
                  <w:vAlign w:val="center"/>
                </w:tcPr>
                <w:p>
                  <w:pPr>
                    <w:snapToGrid w:val="0"/>
                    <w:jc w:val="center"/>
                    <w:rPr>
                      <w:szCs w:val="21"/>
                    </w:rPr>
                  </w:pPr>
                </w:p>
              </w:tc>
              <w:tc>
                <w:tcPr>
                  <w:tcW w:w="614" w:type="pct"/>
                  <w:vAlign w:val="center"/>
                </w:tcPr>
                <w:p>
                  <w:pPr>
                    <w:pStyle w:val="40"/>
                    <w:snapToGrid w:val="0"/>
                    <w:spacing w:line="240" w:lineRule="auto"/>
                    <w:rPr>
                      <w:rFonts w:ascii="Times New Roman" w:hAnsi="Times New Roman"/>
                      <w:vertAlign w:val="subscript"/>
                    </w:rPr>
                  </w:pPr>
                  <w:r>
                    <w:rPr>
                      <w:rFonts w:ascii="Times New Roman" w:hAnsi="Times New Roman"/>
                    </w:rPr>
                    <w:t>BOD</w:t>
                  </w:r>
                  <w:r>
                    <w:rPr>
                      <w:rFonts w:hint="eastAsia" w:ascii="Times New Roman" w:hAnsi="Times New Roman"/>
                      <w:vertAlign w:val="subscript"/>
                    </w:rPr>
                    <w:t>5</w:t>
                  </w:r>
                </w:p>
              </w:tc>
              <w:tc>
                <w:tcPr>
                  <w:tcW w:w="588" w:type="pct"/>
                  <w:vAlign w:val="center"/>
                </w:tcPr>
                <w:p>
                  <w:pPr>
                    <w:pStyle w:val="40"/>
                    <w:snapToGrid w:val="0"/>
                    <w:spacing w:line="240" w:lineRule="auto"/>
                    <w:rPr>
                      <w:rFonts w:ascii="Times New Roman" w:hAnsi="Times New Roman"/>
                    </w:rPr>
                  </w:pPr>
                  <w:r>
                    <w:rPr>
                      <w:rFonts w:hint="eastAsia" w:ascii="Times New Roman" w:hAnsi="Times New Roman"/>
                    </w:rPr>
                    <w:t>35</w:t>
                  </w:r>
                </w:p>
              </w:tc>
              <w:tc>
                <w:tcPr>
                  <w:tcW w:w="530" w:type="pct"/>
                  <w:vAlign w:val="center"/>
                </w:tcPr>
                <w:p>
                  <w:pPr>
                    <w:pStyle w:val="40"/>
                    <w:snapToGrid w:val="0"/>
                    <w:spacing w:line="240" w:lineRule="auto"/>
                    <w:rPr>
                      <w:rFonts w:ascii="Times New Roman" w:hAnsi="Times New Roman"/>
                    </w:rPr>
                  </w:pPr>
                  <w:r>
                    <w:rPr>
                      <w:rFonts w:hint="eastAsia" w:ascii="Times New Roman" w:hAnsi="Times New Roman"/>
                    </w:rPr>
                    <w:t>0.007</w:t>
                  </w:r>
                </w:p>
              </w:tc>
              <w:tc>
                <w:tcPr>
                  <w:tcW w:w="1106" w:type="pct"/>
                  <w:vMerge w:val="continue"/>
                  <w:vAlign w:val="center"/>
                </w:tcPr>
                <w:p>
                  <w:pPr>
                    <w:pStyle w:val="40"/>
                    <w:snapToGrid w:val="0"/>
                    <w:spacing w:line="240" w:lineRule="auto"/>
                    <w:rPr>
                      <w:rFonts w:ascii="Times New Roman" w:hAnsi="Times New Roman"/>
                    </w:rPr>
                  </w:pPr>
                </w:p>
              </w:tc>
              <w:tc>
                <w:tcPr>
                  <w:tcW w:w="745"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1.75</w:t>
                  </w:r>
                </w:p>
              </w:tc>
              <w:tc>
                <w:tcPr>
                  <w:tcW w:w="694"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0.0004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trPr>
              <w:tc>
                <w:tcPr>
                  <w:tcW w:w="719" w:type="pct"/>
                  <w:vMerge w:val="continue"/>
                  <w:vAlign w:val="center"/>
                </w:tcPr>
                <w:p>
                  <w:pPr>
                    <w:snapToGrid w:val="0"/>
                    <w:jc w:val="center"/>
                    <w:rPr>
                      <w:szCs w:val="21"/>
                    </w:rPr>
                  </w:pPr>
                </w:p>
              </w:tc>
              <w:tc>
                <w:tcPr>
                  <w:tcW w:w="614" w:type="pct"/>
                  <w:vAlign w:val="center"/>
                </w:tcPr>
                <w:p>
                  <w:pPr>
                    <w:pStyle w:val="40"/>
                    <w:snapToGrid w:val="0"/>
                    <w:spacing w:line="240" w:lineRule="auto"/>
                    <w:rPr>
                      <w:rFonts w:ascii="Times New Roman" w:hAnsi="Times New Roman"/>
                    </w:rPr>
                  </w:pPr>
                  <w:r>
                    <w:rPr>
                      <w:rFonts w:ascii="Times New Roman" w:hAnsi="Times New Roman"/>
                    </w:rPr>
                    <w:t>SS</w:t>
                  </w:r>
                </w:p>
              </w:tc>
              <w:tc>
                <w:tcPr>
                  <w:tcW w:w="588" w:type="pct"/>
                  <w:vAlign w:val="center"/>
                </w:tcPr>
                <w:p>
                  <w:pPr>
                    <w:pStyle w:val="40"/>
                    <w:snapToGrid w:val="0"/>
                    <w:spacing w:line="240" w:lineRule="auto"/>
                    <w:rPr>
                      <w:rFonts w:ascii="Times New Roman" w:hAnsi="Times New Roman"/>
                    </w:rPr>
                  </w:pPr>
                  <w:r>
                    <w:rPr>
                      <w:rFonts w:hint="eastAsia" w:ascii="Times New Roman" w:hAnsi="Times New Roman"/>
                    </w:rPr>
                    <w:t>250</w:t>
                  </w:r>
                </w:p>
              </w:tc>
              <w:tc>
                <w:tcPr>
                  <w:tcW w:w="530" w:type="pct"/>
                  <w:vAlign w:val="center"/>
                </w:tcPr>
                <w:p>
                  <w:pPr>
                    <w:pStyle w:val="40"/>
                    <w:snapToGrid w:val="0"/>
                    <w:spacing w:line="240" w:lineRule="auto"/>
                    <w:rPr>
                      <w:rFonts w:ascii="Times New Roman" w:hAnsi="Times New Roman"/>
                    </w:rPr>
                  </w:pPr>
                  <w:r>
                    <w:rPr>
                      <w:rFonts w:hint="eastAsia" w:ascii="Times New Roman" w:hAnsi="Times New Roman"/>
                    </w:rPr>
                    <w:t>0.048</w:t>
                  </w:r>
                </w:p>
              </w:tc>
              <w:tc>
                <w:tcPr>
                  <w:tcW w:w="1106" w:type="pct"/>
                  <w:vMerge w:val="continue"/>
                  <w:vAlign w:val="center"/>
                </w:tcPr>
                <w:p>
                  <w:pPr>
                    <w:pStyle w:val="40"/>
                    <w:snapToGrid w:val="0"/>
                    <w:spacing w:line="240" w:lineRule="auto"/>
                    <w:rPr>
                      <w:rFonts w:ascii="Times New Roman" w:hAnsi="Times New Roman"/>
                    </w:rPr>
                  </w:pPr>
                </w:p>
              </w:tc>
              <w:tc>
                <w:tcPr>
                  <w:tcW w:w="745"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25</w:t>
                  </w:r>
                </w:p>
              </w:tc>
              <w:tc>
                <w:tcPr>
                  <w:tcW w:w="694"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9" w:type="pct"/>
                  <w:vMerge w:val="continue"/>
                  <w:vAlign w:val="center"/>
                </w:tcPr>
                <w:p>
                  <w:pPr>
                    <w:snapToGrid w:val="0"/>
                    <w:jc w:val="center"/>
                    <w:rPr>
                      <w:szCs w:val="21"/>
                    </w:rPr>
                  </w:pPr>
                </w:p>
              </w:tc>
              <w:tc>
                <w:tcPr>
                  <w:tcW w:w="614" w:type="pct"/>
                  <w:vAlign w:val="center"/>
                </w:tcPr>
                <w:p>
                  <w:pPr>
                    <w:pStyle w:val="40"/>
                    <w:snapToGrid w:val="0"/>
                    <w:spacing w:line="240" w:lineRule="auto"/>
                    <w:rPr>
                      <w:rFonts w:ascii="Times New Roman" w:hAnsi="Times New Roman"/>
                    </w:rPr>
                  </w:pPr>
                  <w:r>
                    <w:rPr>
                      <w:rFonts w:hint="eastAsia" w:ascii="Times New Roman" w:hAnsi="Times New Roman"/>
                    </w:rPr>
                    <w:t>石油类</w:t>
                  </w:r>
                </w:p>
              </w:tc>
              <w:tc>
                <w:tcPr>
                  <w:tcW w:w="588" w:type="pct"/>
                  <w:vAlign w:val="center"/>
                </w:tcPr>
                <w:p>
                  <w:pPr>
                    <w:pStyle w:val="40"/>
                    <w:snapToGrid w:val="0"/>
                    <w:spacing w:line="240" w:lineRule="auto"/>
                    <w:rPr>
                      <w:rFonts w:ascii="Times New Roman" w:hAnsi="Times New Roman"/>
                    </w:rPr>
                  </w:pPr>
                  <w:r>
                    <w:rPr>
                      <w:rFonts w:hint="eastAsia" w:ascii="Times New Roman" w:hAnsi="Times New Roman"/>
                    </w:rPr>
                    <w:t>80</w:t>
                  </w:r>
                </w:p>
              </w:tc>
              <w:tc>
                <w:tcPr>
                  <w:tcW w:w="530" w:type="pct"/>
                  <w:vAlign w:val="center"/>
                </w:tcPr>
                <w:p>
                  <w:pPr>
                    <w:pStyle w:val="40"/>
                    <w:snapToGrid w:val="0"/>
                    <w:spacing w:line="240" w:lineRule="auto"/>
                    <w:rPr>
                      <w:rFonts w:ascii="Times New Roman" w:hAnsi="Times New Roman"/>
                    </w:rPr>
                  </w:pPr>
                  <w:r>
                    <w:rPr>
                      <w:rFonts w:hint="eastAsia" w:ascii="Times New Roman" w:hAnsi="Times New Roman"/>
                    </w:rPr>
                    <w:t>0.015</w:t>
                  </w:r>
                </w:p>
              </w:tc>
              <w:tc>
                <w:tcPr>
                  <w:tcW w:w="1106" w:type="pct"/>
                  <w:vMerge w:val="continue"/>
                  <w:vAlign w:val="center"/>
                </w:tcPr>
                <w:p>
                  <w:pPr>
                    <w:pStyle w:val="40"/>
                    <w:snapToGrid w:val="0"/>
                    <w:spacing w:line="240" w:lineRule="auto"/>
                    <w:rPr>
                      <w:rFonts w:ascii="Times New Roman" w:hAnsi="Times New Roman"/>
                    </w:rPr>
                  </w:pPr>
                </w:p>
              </w:tc>
              <w:tc>
                <w:tcPr>
                  <w:tcW w:w="745" w:type="pct"/>
                  <w:vAlign w:val="center"/>
                </w:tcPr>
                <w:p>
                  <w:pPr>
                    <w:pStyle w:val="40"/>
                    <w:snapToGrid w:val="0"/>
                    <w:spacing w:line="240" w:lineRule="auto"/>
                    <w:rPr>
                      <w:rFonts w:ascii="Times New Roman" w:hAnsi="Times New Roman"/>
                    </w:rPr>
                  </w:pPr>
                  <w:r>
                    <w:rPr>
                      <w:rFonts w:hint="eastAsia" w:ascii="Times New Roman" w:hAnsi="Times New Roman"/>
                    </w:rPr>
                    <w:t>16</w:t>
                  </w:r>
                </w:p>
              </w:tc>
              <w:tc>
                <w:tcPr>
                  <w:tcW w:w="694" w:type="pct"/>
                  <w:vAlign w:val="center"/>
                </w:tcPr>
                <w:p>
                  <w:pPr>
                    <w:pStyle w:val="40"/>
                    <w:snapToGrid w:val="0"/>
                    <w:spacing w:line="240" w:lineRule="auto"/>
                    <w:rPr>
                      <w:rFonts w:ascii="Times New Roman" w:hAnsi="Times New Roman"/>
                    </w:rPr>
                  </w:pPr>
                  <w:r>
                    <w:rPr>
                      <w:rFonts w:hint="eastAsia" w:ascii="Times New Roman" w:hAnsi="Times New Roman"/>
                    </w:rPr>
                    <w:t>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9" w:type="pct"/>
                  <w:vMerge w:val="restart"/>
                  <w:vAlign w:val="center"/>
                </w:tcPr>
                <w:p>
                  <w:pPr>
                    <w:snapToGrid w:val="0"/>
                    <w:jc w:val="center"/>
                    <w:rPr>
                      <w:szCs w:val="21"/>
                    </w:rPr>
                  </w:pPr>
                  <w:r>
                    <w:rPr>
                      <w:rFonts w:hint="eastAsia"/>
                      <w:szCs w:val="21"/>
                    </w:rPr>
                    <w:t>车辆冲洗废水11.25</w:t>
                  </w:r>
                  <w:r>
                    <w:rPr>
                      <w:szCs w:val="21"/>
                    </w:rPr>
                    <w:t>m</w:t>
                  </w:r>
                  <w:r>
                    <w:rPr>
                      <w:szCs w:val="21"/>
                      <w:vertAlign w:val="superscript"/>
                    </w:rPr>
                    <w:t>3</w:t>
                  </w:r>
                  <w:r>
                    <w:rPr>
                      <w:szCs w:val="21"/>
                    </w:rPr>
                    <w:t>/a</w:t>
                  </w:r>
                </w:p>
              </w:tc>
              <w:tc>
                <w:tcPr>
                  <w:tcW w:w="614" w:type="pct"/>
                  <w:vAlign w:val="center"/>
                </w:tcPr>
                <w:p>
                  <w:pPr>
                    <w:pStyle w:val="40"/>
                    <w:snapToGrid w:val="0"/>
                    <w:spacing w:line="240" w:lineRule="auto"/>
                    <w:rPr>
                      <w:rFonts w:ascii="Times New Roman" w:hAnsi="Times New Roman"/>
                    </w:rPr>
                  </w:pPr>
                  <w:r>
                    <w:rPr>
                      <w:rFonts w:ascii="Times New Roman" w:hAnsi="Times New Roman"/>
                    </w:rPr>
                    <w:t>COD</w:t>
                  </w:r>
                  <w:r>
                    <w:rPr>
                      <w:rFonts w:hint="eastAsia" w:ascii="Times New Roman" w:hAnsi="Times New Roman"/>
                      <w:vertAlign w:val="subscript"/>
                    </w:rPr>
                    <w:t>Cr</w:t>
                  </w:r>
                </w:p>
              </w:tc>
              <w:tc>
                <w:tcPr>
                  <w:tcW w:w="588"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180</w:t>
                  </w:r>
                </w:p>
              </w:tc>
              <w:tc>
                <w:tcPr>
                  <w:tcW w:w="530"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0.002</w:t>
                  </w:r>
                </w:p>
              </w:tc>
              <w:tc>
                <w:tcPr>
                  <w:tcW w:w="1106" w:type="pct"/>
                  <w:vMerge w:val="continue"/>
                  <w:vAlign w:val="center"/>
                </w:tcPr>
                <w:p>
                  <w:pPr>
                    <w:pStyle w:val="40"/>
                    <w:snapToGrid w:val="0"/>
                    <w:spacing w:line="240" w:lineRule="auto"/>
                    <w:rPr>
                      <w:rFonts w:ascii="Times New Roman" w:hAnsi="Times New Roman"/>
                    </w:rPr>
                  </w:pPr>
                </w:p>
              </w:tc>
              <w:tc>
                <w:tcPr>
                  <w:tcW w:w="745"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18</w:t>
                  </w:r>
                </w:p>
              </w:tc>
              <w:tc>
                <w:tcPr>
                  <w:tcW w:w="694"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0.0002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9" w:type="pct"/>
                  <w:vMerge w:val="continue"/>
                  <w:vAlign w:val="center"/>
                </w:tcPr>
                <w:p>
                  <w:pPr>
                    <w:snapToGrid w:val="0"/>
                    <w:jc w:val="center"/>
                    <w:rPr>
                      <w:szCs w:val="21"/>
                    </w:rPr>
                  </w:pPr>
                </w:p>
              </w:tc>
              <w:tc>
                <w:tcPr>
                  <w:tcW w:w="614" w:type="pct"/>
                  <w:vAlign w:val="center"/>
                </w:tcPr>
                <w:p>
                  <w:pPr>
                    <w:pStyle w:val="40"/>
                    <w:snapToGrid w:val="0"/>
                    <w:spacing w:line="240" w:lineRule="auto"/>
                    <w:rPr>
                      <w:rFonts w:ascii="Times New Roman" w:hAnsi="Times New Roman"/>
                    </w:rPr>
                  </w:pPr>
                  <w:r>
                    <w:rPr>
                      <w:rFonts w:ascii="Times New Roman" w:hAnsi="Times New Roman"/>
                    </w:rPr>
                    <w:t>BOD</w:t>
                  </w:r>
                  <w:r>
                    <w:rPr>
                      <w:rFonts w:hint="eastAsia" w:ascii="Times New Roman" w:hAnsi="Times New Roman"/>
                      <w:vertAlign w:val="subscript"/>
                    </w:rPr>
                    <w:t>5</w:t>
                  </w:r>
                </w:p>
              </w:tc>
              <w:tc>
                <w:tcPr>
                  <w:tcW w:w="588" w:type="pct"/>
                  <w:vAlign w:val="center"/>
                </w:tcPr>
                <w:p>
                  <w:pPr>
                    <w:pStyle w:val="40"/>
                    <w:snapToGrid w:val="0"/>
                    <w:spacing w:line="240" w:lineRule="auto"/>
                    <w:rPr>
                      <w:rFonts w:ascii="Times New Roman" w:hAnsi="Times New Roman"/>
                    </w:rPr>
                  </w:pPr>
                  <w:r>
                    <w:rPr>
                      <w:rFonts w:hint="eastAsia" w:ascii="Times New Roman" w:hAnsi="Times New Roman"/>
                    </w:rPr>
                    <w:t>40</w:t>
                  </w:r>
                </w:p>
              </w:tc>
              <w:tc>
                <w:tcPr>
                  <w:tcW w:w="530" w:type="pct"/>
                  <w:vAlign w:val="center"/>
                </w:tcPr>
                <w:p>
                  <w:pPr>
                    <w:pStyle w:val="40"/>
                    <w:snapToGrid w:val="0"/>
                    <w:spacing w:line="240" w:lineRule="auto"/>
                    <w:rPr>
                      <w:rFonts w:ascii="Times New Roman" w:hAnsi="Times New Roman"/>
                    </w:rPr>
                  </w:pPr>
                  <w:r>
                    <w:rPr>
                      <w:rFonts w:hint="eastAsia" w:ascii="Times New Roman" w:hAnsi="Times New Roman"/>
                    </w:rPr>
                    <w:t>0.0005</w:t>
                  </w:r>
                </w:p>
              </w:tc>
              <w:tc>
                <w:tcPr>
                  <w:tcW w:w="1106" w:type="pct"/>
                  <w:vMerge w:val="continue"/>
                  <w:vAlign w:val="center"/>
                </w:tcPr>
                <w:p>
                  <w:pPr>
                    <w:pStyle w:val="40"/>
                    <w:snapToGrid w:val="0"/>
                    <w:spacing w:line="240" w:lineRule="auto"/>
                    <w:rPr>
                      <w:rFonts w:ascii="Times New Roman" w:hAnsi="Times New Roman"/>
                    </w:rPr>
                  </w:pPr>
                </w:p>
              </w:tc>
              <w:tc>
                <w:tcPr>
                  <w:tcW w:w="745"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2</w:t>
                  </w:r>
                </w:p>
              </w:tc>
              <w:tc>
                <w:tcPr>
                  <w:tcW w:w="694"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0.00003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9" w:type="pct"/>
                  <w:vMerge w:val="continue"/>
                  <w:vAlign w:val="center"/>
                </w:tcPr>
                <w:p>
                  <w:pPr>
                    <w:snapToGrid w:val="0"/>
                    <w:jc w:val="center"/>
                    <w:rPr>
                      <w:szCs w:val="21"/>
                    </w:rPr>
                  </w:pPr>
                </w:p>
              </w:tc>
              <w:tc>
                <w:tcPr>
                  <w:tcW w:w="614" w:type="pct"/>
                  <w:vAlign w:val="center"/>
                </w:tcPr>
                <w:p>
                  <w:pPr>
                    <w:pStyle w:val="40"/>
                    <w:snapToGrid w:val="0"/>
                    <w:spacing w:line="240" w:lineRule="auto"/>
                    <w:rPr>
                      <w:rFonts w:ascii="Times New Roman" w:hAnsi="Times New Roman"/>
                    </w:rPr>
                  </w:pPr>
                  <w:r>
                    <w:rPr>
                      <w:rFonts w:ascii="Times New Roman" w:hAnsi="Times New Roman"/>
                    </w:rPr>
                    <w:t>SS</w:t>
                  </w:r>
                </w:p>
              </w:tc>
              <w:tc>
                <w:tcPr>
                  <w:tcW w:w="588" w:type="pct"/>
                  <w:vAlign w:val="center"/>
                </w:tcPr>
                <w:p>
                  <w:pPr>
                    <w:pStyle w:val="40"/>
                    <w:snapToGrid w:val="0"/>
                    <w:spacing w:line="240" w:lineRule="auto"/>
                    <w:rPr>
                      <w:rFonts w:ascii="Times New Roman" w:hAnsi="Times New Roman"/>
                    </w:rPr>
                  </w:pPr>
                  <w:r>
                    <w:rPr>
                      <w:rFonts w:hint="eastAsia" w:ascii="Times New Roman" w:hAnsi="Times New Roman"/>
                    </w:rPr>
                    <w:t>200</w:t>
                  </w:r>
                </w:p>
              </w:tc>
              <w:tc>
                <w:tcPr>
                  <w:tcW w:w="530" w:type="pct"/>
                  <w:vAlign w:val="center"/>
                </w:tcPr>
                <w:p>
                  <w:pPr>
                    <w:pStyle w:val="40"/>
                    <w:snapToGrid w:val="0"/>
                    <w:spacing w:line="240" w:lineRule="auto"/>
                    <w:rPr>
                      <w:rFonts w:ascii="Times New Roman" w:hAnsi="Times New Roman"/>
                    </w:rPr>
                  </w:pPr>
                  <w:r>
                    <w:rPr>
                      <w:rFonts w:hint="eastAsia" w:ascii="Times New Roman" w:hAnsi="Times New Roman"/>
                    </w:rPr>
                    <w:t>0.002</w:t>
                  </w:r>
                </w:p>
              </w:tc>
              <w:tc>
                <w:tcPr>
                  <w:tcW w:w="1106" w:type="pct"/>
                  <w:vMerge w:val="continue"/>
                  <w:vAlign w:val="center"/>
                </w:tcPr>
                <w:p>
                  <w:pPr>
                    <w:pStyle w:val="40"/>
                    <w:snapToGrid w:val="0"/>
                    <w:spacing w:line="240" w:lineRule="auto"/>
                    <w:rPr>
                      <w:rFonts w:ascii="Times New Roman" w:hAnsi="Times New Roman"/>
                    </w:rPr>
                  </w:pPr>
                </w:p>
              </w:tc>
              <w:tc>
                <w:tcPr>
                  <w:tcW w:w="745"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20</w:t>
                  </w:r>
                </w:p>
              </w:tc>
              <w:tc>
                <w:tcPr>
                  <w:tcW w:w="694"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0.0002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9" w:type="pct"/>
                  <w:vMerge w:val="continue"/>
                  <w:vAlign w:val="center"/>
                </w:tcPr>
                <w:p>
                  <w:pPr>
                    <w:snapToGrid w:val="0"/>
                    <w:jc w:val="center"/>
                    <w:rPr>
                      <w:szCs w:val="21"/>
                    </w:rPr>
                  </w:pPr>
                </w:p>
              </w:tc>
              <w:tc>
                <w:tcPr>
                  <w:tcW w:w="614" w:type="pct"/>
                  <w:vAlign w:val="center"/>
                </w:tcPr>
                <w:p>
                  <w:pPr>
                    <w:pStyle w:val="40"/>
                    <w:snapToGrid w:val="0"/>
                    <w:spacing w:line="240" w:lineRule="auto"/>
                    <w:rPr>
                      <w:rFonts w:ascii="Times New Roman" w:hAnsi="Times New Roman"/>
                    </w:rPr>
                  </w:pPr>
                  <w:r>
                    <w:rPr>
                      <w:rFonts w:hint="eastAsia" w:ascii="Times New Roman" w:hAnsi="Times New Roman"/>
                    </w:rPr>
                    <w:t>石油类</w:t>
                  </w:r>
                </w:p>
              </w:tc>
              <w:tc>
                <w:tcPr>
                  <w:tcW w:w="588" w:type="pct"/>
                  <w:vAlign w:val="center"/>
                </w:tcPr>
                <w:p>
                  <w:pPr>
                    <w:pStyle w:val="40"/>
                    <w:snapToGrid w:val="0"/>
                    <w:spacing w:line="240" w:lineRule="auto"/>
                    <w:rPr>
                      <w:rFonts w:ascii="Times New Roman" w:hAnsi="Times New Roman"/>
                    </w:rPr>
                  </w:pPr>
                  <w:r>
                    <w:rPr>
                      <w:rFonts w:hint="eastAsia" w:ascii="Times New Roman" w:hAnsi="Times New Roman"/>
                    </w:rPr>
                    <w:t>100</w:t>
                  </w:r>
                </w:p>
              </w:tc>
              <w:tc>
                <w:tcPr>
                  <w:tcW w:w="530" w:type="pct"/>
                  <w:vAlign w:val="center"/>
                </w:tcPr>
                <w:p>
                  <w:pPr>
                    <w:pStyle w:val="40"/>
                    <w:snapToGrid w:val="0"/>
                    <w:spacing w:line="240" w:lineRule="auto"/>
                    <w:rPr>
                      <w:rFonts w:ascii="Times New Roman" w:hAnsi="Times New Roman"/>
                    </w:rPr>
                  </w:pPr>
                  <w:r>
                    <w:rPr>
                      <w:rFonts w:hint="eastAsia" w:ascii="Times New Roman" w:hAnsi="Times New Roman"/>
                    </w:rPr>
                    <w:t>0.001</w:t>
                  </w:r>
                </w:p>
              </w:tc>
              <w:tc>
                <w:tcPr>
                  <w:tcW w:w="1106" w:type="pct"/>
                  <w:vMerge w:val="continue"/>
                  <w:vAlign w:val="center"/>
                </w:tcPr>
                <w:p>
                  <w:pPr>
                    <w:pStyle w:val="40"/>
                    <w:snapToGrid w:val="0"/>
                    <w:spacing w:line="240" w:lineRule="auto"/>
                    <w:rPr>
                      <w:rFonts w:ascii="Times New Roman" w:hAnsi="Times New Roman"/>
                    </w:rPr>
                  </w:pPr>
                </w:p>
              </w:tc>
              <w:tc>
                <w:tcPr>
                  <w:tcW w:w="745" w:type="pct"/>
                  <w:vAlign w:val="center"/>
                </w:tcPr>
                <w:p>
                  <w:pPr>
                    <w:pStyle w:val="40"/>
                    <w:snapToGrid w:val="0"/>
                    <w:spacing w:line="240" w:lineRule="auto"/>
                    <w:rPr>
                      <w:rFonts w:ascii="Times New Roman" w:hAnsi="Times New Roman"/>
                    </w:rPr>
                  </w:pPr>
                  <w:r>
                    <w:rPr>
                      <w:rFonts w:hint="eastAsia" w:ascii="Times New Roman" w:hAnsi="Times New Roman"/>
                    </w:rPr>
                    <w:t>20</w:t>
                  </w:r>
                </w:p>
              </w:tc>
              <w:tc>
                <w:tcPr>
                  <w:tcW w:w="694" w:type="pct"/>
                  <w:vAlign w:val="center"/>
                </w:tcPr>
                <w:p>
                  <w:pPr>
                    <w:pStyle w:val="40"/>
                    <w:snapToGrid w:val="0"/>
                    <w:spacing w:line="240" w:lineRule="auto"/>
                    <w:rPr>
                      <w:rFonts w:ascii="Times New Roman" w:hAnsi="Times New Roman"/>
                    </w:rPr>
                  </w:pPr>
                  <w:r>
                    <w:rPr>
                      <w:rFonts w:hint="eastAsia" w:ascii="Times New Roman" w:hAnsi="Times New Roman"/>
                    </w:rPr>
                    <w:t>0.0002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9" w:type="pct"/>
                  <w:vMerge w:val="restart"/>
                  <w:vAlign w:val="center"/>
                </w:tcPr>
                <w:p>
                  <w:pPr>
                    <w:snapToGrid w:val="0"/>
                    <w:jc w:val="center"/>
                    <w:rPr>
                      <w:szCs w:val="21"/>
                    </w:rPr>
                  </w:pPr>
                  <w:r>
                    <w:rPr>
                      <w:rFonts w:hint="eastAsia"/>
                      <w:szCs w:val="21"/>
                    </w:rPr>
                    <w:t>食堂废水420</w:t>
                  </w:r>
                  <w:r>
                    <w:rPr>
                      <w:szCs w:val="21"/>
                    </w:rPr>
                    <w:t>m</w:t>
                  </w:r>
                  <w:r>
                    <w:rPr>
                      <w:szCs w:val="21"/>
                      <w:vertAlign w:val="superscript"/>
                    </w:rPr>
                    <w:t>3</w:t>
                  </w:r>
                  <w:r>
                    <w:rPr>
                      <w:szCs w:val="21"/>
                    </w:rPr>
                    <w:t>/a</w:t>
                  </w:r>
                </w:p>
              </w:tc>
              <w:tc>
                <w:tcPr>
                  <w:tcW w:w="614" w:type="pct"/>
                  <w:vAlign w:val="center"/>
                </w:tcPr>
                <w:p>
                  <w:pPr>
                    <w:pStyle w:val="40"/>
                    <w:snapToGrid w:val="0"/>
                    <w:spacing w:line="240" w:lineRule="auto"/>
                    <w:rPr>
                      <w:rFonts w:ascii="Times New Roman" w:hAnsi="Times New Roman"/>
                    </w:rPr>
                  </w:pPr>
                  <w:r>
                    <w:rPr>
                      <w:rFonts w:ascii="Times New Roman" w:hAnsi="Times New Roman"/>
                    </w:rPr>
                    <w:t>COD</w:t>
                  </w:r>
                  <w:r>
                    <w:rPr>
                      <w:rFonts w:hint="eastAsia" w:ascii="Times New Roman" w:hAnsi="Times New Roman"/>
                      <w:vertAlign w:val="subscript"/>
                    </w:rPr>
                    <w:t>Cr</w:t>
                  </w:r>
                </w:p>
              </w:tc>
              <w:tc>
                <w:tcPr>
                  <w:tcW w:w="588" w:type="pct"/>
                  <w:vAlign w:val="center"/>
                </w:tcPr>
                <w:p>
                  <w:pPr>
                    <w:pStyle w:val="40"/>
                    <w:snapToGrid w:val="0"/>
                    <w:spacing w:line="240" w:lineRule="auto"/>
                    <w:rPr>
                      <w:rFonts w:ascii="Times New Roman" w:hAnsi="Times New Roman"/>
                    </w:rPr>
                  </w:pPr>
                  <w:r>
                    <w:rPr>
                      <w:rFonts w:hint="eastAsia" w:ascii="Times New Roman" w:hAnsi="Times New Roman"/>
                    </w:rPr>
                    <w:t>350</w:t>
                  </w:r>
                </w:p>
              </w:tc>
              <w:tc>
                <w:tcPr>
                  <w:tcW w:w="530" w:type="pct"/>
                  <w:vAlign w:val="center"/>
                </w:tcPr>
                <w:p>
                  <w:pPr>
                    <w:pStyle w:val="40"/>
                    <w:snapToGrid w:val="0"/>
                    <w:spacing w:line="240" w:lineRule="auto"/>
                    <w:rPr>
                      <w:rFonts w:ascii="Times New Roman" w:hAnsi="Times New Roman"/>
                    </w:rPr>
                  </w:pPr>
                  <w:r>
                    <w:rPr>
                      <w:rFonts w:hint="eastAsia" w:ascii="Times New Roman" w:hAnsi="Times New Roman"/>
                    </w:rPr>
                    <w:t>0.147</w:t>
                  </w:r>
                </w:p>
              </w:tc>
              <w:tc>
                <w:tcPr>
                  <w:tcW w:w="1106" w:type="pct"/>
                  <w:vMerge w:val="restar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食堂废水经</w:t>
                  </w:r>
                  <w:r>
                    <w:rPr>
                      <w:rFonts w:hint="eastAsia" w:ascii="Times New Roman" w:hAnsi="Times New Roman"/>
                    </w:rPr>
                    <w:t>隔油池（动植物油处理效率50%）</w:t>
                  </w:r>
                  <w:r>
                    <w:rPr>
                      <w:rFonts w:hint="eastAsia" w:ascii="Times New Roman" w:hAnsi="Times New Roman"/>
                      <w:lang w:val="en-US" w:eastAsia="zh-CN"/>
                    </w:rPr>
                    <w:t>处理后同生活污水排入地埋式一体化污水处理设施（COD、SS处理效率90%，BOD处理效率95%，氨氮处理效率80%）</w:t>
                  </w:r>
                </w:p>
              </w:tc>
              <w:tc>
                <w:tcPr>
                  <w:tcW w:w="745"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35</w:t>
                  </w:r>
                </w:p>
              </w:tc>
              <w:tc>
                <w:tcPr>
                  <w:tcW w:w="694"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0.015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9" w:type="pct"/>
                  <w:vMerge w:val="continue"/>
                  <w:vAlign w:val="center"/>
                </w:tcPr>
                <w:p>
                  <w:pPr>
                    <w:snapToGrid w:val="0"/>
                    <w:jc w:val="center"/>
                    <w:rPr>
                      <w:szCs w:val="21"/>
                    </w:rPr>
                  </w:pPr>
                </w:p>
              </w:tc>
              <w:tc>
                <w:tcPr>
                  <w:tcW w:w="614" w:type="pct"/>
                  <w:vAlign w:val="center"/>
                </w:tcPr>
                <w:p>
                  <w:pPr>
                    <w:pStyle w:val="40"/>
                    <w:snapToGrid w:val="0"/>
                    <w:spacing w:line="240" w:lineRule="auto"/>
                    <w:rPr>
                      <w:rFonts w:ascii="Times New Roman" w:hAnsi="Times New Roman"/>
                    </w:rPr>
                  </w:pPr>
                  <w:r>
                    <w:rPr>
                      <w:rFonts w:ascii="Times New Roman" w:hAnsi="Times New Roman"/>
                    </w:rPr>
                    <w:t>BOD</w:t>
                  </w:r>
                  <w:r>
                    <w:rPr>
                      <w:rFonts w:hint="eastAsia" w:ascii="Times New Roman" w:hAnsi="Times New Roman"/>
                      <w:vertAlign w:val="subscript"/>
                    </w:rPr>
                    <w:t>5</w:t>
                  </w:r>
                </w:p>
              </w:tc>
              <w:tc>
                <w:tcPr>
                  <w:tcW w:w="588" w:type="pct"/>
                  <w:vAlign w:val="center"/>
                </w:tcPr>
                <w:p>
                  <w:pPr>
                    <w:pStyle w:val="40"/>
                    <w:snapToGrid w:val="0"/>
                    <w:spacing w:line="240" w:lineRule="auto"/>
                    <w:rPr>
                      <w:rFonts w:ascii="Times New Roman" w:hAnsi="Times New Roman"/>
                    </w:rPr>
                  </w:pPr>
                  <w:r>
                    <w:rPr>
                      <w:rFonts w:hint="eastAsia" w:ascii="Times New Roman" w:hAnsi="Times New Roman"/>
                    </w:rPr>
                    <w:t>200</w:t>
                  </w:r>
                </w:p>
              </w:tc>
              <w:tc>
                <w:tcPr>
                  <w:tcW w:w="530" w:type="pct"/>
                  <w:vAlign w:val="center"/>
                </w:tcPr>
                <w:p>
                  <w:pPr>
                    <w:pStyle w:val="40"/>
                    <w:snapToGrid w:val="0"/>
                    <w:spacing w:line="240" w:lineRule="auto"/>
                    <w:rPr>
                      <w:rFonts w:ascii="Times New Roman" w:hAnsi="Times New Roman"/>
                    </w:rPr>
                  </w:pPr>
                  <w:r>
                    <w:rPr>
                      <w:rFonts w:hint="eastAsia" w:ascii="Times New Roman" w:hAnsi="Times New Roman"/>
                    </w:rPr>
                    <w:t>0.084</w:t>
                  </w:r>
                </w:p>
              </w:tc>
              <w:tc>
                <w:tcPr>
                  <w:tcW w:w="1106" w:type="pct"/>
                  <w:vMerge w:val="continue"/>
                  <w:vAlign w:val="center"/>
                </w:tcPr>
                <w:p>
                  <w:pPr>
                    <w:pStyle w:val="40"/>
                    <w:snapToGrid w:val="0"/>
                    <w:spacing w:line="240" w:lineRule="auto"/>
                    <w:rPr>
                      <w:rFonts w:ascii="Times New Roman" w:hAnsi="Times New Roman"/>
                    </w:rPr>
                  </w:pPr>
                </w:p>
              </w:tc>
              <w:tc>
                <w:tcPr>
                  <w:tcW w:w="745"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10</w:t>
                  </w:r>
                </w:p>
              </w:tc>
              <w:tc>
                <w:tcPr>
                  <w:tcW w:w="694"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9" w:type="pct"/>
                  <w:vMerge w:val="continue"/>
                  <w:vAlign w:val="center"/>
                </w:tcPr>
                <w:p>
                  <w:pPr>
                    <w:snapToGrid w:val="0"/>
                    <w:jc w:val="center"/>
                    <w:rPr>
                      <w:szCs w:val="21"/>
                    </w:rPr>
                  </w:pPr>
                </w:p>
              </w:tc>
              <w:tc>
                <w:tcPr>
                  <w:tcW w:w="614" w:type="pct"/>
                  <w:vAlign w:val="center"/>
                </w:tcPr>
                <w:p>
                  <w:pPr>
                    <w:pStyle w:val="40"/>
                    <w:snapToGrid w:val="0"/>
                    <w:spacing w:line="240" w:lineRule="auto"/>
                    <w:rPr>
                      <w:rFonts w:ascii="Times New Roman" w:hAnsi="Times New Roman"/>
                    </w:rPr>
                  </w:pPr>
                  <w:r>
                    <w:rPr>
                      <w:rFonts w:ascii="Times New Roman" w:hAnsi="Times New Roman"/>
                    </w:rPr>
                    <w:t>SS</w:t>
                  </w:r>
                </w:p>
              </w:tc>
              <w:tc>
                <w:tcPr>
                  <w:tcW w:w="588" w:type="pct"/>
                  <w:vAlign w:val="center"/>
                </w:tcPr>
                <w:p>
                  <w:pPr>
                    <w:pStyle w:val="40"/>
                    <w:snapToGrid w:val="0"/>
                    <w:spacing w:line="240" w:lineRule="auto"/>
                    <w:rPr>
                      <w:rFonts w:ascii="Times New Roman" w:hAnsi="Times New Roman"/>
                    </w:rPr>
                  </w:pPr>
                  <w:r>
                    <w:rPr>
                      <w:rFonts w:hint="eastAsia" w:ascii="Times New Roman" w:hAnsi="Times New Roman"/>
                    </w:rPr>
                    <w:t>250</w:t>
                  </w:r>
                </w:p>
              </w:tc>
              <w:tc>
                <w:tcPr>
                  <w:tcW w:w="530" w:type="pct"/>
                  <w:vAlign w:val="center"/>
                </w:tcPr>
                <w:p>
                  <w:pPr>
                    <w:pStyle w:val="40"/>
                    <w:snapToGrid w:val="0"/>
                    <w:spacing w:line="240" w:lineRule="auto"/>
                    <w:rPr>
                      <w:rFonts w:ascii="Times New Roman" w:hAnsi="Times New Roman"/>
                    </w:rPr>
                  </w:pPr>
                  <w:r>
                    <w:rPr>
                      <w:rFonts w:hint="eastAsia" w:ascii="Times New Roman" w:hAnsi="Times New Roman"/>
                    </w:rPr>
                    <w:t>0.105</w:t>
                  </w:r>
                </w:p>
              </w:tc>
              <w:tc>
                <w:tcPr>
                  <w:tcW w:w="1106" w:type="pct"/>
                  <w:vMerge w:val="continue"/>
                  <w:vAlign w:val="center"/>
                </w:tcPr>
                <w:p>
                  <w:pPr>
                    <w:pStyle w:val="40"/>
                    <w:snapToGrid w:val="0"/>
                    <w:spacing w:line="240" w:lineRule="auto"/>
                    <w:rPr>
                      <w:rFonts w:ascii="Times New Roman" w:hAnsi="Times New Roman"/>
                    </w:rPr>
                  </w:pPr>
                </w:p>
              </w:tc>
              <w:tc>
                <w:tcPr>
                  <w:tcW w:w="745"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25</w:t>
                  </w:r>
                </w:p>
              </w:tc>
              <w:tc>
                <w:tcPr>
                  <w:tcW w:w="694"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0.011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9" w:type="pct"/>
                  <w:vMerge w:val="continue"/>
                  <w:vAlign w:val="center"/>
                </w:tcPr>
                <w:p>
                  <w:pPr>
                    <w:snapToGrid w:val="0"/>
                    <w:jc w:val="center"/>
                    <w:rPr>
                      <w:szCs w:val="21"/>
                    </w:rPr>
                  </w:pPr>
                </w:p>
              </w:tc>
              <w:tc>
                <w:tcPr>
                  <w:tcW w:w="614" w:type="pct"/>
                  <w:vAlign w:val="center"/>
                </w:tcPr>
                <w:p>
                  <w:pPr>
                    <w:pStyle w:val="40"/>
                    <w:snapToGrid w:val="0"/>
                    <w:spacing w:line="240" w:lineRule="auto"/>
                    <w:rPr>
                      <w:rFonts w:ascii="Times New Roman" w:hAnsi="Times New Roman"/>
                    </w:rPr>
                  </w:pPr>
                  <w:r>
                    <w:rPr>
                      <w:rFonts w:hint="eastAsia" w:ascii="Times New Roman" w:hAnsi="Times New Roman"/>
                    </w:rPr>
                    <w:t>氨氮</w:t>
                  </w:r>
                </w:p>
              </w:tc>
              <w:tc>
                <w:tcPr>
                  <w:tcW w:w="588" w:type="pct"/>
                  <w:vAlign w:val="center"/>
                </w:tcPr>
                <w:p>
                  <w:pPr>
                    <w:pStyle w:val="40"/>
                    <w:snapToGrid w:val="0"/>
                    <w:spacing w:line="240" w:lineRule="auto"/>
                    <w:rPr>
                      <w:rFonts w:ascii="Times New Roman" w:hAnsi="Times New Roman"/>
                    </w:rPr>
                  </w:pPr>
                  <w:r>
                    <w:rPr>
                      <w:rFonts w:hint="eastAsia" w:ascii="Times New Roman" w:hAnsi="Times New Roman"/>
                    </w:rPr>
                    <w:t>30</w:t>
                  </w:r>
                </w:p>
              </w:tc>
              <w:tc>
                <w:tcPr>
                  <w:tcW w:w="530" w:type="pct"/>
                  <w:vAlign w:val="center"/>
                </w:tcPr>
                <w:p>
                  <w:pPr>
                    <w:pStyle w:val="40"/>
                    <w:snapToGrid w:val="0"/>
                    <w:spacing w:line="240" w:lineRule="auto"/>
                    <w:rPr>
                      <w:rFonts w:ascii="Times New Roman" w:hAnsi="Times New Roman"/>
                    </w:rPr>
                  </w:pPr>
                  <w:r>
                    <w:rPr>
                      <w:rFonts w:hint="eastAsia" w:ascii="Times New Roman" w:hAnsi="Times New Roman"/>
                    </w:rPr>
                    <w:t>0.013</w:t>
                  </w:r>
                </w:p>
              </w:tc>
              <w:tc>
                <w:tcPr>
                  <w:tcW w:w="1106" w:type="pct"/>
                  <w:vMerge w:val="continue"/>
                  <w:vAlign w:val="center"/>
                </w:tcPr>
                <w:p>
                  <w:pPr>
                    <w:pStyle w:val="40"/>
                    <w:snapToGrid w:val="0"/>
                    <w:spacing w:line="240" w:lineRule="auto"/>
                    <w:rPr>
                      <w:rFonts w:ascii="Times New Roman" w:hAnsi="Times New Roman"/>
                    </w:rPr>
                  </w:pPr>
                </w:p>
              </w:tc>
              <w:tc>
                <w:tcPr>
                  <w:tcW w:w="745" w:type="pct"/>
                  <w:vAlign w:val="center"/>
                </w:tcPr>
                <w:p>
                  <w:pPr>
                    <w:pStyle w:val="40"/>
                    <w:snapToGrid w:val="0"/>
                    <w:spacing w:line="240" w:lineRule="auto"/>
                    <w:rPr>
                      <w:rFonts w:hint="eastAsia" w:ascii="Times New Roman" w:hAnsi="Times New Roman" w:eastAsia="宋体"/>
                      <w:lang w:val="en-US" w:eastAsia="zh-CN"/>
                    </w:rPr>
                  </w:pPr>
                  <w:r>
                    <w:rPr>
                      <w:rFonts w:hint="eastAsia" w:ascii="Times New Roman" w:hAnsi="Times New Roman"/>
                      <w:lang w:val="en-US" w:eastAsia="zh-CN"/>
                    </w:rPr>
                    <w:t>6</w:t>
                  </w:r>
                </w:p>
              </w:tc>
              <w:tc>
                <w:tcPr>
                  <w:tcW w:w="694"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trPr>
              <w:tc>
                <w:tcPr>
                  <w:tcW w:w="719" w:type="pct"/>
                  <w:vMerge w:val="continue"/>
                  <w:vAlign w:val="center"/>
                </w:tcPr>
                <w:p>
                  <w:pPr>
                    <w:snapToGrid w:val="0"/>
                    <w:jc w:val="center"/>
                    <w:rPr>
                      <w:szCs w:val="21"/>
                    </w:rPr>
                  </w:pPr>
                </w:p>
              </w:tc>
              <w:tc>
                <w:tcPr>
                  <w:tcW w:w="614" w:type="pct"/>
                  <w:vAlign w:val="center"/>
                </w:tcPr>
                <w:p>
                  <w:pPr>
                    <w:pStyle w:val="40"/>
                    <w:snapToGrid w:val="0"/>
                    <w:spacing w:line="240" w:lineRule="auto"/>
                    <w:rPr>
                      <w:rFonts w:ascii="Times New Roman" w:hAnsi="Times New Roman"/>
                    </w:rPr>
                  </w:pPr>
                  <w:r>
                    <w:rPr>
                      <w:rFonts w:hint="eastAsia" w:ascii="Times New Roman" w:hAnsi="Times New Roman"/>
                    </w:rPr>
                    <w:t>动植物油</w:t>
                  </w:r>
                </w:p>
              </w:tc>
              <w:tc>
                <w:tcPr>
                  <w:tcW w:w="588" w:type="pct"/>
                  <w:vAlign w:val="center"/>
                </w:tcPr>
                <w:p>
                  <w:pPr>
                    <w:pStyle w:val="40"/>
                    <w:snapToGrid w:val="0"/>
                    <w:spacing w:line="240" w:lineRule="auto"/>
                    <w:rPr>
                      <w:rFonts w:ascii="Times New Roman" w:hAnsi="Times New Roman"/>
                    </w:rPr>
                  </w:pPr>
                  <w:r>
                    <w:rPr>
                      <w:rFonts w:hint="eastAsia" w:ascii="Times New Roman" w:hAnsi="Times New Roman"/>
                    </w:rPr>
                    <w:t>80</w:t>
                  </w:r>
                </w:p>
              </w:tc>
              <w:tc>
                <w:tcPr>
                  <w:tcW w:w="530" w:type="pct"/>
                  <w:vAlign w:val="center"/>
                </w:tcPr>
                <w:p>
                  <w:pPr>
                    <w:pStyle w:val="40"/>
                    <w:snapToGrid w:val="0"/>
                    <w:spacing w:line="240" w:lineRule="auto"/>
                    <w:rPr>
                      <w:rFonts w:ascii="Times New Roman" w:hAnsi="Times New Roman"/>
                    </w:rPr>
                  </w:pPr>
                  <w:r>
                    <w:rPr>
                      <w:rFonts w:hint="eastAsia" w:ascii="Times New Roman" w:hAnsi="Times New Roman"/>
                    </w:rPr>
                    <w:t>0.035</w:t>
                  </w:r>
                </w:p>
              </w:tc>
              <w:tc>
                <w:tcPr>
                  <w:tcW w:w="1106" w:type="pct"/>
                  <w:vMerge w:val="continue"/>
                  <w:vAlign w:val="center"/>
                </w:tcPr>
                <w:p>
                  <w:pPr>
                    <w:pStyle w:val="40"/>
                    <w:snapToGrid w:val="0"/>
                    <w:spacing w:line="240" w:lineRule="auto"/>
                    <w:rPr>
                      <w:rFonts w:ascii="Times New Roman" w:hAnsi="Times New Roman"/>
                    </w:rPr>
                  </w:pPr>
                </w:p>
              </w:tc>
              <w:tc>
                <w:tcPr>
                  <w:tcW w:w="745" w:type="pct"/>
                  <w:vAlign w:val="center"/>
                </w:tcPr>
                <w:p>
                  <w:pPr>
                    <w:pStyle w:val="40"/>
                    <w:snapToGrid w:val="0"/>
                    <w:spacing w:line="240" w:lineRule="auto"/>
                    <w:rPr>
                      <w:rFonts w:ascii="Times New Roman" w:hAnsi="Times New Roman"/>
                    </w:rPr>
                  </w:pPr>
                  <w:r>
                    <w:rPr>
                      <w:rFonts w:hint="eastAsia" w:ascii="Times New Roman" w:hAnsi="Times New Roman"/>
                    </w:rPr>
                    <w:t>40</w:t>
                  </w:r>
                </w:p>
              </w:tc>
              <w:tc>
                <w:tcPr>
                  <w:tcW w:w="694" w:type="pct"/>
                  <w:vAlign w:val="center"/>
                </w:tcPr>
                <w:p>
                  <w:pPr>
                    <w:pStyle w:val="40"/>
                    <w:snapToGrid w:val="0"/>
                    <w:spacing w:line="240" w:lineRule="auto"/>
                    <w:rPr>
                      <w:rFonts w:ascii="Times New Roman" w:hAnsi="Times New Roman"/>
                    </w:rPr>
                  </w:pPr>
                  <w:r>
                    <w:rPr>
                      <w:rFonts w:hint="eastAsia" w:ascii="Times New Roman" w:hAnsi="Times New Roman"/>
                    </w:rPr>
                    <w:t>0.018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9" w:type="pct"/>
                  <w:vMerge w:val="restart"/>
                  <w:vAlign w:val="center"/>
                </w:tcPr>
                <w:p>
                  <w:pPr>
                    <w:snapToGrid w:val="0"/>
                    <w:jc w:val="center"/>
                    <w:rPr>
                      <w:szCs w:val="21"/>
                    </w:rPr>
                  </w:pPr>
                  <w:r>
                    <w:rPr>
                      <w:rFonts w:hint="eastAsia"/>
                      <w:szCs w:val="21"/>
                    </w:rPr>
                    <w:t>生活污水1344</w:t>
                  </w:r>
                  <w:r>
                    <w:rPr>
                      <w:szCs w:val="21"/>
                    </w:rPr>
                    <w:t>m</w:t>
                  </w:r>
                  <w:r>
                    <w:rPr>
                      <w:szCs w:val="21"/>
                      <w:vertAlign w:val="superscript"/>
                    </w:rPr>
                    <w:t>3</w:t>
                  </w:r>
                  <w:r>
                    <w:rPr>
                      <w:szCs w:val="21"/>
                    </w:rPr>
                    <w:t>/a</w:t>
                  </w:r>
                </w:p>
              </w:tc>
              <w:tc>
                <w:tcPr>
                  <w:tcW w:w="614" w:type="pct"/>
                  <w:vAlign w:val="center"/>
                </w:tcPr>
                <w:p>
                  <w:pPr>
                    <w:pStyle w:val="40"/>
                    <w:snapToGrid w:val="0"/>
                    <w:spacing w:line="240" w:lineRule="auto"/>
                    <w:rPr>
                      <w:rFonts w:ascii="Times New Roman" w:hAnsi="Times New Roman"/>
                    </w:rPr>
                  </w:pPr>
                  <w:r>
                    <w:rPr>
                      <w:rFonts w:ascii="Times New Roman" w:hAnsi="Times New Roman"/>
                    </w:rPr>
                    <w:t>COD</w:t>
                  </w:r>
                  <w:r>
                    <w:rPr>
                      <w:rFonts w:hint="eastAsia" w:ascii="Times New Roman" w:hAnsi="Times New Roman"/>
                      <w:vertAlign w:val="subscript"/>
                    </w:rPr>
                    <w:t>Cr</w:t>
                  </w:r>
                </w:p>
              </w:tc>
              <w:tc>
                <w:tcPr>
                  <w:tcW w:w="588" w:type="pct"/>
                  <w:vAlign w:val="center"/>
                </w:tcPr>
                <w:p>
                  <w:pPr>
                    <w:pStyle w:val="40"/>
                    <w:snapToGrid w:val="0"/>
                    <w:spacing w:line="240" w:lineRule="auto"/>
                    <w:rPr>
                      <w:rFonts w:ascii="Times New Roman" w:hAnsi="Times New Roman"/>
                    </w:rPr>
                  </w:pPr>
                  <w:r>
                    <w:rPr>
                      <w:rFonts w:hint="eastAsia" w:ascii="Times New Roman" w:hAnsi="Times New Roman"/>
                    </w:rPr>
                    <w:t>400</w:t>
                  </w:r>
                </w:p>
              </w:tc>
              <w:tc>
                <w:tcPr>
                  <w:tcW w:w="530" w:type="pct"/>
                  <w:vAlign w:val="center"/>
                </w:tcPr>
                <w:p>
                  <w:pPr>
                    <w:pStyle w:val="40"/>
                    <w:snapToGrid w:val="0"/>
                    <w:spacing w:line="240" w:lineRule="auto"/>
                    <w:rPr>
                      <w:rFonts w:ascii="Times New Roman" w:hAnsi="Times New Roman"/>
                    </w:rPr>
                  </w:pPr>
                  <w:r>
                    <w:rPr>
                      <w:rFonts w:hint="eastAsia" w:ascii="Times New Roman" w:hAnsi="Times New Roman"/>
                    </w:rPr>
                    <w:t>0.448</w:t>
                  </w:r>
                </w:p>
              </w:tc>
              <w:tc>
                <w:tcPr>
                  <w:tcW w:w="1106" w:type="pct"/>
                  <w:vMerge w:val="continue"/>
                  <w:vAlign w:val="center"/>
                </w:tcPr>
                <w:p>
                  <w:pPr>
                    <w:pStyle w:val="40"/>
                    <w:snapToGrid w:val="0"/>
                    <w:spacing w:line="240" w:lineRule="auto"/>
                    <w:rPr>
                      <w:rFonts w:ascii="Times New Roman" w:hAnsi="Times New Roman"/>
                    </w:rPr>
                  </w:pPr>
                </w:p>
              </w:tc>
              <w:tc>
                <w:tcPr>
                  <w:tcW w:w="745"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40</w:t>
                  </w:r>
                </w:p>
              </w:tc>
              <w:tc>
                <w:tcPr>
                  <w:tcW w:w="694"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0.045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9" w:type="pct"/>
                  <w:vMerge w:val="continue"/>
                  <w:vAlign w:val="center"/>
                </w:tcPr>
                <w:p>
                  <w:pPr>
                    <w:snapToGrid w:val="0"/>
                    <w:jc w:val="center"/>
                    <w:rPr>
                      <w:szCs w:val="21"/>
                    </w:rPr>
                  </w:pPr>
                </w:p>
              </w:tc>
              <w:tc>
                <w:tcPr>
                  <w:tcW w:w="614" w:type="pct"/>
                  <w:vAlign w:val="center"/>
                </w:tcPr>
                <w:p>
                  <w:pPr>
                    <w:pStyle w:val="40"/>
                    <w:snapToGrid w:val="0"/>
                    <w:spacing w:line="240" w:lineRule="auto"/>
                    <w:rPr>
                      <w:rFonts w:ascii="Times New Roman" w:hAnsi="Times New Roman"/>
                    </w:rPr>
                  </w:pPr>
                  <w:r>
                    <w:rPr>
                      <w:rFonts w:ascii="Times New Roman" w:hAnsi="Times New Roman"/>
                    </w:rPr>
                    <w:t>BOD</w:t>
                  </w:r>
                  <w:r>
                    <w:rPr>
                      <w:rFonts w:hint="eastAsia" w:ascii="Times New Roman" w:hAnsi="Times New Roman"/>
                      <w:vertAlign w:val="subscript"/>
                    </w:rPr>
                    <w:t>5</w:t>
                  </w:r>
                </w:p>
              </w:tc>
              <w:tc>
                <w:tcPr>
                  <w:tcW w:w="588" w:type="pct"/>
                  <w:vAlign w:val="center"/>
                </w:tcPr>
                <w:p>
                  <w:pPr>
                    <w:pStyle w:val="40"/>
                    <w:snapToGrid w:val="0"/>
                    <w:spacing w:line="240" w:lineRule="auto"/>
                    <w:rPr>
                      <w:rFonts w:ascii="Times New Roman" w:hAnsi="Times New Roman"/>
                    </w:rPr>
                  </w:pPr>
                  <w:r>
                    <w:rPr>
                      <w:rFonts w:hint="eastAsia" w:ascii="Times New Roman" w:hAnsi="Times New Roman"/>
                    </w:rPr>
                    <w:t>200</w:t>
                  </w:r>
                </w:p>
              </w:tc>
              <w:tc>
                <w:tcPr>
                  <w:tcW w:w="530" w:type="pct"/>
                  <w:vAlign w:val="center"/>
                </w:tcPr>
                <w:p>
                  <w:pPr>
                    <w:pStyle w:val="40"/>
                    <w:snapToGrid w:val="0"/>
                    <w:spacing w:line="240" w:lineRule="auto"/>
                    <w:rPr>
                      <w:rFonts w:ascii="Times New Roman" w:hAnsi="Times New Roman"/>
                    </w:rPr>
                  </w:pPr>
                  <w:r>
                    <w:rPr>
                      <w:rFonts w:hint="eastAsia" w:ascii="Times New Roman" w:hAnsi="Times New Roman"/>
                    </w:rPr>
                    <w:t>0.224</w:t>
                  </w:r>
                </w:p>
              </w:tc>
              <w:tc>
                <w:tcPr>
                  <w:tcW w:w="1106" w:type="pct"/>
                  <w:vMerge w:val="continue"/>
                  <w:vAlign w:val="center"/>
                </w:tcPr>
                <w:p>
                  <w:pPr>
                    <w:pStyle w:val="40"/>
                    <w:snapToGrid w:val="0"/>
                    <w:spacing w:line="240" w:lineRule="auto"/>
                    <w:rPr>
                      <w:rFonts w:ascii="Times New Roman" w:hAnsi="Times New Roman"/>
                    </w:rPr>
                  </w:pPr>
                </w:p>
              </w:tc>
              <w:tc>
                <w:tcPr>
                  <w:tcW w:w="745"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10</w:t>
                  </w:r>
                </w:p>
              </w:tc>
              <w:tc>
                <w:tcPr>
                  <w:tcW w:w="694"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0.011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9" w:type="pct"/>
                  <w:vMerge w:val="continue"/>
                  <w:vAlign w:val="center"/>
                </w:tcPr>
                <w:p>
                  <w:pPr>
                    <w:snapToGrid w:val="0"/>
                    <w:jc w:val="center"/>
                    <w:rPr>
                      <w:szCs w:val="21"/>
                    </w:rPr>
                  </w:pPr>
                </w:p>
              </w:tc>
              <w:tc>
                <w:tcPr>
                  <w:tcW w:w="614" w:type="pct"/>
                  <w:vAlign w:val="center"/>
                </w:tcPr>
                <w:p>
                  <w:pPr>
                    <w:pStyle w:val="40"/>
                    <w:snapToGrid w:val="0"/>
                    <w:spacing w:line="240" w:lineRule="auto"/>
                    <w:rPr>
                      <w:rFonts w:ascii="Times New Roman" w:hAnsi="Times New Roman"/>
                    </w:rPr>
                  </w:pPr>
                  <w:r>
                    <w:rPr>
                      <w:rFonts w:ascii="Times New Roman" w:hAnsi="Times New Roman"/>
                    </w:rPr>
                    <w:t>SS</w:t>
                  </w:r>
                </w:p>
              </w:tc>
              <w:tc>
                <w:tcPr>
                  <w:tcW w:w="588" w:type="pct"/>
                  <w:vAlign w:val="center"/>
                </w:tcPr>
                <w:p>
                  <w:pPr>
                    <w:pStyle w:val="40"/>
                    <w:snapToGrid w:val="0"/>
                    <w:spacing w:line="240" w:lineRule="auto"/>
                    <w:rPr>
                      <w:rFonts w:ascii="Times New Roman" w:hAnsi="Times New Roman"/>
                    </w:rPr>
                  </w:pPr>
                  <w:r>
                    <w:rPr>
                      <w:rFonts w:hint="eastAsia" w:ascii="Times New Roman" w:hAnsi="Times New Roman"/>
                    </w:rPr>
                    <w:t>200</w:t>
                  </w:r>
                </w:p>
              </w:tc>
              <w:tc>
                <w:tcPr>
                  <w:tcW w:w="530" w:type="pct"/>
                  <w:vAlign w:val="center"/>
                </w:tcPr>
                <w:p>
                  <w:pPr>
                    <w:pStyle w:val="40"/>
                    <w:snapToGrid w:val="0"/>
                    <w:spacing w:line="240" w:lineRule="auto"/>
                    <w:rPr>
                      <w:rFonts w:ascii="Times New Roman" w:hAnsi="Times New Roman"/>
                    </w:rPr>
                  </w:pPr>
                  <w:r>
                    <w:rPr>
                      <w:rFonts w:hint="eastAsia" w:ascii="Times New Roman" w:hAnsi="Times New Roman"/>
                    </w:rPr>
                    <w:t>0.224</w:t>
                  </w:r>
                </w:p>
              </w:tc>
              <w:tc>
                <w:tcPr>
                  <w:tcW w:w="1106" w:type="pct"/>
                  <w:vMerge w:val="continue"/>
                  <w:vAlign w:val="center"/>
                </w:tcPr>
                <w:p>
                  <w:pPr>
                    <w:pStyle w:val="40"/>
                    <w:snapToGrid w:val="0"/>
                    <w:spacing w:line="240" w:lineRule="auto"/>
                    <w:rPr>
                      <w:rFonts w:ascii="Times New Roman" w:hAnsi="Times New Roman"/>
                    </w:rPr>
                  </w:pPr>
                </w:p>
              </w:tc>
              <w:tc>
                <w:tcPr>
                  <w:tcW w:w="745"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20</w:t>
                  </w:r>
                </w:p>
              </w:tc>
              <w:tc>
                <w:tcPr>
                  <w:tcW w:w="694"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0.022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9" w:type="pct"/>
                  <w:vMerge w:val="continue"/>
                  <w:vAlign w:val="center"/>
                </w:tcPr>
                <w:p>
                  <w:pPr>
                    <w:snapToGrid w:val="0"/>
                    <w:jc w:val="center"/>
                    <w:rPr>
                      <w:szCs w:val="21"/>
                    </w:rPr>
                  </w:pPr>
                </w:p>
              </w:tc>
              <w:tc>
                <w:tcPr>
                  <w:tcW w:w="614" w:type="pct"/>
                  <w:vAlign w:val="center"/>
                </w:tcPr>
                <w:p>
                  <w:pPr>
                    <w:pStyle w:val="40"/>
                    <w:snapToGrid w:val="0"/>
                    <w:spacing w:line="240" w:lineRule="auto"/>
                    <w:rPr>
                      <w:rFonts w:ascii="Times New Roman" w:hAnsi="Times New Roman"/>
                    </w:rPr>
                  </w:pPr>
                  <w:r>
                    <w:rPr>
                      <w:rFonts w:hint="eastAsia" w:ascii="Times New Roman" w:hAnsi="Times New Roman"/>
                    </w:rPr>
                    <w:t>氨氮</w:t>
                  </w:r>
                </w:p>
              </w:tc>
              <w:tc>
                <w:tcPr>
                  <w:tcW w:w="588" w:type="pct"/>
                  <w:vAlign w:val="center"/>
                </w:tcPr>
                <w:p>
                  <w:pPr>
                    <w:pStyle w:val="40"/>
                    <w:snapToGrid w:val="0"/>
                    <w:spacing w:line="240" w:lineRule="auto"/>
                    <w:rPr>
                      <w:rFonts w:ascii="Times New Roman" w:hAnsi="Times New Roman"/>
                    </w:rPr>
                  </w:pPr>
                  <w:r>
                    <w:rPr>
                      <w:rFonts w:hint="eastAsia" w:ascii="Times New Roman" w:hAnsi="Times New Roman"/>
                    </w:rPr>
                    <w:t>35</w:t>
                  </w:r>
                </w:p>
              </w:tc>
              <w:tc>
                <w:tcPr>
                  <w:tcW w:w="530" w:type="pct"/>
                  <w:vAlign w:val="center"/>
                </w:tcPr>
                <w:p>
                  <w:pPr>
                    <w:pStyle w:val="40"/>
                    <w:snapToGrid w:val="0"/>
                    <w:spacing w:line="240" w:lineRule="auto"/>
                    <w:rPr>
                      <w:rFonts w:ascii="Times New Roman" w:hAnsi="Times New Roman"/>
                    </w:rPr>
                  </w:pPr>
                  <w:r>
                    <w:rPr>
                      <w:rFonts w:hint="eastAsia" w:ascii="Times New Roman" w:hAnsi="Times New Roman"/>
                    </w:rPr>
                    <w:t>0.039</w:t>
                  </w:r>
                </w:p>
              </w:tc>
              <w:tc>
                <w:tcPr>
                  <w:tcW w:w="1106" w:type="pct"/>
                  <w:vMerge w:val="continue"/>
                  <w:vAlign w:val="center"/>
                </w:tcPr>
                <w:p>
                  <w:pPr>
                    <w:pStyle w:val="40"/>
                    <w:snapToGrid w:val="0"/>
                    <w:spacing w:line="240" w:lineRule="auto"/>
                    <w:rPr>
                      <w:rFonts w:ascii="Times New Roman" w:hAnsi="Times New Roman"/>
                    </w:rPr>
                  </w:pPr>
                </w:p>
              </w:tc>
              <w:tc>
                <w:tcPr>
                  <w:tcW w:w="745"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7</w:t>
                  </w:r>
                </w:p>
              </w:tc>
              <w:tc>
                <w:tcPr>
                  <w:tcW w:w="694"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0.008</w:t>
                  </w:r>
                </w:p>
              </w:tc>
            </w:tr>
          </w:tbl>
          <w:p>
            <w:pPr>
              <w:pStyle w:val="79"/>
              <w:keepNext w:val="0"/>
              <w:keepLines w:val="0"/>
              <w:pageBreakBefore w:val="0"/>
              <w:widowControl w:val="0"/>
              <w:kinsoku/>
              <w:wordWrap/>
              <w:overflowPunct/>
              <w:topLinePunct w:val="0"/>
              <w:autoSpaceDE/>
              <w:autoSpaceDN/>
              <w:bidi w:val="0"/>
              <w:adjustRightInd w:val="0"/>
              <w:snapToGrid w:val="0"/>
              <w:spacing w:line="240" w:lineRule="auto"/>
              <w:textAlignment w:val="baseline"/>
            </w:pPr>
            <w:r>
              <w:t>表4-</w:t>
            </w:r>
            <w:r>
              <w:rPr>
                <w:rFonts w:hint="eastAsia"/>
                <w:lang w:val="en-US" w:eastAsia="zh-CN"/>
              </w:rPr>
              <w:t>7</w:t>
            </w:r>
            <w:r>
              <w:t xml:space="preserve">  本项目水污染物</w:t>
            </w:r>
            <w:r>
              <w:rPr>
                <w:rFonts w:hint="eastAsia"/>
                <w:lang w:val="en-US" w:eastAsia="zh-CN"/>
              </w:rPr>
              <w:t>总排放</w:t>
            </w:r>
            <w:r>
              <w:t>情况</w:t>
            </w:r>
          </w:p>
          <w:tbl>
            <w:tblPr>
              <w:tblStyle w:val="29"/>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62"/>
              <w:gridCol w:w="1514"/>
              <w:gridCol w:w="1899"/>
              <w:gridCol w:w="1769"/>
              <w:gridCol w:w="17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1186" w:type="pct"/>
                  <w:vAlign w:val="center"/>
                </w:tcPr>
                <w:p>
                  <w:pPr>
                    <w:pStyle w:val="40"/>
                    <w:snapToGrid w:val="0"/>
                    <w:spacing w:line="240" w:lineRule="auto"/>
                    <w:rPr>
                      <w:rFonts w:ascii="Times New Roman" w:hAnsi="Times New Roman"/>
                    </w:rPr>
                  </w:pPr>
                  <w:r>
                    <w:rPr>
                      <w:rFonts w:ascii="Times New Roman" w:hAnsi="Times New Roman"/>
                    </w:rPr>
                    <w:t>类别</w:t>
                  </w:r>
                </w:p>
              </w:tc>
              <w:tc>
                <w:tcPr>
                  <w:tcW w:w="830" w:type="pct"/>
                  <w:vAlign w:val="center"/>
                </w:tcPr>
                <w:p>
                  <w:pPr>
                    <w:pStyle w:val="40"/>
                    <w:snapToGrid w:val="0"/>
                    <w:spacing w:line="240" w:lineRule="auto"/>
                    <w:rPr>
                      <w:rFonts w:ascii="Times New Roman" w:hAnsi="Times New Roman"/>
                    </w:rPr>
                  </w:pPr>
                  <w:r>
                    <w:rPr>
                      <w:rFonts w:ascii="Times New Roman" w:hAnsi="Times New Roman"/>
                    </w:rPr>
                    <w:t>污染物</w:t>
                  </w:r>
                </w:p>
              </w:tc>
              <w:tc>
                <w:tcPr>
                  <w:tcW w:w="1041" w:type="pct"/>
                  <w:vAlign w:val="center"/>
                </w:tcPr>
                <w:p>
                  <w:pPr>
                    <w:pStyle w:val="40"/>
                    <w:snapToGrid w:val="0"/>
                    <w:spacing w:line="240" w:lineRule="auto"/>
                    <w:rPr>
                      <w:rFonts w:ascii="Times New Roman" w:hAnsi="Times New Roman"/>
                    </w:rPr>
                  </w:pPr>
                  <w:r>
                    <w:rPr>
                      <w:rFonts w:ascii="Times New Roman" w:hAnsi="Times New Roman"/>
                    </w:rPr>
                    <w:t>排放浓度</w:t>
                  </w:r>
                </w:p>
                <w:p>
                  <w:pPr>
                    <w:pStyle w:val="40"/>
                    <w:snapToGrid w:val="0"/>
                    <w:spacing w:line="240" w:lineRule="auto"/>
                    <w:rPr>
                      <w:rFonts w:ascii="Times New Roman" w:hAnsi="Times New Roman"/>
                    </w:rPr>
                  </w:pPr>
                  <w:r>
                    <w:rPr>
                      <w:rFonts w:ascii="Times New Roman" w:hAnsi="Times New Roman"/>
                    </w:rPr>
                    <w:t>（mg/L）</w:t>
                  </w:r>
                </w:p>
              </w:tc>
              <w:tc>
                <w:tcPr>
                  <w:tcW w:w="970" w:type="pct"/>
                  <w:vAlign w:val="center"/>
                </w:tcPr>
                <w:p>
                  <w:pPr>
                    <w:pStyle w:val="40"/>
                    <w:snapToGrid w:val="0"/>
                    <w:spacing w:line="240" w:lineRule="auto"/>
                    <w:rPr>
                      <w:rFonts w:ascii="Times New Roman" w:hAnsi="Times New Roman"/>
                    </w:rPr>
                  </w:pPr>
                  <w:r>
                    <w:rPr>
                      <w:rFonts w:ascii="Times New Roman" w:hAnsi="Times New Roman"/>
                    </w:rPr>
                    <w:t>排放量（t/a）</w:t>
                  </w:r>
                </w:p>
              </w:tc>
              <w:tc>
                <w:tcPr>
                  <w:tcW w:w="971" w:type="pct"/>
                  <w:vAlign w:val="center"/>
                </w:tcPr>
                <w:p>
                  <w:pPr>
                    <w:pStyle w:val="40"/>
                    <w:snapToGrid w:val="0"/>
                    <w:spacing w:line="240" w:lineRule="auto"/>
                    <w:rPr>
                      <w:rFonts w:ascii="Times New Roman" w:hAnsi="Times New Roman"/>
                    </w:rPr>
                  </w:pPr>
                  <w:r>
                    <w:rPr>
                      <w:rFonts w:hint="eastAsia" w:ascii="Times New Roman" w:hAnsi="Times New Roman"/>
                    </w:rPr>
                    <w:t>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trPr>
              <w:tc>
                <w:tcPr>
                  <w:tcW w:w="1186" w:type="pct"/>
                  <w:vMerge w:val="restart"/>
                  <w:vAlign w:val="center"/>
                </w:tcPr>
                <w:p>
                  <w:pPr>
                    <w:snapToGrid w:val="0"/>
                    <w:jc w:val="center"/>
                    <w:rPr>
                      <w:szCs w:val="21"/>
                    </w:rPr>
                  </w:pPr>
                  <w:r>
                    <w:rPr>
                      <w:rFonts w:hint="eastAsia"/>
                      <w:szCs w:val="21"/>
                      <w:lang w:val="en-US" w:eastAsia="zh-CN"/>
                    </w:rPr>
                    <w:t>污水收集池1742.838</w:t>
                  </w:r>
                  <w:r>
                    <w:rPr>
                      <w:szCs w:val="21"/>
                    </w:rPr>
                    <w:t>m</w:t>
                  </w:r>
                  <w:r>
                    <w:rPr>
                      <w:szCs w:val="21"/>
                      <w:vertAlign w:val="superscript"/>
                    </w:rPr>
                    <w:t>3</w:t>
                  </w:r>
                  <w:r>
                    <w:rPr>
                      <w:szCs w:val="21"/>
                    </w:rPr>
                    <w:t>/a</w:t>
                  </w:r>
                </w:p>
              </w:tc>
              <w:tc>
                <w:tcPr>
                  <w:tcW w:w="830" w:type="pct"/>
                  <w:vAlign w:val="center"/>
                </w:tcPr>
                <w:p>
                  <w:pPr>
                    <w:pStyle w:val="40"/>
                    <w:snapToGrid w:val="0"/>
                    <w:spacing w:line="240" w:lineRule="auto"/>
                    <w:rPr>
                      <w:rFonts w:ascii="Times New Roman" w:hAnsi="Times New Roman"/>
                      <w:vertAlign w:val="subscript"/>
                    </w:rPr>
                  </w:pPr>
                  <w:r>
                    <w:rPr>
                      <w:rFonts w:ascii="Times New Roman" w:hAnsi="Times New Roman"/>
                    </w:rPr>
                    <w:t>COD</w:t>
                  </w:r>
                  <w:r>
                    <w:rPr>
                      <w:rFonts w:hint="eastAsia" w:ascii="Times New Roman" w:hAnsi="Times New Roman"/>
                      <w:vertAlign w:val="subscript"/>
                    </w:rPr>
                    <w:t>Cr</w:t>
                  </w:r>
                </w:p>
              </w:tc>
              <w:tc>
                <w:tcPr>
                  <w:tcW w:w="1041"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36</w:t>
                  </w:r>
                </w:p>
              </w:tc>
              <w:tc>
                <w:tcPr>
                  <w:tcW w:w="970"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0.063</w:t>
                  </w:r>
                </w:p>
              </w:tc>
              <w:tc>
                <w:tcPr>
                  <w:tcW w:w="971"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trPr>
              <w:tc>
                <w:tcPr>
                  <w:tcW w:w="1186" w:type="pct"/>
                  <w:vMerge w:val="continue"/>
                  <w:vAlign w:val="center"/>
                </w:tcPr>
                <w:p>
                  <w:pPr>
                    <w:snapToGrid w:val="0"/>
                    <w:jc w:val="center"/>
                    <w:rPr>
                      <w:szCs w:val="21"/>
                    </w:rPr>
                  </w:pPr>
                </w:p>
              </w:tc>
              <w:tc>
                <w:tcPr>
                  <w:tcW w:w="830" w:type="pct"/>
                  <w:vAlign w:val="center"/>
                </w:tcPr>
                <w:p>
                  <w:pPr>
                    <w:pStyle w:val="40"/>
                    <w:snapToGrid w:val="0"/>
                    <w:spacing w:line="240" w:lineRule="auto"/>
                    <w:rPr>
                      <w:rFonts w:ascii="Times New Roman" w:hAnsi="Times New Roman"/>
                      <w:vertAlign w:val="subscript"/>
                    </w:rPr>
                  </w:pPr>
                  <w:r>
                    <w:rPr>
                      <w:rFonts w:ascii="Times New Roman" w:hAnsi="Times New Roman"/>
                    </w:rPr>
                    <w:t>BOD</w:t>
                  </w:r>
                  <w:r>
                    <w:rPr>
                      <w:rFonts w:hint="eastAsia" w:ascii="Times New Roman" w:hAnsi="Times New Roman"/>
                      <w:vertAlign w:val="subscript"/>
                    </w:rPr>
                    <w:t>5</w:t>
                  </w:r>
                </w:p>
              </w:tc>
              <w:tc>
                <w:tcPr>
                  <w:tcW w:w="1041"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8</w:t>
                  </w:r>
                </w:p>
              </w:tc>
              <w:tc>
                <w:tcPr>
                  <w:tcW w:w="970"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0.015</w:t>
                  </w:r>
                </w:p>
              </w:tc>
              <w:tc>
                <w:tcPr>
                  <w:tcW w:w="971"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86" w:type="pct"/>
                  <w:vMerge w:val="continue"/>
                  <w:vAlign w:val="center"/>
                </w:tcPr>
                <w:p>
                  <w:pPr>
                    <w:snapToGrid w:val="0"/>
                    <w:jc w:val="center"/>
                    <w:rPr>
                      <w:szCs w:val="21"/>
                    </w:rPr>
                  </w:pPr>
                </w:p>
              </w:tc>
              <w:tc>
                <w:tcPr>
                  <w:tcW w:w="830" w:type="pct"/>
                  <w:vAlign w:val="center"/>
                </w:tcPr>
                <w:p>
                  <w:pPr>
                    <w:pStyle w:val="40"/>
                    <w:snapToGrid w:val="0"/>
                    <w:spacing w:line="240" w:lineRule="auto"/>
                    <w:rPr>
                      <w:rFonts w:ascii="Times New Roman" w:hAnsi="Times New Roman"/>
                    </w:rPr>
                  </w:pPr>
                  <w:r>
                    <w:rPr>
                      <w:rFonts w:ascii="Times New Roman" w:hAnsi="Times New Roman"/>
                    </w:rPr>
                    <w:t>SS</w:t>
                  </w:r>
                </w:p>
              </w:tc>
              <w:tc>
                <w:tcPr>
                  <w:tcW w:w="1041"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22</w:t>
                  </w:r>
                </w:p>
              </w:tc>
              <w:tc>
                <w:tcPr>
                  <w:tcW w:w="970"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0.038</w:t>
                  </w:r>
                </w:p>
              </w:tc>
              <w:tc>
                <w:tcPr>
                  <w:tcW w:w="971"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86" w:type="pct"/>
                  <w:vMerge w:val="continue"/>
                  <w:vAlign w:val="center"/>
                </w:tcPr>
                <w:p>
                  <w:pPr>
                    <w:snapToGrid w:val="0"/>
                    <w:jc w:val="center"/>
                    <w:rPr>
                      <w:szCs w:val="21"/>
                    </w:rPr>
                  </w:pPr>
                </w:p>
              </w:tc>
              <w:tc>
                <w:tcPr>
                  <w:tcW w:w="830" w:type="pct"/>
                  <w:vAlign w:val="center"/>
                </w:tcPr>
                <w:p>
                  <w:pPr>
                    <w:pStyle w:val="40"/>
                    <w:snapToGrid w:val="0"/>
                    <w:spacing w:line="240" w:lineRule="auto"/>
                    <w:rPr>
                      <w:rFonts w:ascii="Times New Roman" w:hAnsi="Times New Roman"/>
                    </w:rPr>
                  </w:pPr>
                  <w:r>
                    <w:rPr>
                      <w:rFonts w:hint="eastAsia" w:ascii="Times New Roman" w:hAnsi="Times New Roman"/>
                    </w:rPr>
                    <w:t>石油类</w:t>
                  </w:r>
                </w:p>
              </w:tc>
              <w:tc>
                <w:tcPr>
                  <w:tcW w:w="1041" w:type="pct"/>
                  <w:vAlign w:val="center"/>
                </w:tcPr>
                <w:p>
                  <w:pPr>
                    <w:pStyle w:val="40"/>
                    <w:snapToGrid w:val="0"/>
                    <w:spacing w:line="240" w:lineRule="auto"/>
                    <w:rPr>
                      <w:rFonts w:hint="eastAsia" w:ascii="Times New Roman" w:hAnsi="Times New Roman" w:eastAsia="宋体"/>
                      <w:lang w:val="en-US" w:eastAsia="zh-CN"/>
                    </w:rPr>
                  </w:pPr>
                  <w:r>
                    <w:rPr>
                      <w:rFonts w:hint="eastAsia" w:ascii="Times New Roman" w:hAnsi="Times New Roman"/>
                      <w:lang w:val="en-US" w:eastAsia="zh-CN"/>
                    </w:rPr>
                    <w:t>5</w:t>
                  </w:r>
                </w:p>
              </w:tc>
              <w:tc>
                <w:tcPr>
                  <w:tcW w:w="970"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0.003</w:t>
                  </w:r>
                </w:p>
              </w:tc>
              <w:tc>
                <w:tcPr>
                  <w:tcW w:w="971" w:type="pct"/>
                  <w:vAlign w:val="center"/>
                </w:tcPr>
                <w:p>
                  <w:pPr>
                    <w:pStyle w:val="40"/>
                    <w:snapToGrid w:val="0"/>
                    <w:spacing w:line="240" w:lineRule="auto"/>
                    <w:rPr>
                      <w:rFonts w:hint="eastAsia" w:ascii="Times New Roman" w:hAnsi="Times New Roman" w:eastAsia="宋体"/>
                      <w:lang w:val="en-US" w:eastAsia="zh-CN"/>
                    </w:rPr>
                  </w:pPr>
                  <w:r>
                    <w:rPr>
                      <w:rFonts w:hint="eastAsia" w:ascii="Times New Roman" w:hAnsi="Times New Roman"/>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86" w:type="pct"/>
                  <w:vMerge w:val="continue"/>
                  <w:vAlign w:val="center"/>
                </w:tcPr>
                <w:p>
                  <w:pPr>
                    <w:snapToGrid w:val="0"/>
                    <w:jc w:val="center"/>
                    <w:rPr>
                      <w:szCs w:val="21"/>
                    </w:rPr>
                  </w:pPr>
                </w:p>
              </w:tc>
              <w:tc>
                <w:tcPr>
                  <w:tcW w:w="830" w:type="pct"/>
                  <w:vAlign w:val="center"/>
                </w:tcPr>
                <w:p>
                  <w:pPr>
                    <w:pStyle w:val="40"/>
                    <w:snapToGrid w:val="0"/>
                    <w:spacing w:line="240" w:lineRule="auto"/>
                    <w:rPr>
                      <w:rFonts w:hint="eastAsia" w:ascii="Times New Roman" w:hAnsi="Times New Roman" w:eastAsia="宋体"/>
                      <w:lang w:val="en-US" w:eastAsia="zh-CN"/>
                    </w:rPr>
                  </w:pPr>
                  <w:r>
                    <w:rPr>
                      <w:rFonts w:hint="eastAsia" w:ascii="Times New Roman" w:hAnsi="Times New Roman"/>
                      <w:lang w:val="en-US" w:eastAsia="zh-CN"/>
                    </w:rPr>
                    <w:t>动植物油</w:t>
                  </w:r>
                </w:p>
              </w:tc>
              <w:tc>
                <w:tcPr>
                  <w:tcW w:w="1041"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29</w:t>
                  </w:r>
                </w:p>
              </w:tc>
              <w:tc>
                <w:tcPr>
                  <w:tcW w:w="970"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0.018</w:t>
                  </w:r>
                </w:p>
              </w:tc>
              <w:tc>
                <w:tcPr>
                  <w:tcW w:w="971" w:type="pct"/>
                  <w:vAlign w:val="center"/>
                </w:tcPr>
                <w:p>
                  <w:pPr>
                    <w:pStyle w:val="40"/>
                    <w:snapToGrid w:val="0"/>
                    <w:spacing w:line="240" w:lineRule="auto"/>
                    <w:rPr>
                      <w:rFonts w:hint="default" w:ascii="Times New Roman" w:hAnsi="Times New Roman" w:eastAsia="宋体"/>
                      <w:lang w:val="en-US" w:eastAsia="zh-CN"/>
                    </w:rPr>
                  </w:pPr>
                  <w:r>
                    <w:rPr>
                      <w:rFonts w:hint="eastAsia" w:ascii="Times New Roman" w:hAnsi="Times New Roman"/>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86" w:type="pct"/>
                  <w:vMerge w:val="continue"/>
                  <w:vAlign w:val="center"/>
                </w:tcPr>
                <w:p>
                  <w:pPr>
                    <w:snapToGrid w:val="0"/>
                    <w:jc w:val="center"/>
                    <w:rPr>
                      <w:szCs w:val="21"/>
                    </w:rPr>
                  </w:pPr>
                </w:p>
              </w:tc>
              <w:tc>
                <w:tcPr>
                  <w:tcW w:w="830" w:type="pct"/>
                  <w:vAlign w:val="center"/>
                </w:tcPr>
                <w:p>
                  <w:pPr>
                    <w:pStyle w:val="40"/>
                    <w:snapToGrid w:val="0"/>
                    <w:spacing w:line="240" w:lineRule="auto"/>
                    <w:rPr>
                      <w:rFonts w:hint="default" w:ascii="Times New Roman" w:hAnsi="Times New Roman"/>
                      <w:lang w:val="en-US" w:eastAsia="zh-CN"/>
                    </w:rPr>
                  </w:pPr>
                  <w:r>
                    <w:rPr>
                      <w:rFonts w:hint="eastAsia" w:ascii="Times New Roman" w:hAnsi="Times New Roman"/>
                      <w:lang w:val="en-US" w:eastAsia="zh-CN"/>
                    </w:rPr>
                    <w:t>氨氮</w:t>
                  </w:r>
                </w:p>
              </w:tc>
              <w:tc>
                <w:tcPr>
                  <w:tcW w:w="1041" w:type="pct"/>
                  <w:vAlign w:val="center"/>
                </w:tcPr>
                <w:p>
                  <w:pPr>
                    <w:pStyle w:val="40"/>
                    <w:snapToGrid w:val="0"/>
                    <w:spacing w:line="240" w:lineRule="auto"/>
                    <w:rPr>
                      <w:rFonts w:hint="default" w:ascii="Times New Roman" w:hAnsi="Times New Roman"/>
                      <w:lang w:val="en-US" w:eastAsia="zh-CN"/>
                    </w:rPr>
                  </w:pPr>
                  <w:r>
                    <w:rPr>
                      <w:rFonts w:hint="eastAsia" w:ascii="Times New Roman" w:hAnsi="Times New Roman"/>
                      <w:lang w:val="en-US" w:eastAsia="zh-CN"/>
                    </w:rPr>
                    <w:t>6</w:t>
                  </w:r>
                </w:p>
              </w:tc>
              <w:tc>
                <w:tcPr>
                  <w:tcW w:w="970" w:type="pct"/>
                  <w:vAlign w:val="center"/>
                </w:tcPr>
                <w:p>
                  <w:pPr>
                    <w:pStyle w:val="40"/>
                    <w:snapToGrid w:val="0"/>
                    <w:spacing w:line="240" w:lineRule="auto"/>
                    <w:rPr>
                      <w:rFonts w:hint="default" w:ascii="Times New Roman" w:hAnsi="Times New Roman"/>
                      <w:lang w:val="en-US" w:eastAsia="zh-CN"/>
                    </w:rPr>
                  </w:pPr>
                  <w:r>
                    <w:rPr>
                      <w:rFonts w:hint="eastAsia" w:ascii="Times New Roman" w:hAnsi="Times New Roman"/>
                      <w:lang w:val="en-US" w:eastAsia="zh-CN"/>
                    </w:rPr>
                    <w:t>0.01</w:t>
                  </w:r>
                </w:p>
              </w:tc>
              <w:tc>
                <w:tcPr>
                  <w:tcW w:w="971" w:type="pct"/>
                  <w:vAlign w:val="center"/>
                </w:tcPr>
                <w:p>
                  <w:pPr>
                    <w:pStyle w:val="40"/>
                    <w:snapToGrid w:val="0"/>
                    <w:spacing w:line="240" w:lineRule="auto"/>
                    <w:rPr>
                      <w:rFonts w:hint="default" w:ascii="Times New Roman" w:hAnsi="Times New Roman"/>
                      <w:lang w:val="en-US" w:eastAsia="zh-CN"/>
                    </w:rPr>
                  </w:pPr>
                  <w:r>
                    <w:rPr>
                      <w:rFonts w:hint="eastAsia" w:ascii="Times New Roman" w:hAnsi="Times New Roman"/>
                      <w:lang w:val="en-US" w:eastAsia="zh-CN"/>
                    </w:rPr>
                    <w:t>8</w:t>
                  </w:r>
                </w:p>
              </w:tc>
            </w:tr>
          </w:tbl>
          <w:p>
            <w:pPr>
              <w:adjustRightInd w:val="0"/>
              <w:snapToGrid w:val="0"/>
              <w:spacing w:line="520" w:lineRule="exact"/>
              <w:ind w:firstLine="480" w:firstLineChars="200"/>
              <w:rPr>
                <w:rFonts w:hint="eastAsia" w:eastAsia="宋体"/>
                <w:b w:val="0"/>
                <w:bCs w:val="0"/>
                <w:sz w:val="24"/>
                <w:lang w:val="en-US" w:eastAsia="zh-CN"/>
              </w:rPr>
            </w:pPr>
            <w:r>
              <w:rPr>
                <w:rFonts w:hint="eastAsia"/>
                <w:b w:val="0"/>
                <w:bCs w:val="0"/>
                <w:sz w:val="24"/>
                <w:lang w:val="en-US" w:eastAsia="zh-CN"/>
              </w:rPr>
              <w:t>从上表得知，</w:t>
            </w:r>
            <w:r>
              <w:rPr>
                <w:rFonts w:hint="eastAsia"/>
                <w:sz w:val="24"/>
                <w:szCs w:val="24"/>
              </w:rPr>
              <w:t>经处理后</w:t>
            </w:r>
            <w:r>
              <w:rPr>
                <w:rFonts w:hint="eastAsia"/>
                <w:sz w:val="24"/>
                <w:szCs w:val="24"/>
                <w:lang w:val="en-US" w:eastAsia="zh-CN"/>
              </w:rPr>
              <w:t>废水水质</w:t>
            </w:r>
            <w:r>
              <w:rPr>
                <w:rFonts w:hint="eastAsia"/>
                <w:sz w:val="24"/>
                <w:szCs w:val="24"/>
              </w:rPr>
              <w:t>达到《城市污水再利用城市杂用水水质》（GB/T18920-2020）绿化用水水质标准要求后全部</w:t>
            </w:r>
            <w:r>
              <w:rPr>
                <w:rFonts w:hint="eastAsia"/>
                <w:sz w:val="24"/>
                <w:szCs w:val="24"/>
                <w:lang w:val="en-US" w:eastAsia="zh-CN"/>
              </w:rPr>
              <w:t>用于绿化</w:t>
            </w:r>
            <w:r>
              <w:rPr>
                <w:sz w:val="24"/>
                <w:szCs w:val="24"/>
              </w:rPr>
              <w:t>。</w:t>
            </w:r>
          </w:p>
          <w:p>
            <w:pPr>
              <w:adjustRightInd w:val="0"/>
              <w:snapToGrid w:val="0"/>
              <w:spacing w:line="520" w:lineRule="exact"/>
              <w:ind w:firstLine="482" w:firstLineChars="200"/>
              <w:rPr>
                <w:b/>
                <w:bCs/>
                <w:sz w:val="24"/>
              </w:rPr>
            </w:pPr>
            <w:r>
              <w:rPr>
                <w:b/>
                <w:bCs/>
                <w:sz w:val="24"/>
              </w:rPr>
              <w:t>2.</w:t>
            </w:r>
            <w:r>
              <w:rPr>
                <w:rFonts w:hint="eastAsia"/>
                <w:b/>
                <w:bCs/>
                <w:sz w:val="24"/>
              </w:rPr>
              <w:t>4</w:t>
            </w:r>
            <w:r>
              <w:rPr>
                <w:rFonts w:hint="eastAsia"/>
                <w:b/>
                <w:bCs/>
                <w:sz w:val="24"/>
                <w:lang w:val="en-US" w:eastAsia="zh-CN"/>
              </w:rPr>
              <w:t>污水处理设施</w:t>
            </w:r>
            <w:r>
              <w:rPr>
                <w:b/>
                <w:bCs/>
                <w:sz w:val="24"/>
              </w:rPr>
              <w:t>可行性分析</w:t>
            </w:r>
          </w:p>
          <w:p>
            <w:pPr>
              <w:pStyle w:val="63"/>
            </w:pPr>
            <w:r>
              <w:rPr>
                <w:rFonts w:hint="eastAsia"/>
              </w:rPr>
              <w:t>地埋式一体化生活污水处理设施工作原理如下：主要依靠A（缺氧）/O（好氧）推流式生物接触氧化处理工艺；A/O工艺是将前段缺氧段和后段好氧段串联在一起，缺氧段异养菌将污水中淀粉、纤维、碳水化合物等悬浮物和可溶性有机物水解为有机酸，使大分子有机物分解为小分子有机物，不溶性有机物转化成可溶性有机物，当缺氧段水解产物进入好氧段进行好氧处理时，提高污水的可生化性，提高氧效率，缺氧段异养菌将蛋白质、脂肪等物质进行氨化（有机链上N或氨基酸中氨基）游离出氨（NH</w:t>
            </w:r>
            <w:r>
              <w:rPr>
                <w:rFonts w:hint="eastAsia"/>
                <w:vertAlign w:val="subscript"/>
              </w:rPr>
              <w:t>3</w:t>
            </w:r>
            <w:r>
              <w:rPr>
                <w:rFonts w:hint="eastAsia"/>
              </w:rPr>
              <w:t>、NH</w:t>
            </w:r>
            <w:r>
              <w:rPr>
                <w:rFonts w:hint="eastAsia"/>
                <w:vertAlign w:val="subscript"/>
              </w:rPr>
              <w:t>4</w:t>
            </w:r>
            <w:r>
              <w:rPr>
                <w:rFonts w:hint="eastAsia"/>
                <w:vertAlign w:val="superscript"/>
              </w:rPr>
              <w:t>+</w:t>
            </w:r>
            <w:r>
              <w:rPr>
                <w:rFonts w:hint="eastAsia"/>
              </w:rPr>
              <w:t>），充足供氧条件下自养菌硝化作用将NH</w:t>
            </w:r>
            <w:r>
              <w:rPr>
                <w:rFonts w:hint="eastAsia"/>
                <w:vertAlign w:val="subscript"/>
              </w:rPr>
              <w:t>3</w:t>
            </w:r>
            <w:r>
              <w:rPr>
                <w:rFonts w:hint="eastAsia"/>
              </w:rPr>
              <w:t>-N（NH</w:t>
            </w:r>
            <w:r>
              <w:rPr>
                <w:rFonts w:hint="eastAsia"/>
                <w:vertAlign w:val="subscript"/>
              </w:rPr>
              <w:t>4</w:t>
            </w:r>
            <w:r>
              <w:rPr>
                <w:rFonts w:hint="eastAsia"/>
                <w:vertAlign w:val="superscript"/>
              </w:rPr>
              <w:t>+</w:t>
            </w:r>
            <w:r>
              <w:rPr>
                <w:rFonts w:hint="eastAsia"/>
              </w:rPr>
              <w:t>）氧化为HO</w:t>
            </w:r>
            <w:r>
              <w:rPr>
                <w:rFonts w:hint="eastAsia"/>
                <w:vertAlign w:val="subscript"/>
              </w:rPr>
              <w:t>3</w:t>
            </w:r>
            <w:r>
              <w:rPr>
                <w:rFonts w:hint="eastAsia"/>
                <w:vertAlign w:val="superscript"/>
              </w:rPr>
              <w:t>-</w:t>
            </w:r>
            <w:r>
              <w:rPr>
                <w:rFonts w:hint="eastAsia"/>
              </w:rPr>
              <w:t>，通过回流控制返回至缺氧段，缺氧条件下异养菌反硝化作用将HO</w:t>
            </w:r>
            <w:r>
              <w:rPr>
                <w:rFonts w:hint="eastAsia"/>
                <w:vertAlign w:val="subscript"/>
              </w:rPr>
              <w:t>3</w:t>
            </w:r>
            <w:r>
              <w:rPr>
                <w:rFonts w:hint="eastAsia"/>
                <w:vertAlign w:val="superscript"/>
              </w:rPr>
              <w:t>-</w:t>
            </w:r>
            <w:r>
              <w:rPr>
                <w:rFonts w:hint="eastAsia"/>
              </w:rPr>
              <w:t>还原为分子态氮（N</w:t>
            </w:r>
            <w:r>
              <w:rPr>
                <w:rFonts w:hint="eastAsia"/>
                <w:vertAlign w:val="subscript"/>
              </w:rPr>
              <w:t>2</w:t>
            </w:r>
            <w:r>
              <w:rPr>
                <w:rFonts w:hint="eastAsia"/>
              </w:rPr>
              <w:t>）完成C、N、O在生态中循环，实现污水无害化处理</w:t>
            </w:r>
            <w:r>
              <w:t>。</w:t>
            </w:r>
          </w:p>
          <w:p>
            <w:pPr>
              <w:pStyle w:val="63"/>
            </w:pPr>
            <w:r>
              <w:rPr>
                <w:rFonts w:hint="eastAsia"/>
              </w:rPr>
              <w:t>处理工艺：</w:t>
            </w:r>
          </w:p>
          <w:p>
            <w:pPr>
              <w:pStyle w:val="63"/>
            </w:pPr>
            <w:r>
              <w:rPr>
                <w:rFonts w:hint="eastAsia"/>
              </w:rPr>
              <w:t>厂区产生的生活污水排入下水道，通过管道收集，归集于地埋式一体化生活污水处理设施进行处理。采用一体化生化处理工艺，工艺流程如图所示。</w:t>
            </w:r>
          </w:p>
          <w:p>
            <w:pPr>
              <w:topLinePunct/>
              <w:spacing w:line="360" w:lineRule="auto"/>
              <w:ind w:left="0" w:leftChars="0" w:right="0" w:rightChars="0" w:firstLine="0" w:firstLineChars="0"/>
              <w:jc w:val="center"/>
              <w:textAlignment w:val="baseline"/>
              <w:rPr>
                <w:snapToGrid w:val="0"/>
                <w:kern w:val="0"/>
                <w:sz w:val="24"/>
              </w:rPr>
            </w:pPr>
            <w:r>
              <w:rPr>
                <w:sz w:val="24"/>
              </w:rPr>
              <w:drawing>
                <wp:inline distT="0" distB="0" distL="0" distR="0">
                  <wp:extent cx="5753100" cy="1666875"/>
                  <wp:effectExtent l="19050" t="19050" r="19050" b="28575"/>
                  <wp:docPr id="2279" name="图片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 name="图片 2279"/>
                          <pic:cNvPicPr>
                            <a:picLocks noChangeAspect="1" noChangeArrowheads="1"/>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5753100" cy="1666875"/>
                          </a:xfrm>
                          <a:prstGeom prst="rect">
                            <a:avLst/>
                          </a:prstGeom>
                          <a:noFill/>
                          <a:ln w="19050" cmpd="sng">
                            <a:solidFill>
                              <a:schemeClr val="tx1"/>
                            </a:solidFill>
                            <a:prstDash val="solid"/>
                          </a:ln>
                        </pic:spPr>
                      </pic:pic>
                    </a:graphicData>
                  </a:graphic>
                </wp:inline>
              </w:drawing>
            </w:r>
          </w:p>
          <w:p>
            <w:pPr>
              <w:topLinePunct/>
              <w:spacing w:line="360" w:lineRule="auto"/>
              <w:ind w:firstLine="480" w:firstLineChars="200"/>
              <w:jc w:val="center"/>
              <w:textAlignment w:val="baseline"/>
              <w:rPr>
                <w:snapToGrid w:val="0"/>
                <w:kern w:val="0"/>
                <w:sz w:val="24"/>
              </w:rPr>
            </w:pPr>
            <w:r>
              <w:rPr>
                <w:rFonts w:hint="default" w:ascii="Times New Roman" w:hAnsi="Times New Roman" w:eastAsia="黑体" w:cs="Times New Roman"/>
                <w:b w:val="0"/>
                <w:bCs/>
                <w:sz w:val="24"/>
              </w:rPr>
              <w:t>图</w:t>
            </w:r>
            <w:r>
              <w:rPr>
                <w:rFonts w:hint="default" w:ascii="Times New Roman" w:hAnsi="Times New Roman" w:eastAsia="黑体" w:cs="Times New Roman"/>
                <w:b w:val="0"/>
                <w:bCs/>
                <w:sz w:val="24"/>
                <w:lang w:val="en-US" w:eastAsia="zh-CN"/>
              </w:rPr>
              <w:t>4-2</w:t>
            </w:r>
            <w:r>
              <w:rPr>
                <w:rFonts w:hint="default" w:ascii="Times New Roman" w:hAnsi="Times New Roman" w:eastAsia="黑体" w:cs="Times New Roman"/>
                <w:b w:val="0"/>
                <w:bCs/>
                <w:sz w:val="24"/>
              </w:rPr>
              <w:t xml:space="preserve">  污水处理工艺流程图</w:t>
            </w:r>
          </w:p>
          <w:p>
            <w:pPr>
              <w:pStyle w:val="63"/>
            </w:pPr>
            <w:r>
              <w:rPr>
                <w:rFonts w:hint="eastAsia"/>
              </w:rPr>
              <w:t>流程大致描述如下：</w:t>
            </w:r>
          </w:p>
          <w:p>
            <w:pPr>
              <w:pStyle w:val="63"/>
            </w:pPr>
            <w:r>
              <w:rPr>
                <w:rFonts w:hint="eastAsia"/>
              </w:rPr>
              <w:t>（1）污水经污水管网收集后进入格栅井，由于水量很小，因此放弃采用传统粗、细格栅，采用自动提篮格栅，提篮格栅为双层结构，格栅间隙分别为20mm和3mm，截流污水中的较大颗粒物；</w:t>
            </w:r>
          </w:p>
          <w:p>
            <w:pPr>
              <w:pStyle w:val="63"/>
            </w:pPr>
            <w:r>
              <w:rPr>
                <w:rFonts w:hint="eastAsia"/>
              </w:rPr>
              <w:t>（2）污水经提升进入调节水池，调节池对污水进行水量和水质的调节和均化；</w:t>
            </w:r>
          </w:p>
          <w:p>
            <w:pPr>
              <w:pStyle w:val="63"/>
            </w:pPr>
            <w:r>
              <w:rPr>
                <w:rFonts w:hint="eastAsia"/>
              </w:rPr>
              <w:t>（3）调节池的污水通过提升泵进行二级提升到一体化生化反应器的前端，污水在该反应器中经过微生物的缺氧、好氧反应后，污水中的总氮、总磷、COD、BOD、氨氮等均得到有效的降低。特别是在好氧区，污水中的有机物、氨氮等污染物在生物高效新陈代谢作用下将被快速去除；系统无需额外曝气，系统自带气囊带入气体完全可以保证高浓度微生物正常的活动；</w:t>
            </w:r>
          </w:p>
          <w:p>
            <w:pPr>
              <w:pStyle w:val="63"/>
            </w:pPr>
            <w:r>
              <w:rPr>
                <w:rFonts w:hint="eastAsia"/>
              </w:rPr>
              <w:t>（4）较高浓度的泥水混合物在固液分离反应器中经加药絮凝沉淀实现泥水分离，出水经管路汇集至清水罐，提升至石英砂罐进行深度过滤，出水经紫外消毒器，紫外杀菌合格后排放；</w:t>
            </w:r>
          </w:p>
          <w:p>
            <w:pPr>
              <w:pStyle w:val="63"/>
            </w:pPr>
            <w:r>
              <w:rPr>
                <w:rFonts w:hint="eastAsia"/>
              </w:rPr>
              <w:t>（5）SATBR好氧生化后端的硝酸盐溶液在内循环泵的作用下回流至缺氧反硝化区，强化脱氮及部分除磷功能；</w:t>
            </w:r>
          </w:p>
          <w:p>
            <w:pPr>
              <w:pStyle w:val="63"/>
            </w:pPr>
            <w:r>
              <w:rPr>
                <w:rFonts w:hint="eastAsia"/>
              </w:rPr>
              <w:t>（6）沉淀区沉积的污泥由排泥泵抽走排至储泥池，储泥池中的污泥可定期转运至</w:t>
            </w:r>
            <w:r>
              <w:rPr>
                <w:rFonts w:hint="eastAsia"/>
                <w:lang w:val="en-US" w:eastAsia="zh-CN"/>
              </w:rPr>
              <w:t>吉木萨尔县</w:t>
            </w:r>
            <w:r>
              <w:rPr>
                <w:rFonts w:hint="eastAsia"/>
              </w:rPr>
              <w:t>污水处理厂处理。</w:t>
            </w:r>
          </w:p>
          <w:p>
            <w:pPr>
              <w:pStyle w:val="63"/>
            </w:pPr>
            <w:r>
              <w:rPr>
                <w:rFonts w:hint="eastAsia"/>
              </w:rPr>
              <w:t>通过以上处理工艺，生活污水经地埋式一体化污水处理装置处理后水质达到</w:t>
            </w:r>
            <w:r>
              <w:rPr>
                <w:rFonts w:hint="eastAsia"/>
                <w:sz w:val="24"/>
                <w:szCs w:val="24"/>
              </w:rPr>
              <w:t>《城市污水再利用城市杂用水水质》（GB/T18920-2020）绿化用水水质标准要求后</w:t>
            </w:r>
            <w:r>
              <w:rPr>
                <w:rFonts w:hint="eastAsia"/>
              </w:rPr>
              <w:t>，再回用于</w:t>
            </w:r>
            <w:r>
              <w:rPr>
                <w:rFonts w:hint="eastAsia"/>
                <w:lang w:eastAsia="zh-CN"/>
              </w:rPr>
              <w:t>厂区</w:t>
            </w:r>
            <w:r>
              <w:rPr>
                <w:rFonts w:hint="eastAsia"/>
              </w:rPr>
              <w:t>绿化。</w:t>
            </w:r>
          </w:p>
          <w:p>
            <w:pPr>
              <w:pStyle w:val="14"/>
              <w:spacing w:before="0" w:after="0" w:line="520" w:lineRule="exact"/>
              <w:ind w:right="0" w:firstLine="482" w:firstLineChars="200"/>
              <w:rPr>
                <w:b/>
                <w:bCs/>
                <w:kern w:val="2"/>
                <w:sz w:val="24"/>
                <w:szCs w:val="24"/>
              </w:rPr>
            </w:pPr>
            <w:r>
              <w:rPr>
                <w:rFonts w:hint="eastAsia"/>
                <w:b/>
                <w:bCs/>
                <w:kern w:val="2"/>
                <w:sz w:val="24"/>
                <w:szCs w:val="24"/>
              </w:rPr>
              <w:t>2.5废水排放监测计划</w:t>
            </w:r>
          </w:p>
          <w:p>
            <w:pPr>
              <w:widowControl/>
              <w:ind w:firstLine="480" w:firstLineChars="200"/>
              <w:jc w:val="center"/>
              <w:rPr>
                <w:rFonts w:ascii="黑体" w:hAnsi="黑体" w:eastAsia="黑体" w:cs="黑体"/>
                <w:sz w:val="24"/>
              </w:rPr>
            </w:pPr>
            <w:r>
              <w:rPr>
                <w:rFonts w:hint="eastAsia" w:ascii="黑体" w:hAnsi="黑体" w:eastAsia="黑体" w:cs="黑体"/>
                <w:sz w:val="24"/>
              </w:rPr>
              <w:t>表4-</w:t>
            </w:r>
            <w:r>
              <w:rPr>
                <w:rFonts w:hint="eastAsia" w:ascii="黑体" w:hAnsi="黑体" w:eastAsia="黑体" w:cs="黑体"/>
                <w:sz w:val="24"/>
                <w:lang w:val="en-US" w:eastAsia="zh-CN"/>
              </w:rPr>
              <w:t>8</w:t>
            </w:r>
            <w:r>
              <w:rPr>
                <w:rFonts w:hint="eastAsia" w:ascii="黑体" w:hAnsi="黑体" w:eastAsia="黑体" w:cs="黑体"/>
                <w:sz w:val="24"/>
              </w:rPr>
              <w:t xml:space="preserve">  废水排放监测方案</w:t>
            </w:r>
          </w:p>
          <w:tbl>
            <w:tblPr>
              <w:tblStyle w:val="3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20"/>
              <w:gridCol w:w="3097"/>
              <w:gridCol w:w="1357"/>
              <w:gridCol w:w="30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888" w:type="pct"/>
                  <w:tcBorders>
                    <w:tl2br w:val="nil"/>
                    <w:tr2bl w:val="nil"/>
                  </w:tcBorders>
                  <w:vAlign w:val="center"/>
                </w:tcPr>
                <w:p>
                  <w:pPr>
                    <w:pStyle w:val="75"/>
                    <w:rPr>
                      <w:iCs/>
                    </w:rPr>
                  </w:pPr>
                  <w:r>
                    <w:rPr>
                      <w:iCs/>
                    </w:rPr>
                    <w:t>监测位置</w:t>
                  </w:r>
                </w:p>
              </w:tc>
              <w:tc>
                <w:tcPr>
                  <w:tcW w:w="1698" w:type="pct"/>
                  <w:tcBorders>
                    <w:tl2br w:val="nil"/>
                    <w:tr2bl w:val="nil"/>
                  </w:tcBorders>
                  <w:vAlign w:val="center"/>
                </w:tcPr>
                <w:p>
                  <w:pPr>
                    <w:pStyle w:val="75"/>
                    <w:rPr>
                      <w:iCs/>
                    </w:rPr>
                  </w:pPr>
                  <w:r>
                    <w:rPr>
                      <w:iCs/>
                    </w:rPr>
                    <w:t>监测项目</w:t>
                  </w:r>
                </w:p>
              </w:tc>
              <w:tc>
                <w:tcPr>
                  <w:tcW w:w="744" w:type="pct"/>
                  <w:tcBorders>
                    <w:tl2br w:val="nil"/>
                    <w:tr2bl w:val="nil"/>
                  </w:tcBorders>
                  <w:vAlign w:val="center"/>
                </w:tcPr>
                <w:p>
                  <w:pPr>
                    <w:pStyle w:val="75"/>
                    <w:rPr>
                      <w:iCs/>
                    </w:rPr>
                  </w:pPr>
                  <w:r>
                    <w:rPr>
                      <w:iCs/>
                    </w:rPr>
                    <w:t>监测频率</w:t>
                  </w:r>
                </w:p>
              </w:tc>
              <w:tc>
                <w:tcPr>
                  <w:tcW w:w="1668" w:type="pct"/>
                  <w:tcBorders>
                    <w:tl2br w:val="nil"/>
                    <w:tr2bl w:val="nil"/>
                  </w:tcBorders>
                  <w:vAlign w:val="center"/>
                </w:tcPr>
                <w:p>
                  <w:pPr>
                    <w:pStyle w:val="75"/>
                    <w:rPr>
                      <w:iCs/>
                    </w:rPr>
                  </w:pPr>
                  <w:r>
                    <w:rPr>
                      <w:iCs/>
                    </w:rPr>
                    <w:t>监测方式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888" w:type="pct"/>
                  <w:tcBorders>
                    <w:tl2br w:val="nil"/>
                    <w:tr2bl w:val="nil"/>
                  </w:tcBorders>
                  <w:vAlign w:val="center"/>
                </w:tcPr>
                <w:p>
                  <w:pPr>
                    <w:pStyle w:val="75"/>
                    <w:rPr>
                      <w:rFonts w:hint="eastAsia" w:eastAsia="宋体"/>
                      <w:iCs/>
                      <w:lang w:eastAsia="zh-CN"/>
                    </w:rPr>
                  </w:pPr>
                  <w:r>
                    <w:rPr>
                      <w:rFonts w:hint="eastAsia"/>
                      <w:iCs/>
                      <w:lang w:val="en-US" w:eastAsia="zh-CN"/>
                    </w:rPr>
                    <w:t>污水收集池</w:t>
                  </w:r>
                </w:p>
              </w:tc>
              <w:tc>
                <w:tcPr>
                  <w:tcW w:w="1698" w:type="pct"/>
                  <w:tcBorders>
                    <w:tl2br w:val="nil"/>
                    <w:tr2bl w:val="nil"/>
                  </w:tcBorders>
                  <w:vAlign w:val="center"/>
                </w:tcPr>
                <w:p>
                  <w:pPr>
                    <w:pStyle w:val="75"/>
                    <w:rPr>
                      <w:rFonts w:hint="default" w:eastAsia="宋体"/>
                      <w:iCs/>
                      <w:lang w:val="en-US" w:eastAsia="zh-CN"/>
                    </w:rPr>
                  </w:pPr>
                  <w:r>
                    <w:rPr>
                      <w:iCs/>
                    </w:rPr>
                    <w:t>pH值、化学需氧量、氨氮、悬浮物、总磷、</w:t>
                  </w:r>
                  <w:r>
                    <w:rPr>
                      <w:rFonts w:hint="eastAsia"/>
                      <w:iCs/>
                    </w:rPr>
                    <w:t>石油类、</w:t>
                  </w:r>
                  <w:r>
                    <w:rPr>
                      <w:iCs/>
                    </w:rPr>
                    <w:t>流量</w:t>
                  </w:r>
                </w:p>
              </w:tc>
              <w:tc>
                <w:tcPr>
                  <w:tcW w:w="744" w:type="pct"/>
                  <w:tcBorders>
                    <w:tl2br w:val="nil"/>
                    <w:tr2bl w:val="nil"/>
                  </w:tcBorders>
                  <w:vAlign w:val="center"/>
                </w:tcPr>
                <w:p>
                  <w:pPr>
                    <w:pStyle w:val="75"/>
                    <w:rPr>
                      <w:iCs/>
                    </w:rPr>
                  </w:pPr>
                  <w:r>
                    <w:rPr>
                      <w:iCs/>
                    </w:rPr>
                    <w:t>每</w:t>
                  </w:r>
                  <w:r>
                    <w:rPr>
                      <w:rFonts w:hint="eastAsia"/>
                      <w:iCs/>
                    </w:rPr>
                    <w:t>年</w:t>
                  </w:r>
                  <w:r>
                    <w:rPr>
                      <w:iCs/>
                    </w:rPr>
                    <w:t>1次</w:t>
                  </w:r>
                </w:p>
              </w:tc>
              <w:tc>
                <w:tcPr>
                  <w:tcW w:w="1668" w:type="pct"/>
                  <w:tcBorders>
                    <w:tl2br w:val="nil"/>
                    <w:tr2bl w:val="nil"/>
                  </w:tcBorders>
                  <w:vAlign w:val="center"/>
                </w:tcPr>
                <w:p>
                  <w:pPr>
                    <w:pStyle w:val="75"/>
                    <w:rPr>
                      <w:iCs/>
                    </w:rPr>
                  </w:pPr>
                  <w:r>
                    <w:rPr>
                      <w:iCs/>
                    </w:rPr>
                    <w:t>委托第三方监测单位监测</w:t>
                  </w:r>
                </w:p>
              </w:tc>
            </w:tr>
          </w:tbl>
          <w:p>
            <w:pPr>
              <w:pStyle w:val="14"/>
              <w:spacing w:before="0" w:after="0" w:line="520" w:lineRule="exact"/>
              <w:ind w:right="0" w:firstLine="482" w:firstLineChars="200"/>
              <w:rPr>
                <w:b/>
                <w:bCs/>
                <w:kern w:val="2"/>
                <w:sz w:val="24"/>
                <w:szCs w:val="24"/>
              </w:rPr>
            </w:pPr>
            <w:r>
              <w:rPr>
                <w:rFonts w:hint="eastAsia"/>
                <w:b/>
                <w:bCs/>
                <w:kern w:val="2"/>
                <w:sz w:val="24"/>
                <w:szCs w:val="24"/>
              </w:rPr>
              <w:t>3、声环境影响分析</w:t>
            </w:r>
          </w:p>
          <w:p>
            <w:pPr>
              <w:adjustRightInd w:val="0"/>
              <w:snapToGrid w:val="0"/>
              <w:spacing w:line="520" w:lineRule="exact"/>
              <w:ind w:firstLine="480" w:firstLineChars="200"/>
              <w:rPr>
                <w:sz w:val="24"/>
              </w:rPr>
            </w:pPr>
            <w:r>
              <w:rPr>
                <w:sz w:val="24"/>
              </w:rPr>
              <w:t>本项目</w:t>
            </w:r>
            <w:r>
              <w:rPr>
                <w:rFonts w:hint="eastAsia"/>
                <w:sz w:val="24"/>
              </w:rPr>
              <w:t>噪声</w:t>
            </w:r>
            <w:r>
              <w:rPr>
                <w:sz w:val="24"/>
              </w:rPr>
              <w:t>主要来源于</w:t>
            </w:r>
            <w:r>
              <w:rPr>
                <w:rFonts w:hint="eastAsia"/>
                <w:sz w:val="24"/>
              </w:rPr>
              <w:t>柴油输送泵、提升机</w:t>
            </w:r>
            <w:r>
              <w:rPr>
                <w:sz w:val="24"/>
              </w:rPr>
              <w:t>等产生的噪声，其源强声级为</w:t>
            </w:r>
            <w:r>
              <w:rPr>
                <w:rFonts w:hint="eastAsia"/>
                <w:sz w:val="24"/>
              </w:rPr>
              <w:t>70</w:t>
            </w:r>
            <w:r>
              <w:rPr>
                <w:sz w:val="24"/>
              </w:rPr>
              <w:t>~</w:t>
            </w:r>
            <w:r>
              <w:rPr>
                <w:rFonts w:hint="eastAsia"/>
                <w:sz w:val="24"/>
              </w:rPr>
              <w:t>80</w:t>
            </w:r>
            <w:r>
              <w:rPr>
                <w:sz w:val="24"/>
              </w:rPr>
              <w:t>dB（A）</w:t>
            </w:r>
            <w:r>
              <w:rPr>
                <w:rFonts w:hint="eastAsia"/>
                <w:sz w:val="24"/>
              </w:rPr>
              <w:t>。主要设备噪声源强见表4-</w:t>
            </w:r>
            <w:r>
              <w:rPr>
                <w:rFonts w:hint="eastAsia"/>
                <w:sz w:val="24"/>
                <w:lang w:val="en-US" w:eastAsia="zh-CN"/>
              </w:rPr>
              <w:t>9</w:t>
            </w:r>
            <w:r>
              <w:rPr>
                <w:rFonts w:hint="eastAsia"/>
                <w:sz w:val="24"/>
              </w:rPr>
              <w:t>。</w:t>
            </w:r>
          </w:p>
          <w:p>
            <w:pPr>
              <w:widowControl/>
              <w:ind w:firstLine="480" w:firstLineChars="200"/>
              <w:jc w:val="center"/>
              <w:rPr>
                <w:rFonts w:eastAsia="黑体"/>
                <w:sz w:val="24"/>
              </w:rPr>
            </w:pPr>
            <w:r>
              <w:rPr>
                <w:rFonts w:eastAsia="黑体"/>
                <w:sz w:val="24"/>
              </w:rPr>
              <w:t>表</w:t>
            </w:r>
            <w:r>
              <w:rPr>
                <w:rFonts w:hint="eastAsia" w:eastAsia="黑体"/>
                <w:sz w:val="24"/>
              </w:rPr>
              <w:t>4-</w:t>
            </w:r>
            <w:r>
              <w:rPr>
                <w:rFonts w:hint="eastAsia" w:eastAsia="黑体"/>
                <w:sz w:val="24"/>
                <w:lang w:val="en-US" w:eastAsia="zh-CN"/>
              </w:rPr>
              <w:t>9</w:t>
            </w:r>
            <w:r>
              <w:rPr>
                <w:rFonts w:eastAsia="黑体"/>
                <w:sz w:val="24"/>
              </w:rPr>
              <w:t xml:space="preserve">  </w:t>
            </w:r>
            <w:r>
              <w:rPr>
                <w:rFonts w:hint="eastAsia" w:eastAsia="黑体"/>
                <w:sz w:val="24"/>
              </w:rPr>
              <w:t>主要噪声源一览表</w:t>
            </w:r>
          </w:p>
          <w:tbl>
            <w:tblPr>
              <w:tblStyle w:val="29"/>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424"/>
              <w:gridCol w:w="1842"/>
              <w:gridCol w:w="1842"/>
              <w:gridCol w:w="1789"/>
              <w:gridCol w:w="221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781" w:type="pct"/>
                  <w:tcBorders>
                    <w:tl2br w:val="nil"/>
                    <w:tr2bl w:val="nil"/>
                  </w:tcBorders>
                  <w:vAlign w:val="center"/>
                </w:tcPr>
                <w:p>
                  <w:pPr>
                    <w:snapToGrid w:val="0"/>
                    <w:jc w:val="center"/>
                    <w:rPr>
                      <w:szCs w:val="21"/>
                    </w:rPr>
                  </w:pPr>
                  <w:r>
                    <w:rPr>
                      <w:rFonts w:hAnsi="宋体"/>
                      <w:spacing w:val="-6"/>
                      <w:szCs w:val="21"/>
                    </w:rPr>
                    <w:t>序号</w:t>
                  </w:r>
                </w:p>
              </w:tc>
              <w:tc>
                <w:tcPr>
                  <w:tcW w:w="1010" w:type="pct"/>
                  <w:tcBorders>
                    <w:tl2br w:val="nil"/>
                    <w:tr2bl w:val="nil"/>
                  </w:tcBorders>
                  <w:vAlign w:val="center"/>
                </w:tcPr>
                <w:p>
                  <w:pPr>
                    <w:snapToGrid w:val="0"/>
                    <w:jc w:val="center"/>
                    <w:rPr>
                      <w:szCs w:val="21"/>
                    </w:rPr>
                  </w:pPr>
                  <w:r>
                    <w:rPr>
                      <w:rFonts w:hAnsi="宋体"/>
                      <w:spacing w:val="-6"/>
                      <w:szCs w:val="21"/>
                    </w:rPr>
                    <w:t>噪声源</w:t>
                  </w:r>
                </w:p>
              </w:tc>
              <w:tc>
                <w:tcPr>
                  <w:tcW w:w="1010" w:type="pct"/>
                  <w:tcBorders>
                    <w:tl2br w:val="nil"/>
                    <w:tr2bl w:val="nil"/>
                  </w:tcBorders>
                  <w:vAlign w:val="center"/>
                </w:tcPr>
                <w:p>
                  <w:pPr>
                    <w:snapToGrid w:val="0"/>
                    <w:jc w:val="center"/>
                    <w:rPr>
                      <w:rFonts w:hAnsi="宋体"/>
                      <w:spacing w:val="-6"/>
                      <w:szCs w:val="21"/>
                    </w:rPr>
                  </w:pPr>
                  <w:r>
                    <w:rPr>
                      <w:rFonts w:hint="eastAsia" w:hAnsi="宋体"/>
                      <w:spacing w:val="-6"/>
                      <w:szCs w:val="21"/>
                    </w:rPr>
                    <w:t>数量</w:t>
                  </w:r>
                </w:p>
              </w:tc>
              <w:tc>
                <w:tcPr>
                  <w:tcW w:w="981" w:type="pct"/>
                  <w:tcBorders>
                    <w:tl2br w:val="nil"/>
                    <w:tr2bl w:val="nil"/>
                  </w:tcBorders>
                  <w:vAlign w:val="center"/>
                </w:tcPr>
                <w:p>
                  <w:pPr>
                    <w:snapToGrid w:val="0"/>
                    <w:jc w:val="center"/>
                    <w:rPr>
                      <w:szCs w:val="21"/>
                    </w:rPr>
                  </w:pPr>
                  <w:r>
                    <w:rPr>
                      <w:rFonts w:hAnsi="宋体"/>
                      <w:spacing w:val="-6"/>
                      <w:szCs w:val="21"/>
                    </w:rPr>
                    <w:t>运转方式</w:t>
                  </w:r>
                </w:p>
              </w:tc>
              <w:tc>
                <w:tcPr>
                  <w:tcW w:w="1216" w:type="pct"/>
                  <w:tcBorders>
                    <w:tl2br w:val="nil"/>
                    <w:tr2bl w:val="nil"/>
                  </w:tcBorders>
                  <w:vAlign w:val="center"/>
                </w:tcPr>
                <w:p>
                  <w:pPr>
                    <w:snapToGrid w:val="0"/>
                    <w:jc w:val="center"/>
                  </w:pPr>
                  <w:r>
                    <w:rPr>
                      <w:rFonts w:hAnsi="宋体"/>
                      <w:spacing w:val="-6"/>
                      <w:szCs w:val="21"/>
                    </w:rPr>
                    <w:t>声源强度</w:t>
                  </w:r>
                  <w:r>
                    <w:rPr>
                      <w:spacing w:val="-6"/>
                      <w:szCs w:val="21"/>
                    </w:rPr>
                    <w:t>dB</w:t>
                  </w:r>
                  <w:r>
                    <w:rPr>
                      <w:rFonts w:hAnsi="宋体"/>
                      <w:spacing w:val="-6"/>
                      <w:szCs w:val="21"/>
                    </w:rPr>
                    <w:t>（</w:t>
                  </w:r>
                  <w:r>
                    <w:rPr>
                      <w:spacing w:val="-6"/>
                      <w:szCs w:val="21"/>
                    </w:rPr>
                    <w:t>A</w:t>
                  </w:r>
                  <w:r>
                    <w:rPr>
                      <w:rFonts w:hAnsi="宋体"/>
                      <w:spacing w:val="-6"/>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781" w:type="pct"/>
                  <w:tcBorders>
                    <w:tl2br w:val="nil"/>
                    <w:tr2bl w:val="nil"/>
                  </w:tcBorders>
                  <w:vAlign w:val="center"/>
                </w:tcPr>
                <w:p>
                  <w:pPr>
                    <w:snapToGrid w:val="0"/>
                    <w:jc w:val="center"/>
                  </w:pPr>
                  <w:r>
                    <w:rPr>
                      <w:spacing w:val="-6"/>
                      <w:szCs w:val="21"/>
                    </w:rPr>
                    <w:t>1</w:t>
                  </w:r>
                </w:p>
              </w:tc>
              <w:tc>
                <w:tcPr>
                  <w:tcW w:w="1010" w:type="pct"/>
                  <w:tcBorders>
                    <w:tl2br w:val="nil"/>
                    <w:tr2bl w:val="nil"/>
                  </w:tcBorders>
                  <w:vAlign w:val="center"/>
                </w:tcPr>
                <w:p>
                  <w:pPr>
                    <w:snapToGrid w:val="0"/>
                    <w:jc w:val="center"/>
                  </w:pPr>
                  <w:r>
                    <w:rPr>
                      <w:rFonts w:hint="eastAsia"/>
                    </w:rPr>
                    <w:t>柴油输送泵</w:t>
                  </w:r>
                </w:p>
              </w:tc>
              <w:tc>
                <w:tcPr>
                  <w:tcW w:w="1010" w:type="pct"/>
                  <w:tcBorders>
                    <w:tl2br w:val="nil"/>
                    <w:tr2bl w:val="nil"/>
                  </w:tcBorders>
                  <w:vAlign w:val="center"/>
                </w:tcPr>
                <w:p>
                  <w:pPr>
                    <w:snapToGrid w:val="0"/>
                    <w:jc w:val="center"/>
                    <w:rPr>
                      <w:rFonts w:hAnsi="宋体"/>
                      <w:spacing w:val="-6"/>
                      <w:szCs w:val="21"/>
                    </w:rPr>
                  </w:pPr>
                  <w:r>
                    <w:rPr>
                      <w:rFonts w:hint="eastAsia" w:hAnsi="宋体"/>
                      <w:spacing w:val="-6"/>
                      <w:szCs w:val="21"/>
                    </w:rPr>
                    <w:t>1</w:t>
                  </w:r>
                </w:p>
              </w:tc>
              <w:tc>
                <w:tcPr>
                  <w:tcW w:w="981" w:type="pct"/>
                  <w:tcBorders>
                    <w:tl2br w:val="nil"/>
                    <w:tr2bl w:val="nil"/>
                  </w:tcBorders>
                  <w:vAlign w:val="center"/>
                </w:tcPr>
                <w:p>
                  <w:pPr>
                    <w:snapToGrid w:val="0"/>
                    <w:jc w:val="center"/>
                  </w:pPr>
                  <w:r>
                    <w:rPr>
                      <w:rFonts w:hAnsi="宋体"/>
                      <w:spacing w:val="-6"/>
                      <w:szCs w:val="21"/>
                    </w:rPr>
                    <w:t>连续</w:t>
                  </w:r>
                </w:p>
              </w:tc>
              <w:tc>
                <w:tcPr>
                  <w:tcW w:w="1216" w:type="pct"/>
                  <w:tcBorders>
                    <w:tl2br w:val="nil"/>
                    <w:tr2bl w:val="nil"/>
                  </w:tcBorders>
                  <w:vAlign w:val="center"/>
                </w:tcPr>
                <w:p>
                  <w:pPr>
                    <w:snapToGrid w:val="0"/>
                    <w:jc w:val="center"/>
                  </w:pPr>
                  <w:r>
                    <w:rPr>
                      <w:rFonts w:hint="eastAsia"/>
                    </w:rPr>
                    <w:t>75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781" w:type="pct"/>
                  <w:tcBorders>
                    <w:tl2br w:val="nil"/>
                    <w:tr2bl w:val="nil"/>
                  </w:tcBorders>
                  <w:vAlign w:val="center"/>
                </w:tcPr>
                <w:p>
                  <w:pPr>
                    <w:snapToGrid w:val="0"/>
                    <w:jc w:val="center"/>
                  </w:pPr>
                  <w:r>
                    <w:rPr>
                      <w:spacing w:val="-6"/>
                      <w:szCs w:val="21"/>
                    </w:rPr>
                    <w:t>2</w:t>
                  </w:r>
                </w:p>
              </w:tc>
              <w:tc>
                <w:tcPr>
                  <w:tcW w:w="1010" w:type="pct"/>
                  <w:tcBorders>
                    <w:tl2br w:val="nil"/>
                    <w:tr2bl w:val="nil"/>
                  </w:tcBorders>
                  <w:vAlign w:val="center"/>
                </w:tcPr>
                <w:p>
                  <w:pPr>
                    <w:snapToGrid w:val="0"/>
                    <w:jc w:val="center"/>
                  </w:pPr>
                  <w:r>
                    <w:rPr>
                      <w:rFonts w:hint="eastAsia"/>
                    </w:rPr>
                    <w:t>混装车</w:t>
                  </w:r>
                </w:p>
              </w:tc>
              <w:tc>
                <w:tcPr>
                  <w:tcW w:w="1010" w:type="pct"/>
                  <w:tcBorders>
                    <w:tl2br w:val="nil"/>
                    <w:tr2bl w:val="nil"/>
                  </w:tcBorders>
                  <w:vAlign w:val="center"/>
                </w:tcPr>
                <w:p>
                  <w:pPr>
                    <w:snapToGrid w:val="0"/>
                    <w:jc w:val="center"/>
                    <w:rPr>
                      <w:rFonts w:hAnsi="宋体"/>
                      <w:spacing w:val="-6"/>
                      <w:szCs w:val="21"/>
                    </w:rPr>
                  </w:pPr>
                  <w:r>
                    <w:rPr>
                      <w:rFonts w:hint="eastAsia" w:hAnsi="宋体"/>
                      <w:spacing w:val="-6"/>
                      <w:szCs w:val="21"/>
                    </w:rPr>
                    <w:t>2</w:t>
                  </w:r>
                </w:p>
              </w:tc>
              <w:tc>
                <w:tcPr>
                  <w:tcW w:w="981" w:type="pct"/>
                  <w:tcBorders>
                    <w:tl2br w:val="nil"/>
                    <w:tr2bl w:val="nil"/>
                  </w:tcBorders>
                  <w:vAlign w:val="center"/>
                </w:tcPr>
                <w:p>
                  <w:pPr>
                    <w:jc w:val="center"/>
                  </w:pPr>
                  <w:r>
                    <w:rPr>
                      <w:rFonts w:hint="eastAsia"/>
                    </w:rPr>
                    <w:t>间歇</w:t>
                  </w:r>
                </w:p>
              </w:tc>
              <w:tc>
                <w:tcPr>
                  <w:tcW w:w="1216" w:type="pct"/>
                  <w:tcBorders>
                    <w:tl2br w:val="nil"/>
                    <w:tr2bl w:val="nil"/>
                  </w:tcBorders>
                  <w:vAlign w:val="center"/>
                </w:tcPr>
                <w:p>
                  <w:pPr>
                    <w:snapToGrid w:val="0"/>
                    <w:jc w:val="center"/>
                  </w:pPr>
                  <w:r>
                    <w:rPr>
                      <w:rFonts w:hint="eastAsia"/>
                    </w:rPr>
                    <w:t>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781" w:type="pct"/>
                  <w:tcBorders>
                    <w:tl2br w:val="nil"/>
                    <w:tr2bl w:val="nil"/>
                  </w:tcBorders>
                  <w:vAlign w:val="center"/>
                </w:tcPr>
                <w:p>
                  <w:pPr>
                    <w:snapToGrid w:val="0"/>
                    <w:jc w:val="center"/>
                  </w:pPr>
                  <w:r>
                    <w:rPr>
                      <w:spacing w:val="-6"/>
                      <w:szCs w:val="21"/>
                    </w:rPr>
                    <w:t>3</w:t>
                  </w:r>
                </w:p>
              </w:tc>
              <w:tc>
                <w:tcPr>
                  <w:tcW w:w="1010" w:type="pct"/>
                  <w:tcBorders>
                    <w:tl2br w:val="nil"/>
                    <w:tr2bl w:val="nil"/>
                  </w:tcBorders>
                  <w:vAlign w:val="center"/>
                </w:tcPr>
                <w:p>
                  <w:pPr>
                    <w:snapToGrid w:val="0"/>
                    <w:jc w:val="center"/>
                  </w:pPr>
                  <w:r>
                    <w:rPr>
                      <w:rFonts w:hint="eastAsia"/>
                    </w:rPr>
                    <w:t>提升机</w:t>
                  </w:r>
                </w:p>
              </w:tc>
              <w:tc>
                <w:tcPr>
                  <w:tcW w:w="1010" w:type="pct"/>
                  <w:tcBorders>
                    <w:tl2br w:val="nil"/>
                    <w:tr2bl w:val="nil"/>
                  </w:tcBorders>
                  <w:vAlign w:val="center"/>
                </w:tcPr>
                <w:p>
                  <w:pPr>
                    <w:snapToGrid w:val="0"/>
                    <w:jc w:val="center"/>
                    <w:rPr>
                      <w:rFonts w:hAnsi="宋体"/>
                      <w:spacing w:val="-6"/>
                      <w:szCs w:val="21"/>
                    </w:rPr>
                  </w:pPr>
                  <w:r>
                    <w:rPr>
                      <w:rFonts w:hint="eastAsia" w:hAnsi="宋体"/>
                      <w:spacing w:val="-6"/>
                      <w:szCs w:val="21"/>
                    </w:rPr>
                    <w:t>1</w:t>
                  </w:r>
                </w:p>
              </w:tc>
              <w:tc>
                <w:tcPr>
                  <w:tcW w:w="981" w:type="pct"/>
                  <w:tcBorders>
                    <w:tl2br w:val="nil"/>
                    <w:tr2bl w:val="nil"/>
                  </w:tcBorders>
                  <w:vAlign w:val="center"/>
                </w:tcPr>
                <w:p>
                  <w:pPr>
                    <w:jc w:val="center"/>
                  </w:pPr>
                  <w:r>
                    <w:rPr>
                      <w:rFonts w:hAnsi="宋体"/>
                      <w:szCs w:val="21"/>
                    </w:rPr>
                    <w:t>连续</w:t>
                  </w:r>
                </w:p>
              </w:tc>
              <w:tc>
                <w:tcPr>
                  <w:tcW w:w="1216" w:type="pct"/>
                  <w:tcBorders>
                    <w:tl2br w:val="nil"/>
                    <w:tr2bl w:val="nil"/>
                  </w:tcBorders>
                  <w:vAlign w:val="center"/>
                </w:tcPr>
                <w:p>
                  <w:pPr>
                    <w:snapToGrid w:val="0"/>
                    <w:jc w:val="center"/>
                  </w:pPr>
                  <w:r>
                    <w:rPr>
                      <w:rFonts w:hint="eastAsia"/>
                    </w:rPr>
                    <w:t>70</w:t>
                  </w:r>
                </w:p>
              </w:tc>
            </w:tr>
          </w:tbl>
          <w:p>
            <w:pPr>
              <w:widowControl/>
              <w:spacing w:before="120" w:beforeLines="50" w:line="360" w:lineRule="auto"/>
              <w:ind w:firstLine="480" w:firstLineChars="200"/>
              <w:rPr>
                <w:sz w:val="24"/>
              </w:rPr>
            </w:pPr>
            <w:r>
              <w:rPr>
                <w:sz w:val="24"/>
              </w:rPr>
              <w:t>项目</w:t>
            </w:r>
            <w:r>
              <w:rPr>
                <w:rFonts w:hint="eastAsia"/>
                <w:sz w:val="24"/>
              </w:rPr>
              <w:t>区</w:t>
            </w:r>
            <w:r>
              <w:rPr>
                <w:sz w:val="24"/>
              </w:rPr>
              <w:t>内作业时设备同时运行，多个噪声源叠加的综合噪声计算公式如下：</w:t>
            </w:r>
          </w:p>
          <w:p>
            <w:pPr>
              <w:widowControl/>
              <w:spacing w:line="360" w:lineRule="auto"/>
              <w:ind w:firstLine="480" w:firstLineChars="200"/>
              <w:jc w:val="center"/>
              <w:rPr>
                <w:sz w:val="24"/>
              </w:rPr>
            </w:pPr>
            <w:r>
              <w:rPr>
                <w:sz w:val="24"/>
              </w:rPr>
              <w:object>
                <v:shape id="_x0000_i1027" o:spt="75" type="#_x0000_t75" style="height:36pt;width:104.25pt;" o:ole="t" filled="f" o:preferrelative="t" stroked="f" coordsize="21600,21600">
                  <v:path/>
                  <v:fill on="f" focussize="0,0"/>
                  <v:stroke on="f" joinstyle="miter"/>
                  <v:imagedata r:id="rId30" o:title=""/>
                  <o:lock v:ext="edit" aspectratio="t"/>
                  <w10:wrap type="none"/>
                  <w10:anchorlock/>
                </v:shape>
                <o:OLEObject Type="Embed" ProgID="Equation.3" ShapeID="_x0000_i1027" DrawAspect="Content" ObjectID="_1468075728" r:id="rId29">
                  <o:LockedField>false</o:LockedField>
                </o:OLEObject>
              </w:object>
            </w:r>
          </w:p>
          <w:p>
            <w:pPr>
              <w:widowControl/>
              <w:spacing w:line="520" w:lineRule="exact"/>
              <w:ind w:firstLine="480" w:firstLineChars="200"/>
              <w:rPr>
                <w:sz w:val="24"/>
              </w:rPr>
            </w:pPr>
            <w:r>
              <w:rPr>
                <w:sz w:val="24"/>
              </w:rPr>
              <w:t>式中：</w:t>
            </w:r>
            <w:r>
              <w:rPr>
                <w:sz w:val="24"/>
              </w:rPr>
              <w:object>
                <v:shape id="_x0000_i1028" o:spt="75" type="#_x0000_t75" style="height:17.25pt;width:15.75pt;" o:ole="t" filled="f" o:preferrelative="t" stroked="f" coordsize="21600,21600">
                  <v:path/>
                  <v:fill on="f" focussize="0,0"/>
                  <v:stroke on="f" joinstyle="miter"/>
                  <v:imagedata r:id="rId32" o:title=""/>
                  <o:lock v:ext="edit" aspectratio="t"/>
                  <w10:wrap type="none"/>
                  <w10:anchorlock/>
                </v:shape>
                <o:OLEObject Type="Embed" ProgID="Equation.3" ShapeID="_x0000_i1028" DrawAspect="Content" ObjectID="_1468075729" r:id="rId31">
                  <o:LockedField>false</o:LockedField>
                </o:OLEObject>
              </w:object>
            </w:r>
            <w:r>
              <w:rPr>
                <w:sz w:val="24"/>
              </w:rPr>
              <w:t>—多个噪声源叠加的综合噪声声级，dB（A）；</w:t>
            </w:r>
          </w:p>
          <w:p>
            <w:pPr>
              <w:widowControl/>
              <w:spacing w:line="520" w:lineRule="exact"/>
              <w:ind w:firstLine="1200" w:firstLineChars="500"/>
              <w:rPr>
                <w:sz w:val="24"/>
              </w:rPr>
            </w:pPr>
            <w:r>
              <w:rPr>
                <w:sz w:val="24"/>
              </w:rPr>
              <w:object>
                <v:shape id="_x0000_i1029" o:spt="75" type="#_x0000_t75" style="height:18pt;width:12.75pt;" o:ole="t" filled="f" o:preferrelative="t" stroked="f" coordsize="21600,21600">
                  <v:path/>
                  <v:fill on="f" focussize="0,0"/>
                  <v:stroke on="f" joinstyle="miter"/>
                  <v:imagedata r:id="rId34" o:title=""/>
                  <o:lock v:ext="edit" aspectratio="t"/>
                  <w10:wrap type="none"/>
                  <w10:anchorlock/>
                </v:shape>
                <o:OLEObject Type="Embed" ProgID="Equation.3" ShapeID="_x0000_i1029" DrawAspect="Content" ObjectID="_1468075730" r:id="rId33">
                  <o:LockedField>false</o:LockedField>
                </o:OLEObject>
              </w:object>
            </w:r>
            <w:r>
              <w:rPr>
                <w:sz w:val="24"/>
              </w:rPr>
              <w:t>—第I个噪声源的声级，dB（A）；</w:t>
            </w:r>
          </w:p>
          <w:p>
            <w:pPr>
              <w:widowControl/>
              <w:spacing w:line="520" w:lineRule="exact"/>
              <w:ind w:firstLine="1200" w:firstLineChars="500"/>
              <w:rPr>
                <w:sz w:val="24"/>
              </w:rPr>
            </w:pPr>
            <w:r>
              <w:rPr>
                <w:sz w:val="24"/>
              </w:rPr>
              <w:object>
                <v:shape id="_x0000_i1030" o:spt="75" type="#_x0000_t75" style="height:11.25pt;width:9.75pt;" o:ole="t" filled="f" o:preferrelative="t" stroked="f" coordsize="21600,21600">
                  <v:path/>
                  <v:fill on="f" focussize="0,0"/>
                  <v:stroke on="f" joinstyle="miter"/>
                  <v:imagedata r:id="rId36" o:title=""/>
                  <o:lock v:ext="edit" aspectratio="t"/>
                  <w10:wrap type="none"/>
                  <w10:anchorlock/>
                </v:shape>
                <o:OLEObject Type="Embed" ProgID="Equation.3" ShapeID="_x0000_i1030" DrawAspect="Content" ObjectID="_1468075731" r:id="rId35">
                  <o:LockedField>false</o:LockedField>
                </o:OLEObject>
              </w:object>
            </w:r>
            <w:r>
              <w:rPr>
                <w:sz w:val="24"/>
              </w:rPr>
              <w:t>—噪声源的个数。</w:t>
            </w:r>
          </w:p>
          <w:p>
            <w:pPr>
              <w:widowControl/>
              <w:spacing w:line="520" w:lineRule="exact"/>
              <w:ind w:firstLine="480" w:firstLineChars="200"/>
              <w:rPr>
                <w:sz w:val="24"/>
              </w:rPr>
            </w:pPr>
            <w:r>
              <w:rPr>
                <w:sz w:val="24"/>
              </w:rPr>
              <w:t>本项目依据表</w:t>
            </w:r>
            <w:r>
              <w:rPr>
                <w:rFonts w:hint="eastAsia"/>
                <w:sz w:val="24"/>
              </w:rPr>
              <w:t>4-</w:t>
            </w:r>
            <w:r>
              <w:rPr>
                <w:rFonts w:hint="eastAsia"/>
                <w:sz w:val="24"/>
                <w:lang w:val="en-US" w:eastAsia="zh-CN"/>
              </w:rPr>
              <w:t>9</w:t>
            </w:r>
            <w:r>
              <w:rPr>
                <w:sz w:val="24"/>
              </w:rPr>
              <w:t>中数据计算得综合噪声源强为</w:t>
            </w:r>
            <w:r>
              <w:rPr>
                <w:rFonts w:hint="eastAsia"/>
                <w:sz w:val="24"/>
              </w:rPr>
              <w:t>83.8</w:t>
            </w:r>
            <w:r>
              <w:rPr>
                <w:sz w:val="24"/>
              </w:rPr>
              <w:t>dB（A）</w:t>
            </w:r>
            <w:r>
              <w:rPr>
                <w:rFonts w:hint="eastAsia"/>
                <w:sz w:val="24"/>
              </w:rPr>
              <w:t>，生产</w:t>
            </w:r>
            <w:r>
              <w:rPr>
                <w:sz w:val="24"/>
              </w:rPr>
              <w:t>设备加装减震基础，可降噪</w:t>
            </w:r>
            <w:r>
              <w:rPr>
                <w:rFonts w:hint="eastAsia"/>
                <w:sz w:val="24"/>
              </w:rPr>
              <w:t>20</w:t>
            </w:r>
            <w:r>
              <w:rPr>
                <w:sz w:val="24"/>
              </w:rPr>
              <w:t>dB(A)，噪声值室外随着一定距离的</w:t>
            </w:r>
            <w:r>
              <w:rPr>
                <w:rFonts w:hint="eastAsia"/>
                <w:sz w:val="24"/>
              </w:rPr>
              <w:t>进行衰减</w:t>
            </w:r>
            <w:r>
              <w:rPr>
                <w:sz w:val="24"/>
              </w:rPr>
              <w:t>。</w:t>
            </w:r>
          </w:p>
          <w:p>
            <w:pPr>
              <w:widowControl/>
              <w:autoSpaceDE w:val="0"/>
              <w:autoSpaceDN w:val="0"/>
              <w:spacing w:line="520" w:lineRule="exact"/>
              <w:ind w:firstLine="482" w:firstLineChars="200"/>
              <w:rPr>
                <w:b/>
                <w:bCs/>
                <w:sz w:val="24"/>
              </w:rPr>
            </w:pPr>
            <w:r>
              <w:rPr>
                <w:rFonts w:hint="eastAsia"/>
                <w:b/>
                <w:bCs/>
                <w:sz w:val="24"/>
              </w:rPr>
              <w:t>3</w:t>
            </w:r>
            <w:r>
              <w:rPr>
                <w:b/>
                <w:bCs/>
                <w:sz w:val="24"/>
              </w:rPr>
              <w:t>.2预测模式</w:t>
            </w:r>
          </w:p>
          <w:p>
            <w:pPr>
              <w:widowControl/>
              <w:autoSpaceDE w:val="0"/>
              <w:autoSpaceDN w:val="0"/>
              <w:spacing w:line="520" w:lineRule="exact"/>
              <w:ind w:firstLine="480" w:firstLineChars="200"/>
              <w:rPr>
                <w:sz w:val="24"/>
              </w:rPr>
            </w:pPr>
            <w:r>
              <w:rPr>
                <w:sz w:val="24"/>
              </w:rPr>
              <w:t>噪声预测模式采用</w:t>
            </w:r>
            <w:r>
              <w:rPr>
                <w:rFonts w:hint="eastAsia"/>
                <w:sz w:val="24"/>
              </w:rPr>
              <w:t xml:space="preserve">《环境影响评价技术导则  </w:t>
            </w:r>
            <w:r>
              <w:rPr>
                <w:sz w:val="24"/>
              </w:rPr>
              <w:t>声环境》（HJ2.4-2009）附录A中工业噪声预测计算模式进行预测，公式如下：</w:t>
            </w:r>
          </w:p>
          <w:p>
            <w:pPr>
              <w:widowControl/>
              <w:autoSpaceDE w:val="0"/>
              <w:autoSpaceDN w:val="0"/>
              <w:spacing w:line="520" w:lineRule="exact"/>
              <w:ind w:firstLine="480" w:firstLineChars="200"/>
              <w:jc w:val="center"/>
              <w:rPr>
                <w:sz w:val="24"/>
              </w:rPr>
            </w:pPr>
            <w:r>
              <w:rPr>
                <w:sz w:val="24"/>
              </w:rPr>
              <w:t>LA</w:t>
            </w:r>
            <w:r>
              <w:rPr>
                <w:sz w:val="24"/>
                <w:vertAlign w:val="subscript"/>
              </w:rPr>
              <w:t>(r)</w:t>
            </w:r>
            <w:r>
              <w:rPr>
                <w:sz w:val="24"/>
              </w:rPr>
              <w:t>=LA</w:t>
            </w:r>
            <w:r>
              <w:rPr>
                <w:sz w:val="24"/>
                <w:vertAlign w:val="subscript"/>
              </w:rPr>
              <w:t>(r0)</w:t>
            </w:r>
            <w:r>
              <w:rPr>
                <w:sz w:val="24"/>
              </w:rPr>
              <w:t>－20×lg(r/r</w:t>
            </w:r>
            <w:r>
              <w:rPr>
                <w:sz w:val="24"/>
                <w:vertAlign w:val="subscript"/>
              </w:rPr>
              <w:t>0</w:t>
            </w:r>
            <w:r>
              <w:rPr>
                <w:sz w:val="24"/>
              </w:rPr>
              <w:t>)</w:t>
            </w:r>
          </w:p>
          <w:p>
            <w:pPr>
              <w:widowControl/>
              <w:autoSpaceDE w:val="0"/>
              <w:autoSpaceDN w:val="0"/>
              <w:spacing w:line="520" w:lineRule="exact"/>
              <w:ind w:firstLine="480" w:firstLineChars="200"/>
              <w:rPr>
                <w:sz w:val="24"/>
              </w:rPr>
            </w:pPr>
            <w:r>
              <w:rPr>
                <w:sz w:val="24"/>
              </w:rPr>
              <w:t>式中：LA</w:t>
            </w:r>
            <w:r>
              <w:rPr>
                <w:sz w:val="24"/>
                <w:vertAlign w:val="subscript"/>
              </w:rPr>
              <w:t>(r)</w:t>
            </w:r>
            <w:r>
              <w:rPr>
                <w:sz w:val="24"/>
              </w:rPr>
              <w:t>---距离基准声源r米处的A声级，dB(A)；</w:t>
            </w:r>
          </w:p>
          <w:p>
            <w:pPr>
              <w:widowControl/>
              <w:autoSpaceDE w:val="0"/>
              <w:autoSpaceDN w:val="0"/>
              <w:spacing w:line="520" w:lineRule="exact"/>
              <w:ind w:firstLine="1200" w:firstLineChars="500"/>
              <w:rPr>
                <w:sz w:val="24"/>
              </w:rPr>
            </w:pPr>
            <w:r>
              <w:rPr>
                <w:sz w:val="24"/>
              </w:rPr>
              <w:t>LA</w:t>
            </w:r>
            <w:r>
              <w:rPr>
                <w:sz w:val="24"/>
                <w:vertAlign w:val="subscript"/>
              </w:rPr>
              <w:t>(r0)</w:t>
            </w:r>
            <w:r>
              <w:rPr>
                <w:sz w:val="24"/>
              </w:rPr>
              <w:t>---离声源距离为r</w:t>
            </w:r>
            <w:r>
              <w:rPr>
                <w:sz w:val="24"/>
                <w:vertAlign w:val="subscript"/>
              </w:rPr>
              <w:t>0</w:t>
            </w:r>
            <w:r>
              <w:rPr>
                <w:sz w:val="24"/>
              </w:rPr>
              <w:t>米处的A声级，dB</w:t>
            </w:r>
            <w:r>
              <w:rPr>
                <w:rFonts w:hint="eastAsia"/>
                <w:sz w:val="24"/>
              </w:rPr>
              <w:t>（A）</w:t>
            </w:r>
            <w:r>
              <w:rPr>
                <w:sz w:val="24"/>
              </w:rPr>
              <w:t>；</w:t>
            </w:r>
          </w:p>
          <w:p>
            <w:pPr>
              <w:widowControl/>
              <w:autoSpaceDE w:val="0"/>
              <w:autoSpaceDN w:val="0"/>
              <w:spacing w:line="520" w:lineRule="exact"/>
              <w:ind w:firstLine="1200" w:firstLineChars="500"/>
              <w:rPr>
                <w:sz w:val="24"/>
              </w:rPr>
            </w:pPr>
            <w:r>
              <w:rPr>
                <w:sz w:val="24"/>
              </w:rPr>
              <w:t>r---预测点距噪声源的中心距离，m；</w:t>
            </w:r>
          </w:p>
          <w:p>
            <w:pPr>
              <w:widowControl/>
              <w:autoSpaceDE w:val="0"/>
              <w:autoSpaceDN w:val="0"/>
              <w:spacing w:line="520" w:lineRule="exact"/>
              <w:ind w:firstLine="1200" w:firstLineChars="500"/>
              <w:rPr>
                <w:sz w:val="24"/>
              </w:rPr>
            </w:pPr>
            <w:r>
              <w:rPr>
                <w:sz w:val="24"/>
              </w:rPr>
              <w:t>r</w:t>
            </w:r>
            <w:r>
              <w:rPr>
                <w:sz w:val="24"/>
                <w:vertAlign w:val="subscript"/>
              </w:rPr>
              <w:t>0</w:t>
            </w:r>
            <w:r>
              <w:rPr>
                <w:sz w:val="24"/>
              </w:rPr>
              <w:t>---基准声源距噪声源的中心距离，m。</w:t>
            </w:r>
          </w:p>
          <w:p>
            <w:pPr>
              <w:widowControl/>
              <w:autoSpaceDE w:val="0"/>
              <w:autoSpaceDN w:val="0"/>
              <w:spacing w:line="520" w:lineRule="exact"/>
              <w:ind w:firstLine="482" w:firstLineChars="200"/>
              <w:rPr>
                <w:b/>
                <w:bCs/>
                <w:sz w:val="24"/>
              </w:rPr>
            </w:pPr>
            <w:r>
              <w:rPr>
                <w:rFonts w:hint="eastAsia"/>
                <w:b/>
                <w:bCs/>
                <w:sz w:val="24"/>
              </w:rPr>
              <w:t>3</w:t>
            </w:r>
            <w:r>
              <w:rPr>
                <w:b/>
                <w:bCs/>
                <w:sz w:val="24"/>
              </w:rPr>
              <w:t>.3预测结果及分析</w:t>
            </w:r>
          </w:p>
          <w:p>
            <w:pPr>
              <w:widowControl/>
              <w:autoSpaceDE w:val="0"/>
              <w:autoSpaceDN w:val="0"/>
              <w:spacing w:line="520" w:lineRule="exact"/>
              <w:ind w:firstLine="480" w:firstLineChars="200"/>
              <w:rPr>
                <w:sz w:val="24"/>
              </w:rPr>
            </w:pPr>
            <w:r>
              <w:rPr>
                <w:sz w:val="24"/>
              </w:rPr>
              <w:t>根据预测模式及噪声源强参数及各产噪设备距四周厂界的距离，预测噪声源对四</w:t>
            </w:r>
            <w:r>
              <w:rPr>
                <w:rFonts w:hint="eastAsia"/>
                <w:sz w:val="24"/>
              </w:rPr>
              <w:t>周</w:t>
            </w:r>
            <w:r>
              <w:rPr>
                <w:sz w:val="24"/>
              </w:rPr>
              <w:t>厂界噪声的贡献值预测结果详见表</w:t>
            </w:r>
            <w:r>
              <w:rPr>
                <w:rFonts w:hint="eastAsia"/>
                <w:sz w:val="24"/>
              </w:rPr>
              <w:t>4-</w:t>
            </w:r>
            <w:r>
              <w:rPr>
                <w:rFonts w:hint="eastAsia"/>
                <w:sz w:val="24"/>
                <w:lang w:val="en-US" w:eastAsia="zh-CN"/>
              </w:rPr>
              <w:t>10</w:t>
            </w:r>
            <w:r>
              <w:rPr>
                <w:sz w:val="24"/>
              </w:rPr>
              <w:t>。</w:t>
            </w:r>
          </w:p>
          <w:p>
            <w:pPr>
              <w:widowControl/>
              <w:spacing w:before="120" w:beforeLines="50"/>
              <w:ind w:firstLine="480" w:firstLineChars="200"/>
              <w:jc w:val="center"/>
              <w:rPr>
                <w:rFonts w:eastAsia="黑体"/>
                <w:sz w:val="24"/>
              </w:rPr>
            </w:pPr>
            <w:r>
              <w:rPr>
                <w:rFonts w:eastAsia="黑体"/>
                <w:sz w:val="24"/>
              </w:rPr>
              <w:t>表</w:t>
            </w:r>
            <w:r>
              <w:rPr>
                <w:rFonts w:hint="eastAsia" w:eastAsia="黑体"/>
                <w:sz w:val="24"/>
              </w:rPr>
              <w:t>4-</w:t>
            </w:r>
            <w:r>
              <w:rPr>
                <w:rFonts w:hint="eastAsia" w:eastAsia="黑体"/>
                <w:sz w:val="24"/>
                <w:lang w:val="en-US" w:eastAsia="zh-CN"/>
              </w:rPr>
              <w:t>10</w:t>
            </w:r>
            <w:r>
              <w:rPr>
                <w:rFonts w:eastAsia="黑体"/>
                <w:sz w:val="24"/>
              </w:rPr>
              <w:t xml:space="preserve">  项目厂界噪声值预测结果一览表</w:t>
            </w:r>
            <w:r>
              <w:rPr>
                <w:rFonts w:hint="eastAsia" w:eastAsia="黑体"/>
                <w:sz w:val="24"/>
              </w:rPr>
              <w:t xml:space="preserve">  单位</w:t>
            </w:r>
            <w:r>
              <w:rPr>
                <w:rFonts w:eastAsia="黑体"/>
                <w:sz w:val="24"/>
              </w:rPr>
              <w:t>：dB（A）</w:t>
            </w:r>
          </w:p>
          <w:tbl>
            <w:tblPr>
              <w:tblStyle w:val="29"/>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1175"/>
              <w:gridCol w:w="2998"/>
              <w:gridCol w:w="1902"/>
              <w:gridCol w:w="1528"/>
              <w:gridCol w:w="1512"/>
            </w:tblGrid>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76" w:hRule="atLeast"/>
              </w:trPr>
              <w:tc>
                <w:tcPr>
                  <w:tcW w:w="644" w:type="pct"/>
                  <w:tcBorders>
                    <w:tl2br w:val="nil"/>
                    <w:tr2bl w:val="nil"/>
                  </w:tcBorders>
                  <w:vAlign w:val="center"/>
                </w:tcPr>
                <w:p>
                  <w:pPr>
                    <w:pStyle w:val="40"/>
                    <w:widowControl/>
                    <w:spacing w:line="240" w:lineRule="auto"/>
                    <w:rPr>
                      <w:rFonts w:ascii="Times New Roman" w:hAnsi="Times New Roman"/>
                    </w:rPr>
                  </w:pPr>
                  <w:r>
                    <w:rPr>
                      <w:rFonts w:ascii="Times New Roman" w:hAnsi="Times New Roman"/>
                    </w:rPr>
                    <w:t>预测点</w:t>
                  </w:r>
                </w:p>
              </w:tc>
              <w:tc>
                <w:tcPr>
                  <w:tcW w:w="1644" w:type="pct"/>
                  <w:tcBorders>
                    <w:tl2br w:val="nil"/>
                    <w:tr2bl w:val="nil"/>
                  </w:tcBorders>
                  <w:vAlign w:val="center"/>
                </w:tcPr>
                <w:p>
                  <w:pPr>
                    <w:pStyle w:val="40"/>
                    <w:widowControl/>
                    <w:spacing w:line="240" w:lineRule="auto"/>
                    <w:rPr>
                      <w:rFonts w:ascii="Times New Roman" w:hAnsi="Times New Roman"/>
                    </w:rPr>
                  </w:pPr>
                  <w:r>
                    <w:rPr>
                      <w:rFonts w:ascii="Times New Roman" w:hAnsi="Times New Roman"/>
                    </w:rPr>
                    <w:t>噪声源距厂界距离（m）</w:t>
                  </w:r>
                </w:p>
              </w:tc>
              <w:tc>
                <w:tcPr>
                  <w:tcW w:w="1043" w:type="pct"/>
                  <w:tcBorders>
                    <w:tl2br w:val="nil"/>
                    <w:tr2bl w:val="nil"/>
                  </w:tcBorders>
                  <w:vAlign w:val="center"/>
                </w:tcPr>
                <w:p>
                  <w:pPr>
                    <w:pStyle w:val="40"/>
                    <w:widowControl/>
                    <w:spacing w:line="240" w:lineRule="auto"/>
                    <w:rPr>
                      <w:rFonts w:ascii="Times New Roman" w:hAnsi="Times New Roman"/>
                    </w:rPr>
                  </w:pPr>
                  <w:r>
                    <w:rPr>
                      <w:rFonts w:ascii="Times New Roman" w:hAnsi="Times New Roman"/>
                    </w:rPr>
                    <w:t>贡献值</w:t>
                  </w:r>
                </w:p>
              </w:tc>
              <w:tc>
                <w:tcPr>
                  <w:tcW w:w="838" w:type="pct"/>
                  <w:tcBorders>
                    <w:tl2br w:val="nil"/>
                    <w:tr2bl w:val="nil"/>
                  </w:tcBorders>
                  <w:vAlign w:val="center"/>
                </w:tcPr>
                <w:p>
                  <w:pPr>
                    <w:pStyle w:val="40"/>
                    <w:widowControl/>
                    <w:spacing w:line="240" w:lineRule="auto"/>
                    <w:rPr>
                      <w:rFonts w:ascii="Times New Roman" w:hAnsi="Times New Roman"/>
                    </w:rPr>
                  </w:pPr>
                  <w:r>
                    <w:rPr>
                      <w:rFonts w:ascii="Times New Roman" w:hAnsi="Times New Roman"/>
                    </w:rPr>
                    <w:t>标准值</w:t>
                  </w:r>
                </w:p>
              </w:tc>
              <w:tc>
                <w:tcPr>
                  <w:tcW w:w="829" w:type="pct"/>
                  <w:tcBorders>
                    <w:tl2br w:val="nil"/>
                    <w:tr2bl w:val="nil"/>
                  </w:tcBorders>
                  <w:vAlign w:val="center"/>
                </w:tcPr>
                <w:p>
                  <w:pPr>
                    <w:pStyle w:val="40"/>
                    <w:widowControl/>
                    <w:spacing w:line="240" w:lineRule="auto"/>
                    <w:rPr>
                      <w:rFonts w:ascii="Times New Roman" w:hAnsi="Times New Roman"/>
                    </w:rPr>
                  </w:pPr>
                  <w:r>
                    <w:rPr>
                      <w:rFonts w:ascii="Times New Roman" w:hAnsi="Times New Roman"/>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38" w:hRule="atLeast"/>
              </w:trPr>
              <w:tc>
                <w:tcPr>
                  <w:tcW w:w="644" w:type="pct"/>
                  <w:tcBorders>
                    <w:tl2br w:val="nil"/>
                    <w:tr2bl w:val="nil"/>
                  </w:tcBorders>
                  <w:vAlign w:val="center"/>
                </w:tcPr>
                <w:p>
                  <w:pPr>
                    <w:pStyle w:val="40"/>
                    <w:widowControl/>
                    <w:spacing w:line="240" w:lineRule="auto"/>
                    <w:rPr>
                      <w:rFonts w:ascii="Times New Roman" w:hAnsi="Times New Roman"/>
                    </w:rPr>
                  </w:pPr>
                  <w:r>
                    <w:rPr>
                      <w:rFonts w:ascii="Times New Roman" w:hAnsi="Times New Roman"/>
                    </w:rPr>
                    <w:t>东厂界</w:t>
                  </w:r>
                </w:p>
              </w:tc>
              <w:tc>
                <w:tcPr>
                  <w:tcW w:w="1644" w:type="pct"/>
                  <w:tcBorders>
                    <w:tl2br w:val="nil"/>
                    <w:tr2bl w:val="nil"/>
                  </w:tcBorders>
                  <w:vAlign w:val="center"/>
                </w:tcPr>
                <w:p>
                  <w:pPr>
                    <w:pStyle w:val="40"/>
                    <w:widowControl/>
                    <w:spacing w:line="240" w:lineRule="auto"/>
                    <w:rPr>
                      <w:rFonts w:ascii="Times New Roman" w:hAnsi="Times New Roman"/>
                    </w:rPr>
                  </w:pPr>
                  <w:r>
                    <w:rPr>
                      <w:rFonts w:hint="eastAsia" w:ascii="Times New Roman" w:hAnsi="Times New Roman"/>
                    </w:rPr>
                    <w:t>85</w:t>
                  </w:r>
                </w:p>
              </w:tc>
              <w:tc>
                <w:tcPr>
                  <w:tcW w:w="1043" w:type="pct"/>
                  <w:tcBorders>
                    <w:tl2br w:val="nil"/>
                    <w:tr2bl w:val="nil"/>
                  </w:tcBorders>
                  <w:vAlign w:val="center"/>
                </w:tcPr>
                <w:p>
                  <w:pPr>
                    <w:pStyle w:val="40"/>
                    <w:widowControl/>
                    <w:spacing w:line="240" w:lineRule="auto"/>
                    <w:rPr>
                      <w:rFonts w:ascii="Times New Roman" w:hAnsi="Times New Roman"/>
                    </w:rPr>
                  </w:pPr>
                  <w:r>
                    <w:rPr>
                      <w:rFonts w:hint="eastAsia" w:ascii="Times New Roman" w:hAnsi="Times New Roman"/>
                    </w:rPr>
                    <w:t>25.2</w:t>
                  </w:r>
                </w:p>
              </w:tc>
              <w:tc>
                <w:tcPr>
                  <w:tcW w:w="838" w:type="pct"/>
                  <w:vMerge w:val="restart"/>
                  <w:tcBorders>
                    <w:tl2br w:val="nil"/>
                    <w:tr2bl w:val="nil"/>
                  </w:tcBorders>
                  <w:vAlign w:val="center"/>
                </w:tcPr>
                <w:p>
                  <w:pPr>
                    <w:pStyle w:val="40"/>
                    <w:widowControl/>
                    <w:spacing w:line="240" w:lineRule="auto"/>
                    <w:rPr>
                      <w:rFonts w:hint="eastAsia" w:ascii="Times New Roman" w:hAnsi="Times New Roman" w:eastAsia="宋体"/>
                      <w:lang w:val="en-US" w:eastAsia="zh-CN"/>
                    </w:rPr>
                  </w:pPr>
                  <w:r>
                    <w:rPr>
                      <w:rFonts w:hint="eastAsia" w:ascii="Times New Roman" w:hAnsi="Times New Roman"/>
                    </w:rPr>
                    <w:t>昼间：</w:t>
                  </w:r>
                  <w:r>
                    <w:rPr>
                      <w:rFonts w:ascii="Times New Roman" w:hAnsi="Times New Roman"/>
                    </w:rPr>
                    <w:t>6</w:t>
                  </w:r>
                  <w:r>
                    <w:rPr>
                      <w:rFonts w:hint="eastAsia" w:ascii="Times New Roman" w:hAnsi="Times New Roman"/>
                      <w:lang w:val="en-US" w:eastAsia="zh-CN"/>
                    </w:rPr>
                    <w:t>0</w:t>
                  </w:r>
                </w:p>
                <w:p>
                  <w:pPr>
                    <w:pStyle w:val="40"/>
                    <w:widowControl/>
                    <w:spacing w:line="240" w:lineRule="auto"/>
                    <w:rPr>
                      <w:rFonts w:hint="eastAsia" w:ascii="Times New Roman" w:hAnsi="Times New Roman" w:eastAsia="宋体"/>
                      <w:lang w:val="en-US" w:eastAsia="zh-CN"/>
                    </w:rPr>
                  </w:pPr>
                  <w:r>
                    <w:rPr>
                      <w:rFonts w:hint="eastAsia" w:ascii="Times New Roman" w:hAnsi="Times New Roman"/>
                    </w:rPr>
                    <w:t>夜间：5</w:t>
                  </w:r>
                  <w:r>
                    <w:rPr>
                      <w:rFonts w:hint="eastAsia" w:ascii="Times New Roman" w:hAnsi="Times New Roman"/>
                      <w:lang w:val="en-US" w:eastAsia="zh-CN"/>
                    </w:rPr>
                    <w:t>0</w:t>
                  </w:r>
                </w:p>
              </w:tc>
              <w:tc>
                <w:tcPr>
                  <w:tcW w:w="829" w:type="pct"/>
                  <w:tcBorders>
                    <w:tl2br w:val="nil"/>
                    <w:tr2bl w:val="nil"/>
                  </w:tcBorders>
                  <w:vAlign w:val="center"/>
                </w:tcPr>
                <w:p>
                  <w:pPr>
                    <w:pStyle w:val="40"/>
                    <w:widowControl/>
                    <w:spacing w:line="240" w:lineRule="auto"/>
                    <w:rPr>
                      <w:rFonts w:ascii="Times New Roman" w:hAnsi="Times New Roman"/>
                    </w:rPr>
                  </w:pPr>
                  <w:r>
                    <w:rPr>
                      <w:rFonts w:ascii="Times New Roman" w:hAnsi="Times New Roma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67" w:hRule="atLeast"/>
              </w:trPr>
              <w:tc>
                <w:tcPr>
                  <w:tcW w:w="644" w:type="pct"/>
                  <w:tcBorders>
                    <w:tl2br w:val="nil"/>
                    <w:tr2bl w:val="nil"/>
                  </w:tcBorders>
                  <w:vAlign w:val="center"/>
                </w:tcPr>
                <w:p>
                  <w:pPr>
                    <w:pStyle w:val="40"/>
                    <w:widowControl/>
                    <w:spacing w:line="240" w:lineRule="auto"/>
                    <w:rPr>
                      <w:rFonts w:ascii="Times New Roman" w:hAnsi="Times New Roman"/>
                    </w:rPr>
                  </w:pPr>
                  <w:r>
                    <w:rPr>
                      <w:rFonts w:ascii="Times New Roman" w:hAnsi="Times New Roman"/>
                    </w:rPr>
                    <w:t>西厂界</w:t>
                  </w:r>
                </w:p>
              </w:tc>
              <w:tc>
                <w:tcPr>
                  <w:tcW w:w="1644" w:type="pct"/>
                  <w:tcBorders>
                    <w:tl2br w:val="nil"/>
                    <w:tr2bl w:val="nil"/>
                  </w:tcBorders>
                  <w:vAlign w:val="center"/>
                </w:tcPr>
                <w:p>
                  <w:pPr>
                    <w:pStyle w:val="40"/>
                    <w:widowControl/>
                    <w:spacing w:line="240" w:lineRule="auto"/>
                    <w:rPr>
                      <w:rFonts w:ascii="Times New Roman" w:hAnsi="Times New Roman"/>
                    </w:rPr>
                  </w:pPr>
                  <w:r>
                    <w:rPr>
                      <w:rFonts w:hint="eastAsia" w:ascii="Times New Roman" w:hAnsi="Times New Roman"/>
                    </w:rPr>
                    <w:t>80</w:t>
                  </w:r>
                </w:p>
              </w:tc>
              <w:tc>
                <w:tcPr>
                  <w:tcW w:w="1043" w:type="pct"/>
                  <w:tcBorders>
                    <w:tl2br w:val="nil"/>
                    <w:tr2bl w:val="nil"/>
                  </w:tcBorders>
                  <w:vAlign w:val="center"/>
                </w:tcPr>
                <w:p>
                  <w:pPr>
                    <w:pStyle w:val="40"/>
                    <w:widowControl/>
                    <w:spacing w:line="240" w:lineRule="auto"/>
                    <w:rPr>
                      <w:rFonts w:ascii="Times New Roman" w:hAnsi="Times New Roman"/>
                    </w:rPr>
                  </w:pPr>
                  <w:r>
                    <w:rPr>
                      <w:rFonts w:hint="eastAsia" w:ascii="Times New Roman" w:hAnsi="Times New Roman"/>
                    </w:rPr>
                    <w:t>25.7</w:t>
                  </w:r>
                </w:p>
              </w:tc>
              <w:tc>
                <w:tcPr>
                  <w:tcW w:w="838" w:type="pct"/>
                  <w:vMerge w:val="continue"/>
                  <w:tcBorders>
                    <w:tl2br w:val="nil"/>
                    <w:tr2bl w:val="nil"/>
                  </w:tcBorders>
                  <w:vAlign w:val="center"/>
                </w:tcPr>
                <w:p>
                  <w:pPr>
                    <w:widowControl/>
                    <w:jc w:val="center"/>
                    <w:rPr>
                      <w:szCs w:val="21"/>
                    </w:rPr>
                  </w:pPr>
                </w:p>
              </w:tc>
              <w:tc>
                <w:tcPr>
                  <w:tcW w:w="829" w:type="pct"/>
                  <w:tcBorders>
                    <w:tl2br w:val="nil"/>
                    <w:tr2bl w:val="nil"/>
                  </w:tcBorders>
                  <w:vAlign w:val="center"/>
                </w:tcPr>
                <w:p>
                  <w:pPr>
                    <w:pStyle w:val="40"/>
                    <w:widowControl/>
                    <w:spacing w:line="240" w:lineRule="auto"/>
                    <w:rPr>
                      <w:rFonts w:ascii="Times New Roman" w:hAnsi="Times New Roman"/>
                    </w:rPr>
                  </w:pPr>
                  <w:r>
                    <w:rPr>
                      <w:rFonts w:ascii="Times New Roman" w:hAnsi="Times New Roma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38" w:hRule="atLeast"/>
              </w:trPr>
              <w:tc>
                <w:tcPr>
                  <w:tcW w:w="644" w:type="pct"/>
                  <w:tcBorders>
                    <w:tl2br w:val="nil"/>
                    <w:tr2bl w:val="nil"/>
                  </w:tcBorders>
                  <w:vAlign w:val="center"/>
                </w:tcPr>
                <w:p>
                  <w:pPr>
                    <w:pStyle w:val="40"/>
                    <w:widowControl/>
                    <w:spacing w:line="240" w:lineRule="auto"/>
                    <w:rPr>
                      <w:rFonts w:ascii="Times New Roman" w:hAnsi="Times New Roman"/>
                    </w:rPr>
                  </w:pPr>
                  <w:r>
                    <w:rPr>
                      <w:rFonts w:ascii="Times New Roman" w:hAnsi="Times New Roman"/>
                    </w:rPr>
                    <w:t>北厂界</w:t>
                  </w:r>
                </w:p>
              </w:tc>
              <w:tc>
                <w:tcPr>
                  <w:tcW w:w="1644" w:type="pct"/>
                  <w:tcBorders>
                    <w:tl2br w:val="nil"/>
                    <w:tr2bl w:val="nil"/>
                  </w:tcBorders>
                  <w:vAlign w:val="center"/>
                </w:tcPr>
                <w:p>
                  <w:pPr>
                    <w:pStyle w:val="40"/>
                    <w:widowControl/>
                    <w:spacing w:line="240" w:lineRule="auto"/>
                    <w:rPr>
                      <w:rFonts w:ascii="Times New Roman" w:hAnsi="Times New Roman"/>
                    </w:rPr>
                  </w:pPr>
                  <w:r>
                    <w:rPr>
                      <w:rFonts w:hint="eastAsia" w:ascii="Times New Roman" w:hAnsi="Times New Roman"/>
                    </w:rPr>
                    <w:t>70</w:t>
                  </w:r>
                </w:p>
              </w:tc>
              <w:tc>
                <w:tcPr>
                  <w:tcW w:w="1043" w:type="pct"/>
                  <w:tcBorders>
                    <w:tl2br w:val="nil"/>
                    <w:tr2bl w:val="nil"/>
                  </w:tcBorders>
                  <w:vAlign w:val="center"/>
                </w:tcPr>
                <w:p>
                  <w:pPr>
                    <w:pStyle w:val="40"/>
                    <w:widowControl/>
                    <w:spacing w:line="240" w:lineRule="auto"/>
                    <w:rPr>
                      <w:rFonts w:ascii="Times New Roman" w:hAnsi="Times New Roman"/>
                    </w:rPr>
                  </w:pPr>
                  <w:r>
                    <w:rPr>
                      <w:rFonts w:hint="eastAsia" w:ascii="Times New Roman" w:hAnsi="Times New Roman"/>
                    </w:rPr>
                    <w:t>26.9</w:t>
                  </w:r>
                </w:p>
              </w:tc>
              <w:tc>
                <w:tcPr>
                  <w:tcW w:w="838" w:type="pct"/>
                  <w:vMerge w:val="continue"/>
                  <w:tcBorders>
                    <w:tl2br w:val="nil"/>
                    <w:tr2bl w:val="nil"/>
                  </w:tcBorders>
                  <w:vAlign w:val="center"/>
                </w:tcPr>
                <w:p>
                  <w:pPr>
                    <w:widowControl/>
                    <w:jc w:val="center"/>
                    <w:rPr>
                      <w:szCs w:val="21"/>
                    </w:rPr>
                  </w:pPr>
                </w:p>
              </w:tc>
              <w:tc>
                <w:tcPr>
                  <w:tcW w:w="829" w:type="pct"/>
                  <w:tcBorders>
                    <w:tl2br w:val="nil"/>
                    <w:tr2bl w:val="nil"/>
                  </w:tcBorders>
                  <w:vAlign w:val="center"/>
                </w:tcPr>
                <w:p>
                  <w:pPr>
                    <w:pStyle w:val="40"/>
                    <w:widowControl/>
                    <w:spacing w:line="240" w:lineRule="auto"/>
                    <w:rPr>
                      <w:rFonts w:ascii="Times New Roman" w:hAnsi="Times New Roman"/>
                    </w:rPr>
                  </w:pPr>
                  <w:r>
                    <w:rPr>
                      <w:rFonts w:ascii="Times New Roman" w:hAnsi="Times New Roma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38" w:hRule="atLeast"/>
              </w:trPr>
              <w:tc>
                <w:tcPr>
                  <w:tcW w:w="644" w:type="pct"/>
                  <w:tcBorders>
                    <w:tl2br w:val="nil"/>
                    <w:tr2bl w:val="nil"/>
                  </w:tcBorders>
                  <w:vAlign w:val="center"/>
                </w:tcPr>
                <w:p>
                  <w:pPr>
                    <w:pStyle w:val="40"/>
                    <w:widowControl/>
                    <w:spacing w:line="240" w:lineRule="auto"/>
                    <w:rPr>
                      <w:rFonts w:ascii="Times New Roman" w:hAnsi="Times New Roman"/>
                    </w:rPr>
                  </w:pPr>
                  <w:r>
                    <w:rPr>
                      <w:rFonts w:ascii="Times New Roman" w:hAnsi="Times New Roman"/>
                    </w:rPr>
                    <w:t>南厂界</w:t>
                  </w:r>
                </w:p>
              </w:tc>
              <w:tc>
                <w:tcPr>
                  <w:tcW w:w="1644" w:type="pct"/>
                  <w:tcBorders>
                    <w:tl2br w:val="nil"/>
                    <w:tr2bl w:val="nil"/>
                  </w:tcBorders>
                  <w:vAlign w:val="center"/>
                </w:tcPr>
                <w:p>
                  <w:pPr>
                    <w:pStyle w:val="40"/>
                    <w:widowControl/>
                    <w:spacing w:line="240" w:lineRule="auto"/>
                    <w:rPr>
                      <w:rFonts w:ascii="Times New Roman" w:hAnsi="Times New Roman"/>
                    </w:rPr>
                  </w:pPr>
                  <w:r>
                    <w:rPr>
                      <w:rFonts w:hint="eastAsia" w:ascii="Times New Roman" w:hAnsi="Times New Roman"/>
                    </w:rPr>
                    <w:t>65</w:t>
                  </w:r>
                </w:p>
              </w:tc>
              <w:tc>
                <w:tcPr>
                  <w:tcW w:w="1043" w:type="pct"/>
                  <w:tcBorders>
                    <w:tl2br w:val="nil"/>
                    <w:tr2bl w:val="nil"/>
                  </w:tcBorders>
                  <w:vAlign w:val="center"/>
                </w:tcPr>
                <w:p>
                  <w:pPr>
                    <w:pStyle w:val="40"/>
                    <w:widowControl/>
                    <w:spacing w:line="240" w:lineRule="auto"/>
                    <w:rPr>
                      <w:rFonts w:ascii="Times New Roman" w:hAnsi="Times New Roman"/>
                    </w:rPr>
                  </w:pPr>
                  <w:r>
                    <w:rPr>
                      <w:rFonts w:hint="eastAsia" w:ascii="Times New Roman" w:hAnsi="Times New Roman"/>
                    </w:rPr>
                    <w:t>27.5</w:t>
                  </w:r>
                </w:p>
              </w:tc>
              <w:tc>
                <w:tcPr>
                  <w:tcW w:w="838" w:type="pct"/>
                  <w:vMerge w:val="continue"/>
                  <w:tcBorders>
                    <w:tl2br w:val="nil"/>
                    <w:tr2bl w:val="nil"/>
                  </w:tcBorders>
                  <w:vAlign w:val="center"/>
                </w:tcPr>
                <w:p>
                  <w:pPr>
                    <w:pStyle w:val="28"/>
                    <w:spacing w:after="0" w:line="240" w:lineRule="auto"/>
                    <w:ind w:left="0" w:leftChars="0" w:firstLine="0" w:firstLineChars="0"/>
                    <w:jc w:val="center"/>
                  </w:pPr>
                </w:p>
              </w:tc>
              <w:tc>
                <w:tcPr>
                  <w:tcW w:w="829" w:type="pct"/>
                  <w:tcBorders>
                    <w:tl2br w:val="nil"/>
                    <w:tr2bl w:val="nil"/>
                  </w:tcBorders>
                  <w:vAlign w:val="center"/>
                </w:tcPr>
                <w:p>
                  <w:pPr>
                    <w:pStyle w:val="40"/>
                    <w:widowControl/>
                    <w:spacing w:line="240" w:lineRule="auto"/>
                    <w:rPr>
                      <w:rFonts w:ascii="Times New Roman" w:hAnsi="Times New Roman"/>
                    </w:rPr>
                  </w:pPr>
                  <w:r>
                    <w:rPr>
                      <w:rFonts w:hint="eastAsia" w:ascii="Times New Roman" w:hAnsi="Times New Roman"/>
                    </w:rPr>
                    <w:t>达标</w:t>
                  </w:r>
                </w:p>
              </w:tc>
            </w:tr>
          </w:tbl>
          <w:p>
            <w:pPr>
              <w:widowControl/>
              <w:autoSpaceDE w:val="0"/>
              <w:autoSpaceDN w:val="0"/>
              <w:spacing w:line="520" w:lineRule="exact"/>
              <w:ind w:firstLine="480" w:firstLineChars="200"/>
              <w:rPr>
                <w:sz w:val="24"/>
              </w:rPr>
            </w:pPr>
            <w:r>
              <w:rPr>
                <w:sz w:val="24"/>
              </w:rPr>
              <w:t>由上表可见，本项目厂界</w:t>
            </w:r>
            <w:r>
              <w:rPr>
                <w:rFonts w:hint="eastAsia"/>
                <w:sz w:val="24"/>
              </w:rPr>
              <w:t>四周</w:t>
            </w:r>
            <w:r>
              <w:rPr>
                <w:sz w:val="24"/>
              </w:rPr>
              <w:t>贡献值满足《工业企业厂界环境噪声排放标准》（GB12348-2008）中</w:t>
            </w:r>
            <w:r>
              <w:rPr>
                <w:rFonts w:hint="eastAsia"/>
                <w:sz w:val="24"/>
                <w:lang w:val="en-US" w:eastAsia="zh-CN"/>
              </w:rPr>
              <w:t>2</w:t>
            </w:r>
            <w:r>
              <w:rPr>
                <w:sz w:val="24"/>
              </w:rPr>
              <w:t>类标准要求。</w:t>
            </w:r>
          </w:p>
          <w:p>
            <w:pPr>
              <w:pStyle w:val="14"/>
              <w:spacing w:before="0" w:after="0" w:line="520" w:lineRule="exact"/>
              <w:ind w:right="0" w:firstLine="482" w:firstLineChars="200"/>
              <w:rPr>
                <w:b/>
                <w:bCs/>
                <w:kern w:val="2"/>
                <w:sz w:val="24"/>
                <w:szCs w:val="24"/>
              </w:rPr>
            </w:pPr>
            <w:r>
              <w:rPr>
                <w:rFonts w:hint="eastAsia"/>
                <w:b/>
                <w:bCs/>
                <w:kern w:val="2"/>
                <w:sz w:val="24"/>
                <w:szCs w:val="24"/>
              </w:rPr>
              <w:t>3.</w:t>
            </w:r>
            <w:r>
              <w:rPr>
                <w:b/>
                <w:bCs/>
                <w:kern w:val="2"/>
                <w:sz w:val="24"/>
                <w:szCs w:val="24"/>
              </w:rPr>
              <w:t>4</w:t>
            </w:r>
            <w:r>
              <w:rPr>
                <w:rFonts w:hint="eastAsia"/>
                <w:b/>
                <w:bCs/>
                <w:kern w:val="2"/>
                <w:sz w:val="24"/>
                <w:szCs w:val="24"/>
              </w:rPr>
              <w:t>声环境保护措施</w:t>
            </w:r>
          </w:p>
          <w:p>
            <w:pPr>
              <w:pStyle w:val="63"/>
            </w:pPr>
            <w:r>
              <w:t>为了最大限度减少项目运营期噪声对周边环境的影响，建设单位采取如下防治措施：</w:t>
            </w:r>
          </w:p>
          <w:p>
            <w:pPr>
              <w:pStyle w:val="63"/>
            </w:pPr>
            <w:r>
              <w:rPr>
                <w:rFonts w:hint="eastAsia"/>
              </w:rPr>
              <w:t>（1）车间</w:t>
            </w:r>
            <w:r>
              <w:t>墙体加设吸声、隔声材料，并安装隔声窗。</w:t>
            </w:r>
          </w:p>
          <w:p>
            <w:pPr>
              <w:pStyle w:val="63"/>
            </w:pPr>
            <w:r>
              <w:rPr>
                <w:rFonts w:hint="eastAsia"/>
              </w:rPr>
              <w:t>（2）</w:t>
            </w:r>
            <w:r>
              <w:t>在</w:t>
            </w:r>
            <w:r>
              <w:rPr>
                <w:rFonts w:hint="eastAsia"/>
              </w:rPr>
              <w:t>提升</w:t>
            </w:r>
            <w:r>
              <w:t>机座上加设减震装置，在</w:t>
            </w:r>
            <w:r>
              <w:rPr>
                <w:rFonts w:hint="eastAsia"/>
              </w:rPr>
              <w:t>搅拌机</w:t>
            </w:r>
            <w:r>
              <w:t>运行过程中关闭门窗。</w:t>
            </w:r>
          </w:p>
          <w:p>
            <w:pPr>
              <w:pStyle w:val="63"/>
            </w:pPr>
            <w:r>
              <w:rPr>
                <w:rFonts w:hint="eastAsia"/>
              </w:rPr>
              <w:t>（3）设备</w:t>
            </w:r>
            <w:r>
              <w:t>安装减振动垫等进行减震；设备进出口接口采用软接口、软接管。</w:t>
            </w:r>
          </w:p>
          <w:p>
            <w:pPr>
              <w:pStyle w:val="14"/>
              <w:spacing w:before="0" w:after="0" w:line="520" w:lineRule="exact"/>
              <w:ind w:right="0" w:firstLine="482" w:firstLineChars="200"/>
              <w:rPr>
                <w:b/>
                <w:bCs/>
                <w:kern w:val="2"/>
                <w:sz w:val="24"/>
                <w:szCs w:val="24"/>
              </w:rPr>
            </w:pPr>
            <w:r>
              <w:rPr>
                <w:rFonts w:hint="eastAsia"/>
                <w:b/>
                <w:bCs/>
                <w:kern w:val="2"/>
                <w:sz w:val="24"/>
                <w:szCs w:val="24"/>
              </w:rPr>
              <w:t>3.</w:t>
            </w:r>
            <w:r>
              <w:rPr>
                <w:b/>
                <w:bCs/>
                <w:kern w:val="2"/>
                <w:sz w:val="24"/>
                <w:szCs w:val="24"/>
              </w:rPr>
              <w:t>5</w:t>
            </w:r>
            <w:r>
              <w:rPr>
                <w:rFonts w:hint="eastAsia"/>
                <w:b/>
                <w:bCs/>
                <w:kern w:val="2"/>
                <w:sz w:val="24"/>
                <w:szCs w:val="24"/>
              </w:rPr>
              <w:t>监测计划</w:t>
            </w:r>
          </w:p>
          <w:p>
            <w:pPr>
              <w:pStyle w:val="14"/>
              <w:spacing w:before="0" w:after="0" w:line="520" w:lineRule="exact"/>
              <w:ind w:right="0" w:firstLine="480" w:firstLineChars="200"/>
              <w:rPr>
                <w:kern w:val="2"/>
                <w:sz w:val="24"/>
                <w:szCs w:val="24"/>
              </w:rPr>
            </w:pPr>
            <w:r>
              <w:rPr>
                <w:rFonts w:hint="eastAsia"/>
                <w:sz w:val="24"/>
              </w:rPr>
              <w:t>根据《排污单位自行监测技术指南 总则》（H</w:t>
            </w:r>
            <w:r>
              <w:rPr>
                <w:sz w:val="24"/>
              </w:rPr>
              <w:t>J</w:t>
            </w:r>
            <w:r>
              <w:rPr>
                <w:rFonts w:hint="eastAsia"/>
                <w:sz w:val="24"/>
              </w:rPr>
              <w:t>820-2017）相关规定，本次评价确定本项目</w:t>
            </w:r>
            <w:r>
              <w:rPr>
                <w:rFonts w:hint="eastAsia"/>
                <w:kern w:val="2"/>
                <w:sz w:val="24"/>
                <w:szCs w:val="24"/>
              </w:rPr>
              <w:t>声环境监测计划见表4-</w:t>
            </w:r>
            <w:r>
              <w:rPr>
                <w:rFonts w:hint="eastAsia"/>
                <w:kern w:val="2"/>
                <w:sz w:val="24"/>
                <w:szCs w:val="24"/>
                <w:lang w:val="en-US" w:eastAsia="zh-CN"/>
              </w:rPr>
              <w:t>11</w:t>
            </w:r>
            <w:r>
              <w:rPr>
                <w:rFonts w:hint="eastAsia"/>
                <w:kern w:val="2"/>
                <w:sz w:val="24"/>
                <w:szCs w:val="24"/>
              </w:rPr>
              <w:t>。</w:t>
            </w:r>
          </w:p>
          <w:p>
            <w:pPr>
              <w:widowControl/>
              <w:ind w:firstLine="480" w:firstLineChars="200"/>
              <w:jc w:val="center"/>
              <w:rPr>
                <w:rFonts w:eastAsia="黑体"/>
                <w:sz w:val="24"/>
              </w:rPr>
            </w:pPr>
            <w:r>
              <w:rPr>
                <w:rFonts w:hint="eastAsia" w:eastAsia="黑体"/>
                <w:sz w:val="24"/>
              </w:rPr>
              <w:t>表4-</w:t>
            </w:r>
            <w:r>
              <w:rPr>
                <w:rFonts w:hint="eastAsia" w:eastAsia="黑体"/>
                <w:sz w:val="24"/>
                <w:lang w:val="en-US" w:eastAsia="zh-CN"/>
              </w:rPr>
              <w:t>11</w:t>
            </w:r>
            <w:r>
              <w:rPr>
                <w:rFonts w:hint="eastAsia" w:eastAsia="黑体"/>
                <w:sz w:val="24"/>
              </w:rPr>
              <w:t xml:space="preserve">  声环境监测计划</w:t>
            </w:r>
          </w:p>
          <w:tbl>
            <w:tblPr>
              <w:tblStyle w:val="2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30"/>
              <w:gridCol w:w="1687"/>
              <w:gridCol w:w="1343"/>
              <w:gridCol w:w="1396"/>
              <w:gridCol w:w="31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839" w:type="pct"/>
                </w:tcPr>
                <w:p>
                  <w:pPr>
                    <w:pStyle w:val="14"/>
                    <w:spacing w:before="0" w:after="0" w:line="240" w:lineRule="auto"/>
                    <w:ind w:right="0"/>
                    <w:jc w:val="center"/>
                    <w:rPr>
                      <w:kern w:val="2"/>
                      <w:sz w:val="21"/>
                      <w:szCs w:val="21"/>
                    </w:rPr>
                  </w:pPr>
                  <w:r>
                    <w:rPr>
                      <w:kern w:val="2"/>
                      <w:sz w:val="21"/>
                      <w:szCs w:val="21"/>
                    </w:rPr>
                    <w:t>类别</w:t>
                  </w:r>
                </w:p>
              </w:tc>
              <w:tc>
                <w:tcPr>
                  <w:tcW w:w="925" w:type="pct"/>
                </w:tcPr>
                <w:p>
                  <w:pPr>
                    <w:pStyle w:val="14"/>
                    <w:spacing w:before="0" w:after="0" w:line="240" w:lineRule="auto"/>
                    <w:ind w:right="0"/>
                    <w:jc w:val="center"/>
                    <w:rPr>
                      <w:kern w:val="2"/>
                      <w:sz w:val="21"/>
                      <w:szCs w:val="21"/>
                    </w:rPr>
                  </w:pPr>
                  <w:r>
                    <w:rPr>
                      <w:kern w:val="2"/>
                      <w:sz w:val="21"/>
                      <w:szCs w:val="21"/>
                    </w:rPr>
                    <w:t>监测位置</w:t>
                  </w:r>
                </w:p>
              </w:tc>
              <w:tc>
                <w:tcPr>
                  <w:tcW w:w="736" w:type="pct"/>
                </w:tcPr>
                <w:p>
                  <w:pPr>
                    <w:pStyle w:val="14"/>
                    <w:spacing w:before="0" w:after="0" w:line="240" w:lineRule="auto"/>
                    <w:ind w:right="0"/>
                    <w:jc w:val="center"/>
                    <w:rPr>
                      <w:kern w:val="2"/>
                      <w:sz w:val="21"/>
                      <w:szCs w:val="21"/>
                    </w:rPr>
                  </w:pPr>
                  <w:r>
                    <w:rPr>
                      <w:kern w:val="2"/>
                      <w:sz w:val="21"/>
                      <w:szCs w:val="21"/>
                    </w:rPr>
                    <w:t>监测项目</w:t>
                  </w:r>
                </w:p>
              </w:tc>
              <w:tc>
                <w:tcPr>
                  <w:tcW w:w="765" w:type="pct"/>
                </w:tcPr>
                <w:p>
                  <w:pPr>
                    <w:pStyle w:val="14"/>
                    <w:spacing w:before="0" w:after="0" w:line="240" w:lineRule="auto"/>
                    <w:ind w:right="0"/>
                    <w:jc w:val="center"/>
                    <w:rPr>
                      <w:kern w:val="2"/>
                      <w:sz w:val="21"/>
                      <w:szCs w:val="21"/>
                    </w:rPr>
                  </w:pPr>
                  <w:r>
                    <w:rPr>
                      <w:kern w:val="2"/>
                      <w:sz w:val="21"/>
                      <w:szCs w:val="21"/>
                    </w:rPr>
                    <w:t>监测频率</w:t>
                  </w:r>
                </w:p>
              </w:tc>
              <w:tc>
                <w:tcPr>
                  <w:tcW w:w="1732" w:type="pct"/>
                </w:tcPr>
                <w:p>
                  <w:pPr>
                    <w:pStyle w:val="14"/>
                    <w:spacing w:before="0" w:after="0" w:line="240" w:lineRule="auto"/>
                    <w:ind w:right="0"/>
                    <w:jc w:val="center"/>
                    <w:rPr>
                      <w:kern w:val="2"/>
                      <w:sz w:val="21"/>
                      <w:szCs w:val="21"/>
                    </w:rPr>
                  </w:pPr>
                  <w:r>
                    <w:rPr>
                      <w:kern w:val="2"/>
                      <w:sz w:val="21"/>
                      <w:szCs w:val="21"/>
                    </w:rPr>
                    <w:t>监测方式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839" w:type="pct"/>
                </w:tcPr>
                <w:p>
                  <w:pPr>
                    <w:pStyle w:val="14"/>
                    <w:spacing w:before="0" w:after="0" w:line="240" w:lineRule="auto"/>
                    <w:ind w:right="0"/>
                    <w:jc w:val="center"/>
                    <w:rPr>
                      <w:kern w:val="2"/>
                      <w:sz w:val="21"/>
                      <w:szCs w:val="21"/>
                    </w:rPr>
                  </w:pPr>
                  <w:r>
                    <w:rPr>
                      <w:rFonts w:hint="eastAsia"/>
                      <w:kern w:val="2"/>
                      <w:sz w:val="21"/>
                      <w:szCs w:val="21"/>
                    </w:rPr>
                    <w:t>污染源监测</w:t>
                  </w:r>
                </w:p>
              </w:tc>
              <w:tc>
                <w:tcPr>
                  <w:tcW w:w="925" w:type="pct"/>
                </w:tcPr>
                <w:p>
                  <w:pPr>
                    <w:pStyle w:val="14"/>
                    <w:spacing w:before="0" w:after="0" w:line="240" w:lineRule="auto"/>
                    <w:ind w:right="0"/>
                    <w:jc w:val="center"/>
                    <w:rPr>
                      <w:kern w:val="2"/>
                      <w:sz w:val="21"/>
                      <w:szCs w:val="21"/>
                    </w:rPr>
                  </w:pPr>
                  <w:r>
                    <w:rPr>
                      <w:rFonts w:hint="eastAsia"/>
                      <w:kern w:val="2"/>
                      <w:sz w:val="21"/>
                      <w:szCs w:val="21"/>
                    </w:rPr>
                    <w:t>厂界四周</w:t>
                  </w:r>
                </w:p>
              </w:tc>
              <w:tc>
                <w:tcPr>
                  <w:tcW w:w="736" w:type="pct"/>
                </w:tcPr>
                <w:p>
                  <w:pPr>
                    <w:pStyle w:val="14"/>
                    <w:spacing w:before="0" w:after="0" w:line="240" w:lineRule="auto"/>
                    <w:ind w:right="0"/>
                    <w:jc w:val="center"/>
                    <w:rPr>
                      <w:kern w:val="2"/>
                      <w:sz w:val="21"/>
                      <w:szCs w:val="21"/>
                    </w:rPr>
                  </w:pPr>
                  <w:r>
                    <w:rPr>
                      <w:rFonts w:hint="eastAsia"/>
                      <w:kern w:val="2"/>
                      <w:sz w:val="21"/>
                      <w:szCs w:val="21"/>
                    </w:rPr>
                    <w:t>Leq(A)</w:t>
                  </w:r>
                </w:p>
              </w:tc>
              <w:tc>
                <w:tcPr>
                  <w:tcW w:w="765" w:type="pct"/>
                </w:tcPr>
                <w:p>
                  <w:pPr>
                    <w:pStyle w:val="14"/>
                    <w:spacing w:before="0" w:after="0" w:line="240" w:lineRule="auto"/>
                    <w:ind w:right="0"/>
                    <w:jc w:val="center"/>
                    <w:rPr>
                      <w:kern w:val="2"/>
                      <w:sz w:val="21"/>
                      <w:szCs w:val="21"/>
                    </w:rPr>
                  </w:pPr>
                  <w:r>
                    <w:rPr>
                      <w:rFonts w:hint="eastAsia"/>
                      <w:kern w:val="2"/>
                      <w:sz w:val="21"/>
                      <w:szCs w:val="21"/>
                    </w:rPr>
                    <w:t>1次/季度</w:t>
                  </w:r>
                </w:p>
              </w:tc>
              <w:tc>
                <w:tcPr>
                  <w:tcW w:w="1732" w:type="pct"/>
                </w:tcPr>
                <w:p>
                  <w:pPr>
                    <w:pStyle w:val="14"/>
                    <w:spacing w:before="0" w:after="0" w:line="240" w:lineRule="auto"/>
                    <w:ind w:right="0"/>
                    <w:jc w:val="center"/>
                    <w:rPr>
                      <w:kern w:val="2"/>
                      <w:sz w:val="21"/>
                      <w:szCs w:val="21"/>
                    </w:rPr>
                  </w:pPr>
                  <w:r>
                    <w:rPr>
                      <w:rFonts w:hint="eastAsia"/>
                      <w:kern w:val="2"/>
                      <w:sz w:val="21"/>
                      <w:szCs w:val="21"/>
                    </w:rPr>
                    <w:t>委托第三方监测单位监测</w:t>
                  </w:r>
                </w:p>
              </w:tc>
            </w:tr>
          </w:tbl>
          <w:p>
            <w:pPr>
              <w:adjustRightInd w:val="0"/>
              <w:snapToGrid w:val="0"/>
              <w:spacing w:line="520" w:lineRule="exact"/>
              <w:ind w:firstLine="482" w:firstLineChars="200"/>
              <w:rPr>
                <w:b/>
                <w:bCs/>
                <w:sz w:val="24"/>
              </w:rPr>
            </w:pPr>
            <w:r>
              <w:rPr>
                <w:rFonts w:hint="eastAsia"/>
                <w:b/>
                <w:bCs/>
                <w:sz w:val="24"/>
              </w:rPr>
              <w:t>4、固废</w:t>
            </w:r>
          </w:p>
          <w:p>
            <w:pPr>
              <w:pStyle w:val="63"/>
              <w:ind w:firstLine="482"/>
              <w:rPr>
                <w:b/>
                <w:bCs/>
              </w:rPr>
            </w:pPr>
            <w:r>
              <w:rPr>
                <w:rFonts w:hint="eastAsia"/>
                <w:b/>
                <w:bCs/>
              </w:rPr>
              <w:t>4.1一般工业固废</w:t>
            </w:r>
          </w:p>
          <w:p>
            <w:pPr>
              <w:pStyle w:val="63"/>
              <w:ind w:firstLine="482"/>
              <w:rPr>
                <w:b/>
                <w:bCs/>
              </w:rPr>
            </w:pPr>
            <w:r>
              <w:rPr>
                <w:rFonts w:hint="eastAsia"/>
                <w:b/>
                <w:bCs/>
              </w:rPr>
              <w:t>4</w:t>
            </w:r>
            <w:r>
              <w:rPr>
                <w:b/>
                <w:bCs/>
              </w:rPr>
              <w:t>.1</w:t>
            </w:r>
            <w:r>
              <w:rPr>
                <w:rFonts w:hint="eastAsia"/>
                <w:b/>
                <w:bCs/>
              </w:rPr>
              <w:t>.1废包装袋</w:t>
            </w:r>
          </w:p>
          <w:p>
            <w:pPr>
              <w:pStyle w:val="63"/>
            </w:pPr>
            <w:r>
              <w:rPr>
                <w:rFonts w:hint="eastAsia"/>
              </w:rPr>
              <w:t>本项目原料多孔粒状硝酸铵包装为袋装，经破袋后投入生产，根据建设单位提供资料，废包装袋年产生量约为</w:t>
            </w:r>
            <w:r>
              <w:rPr>
                <w:rFonts w:hint="eastAsia"/>
                <w:lang w:val="en-US" w:eastAsia="zh-CN"/>
              </w:rPr>
              <w:t>80000个</w:t>
            </w:r>
            <w:r>
              <w:rPr>
                <w:rFonts w:hint="eastAsia"/>
              </w:rPr>
              <w:t>，由厂家回收后再利用。</w:t>
            </w:r>
          </w:p>
          <w:p>
            <w:pPr>
              <w:pStyle w:val="63"/>
              <w:ind w:firstLine="482"/>
              <w:rPr>
                <w:b/>
                <w:bCs/>
              </w:rPr>
            </w:pPr>
            <w:r>
              <w:rPr>
                <w:rFonts w:hint="eastAsia"/>
                <w:b/>
                <w:bCs/>
              </w:rPr>
              <w:t>4.2生活垃圾</w:t>
            </w:r>
          </w:p>
          <w:p>
            <w:pPr>
              <w:pStyle w:val="63"/>
              <w:ind w:firstLine="482"/>
              <w:rPr>
                <w:b/>
                <w:bCs/>
              </w:rPr>
            </w:pPr>
            <w:r>
              <w:rPr>
                <w:rFonts w:hint="eastAsia"/>
                <w:b/>
                <w:bCs/>
              </w:rPr>
              <w:t>4.2.1生活垃圾</w:t>
            </w:r>
          </w:p>
          <w:p>
            <w:pPr>
              <w:pStyle w:val="63"/>
            </w:pPr>
            <w:r>
              <w:rPr>
                <w:rFonts w:hint="eastAsia"/>
              </w:rPr>
              <w:t>本项目有职工70人，按每人每日0.5kg计，年产生活垃圾8.75t/a，统一收集后交由环卫部门统一清运处理。生活垃圾有机物成分较高，含水率大，极易腐烂，影响环境卫生，可导致病原微生物的传播，同时还向大气释放出大量的氨、硫化物等污染物，据资料介绍，生活垃圾堆放时，仅有机挥发性气体就多达100多种，其中含有许多致癌、致畸物。生活垃圾应及时清理，交由环卫部门统一清运至当地生活垃圾填埋场进行卫生填埋处置，以最大限度的减少生活垃圾对环境的影响。</w:t>
            </w:r>
          </w:p>
          <w:p>
            <w:pPr>
              <w:pStyle w:val="63"/>
              <w:ind w:firstLine="482"/>
              <w:rPr>
                <w:b/>
                <w:bCs/>
              </w:rPr>
            </w:pPr>
            <w:r>
              <w:rPr>
                <w:rFonts w:hint="eastAsia"/>
                <w:b/>
                <w:bCs/>
              </w:rPr>
              <w:t>4.2.2厨余垃圾</w:t>
            </w:r>
          </w:p>
          <w:p>
            <w:pPr>
              <w:pStyle w:val="63"/>
            </w:pPr>
            <w:r>
              <w:t>项目区</w:t>
            </w:r>
            <w:r>
              <w:rPr>
                <w:rFonts w:hint="eastAsia"/>
              </w:rPr>
              <w:t>食堂</w:t>
            </w:r>
            <w:r>
              <w:t>产生一定的厨余垃圾，包括餐饮原料加工过程中产生的边角废料和剩菜剩饭等。餐厨垃圾含水分较多，不含有毒有害物质。项目食堂每日供</w:t>
            </w:r>
            <w:r>
              <w:rPr>
                <w:rFonts w:hint="eastAsia"/>
              </w:rPr>
              <w:t>70</w:t>
            </w:r>
            <w:r>
              <w:t>人餐饮，每人每天的厨余垃圾按0.2kg/人·d计算，则日产厨余垃圾量为</w:t>
            </w:r>
            <w:r>
              <w:rPr>
                <w:rFonts w:hint="eastAsia"/>
              </w:rPr>
              <w:t>14</w:t>
            </w:r>
            <w:r>
              <w:t>kg/d，年产量为</w:t>
            </w:r>
            <w:r>
              <w:rPr>
                <w:rFonts w:hint="eastAsia"/>
              </w:rPr>
              <w:t>3.5</w:t>
            </w:r>
            <w:r>
              <w:t>t/a。集中收集交由</w:t>
            </w:r>
            <w:r>
              <w:rPr>
                <w:rFonts w:hint="eastAsia"/>
              </w:rPr>
              <w:t>厨余垃圾处理单位</w:t>
            </w:r>
            <w:r>
              <w:t>统一处置</w:t>
            </w:r>
            <w:r>
              <w:rPr>
                <w:rFonts w:hint="eastAsia"/>
              </w:rPr>
              <w:t>。</w:t>
            </w:r>
          </w:p>
          <w:p>
            <w:pPr>
              <w:pStyle w:val="63"/>
              <w:ind w:firstLine="482"/>
              <w:rPr>
                <w:b/>
                <w:bCs/>
              </w:rPr>
            </w:pPr>
            <w:r>
              <w:rPr>
                <w:rFonts w:hint="eastAsia"/>
                <w:b/>
                <w:bCs/>
              </w:rPr>
              <w:t>4.3危险废物</w:t>
            </w:r>
          </w:p>
          <w:p>
            <w:pPr>
              <w:widowControl/>
              <w:spacing w:line="520" w:lineRule="exact"/>
              <w:ind w:firstLine="482" w:firstLineChars="200"/>
              <w:rPr>
                <w:b/>
                <w:bCs/>
                <w:sz w:val="24"/>
              </w:rPr>
            </w:pPr>
            <w:r>
              <w:rPr>
                <w:rFonts w:hint="eastAsia"/>
                <w:b/>
                <w:bCs/>
                <w:sz w:val="24"/>
              </w:rPr>
              <w:t>4.3.1废机油</w:t>
            </w:r>
          </w:p>
          <w:p>
            <w:pPr>
              <w:widowControl/>
              <w:spacing w:line="520" w:lineRule="exact"/>
              <w:ind w:firstLine="480" w:firstLineChars="200"/>
              <w:rPr>
                <w:sz w:val="24"/>
              </w:rPr>
            </w:pPr>
            <w:r>
              <w:rPr>
                <w:rFonts w:hint="eastAsia"/>
                <w:sz w:val="24"/>
              </w:rPr>
              <w:t>项目营运期由于机械维修等会产生少量废机油，类比同类型项目，产生0.1t/a，依据《国家危险废物名录（2021版）》，废机油属于危险废物，危险废物代码为HW08（900-214-08）。暂存于危废暂存间，定期交由有资质单位进行处置。</w:t>
            </w:r>
          </w:p>
          <w:p>
            <w:pPr>
              <w:widowControl/>
              <w:spacing w:line="520" w:lineRule="exact"/>
              <w:ind w:firstLine="482" w:firstLineChars="200"/>
              <w:rPr>
                <w:b/>
                <w:bCs/>
                <w:sz w:val="24"/>
              </w:rPr>
            </w:pPr>
            <w:r>
              <w:rPr>
                <w:rFonts w:hint="eastAsia"/>
                <w:b/>
                <w:bCs/>
                <w:sz w:val="24"/>
              </w:rPr>
              <w:t>4.3.2浮油渣</w:t>
            </w:r>
          </w:p>
          <w:p>
            <w:pPr>
              <w:widowControl/>
              <w:spacing w:line="520" w:lineRule="exact"/>
              <w:ind w:firstLine="480" w:firstLineChars="200"/>
              <w:rPr>
                <w:sz w:val="24"/>
              </w:rPr>
            </w:pPr>
            <w:r>
              <w:rPr>
                <w:rFonts w:hint="eastAsia"/>
                <w:sz w:val="24"/>
              </w:rPr>
              <w:t>隔油沉淀池处理后产生的浮油渣，产生量约为0.2t/a，依据《国家危险废物名录（2021版）》，浮油渣属于危险废物，危险废物代码为HW08（900-210-08）。暂存于危废暂存间，定期交由有资质单位进行处置。</w:t>
            </w:r>
          </w:p>
          <w:p>
            <w:pPr>
              <w:widowControl/>
              <w:spacing w:line="520" w:lineRule="exact"/>
              <w:ind w:firstLine="482" w:firstLineChars="200"/>
              <w:rPr>
                <w:b/>
                <w:bCs/>
                <w:sz w:val="24"/>
              </w:rPr>
            </w:pPr>
            <w:r>
              <w:rPr>
                <w:rFonts w:hint="eastAsia"/>
                <w:b/>
                <w:bCs/>
                <w:sz w:val="24"/>
              </w:rPr>
              <w:t>4.3.3油泥</w:t>
            </w:r>
          </w:p>
          <w:p>
            <w:pPr>
              <w:widowControl/>
              <w:spacing w:line="520" w:lineRule="exact"/>
              <w:ind w:firstLine="480" w:firstLineChars="200"/>
              <w:rPr>
                <w:sz w:val="24"/>
              </w:rPr>
            </w:pPr>
            <w:r>
              <w:rPr>
                <w:rFonts w:hint="eastAsia"/>
                <w:sz w:val="24"/>
              </w:rPr>
              <w:t>柴油储罐在储存柴油时底部沉淀的油泥，类比同类型项目，产生量约为0.1t/a，依据《国家危险废物名录（2021版）》，油泥属于危险废物，危险废物代码为HW08（900-221-08）。由有资质的单位定期清洗柴油储罐并对油泥进行处置。</w:t>
            </w:r>
          </w:p>
          <w:p>
            <w:pPr>
              <w:widowControl/>
              <w:spacing w:line="520" w:lineRule="exact"/>
              <w:ind w:firstLine="480" w:firstLineChars="200"/>
              <w:rPr>
                <w:sz w:val="24"/>
              </w:rPr>
            </w:pPr>
            <w:r>
              <w:rPr>
                <w:rFonts w:hint="eastAsia"/>
                <w:sz w:val="24"/>
              </w:rPr>
              <w:t>环评要求在厂区设置一间危废暂存间用于临时贮存废机油、浮油渣，用专用容器密封存放在危废暂存间，定期交由有资质单位进行处置。暂存间需满足《危险废物贮存污染控制标准》（GB18597-2001）及其修改单要求。</w:t>
            </w:r>
            <w:r>
              <w:rPr>
                <w:sz w:val="24"/>
              </w:rPr>
              <w:t>根据《危险废物</w:t>
            </w:r>
            <w:r>
              <w:rPr>
                <w:rFonts w:hint="eastAsia"/>
                <w:sz w:val="24"/>
                <w:lang w:val="en-US" w:eastAsia="zh-CN"/>
              </w:rPr>
              <w:t>贮</w:t>
            </w:r>
            <w:r>
              <w:rPr>
                <w:sz w:val="24"/>
              </w:rPr>
              <w:t>存污染控制标准》（GB18597-2001），本项目临时储存严格按照危险废物管理和处置要求进行，具体要求如下：</w:t>
            </w:r>
          </w:p>
          <w:p>
            <w:pPr>
              <w:widowControl/>
              <w:spacing w:line="520" w:lineRule="exact"/>
              <w:ind w:firstLine="480" w:firstLineChars="200"/>
              <w:rPr>
                <w:sz w:val="24"/>
              </w:rPr>
            </w:pPr>
            <w:r>
              <w:rPr>
                <w:rFonts w:hint="eastAsia"/>
                <w:sz w:val="24"/>
              </w:rPr>
              <w:t>（1）</w:t>
            </w:r>
            <w:r>
              <w:rPr>
                <w:sz w:val="24"/>
              </w:rPr>
              <w:t>危险废物按照类别分置于防渗漏、防腐蚀的符合国家标准的专用包装物或者密闭的容器内，远离火种、热源，有明显的警示标识和警示说明，加强防渗漏安全措施；</w:t>
            </w:r>
          </w:p>
          <w:p>
            <w:pPr>
              <w:widowControl/>
              <w:spacing w:line="520" w:lineRule="exact"/>
              <w:ind w:firstLine="480" w:firstLineChars="200"/>
              <w:rPr>
                <w:sz w:val="24"/>
              </w:rPr>
            </w:pPr>
            <w:r>
              <w:rPr>
                <w:rFonts w:hint="eastAsia"/>
                <w:sz w:val="24"/>
              </w:rPr>
              <w:t>（2）</w:t>
            </w:r>
            <w:r>
              <w:rPr>
                <w:sz w:val="24"/>
              </w:rPr>
              <w:t>危险废物暂存间应设有专门人员看管，管理人员在工作中应佩戴防护用具，并配备医疗急救用品；</w:t>
            </w:r>
          </w:p>
          <w:p>
            <w:pPr>
              <w:widowControl/>
              <w:spacing w:line="520" w:lineRule="exact"/>
              <w:ind w:firstLine="480" w:firstLineChars="200"/>
              <w:rPr>
                <w:sz w:val="24"/>
              </w:rPr>
            </w:pPr>
            <w:r>
              <w:rPr>
                <w:rFonts w:hint="eastAsia"/>
                <w:sz w:val="24"/>
              </w:rPr>
              <w:t>（3）</w:t>
            </w:r>
            <w:r>
              <w:rPr>
                <w:sz w:val="24"/>
              </w:rPr>
              <w:t>建立档案制度，在危险废物的收集、贮存、转运及处理过程中，实行“转移联单制度”，对暂存的废物种类、数量、特性、包装容器类别、存放库位、存入日期、运出日期等详细记录在案并长期保存。建立定期巡查、维护制度；</w:t>
            </w:r>
          </w:p>
          <w:p>
            <w:pPr>
              <w:widowControl/>
              <w:spacing w:line="520" w:lineRule="exact"/>
              <w:ind w:firstLine="480" w:firstLineChars="200"/>
              <w:rPr>
                <w:sz w:val="24"/>
              </w:rPr>
            </w:pPr>
            <w:r>
              <w:rPr>
                <w:rFonts w:hint="eastAsia"/>
                <w:sz w:val="24"/>
              </w:rPr>
              <w:t>（4）</w:t>
            </w:r>
            <w:r>
              <w:rPr>
                <w:sz w:val="24"/>
              </w:rPr>
              <w:t>危废暂存间地面及裙角按规定采取防腐、防渗措施，并做到定期维护暂时贮存设施、设备；</w:t>
            </w:r>
          </w:p>
          <w:p>
            <w:pPr>
              <w:widowControl/>
              <w:spacing w:line="520" w:lineRule="exact"/>
              <w:ind w:firstLine="480" w:firstLineChars="200"/>
            </w:pPr>
            <w:r>
              <w:rPr>
                <w:rFonts w:hint="eastAsia"/>
                <w:sz w:val="24"/>
              </w:rPr>
              <w:t>（5）</w:t>
            </w:r>
            <w:r>
              <w:rPr>
                <w:sz w:val="24"/>
              </w:rPr>
              <w:t>危险废物暂存场所地面一旦出现盛装液态固体废物的容器发生破裂或渗漏情况，马上修复或更换破损容器，地面残留液体用布擦拭干净。出现泄漏事故及时向有关部门通报。</w:t>
            </w:r>
          </w:p>
          <w:p>
            <w:pPr>
              <w:pStyle w:val="63"/>
              <w:rPr>
                <w:rFonts w:hint="default" w:eastAsia="宋体"/>
                <w:lang w:val="en-US" w:eastAsia="zh-CN"/>
              </w:rPr>
            </w:pPr>
            <w:r>
              <w:rPr>
                <w:rFonts w:hint="eastAsia"/>
                <w:lang w:val="en-US" w:eastAsia="zh-CN"/>
              </w:rPr>
              <w:t>根据</w:t>
            </w:r>
            <w:r>
              <w:rPr>
                <w:rFonts w:hint="eastAsia" w:ascii="Times New Roman" w:hAnsiTheme="minorEastAsia"/>
                <w:sz w:val="24"/>
              </w:rPr>
              <w:t>《危险废物转移管理办法》（生态环境部公安部交通运输部部令第23号）</w:t>
            </w:r>
            <w:r>
              <w:rPr>
                <w:rFonts w:hint="eastAsia" w:ascii="Times New Roman" w:hAnsiTheme="minorEastAsia"/>
                <w:sz w:val="24"/>
                <w:lang w:eastAsia="zh-CN"/>
              </w:rPr>
              <w:t>，</w:t>
            </w:r>
            <w:r>
              <w:rPr>
                <w:rFonts w:hint="eastAsia" w:ascii="Times New Roman" w:hAnsiTheme="minorEastAsia"/>
                <w:sz w:val="24"/>
                <w:lang w:val="en-US" w:eastAsia="zh-CN"/>
              </w:rPr>
              <w:t>本项目危险废物转移时应当遵循以下要求：</w:t>
            </w:r>
          </w:p>
          <w:p>
            <w:pPr>
              <w:pStyle w:val="63"/>
              <w:rPr>
                <w:rFonts w:hint="eastAsia" w:eastAsia="宋体"/>
                <w:lang w:eastAsia="zh-CN"/>
              </w:rPr>
            </w:pPr>
            <w:r>
              <w:rPr>
                <w:rFonts w:hint="eastAsia"/>
                <w:lang w:eastAsia="zh-CN"/>
              </w:rPr>
              <w:t>（</w:t>
            </w:r>
            <w:r>
              <w:rPr>
                <w:rFonts w:hint="eastAsia"/>
                <w:lang w:val="en-US" w:eastAsia="zh-CN"/>
              </w:rPr>
              <w:t>1</w:t>
            </w:r>
            <w:r>
              <w:rPr>
                <w:rFonts w:hint="eastAsia"/>
                <w:lang w:eastAsia="zh-CN"/>
              </w:rPr>
              <w:t>）危险废物转移应当遵循就近原则。</w:t>
            </w:r>
          </w:p>
          <w:p>
            <w:pPr>
              <w:pStyle w:val="63"/>
              <w:rPr>
                <w:rFonts w:hint="eastAsia" w:eastAsia="宋体"/>
                <w:lang w:eastAsia="zh-CN"/>
              </w:rPr>
            </w:pPr>
            <w:r>
              <w:rPr>
                <w:rFonts w:hint="eastAsia"/>
                <w:lang w:eastAsia="zh-CN"/>
              </w:rPr>
              <w:t>（</w:t>
            </w:r>
            <w:r>
              <w:rPr>
                <w:rFonts w:hint="eastAsia"/>
                <w:lang w:val="en-US" w:eastAsia="zh-CN"/>
              </w:rPr>
              <w:t>2</w:t>
            </w:r>
            <w:r>
              <w:rPr>
                <w:rFonts w:hint="eastAsia"/>
                <w:lang w:eastAsia="zh-CN"/>
              </w:rPr>
              <w:t>）转移危险废物的，应当执行危险废物转移联单制度，法律法规另有规定的除外。</w:t>
            </w:r>
          </w:p>
          <w:p>
            <w:pPr>
              <w:pStyle w:val="63"/>
              <w:rPr>
                <w:rFonts w:hint="default" w:eastAsia="宋体"/>
                <w:lang w:val="en-US" w:eastAsia="zh-CN"/>
              </w:rPr>
            </w:pPr>
            <w:r>
              <w:rPr>
                <w:rFonts w:hint="eastAsia"/>
                <w:lang w:val="en-US" w:eastAsia="zh-CN"/>
              </w:rPr>
              <w:t>（3）转移危险废物的，应当通过国家危险废物信息管理系统（以下简称信息系统）填写、运行危险废物电子转移联单，并依照国家有关规定公开危险废物转移相关污染环境防治信息。</w:t>
            </w:r>
          </w:p>
          <w:p>
            <w:pPr>
              <w:pStyle w:val="63"/>
              <w:rPr>
                <w:rFonts w:hint="eastAsia" w:eastAsia="宋体"/>
                <w:lang w:eastAsia="zh-CN"/>
              </w:rPr>
            </w:pPr>
            <w:r>
              <w:rPr>
                <w:rFonts w:hint="eastAsia"/>
                <w:lang w:eastAsia="zh-CN"/>
              </w:rPr>
              <w:t>（</w:t>
            </w:r>
            <w:r>
              <w:rPr>
                <w:rFonts w:hint="eastAsia"/>
                <w:lang w:val="en-US" w:eastAsia="zh-CN"/>
              </w:rPr>
              <w:t>4</w:t>
            </w:r>
            <w:r>
              <w:rPr>
                <w:rFonts w:hint="eastAsia"/>
                <w:lang w:eastAsia="zh-CN"/>
              </w:rPr>
              <w:t>）运输危险废物的，应当遵守国家有关危险货物运输管理的规定。未经公安机关批准，危险废物运输车辆不得进入危险货物运输车辆限制通行的区域。</w:t>
            </w:r>
          </w:p>
          <w:p>
            <w:pPr>
              <w:pStyle w:val="63"/>
              <w:rPr>
                <w:rFonts w:hint="eastAsia" w:eastAsia="宋体"/>
                <w:lang w:eastAsia="zh-CN"/>
              </w:rPr>
            </w:pPr>
            <w:r>
              <w:rPr>
                <w:rFonts w:hint="eastAsia"/>
                <w:lang w:eastAsia="zh-CN"/>
              </w:rPr>
              <w:t>（</w:t>
            </w:r>
            <w:r>
              <w:rPr>
                <w:rFonts w:hint="eastAsia"/>
                <w:lang w:val="en-US" w:eastAsia="zh-CN"/>
              </w:rPr>
              <w:t>5</w:t>
            </w:r>
            <w:r>
              <w:rPr>
                <w:rFonts w:hint="eastAsia"/>
                <w:lang w:eastAsia="zh-CN"/>
              </w:rPr>
              <w:t>）在危险废物转移过程中应当采取防扬散、防流失、防渗漏或者其他防止污染环境的措施，不得擅自倾倒、堆放、丢弃、遗撒危险废物，并对所造成的环境污染及生态破坏依法承担责任。</w:t>
            </w:r>
          </w:p>
          <w:p>
            <w:pPr>
              <w:pStyle w:val="63"/>
              <w:rPr>
                <w:rFonts w:hint="eastAsia" w:eastAsia="宋体"/>
                <w:lang w:eastAsia="zh-CN"/>
              </w:rPr>
            </w:pPr>
            <w:r>
              <w:rPr>
                <w:rFonts w:hint="eastAsia"/>
                <w:lang w:eastAsia="zh-CN"/>
              </w:rPr>
              <w:t>（</w:t>
            </w:r>
            <w:r>
              <w:rPr>
                <w:rFonts w:hint="eastAsia"/>
                <w:lang w:val="en-US" w:eastAsia="zh-CN"/>
              </w:rPr>
              <w:t>6</w:t>
            </w:r>
            <w:r>
              <w:rPr>
                <w:rFonts w:hint="eastAsia"/>
                <w:lang w:eastAsia="zh-CN"/>
              </w:rPr>
              <w:t>）应当依法制定突发环境事件的防范措施和应急预案，并报有关部门备案；发生危险废物突发环境事件时，应当立即采取有效措施消除或者减轻对环境的污染危害，并按相关规定向事故发生地有关部门报告，接受调查处理。</w:t>
            </w:r>
          </w:p>
          <w:p>
            <w:pPr>
              <w:pStyle w:val="63"/>
              <w:rPr>
                <w:rFonts w:hint="eastAsia" w:eastAsia="宋体"/>
                <w:lang w:eastAsia="zh-CN"/>
              </w:rPr>
            </w:pPr>
            <w:r>
              <w:rPr>
                <w:rFonts w:hint="eastAsia"/>
                <w:lang w:eastAsia="zh-CN"/>
              </w:rPr>
              <w:t>（</w:t>
            </w:r>
            <w:r>
              <w:rPr>
                <w:rFonts w:hint="eastAsia"/>
                <w:lang w:val="en-US" w:eastAsia="zh-CN"/>
              </w:rPr>
              <w:t>7</w:t>
            </w:r>
            <w:r>
              <w:rPr>
                <w:rFonts w:hint="eastAsia"/>
                <w:lang w:eastAsia="zh-CN"/>
              </w:rPr>
              <w:t>）制定危险废物管理计划，明确拟转移危险废物的种类、重量（数量）和流向等信息。</w:t>
            </w:r>
          </w:p>
          <w:p>
            <w:pPr>
              <w:pStyle w:val="63"/>
              <w:rPr>
                <w:rFonts w:hint="eastAsia" w:eastAsia="宋体"/>
                <w:lang w:eastAsia="zh-CN"/>
              </w:rPr>
            </w:pPr>
            <w:r>
              <w:rPr>
                <w:rFonts w:hint="eastAsia"/>
                <w:lang w:eastAsia="zh-CN"/>
              </w:rPr>
              <w:t>（</w:t>
            </w:r>
            <w:r>
              <w:rPr>
                <w:rFonts w:hint="eastAsia"/>
                <w:lang w:val="en-US" w:eastAsia="zh-CN"/>
              </w:rPr>
              <w:t>8</w:t>
            </w:r>
            <w:r>
              <w:rPr>
                <w:rFonts w:hint="eastAsia"/>
                <w:lang w:eastAsia="zh-CN"/>
              </w:rPr>
              <w:t>）建立危险废物管理台账，对转移的危险废物进行计量称重，如实记录、妥善保管转移危险废物的种类、重量（数量）和接受人等相关信息。</w:t>
            </w:r>
          </w:p>
          <w:p>
            <w:pPr>
              <w:pStyle w:val="63"/>
            </w:pPr>
            <w:r>
              <w:t>根据工程分析，本项目固体废物主要有主要为工作人员生活垃圾</w:t>
            </w:r>
            <w:r>
              <w:rPr>
                <w:rFonts w:hint="eastAsia"/>
              </w:rPr>
              <w:t>、一般工业固废和危险废物</w:t>
            </w:r>
            <w:r>
              <w:t>，其中各固体废物的产生源、排放量和处置方式见表4-</w:t>
            </w:r>
            <w:r>
              <w:rPr>
                <w:rFonts w:hint="eastAsia"/>
                <w:lang w:val="en-US" w:eastAsia="zh-CN"/>
              </w:rPr>
              <w:t>12</w:t>
            </w:r>
            <w:r>
              <w:t>。</w:t>
            </w:r>
          </w:p>
          <w:p>
            <w:pPr>
              <w:pStyle w:val="79"/>
            </w:pPr>
            <w:r>
              <w:t>表</w:t>
            </w:r>
            <w:r>
              <w:rPr>
                <w:rFonts w:hint="eastAsia"/>
              </w:rPr>
              <w:t>4</w:t>
            </w:r>
            <w:r>
              <w:t>-</w:t>
            </w:r>
            <w:r>
              <w:rPr>
                <w:rFonts w:hint="eastAsia"/>
                <w:lang w:val="en-US" w:eastAsia="zh-CN"/>
              </w:rPr>
              <w:t>12</w:t>
            </w:r>
            <w:r>
              <w:t xml:space="preserve">  固体废物排放量及处置设施</w:t>
            </w:r>
          </w:p>
          <w:tbl>
            <w:tblPr>
              <w:tblStyle w:val="2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78"/>
              <w:gridCol w:w="1384"/>
              <w:gridCol w:w="1771"/>
              <w:gridCol w:w="1103"/>
              <w:gridCol w:w="2192"/>
              <w:gridCol w:w="12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5" w:type="pct"/>
                  <w:vAlign w:val="center"/>
                </w:tcPr>
                <w:p>
                  <w:pPr>
                    <w:jc w:val="center"/>
                    <w:rPr>
                      <w:szCs w:val="21"/>
                    </w:rPr>
                  </w:pPr>
                  <w:r>
                    <w:rPr>
                      <w:szCs w:val="21"/>
                    </w:rPr>
                    <w:t>类型</w:t>
                  </w:r>
                </w:p>
              </w:tc>
              <w:tc>
                <w:tcPr>
                  <w:tcW w:w="758" w:type="pct"/>
                  <w:vAlign w:val="center"/>
                </w:tcPr>
                <w:p>
                  <w:pPr>
                    <w:jc w:val="center"/>
                    <w:rPr>
                      <w:szCs w:val="21"/>
                    </w:rPr>
                  </w:pPr>
                  <w:r>
                    <w:rPr>
                      <w:szCs w:val="21"/>
                    </w:rPr>
                    <w:t>产生源</w:t>
                  </w:r>
                </w:p>
              </w:tc>
              <w:tc>
                <w:tcPr>
                  <w:tcW w:w="970" w:type="pct"/>
                  <w:vAlign w:val="center"/>
                </w:tcPr>
                <w:p>
                  <w:pPr>
                    <w:jc w:val="center"/>
                    <w:rPr>
                      <w:szCs w:val="21"/>
                    </w:rPr>
                  </w:pPr>
                  <w:r>
                    <w:rPr>
                      <w:szCs w:val="21"/>
                    </w:rPr>
                    <w:t>名称</w:t>
                  </w:r>
                </w:p>
              </w:tc>
              <w:tc>
                <w:tcPr>
                  <w:tcW w:w="604" w:type="pct"/>
                  <w:vAlign w:val="center"/>
                </w:tcPr>
                <w:p>
                  <w:pPr>
                    <w:jc w:val="center"/>
                    <w:rPr>
                      <w:szCs w:val="21"/>
                    </w:rPr>
                  </w:pPr>
                  <w:r>
                    <w:rPr>
                      <w:szCs w:val="21"/>
                    </w:rPr>
                    <w:t>排放量</w:t>
                  </w:r>
                  <w:r>
                    <w:rPr>
                      <w:rFonts w:hint="eastAsia"/>
                      <w:szCs w:val="21"/>
                    </w:rPr>
                    <w:t>（t/a）</w:t>
                  </w:r>
                </w:p>
              </w:tc>
              <w:tc>
                <w:tcPr>
                  <w:tcW w:w="1201" w:type="pct"/>
                  <w:vAlign w:val="center"/>
                </w:tcPr>
                <w:p>
                  <w:pPr>
                    <w:jc w:val="center"/>
                    <w:rPr>
                      <w:szCs w:val="21"/>
                    </w:rPr>
                  </w:pPr>
                  <w:r>
                    <w:rPr>
                      <w:szCs w:val="21"/>
                    </w:rPr>
                    <w:t>处置办法</w:t>
                  </w:r>
                </w:p>
              </w:tc>
              <w:tc>
                <w:tcPr>
                  <w:tcW w:w="708" w:type="pct"/>
                  <w:vAlign w:val="center"/>
                </w:tcPr>
                <w:p>
                  <w:pPr>
                    <w:jc w:val="center"/>
                    <w:rPr>
                      <w:szCs w:val="21"/>
                    </w:rPr>
                  </w:pPr>
                  <w:r>
                    <w:rPr>
                      <w:szCs w:val="21"/>
                    </w:rPr>
                    <w:t>处置率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5" w:type="pct"/>
                  <w:vAlign w:val="center"/>
                </w:tcPr>
                <w:p>
                  <w:pPr>
                    <w:jc w:val="center"/>
                    <w:rPr>
                      <w:szCs w:val="21"/>
                    </w:rPr>
                  </w:pPr>
                  <w:r>
                    <w:rPr>
                      <w:rFonts w:hint="eastAsia"/>
                      <w:szCs w:val="21"/>
                    </w:rPr>
                    <w:t>生活垃圾</w:t>
                  </w:r>
                </w:p>
              </w:tc>
              <w:tc>
                <w:tcPr>
                  <w:tcW w:w="758" w:type="pct"/>
                  <w:vAlign w:val="center"/>
                </w:tcPr>
                <w:p>
                  <w:pPr>
                    <w:jc w:val="center"/>
                    <w:rPr>
                      <w:szCs w:val="21"/>
                    </w:rPr>
                  </w:pPr>
                  <w:r>
                    <w:rPr>
                      <w:rFonts w:hint="eastAsia"/>
                      <w:szCs w:val="21"/>
                    </w:rPr>
                    <w:t>员工</w:t>
                  </w:r>
                  <w:r>
                    <w:rPr>
                      <w:szCs w:val="21"/>
                    </w:rPr>
                    <w:t>生活</w:t>
                  </w:r>
                </w:p>
              </w:tc>
              <w:tc>
                <w:tcPr>
                  <w:tcW w:w="970" w:type="pct"/>
                  <w:vAlign w:val="center"/>
                </w:tcPr>
                <w:p>
                  <w:pPr>
                    <w:jc w:val="center"/>
                    <w:rPr>
                      <w:szCs w:val="21"/>
                    </w:rPr>
                  </w:pPr>
                  <w:r>
                    <w:rPr>
                      <w:szCs w:val="21"/>
                    </w:rPr>
                    <w:t>生活垃圾</w:t>
                  </w:r>
                </w:p>
              </w:tc>
              <w:tc>
                <w:tcPr>
                  <w:tcW w:w="604" w:type="pct"/>
                  <w:vAlign w:val="center"/>
                </w:tcPr>
                <w:p>
                  <w:pPr>
                    <w:jc w:val="center"/>
                    <w:rPr>
                      <w:szCs w:val="21"/>
                    </w:rPr>
                  </w:pPr>
                  <w:r>
                    <w:rPr>
                      <w:rFonts w:hint="eastAsia"/>
                      <w:szCs w:val="21"/>
                    </w:rPr>
                    <w:t>8.75</w:t>
                  </w:r>
                </w:p>
              </w:tc>
              <w:tc>
                <w:tcPr>
                  <w:tcW w:w="1201" w:type="pct"/>
                  <w:vAlign w:val="center"/>
                </w:tcPr>
                <w:p>
                  <w:pPr>
                    <w:jc w:val="center"/>
                    <w:rPr>
                      <w:szCs w:val="21"/>
                    </w:rPr>
                  </w:pPr>
                  <w:r>
                    <w:rPr>
                      <w:szCs w:val="21"/>
                    </w:rPr>
                    <w:t>收集后交由环卫部门统一清理</w:t>
                  </w:r>
                </w:p>
              </w:tc>
              <w:tc>
                <w:tcPr>
                  <w:tcW w:w="708" w:type="pct"/>
                  <w:vMerge w:val="restart"/>
                  <w:vAlign w:val="center"/>
                </w:tcPr>
                <w:p>
                  <w:pPr>
                    <w:jc w:val="center"/>
                    <w:rPr>
                      <w:szCs w:val="21"/>
                    </w:rPr>
                  </w:pPr>
                  <w:r>
                    <w:rPr>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5" w:type="pct"/>
                  <w:vAlign w:val="center"/>
                </w:tcPr>
                <w:p>
                  <w:pPr>
                    <w:jc w:val="center"/>
                    <w:rPr>
                      <w:szCs w:val="21"/>
                    </w:rPr>
                  </w:pPr>
                  <w:r>
                    <w:rPr>
                      <w:rFonts w:hint="eastAsia"/>
                      <w:szCs w:val="21"/>
                    </w:rPr>
                    <w:t>厨余垃圾</w:t>
                  </w:r>
                </w:p>
              </w:tc>
              <w:tc>
                <w:tcPr>
                  <w:tcW w:w="758" w:type="pct"/>
                  <w:vAlign w:val="center"/>
                </w:tcPr>
                <w:p>
                  <w:pPr>
                    <w:jc w:val="center"/>
                    <w:rPr>
                      <w:szCs w:val="21"/>
                    </w:rPr>
                  </w:pPr>
                  <w:r>
                    <w:rPr>
                      <w:rFonts w:hint="eastAsia"/>
                      <w:szCs w:val="21"/>
                    </w:rPr>
                    <w:t>烹饪</w:t>
                  </w:r>
                </w:p>
              </w:tc>
              <w:tc>
                <w:tcPr>
                  <w:tcW w:w="970" w:type="pct"/>
                  <w:vAlign w:val="center"/>
                </w:tcPr>
                <w:p>
                  <w:pPr>
                    <w:jc w:val="center"/>
                    <w:rPr>
                      <w:szCs w:val="21"/>
                    </w:rPr>
                  </w:pPr>
                  <w:r>
                    <w:rPr>
                      <w:rFonts w:hint="eastAsia"/>
                      <w:szCs w:val="21"/>
                    </w:rPr>
                    <w:t>厨余垃圾</w:t>
                  </w:r>
                </w:p>
              </w:tc>
              <w:tc>
                <w:tcPr>
                  <w:tcW w:w="604" w:type="pct"/>
                  <w:vAlign w:val="center"/>
                </w:tcPr>
                <w:p>
                  <w:pPr>
                    <w:jc w:val="center"/>
                    <w:rPr>
                      <w:szCs w:val="21"/>
                    </w:rPr>
                  </w:pPr>
                  <w:r>
                    <w:rPr>
                      <w:rFonts w:hint="eastAsia"/>
                      <w:szCs w:val="21"/>
                    </w:rPr>
                    <w:t>3.5</w:t>
                  </w:r>
                </w:p>
              </w:tc>
              <w:tc>
                <w:tcPr>
                  <w:tcW w:w="1201" w:type="pct"/>
                  <w:vAlign w:val="center"/>
                </w:tcPr>
                <w:p>
                  <w:pPr>
                    <w:jc w:val="center"/>
                    <w:rPr>
                      <w:szCs w:val="21"/>
                    </w:rPr>
                  </w:pPr>
                  <w:r>
                    <w:rPr>
                      <w:rFonts w:hint="eastAsia"/>
                      <w:szCs w:val="21"/>
                    </w:rPr>
                    <w:t>收集后交由厨余垃圾处理单位统一处置</w:t>
                  </w:r>
                </w:p>
              </w:tc>
              <w:tc>
                <w:tcPr>
                  <w:tcW w:w="708" w:type="pct"/>
                  <w:vMerge w:val="continue"/>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5" w:type="pct"/>
                  <w:vAlign w:val="center"/>
                </w:tcPr>
                <w:p>
                  <w:pPr>
                    <w:jc w:val="center"/>
                    <w:rPr>
                      <w:szCs w:val="21"/>
                    </w:rPr>
                  </w:pPr>
                  <w:r>
                    <w:rPr>
                      <w:rFonts w:hint="eastAsia"/>
                      <w:szCs w:val="21"/>
                    </w:rPr>
                    <w:t>一般工业固废</w:t>
                  </w:r>
                </w:p>
              </w:tc>
              <w:tc>
                <w:tcPr>
                  <w:tcW w:w="758" w:type="pct"/>
                  <w:vAlign w:val="center"/>
                </w:tcPr>
                <w:p>
                  <w:pPr>
                    <w:jc w:val="center"/>
                    <w:rPr>
                      <w:szCs w:val="21"/>
                    </w:rPr>
                  </w:pPr>
                  <w:r>
                    <w:rPr>
                      <w:rFonts w:hint="eastAsia"/>
                      <w:szCs w:val="21"/>
                    </w:rPr>
                    <w:t>破袋</w:t>
                  </w:r>
                </w:p>
              </w:tc>
              <w:tc>
                <w:tcPr>
                  <w:tcW w:w="970" w:type="pct"/>
                  <w:vAlign w:val="center"/>
                </w:tcPr>
                <w:p>
                  <w:pPr>
                    <w:jc w:val="center"/>
                    <w:rPr>
                      <w:szCs w:val="21"/>
                    </w:rPr>
                  </w:pPr>
                  <w:r>
                    <w:rPr>
                      <w:rFonts w:hint="eastAsia"/>
                      <w:szCs w:val="21"/>
                    </w:rPr>
                    <w:t>废包装袋（900-999-99）</w:t>
                  </w:r>
                </w:p>
              </w:tc>
              <w:tc>
                <w:tcPr>
                  <w:tcW w:w="604" w:type="pct"/>
                  <w:vAlign w:val="center"/>
                </w:tcPr>
                <w:p>
                  <w:pPr>
                    <w:jc w:val="center"/>
                    <w:rPr>
                      <w:rFonts w:hint="default" w:eastAsia="宋体"/>
                      <w:szCs w:val="21"/>
                      <w:lang w:val="en-US" w:eastAsia="zh-CN"/>
                    </w:rPr>
                  </w:pPr>
                  <w:r>
                    <w:rPr>
                      <w:rFonts w:hint="eastAsia"/>
                      <w:szCs w:val="21"/>
                      <w:lang w:val="en-US" w:eastAsia="zh-CN"/>
                    </w:rPr>
                    <w:t>80000个</w:t>
                  </w:r>
                </w:p>
              </w:tc>
              <w:tc>
                <w:tcPr>
                  <w:tcW w:w="1201" w:type="pct"/>
                  <w:vAlign w:val="center"/>
                </w:tcPr>
                <w:p>
                  <w:pPr>
                    <w:jc w:val="center"/>
                    <w:rPr>
                      <w:szCs w:val="21"/>
                    </w:rPr>
                  </w:pPr>
                  <w:r>
                    <w:rPr>
                      <w:rFonts w:hint="eastAsia"/>
                      <w:szCs w:val="21"/>
                    </w:rPr>
                    <w:t>厂家回收利用</w:t>
                  </w:r>
                </w:p>
              </w:tc>
              <w:tc>
                <w:tcPr>
                  <w:tcW w:w="708" w:type="pct"/>
                  <w:vMerge w:val="continue"/>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5" w:type="pct"/>
                  <w:vMerge w:val="restart"/>
                  <w:vAlign w:val="center"/>
                </w:tcPr>
                <w:p>
                  <w:pPr>
                    <w:jc w:val="center"/>
                    <w:rPr>
                      <w:szCs w:val="21"/>
                    </w:rPr>
                  </w:pPr>
                  <w:r>
                    <w:rPr>
                      <w:rFonts w:hint="eastAsia"/>
                      <w:szCs w:val="21"/>
                    </w:rPr>
                    <w:t>危险废物</w:t>
                  </w:r>
                </w:p>
              </w:tc>
              <w:tc>
                <w:tcPr>
                  <w:tcW w:w="758" w:type="pct"/>
                  <w:vAlign w:val="center"/>
                </w:tcPr>
                <w:p>
                  <w:pPr>
                    <w:jc w:val="center"/>
                    <w:rPr>
                      <w:szCs w:val="21"/>
                    </w:rPr>
                  </w:pPr>
                  <w:r>
                    <w:rPr>
                      <w:rFonts w:hint="eastAsia"/>
                      <w:szCs w:val="21"/>
                    </w:rPr>
                    <w:t>设备维护</w:t>
                  </w:r>
                </w:p>
              </w:tc>
              <w:tc>
                <w:tcPr>
                  <w:tcW w:w="970" w:type="pct"/>
                  <w:vAlign w:val="center"/>
                </w:tcPr>
                <w:p>
                  <w:pPr>
                    <w:jc w:val="center"/>
                    <w:rPr>
                      <w:szCs w:val="21"/>
                    </w:rPr>
                  </w:pPr>
                  <w:r>
                    <w:rPr>
                      <w:rFonts w:hint="eastAsia"/>
                      <w:szCs w:val="21"/>
                    </w:rPr>
                    <w:t>废机油</w:t>
                  </w:r>
                </w:p>
                <w:p>
                  <w:pPr>
                    <w:jc w:val="center"/>
                    <w:rPr>
                      <w:szCs w:val="21"/>
                    </w:rPr>
                  </w:pPr>
                  <w:r>
                    <w:rPr>
                      <w:rFonts w:hint="eastAsia"/>
                      <w:szCs w:val="21"/>
                    </w:rPr>
                    <w:t>HW08（900-214-08）</w:t>
                  </w:r>
                </w:p>
              </w:tc>
              <w:tc>
                <w:tcPr>
                  <w:tcW w:w="604" w:type="pct"/>
                  <w:vAlign w:val="center"/>
                </w:tcPr>
                <w:p>
                  <w:pPr>
                    <w:jc w:val="center"/>
                    <w:rPr>
                      <w:szCs w:val="21"/>
                    </w:rPr>
                  </w:pPr>
                  <w:r>
                    <w:rPr>
                      <w:rFonts w:hint="eastAsia"/>
                      <w:szCs w:val="21"/>
                    </w:rPr>
                    <w:t>0.</w:t>
                  </w:r>
                  <w:r>
                    <w:rPr>
                      <w:rFonts w:hint="eastAsia"/>
                      <w:szCs w:val="21"/>
                      <w:lang w:val="en-US" w:eastAsia="zh-CN"/>
                    </w:rPr>
                    <w:t>1</w:t>
                  </w:r>
                  <w:r>
                    <w:rPr>
                      <w:rFonts w:hint="eastAsia"/>
                      <w:szCs w:val="21"/>
                    </w:rPr>
                    <w:t>t/a</w:t>
                  </w:r>
                </w:p>
              </w:tc>
              <w:tc>
                <w:tcPr>
                  <w:tcW w:w="1201" w:type="pct"/>
                  <w:vMerge w:val="restart"/>
                  <w:vAlign w:val="center"/>
                </w:tcPr>
                <w:p>
                  <w:pPr>
                    <w:jc w:val="center"/>
                    <w:rPr>
                      <w:szCs w:val="21"/>
                    </w:rPr>
                  </w:pPr>
                  <w:r>
                    <w:rPr>
                      <w:rFonts w:hint="eastAsia"/>
                      <w:szCs w:val="21"/>
                    </w:rPr>
                    <w:t>危废暂存间暂存，委托具有处理资质的单位处理</w:t>
                  </w:r>
                </w:p>
              </w:tc>
              <w:tc>
                <w:tcPr>
                  <w:tcW w:w="708" w:type="pct"/>
                  <w:vMerge w:val="continue"/>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5" w:type="pct"/>
                  <w:vMerge w:val="continue"/>
                  <w:vAlign w:val="center"/>
                </w:tcPr>
                <w:p>
                  <w:pPr>
                    <w:jc w:val="center"/>
                    <w:rPr>
                      <w:szCs w:val="21"/>
                    </w:rPr>
                  </w:pPr>
                </w:p>
              </w:tc>
              <w:tc>
                <w:tcPr>
                  <w:tcW w:w="758" w:type="pct"/>
                  <w:vAlign w:val="center"/>
                </w:tcPr>
                <w:p>
                  <w:pPr>
                    <w:jc w:val="center"/>
                    <w:rPr>
                      <w:szCs w:val="21"/>
                    </w:rPr>
                  </w:pPr>
                  <w:r>
                    <w:rPr>
                      <w:rFonts w:hint="eastAsia"/>
                      <w:szCs w:val="21"/>
                    </w:rPr>
                    <w:t>隔油沉淀</w:t>
                  </w:r>
                </w:p>
              </w:tc>
              <w:tc>
                <w:tcPr>
                  <w:tcW w:w="970" w:type="pct"/>
                  <w:vAlign w:val="center"/>
                </w:tcPr>
                <w:p>
                  <w:pPr>
                    <w:jc w:val="center"/>
                    <w:rPr>
                      <w:szCs w:val="21"/>
                    </w:rPr>
                  </w:pPr>
                  <w:r>
                    <w:rPr>
                      <w:rFonts w:hint="eastAsia"/>
                      <w:szCs w:val="21"/>
                    </w:rPr>
                    <w:t>浮油渣</w:t>
                  </w:r>
                </w:p>
                <w:p>
                  <w:pPr>
                    <w:jc w:val="center"/>
                    <w:rPr>
                      <w:szCs w:val="21"/>
                    </w:rPr>
                  </w:pPr>
                  <w:r>
                    <w:rPr>
                      <w:rFonts w:hint="eastAsia"/>
                      <w:szCs w:val="21"/>
                    </w:rPr>
                    <w:t>HW08（900-210-08）</w:t>
                  </w:r>
                </w:p>
              </w:tc>
              <w:tc>
                <w:tcPr>
                  <w:tcW w:w="604" w:type="pct"/>
                  <w:vAlign w:val="center"/>
                </w:tcPr>
                <w:p>
                  <w:pPr>
                    <w:jc w:val="center"/>
                    <w:rPr>
                      <w:szCs w:val="21"/>
                    </w:rPr>
                  </w:pPr>
                  <w:r>
                    <w:rPr>
                      <w:rFonts w:hint="eastAsia"/>
                      <w:szCs w:val="21"/>
                    </w:rPr>
                    <w:t>0.2t/a</w:t>
                  </w:r>
                </w:p>
              </w:tc>
              <w:tc>
                <w:tcPr>
                  <w:tcW w:w="1201" w:type="pct"/>
                  <w:vMerge w:val="continue"/>
                  <w:vAlign w:val="center"/>
                </w:tcPr>
                <w:p>
                  <w:pPr>
                    <w:jc w:val="center"/>
                    <w:rPr>
                      <w:szCs w:val="21"/>
                    </w:rPr>
                  </w:pPr>
                </w:p>
              </w:tc>
              <w:tc>
                <w:tcPr>
                  <w:tcW w:w="708" w:type="pct"/>
                  <w:vMerge w:val="continue"/>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5" w:type="pct"/>
                  <w:vMerge w:val="continue"/>
                  <w:vAlign w:val="center"/>
                </w:tcPr>
                <w:p>
                  <w:pPr>
                    <w:jc w:val="center"/>
                    <w:rPr>
                      <w:szCs w:val="21"/>
                    </w:rPr>
                  </w:pPr>
                </w:p>
              </w:tc>
              <w:tc>
                <w:tcPr>
                  <w:tcW w:w="758" w:type="pct"/>
                  <w:vAlign w:val="center"/>
                </w:tcPr>
                <w:p>
                  <w:pPr>
                    <w:jc w:val="center"/>
                    <w:rPr>
                      <w:szCs w:val="21"/>
                    </w:rPr>
                  </w:pPr>
                  <w:r>
                    <w:rPr>
                      <w:rFonts w:hint="eastAsia"/>
                      <w:szCs w:val="21"/>
                    </w:rPr>
                    <w:t>柴油储存</w:t>
                  </w:r>
                </w:p>
              </w:tc>
              <w:tc>
                <w:tcPr>
                  <w:tcW w:w="970" w:type="pct"/>
                  <w:vAlign w:val="center"/>
                </w:tcPr>
                <w:p>
                  <w:pPr>
                    <w:jc w:val="center"/>
                    <w:rPr>
                      <w:szCs w:val="21"/>
                    </w:rPr>
                  </w:pPr>
                  <w:r>
                    <w:rPr>
                      <w:rFonts w:hint="eastAsia"/>
                      <w:szCs w:val="21"/>
                    </w:rPr>
                    <w:t>油泥</w:t>
                  </w:r>
                </w:p>
                <w:p>
                  <w:pPr>
                    <w:jc w:val="center"/>
                    <w:rPr>
                      <w:szCs w:val="21"/>
                    </w:rPr>
                  </w:pPr>
                  <w:r>
                    <w:rPr>
                      <w:rFonts w:hint="eastAsia"/>
                      <w:szCs w:val="21"/>
                    </w:rPr>
                    <w:t>HW08（900-221-08）</w:t>
                  </w:r>
                </w:p>
              </w:tc>
              <w:tc>
                <w:tcPr>
                  <w:tcW w:w="604" w:type="pct"/>
                  <w:vAlign w:val="center"/>
                </w:tcPr>
                <w:p>
                  <w:pPr>
                    <w:jc w:val="center"/>
                    <w:rPr>
                      <w:szCs w:val="21"/>
                    </w:rPr>
                  </w:pPr>
                  <w:r>
                    <w:rPr>
                      <w:rFonts w:hint="eastAsia"/>
                      <w:szCs w:val="21"/>
                    </w:rPr>
                    <w:t>0.1r/a</w:t>
                  </w:r>
                </w:p>
              </w:tc>
              <w:tc>
                <w:tcPr>
                  <w:tcW w:w="1201" w:type="pct"/>
                  <w:vAlign w:val="center"/>
                </w:tcPr>
                <w:p>
                  <w:pPr>
                    <w:jc w:val="center"/>
                    <w:rPr>
                      <w:szCs w:val="21"/>
                    </w:rPr>
                  </w:pPr>
                  <w:r>
                    <w:rPr>
                      <w:rFonts w:hint="eastAsia"/>
                      <w:szCs w:val="21"/>
                    </w:rPr>
                    <w:t>资质的单位定期清洗柴油储罐并对油泥进行处置</w:t>
                  </w:r>
                </w:p>
              </w:tc>
              <w:tc>
                <w:tcPr>
                  <w:tcW w:w="708" w:type="pct"/>
                  <w:vMerge w:val="continue"/>
                  <w:vAlign w:val="center"/>
                </w:tcPr>
                <w:p>
                  <w:pPr>
                    <w:jc w:val="center"/>
                    <w:rPr>
                      <w:szCs w:val="21"/>
                    </w:rPr>
                  </w:pPr>
                </w:p>
              </w:tc>
            </w:tr>
          </w:tbl>
          <w:p>
            <w:pPr>
              <w:pStyle w:val="63"/>
            </w:pPr>
            <w:r>
              <w:t>由上表可以得出该项目所产生的各种固体废物均具有良好的处置方法，处置率100%，符合固体废物减量化、资源化、无害化要求，防治措施可行，不会对周围环境产生影响。</w:t>
            </w:r>
          </w:p>
          <w:p>
            <w:pPr>
              <w:adjustRightInd w:val="0"/>
              <w:snapToGrid w:val="0"/>
              <w:spacing w:line="480" w:lineRule="exact"/>
              <w:ind w:firstLine="482" w:firstLineChars="200"/>
              <w:rPr>
                <w:b/>
                <w:bCs/>
                <w:sz w:val="24"/>
              </w:rPr>
            </w:pPr>
            <w:r>
              <w:rPr>
                <w:rFonts w:hint="eastAsia"/>
                <w:b/>
                <w:bCs/>
                <w:sz w:val="24"/>
              </w:rPr>
              <w:t>5、地下水</w:t>
            </w:r>
          </w:p>
          <w:p>
            <w:pPr>
              <w:adjustRightInd w:val="0"/>
              <w:snapToGrid w:val="0"/>
              <w:spacing w:line="480" w:lineRule="exact"/>
              <w:ind w:firstLine="482" w:firstLineChars="200"/>
              <w:rPr>
                <w:b/>
                <w:bCs/>
                <w:sz w:val="24"/>
              </w:rPr>
            </w:pPr>
            <w:r>
              <w:rPr>
                <w:rFonts w:hint="eastAsia"/>
                <w:b/>
                <w:bCs/>
                <w:sz w:val="24"/>
              </w:rPr>
              <w:t>5.1污染源分析</w:t>
            </w:r>
          </w:p>
          <w:p>
            <w:pPr>
              <w:adjustRightInd w:val="0"/>
              <w:snapToGrid w:val="0"/>
              <w:spacing w:line="520" w:lineRule="exact"/>
              <w:ind w:firstLine="480" w:firstLineChars="200"/>
            </w:pPr>
            <w:r>
              <w:rPr>
                <w:rFonts w:hint="eastAsia"/>
                <w:sz w:val="24"/>
              </w:rPr>
              <w:t>本项目地下水污染源主要为车辆冲洗废水、地面冲洗废水、生活污水和食堂废水。车辆</w:t>
            </w:r>
            <w:r>
              <w:rPr>
                <w:sz w:val="24"/>
              </w:rPr>
              <w:t>冲洗废水</w:t>
            </w:r>
            <w:r>
              <w:rPr>
                <w:rFonts w:hint="eastAsia"/>
                <w:sz w:val="24"/>
              </w:rPr>
              <w:t>、地面冲洗废水，其主要污染物浓度分别为COD</w:t>
            </w:r>
            <w:r>
              <w:rPr>
                <w:rFonts w:hint="eastAsia"/>
                <w:sz w:val="24"/>
                <w:vertAlign w:val="subscript"/>
              </w:rPr>
              <w:t>Cr</w:t>
            </w:r>
            <w:r>
              <w:rPr>
                <w:rFonts w:hint="eastAsia"/>
                <w:sz w:val="24"/>
              </w:rPr>
              <w:t>、BOD</w:t>
            </w:r>
            <w:r>
              <w:rPr>
                <w:rFonts w:hint="eastAsia"/>
                <w:sz w:val="24"/>
                <w:vertAlign w:val="subscript"/>
              </w:rPr>
              <w:t>5</w:t>
            </w:r>
            <w:r>
              <w:rPr>
                <w:rFonts w:hint="eastAsia"/>
                <w:sz w:val="24"/>
              </w:rPr>
              <w:t>、SS和石油类；生活污水其主要污染物浓度分别为COD</w:t>
            </w:r>
            <w:r>
              <w:rPr>
                <w:rFonts w:hint="eastAsia"/>
                <w:sz w:val="24"/>
                <w:vertAlign w:val="subscript"/>
              </w:rPr>
              <w:t>Cr</w:t>
            </w:r>
            <w:r>
              <w:rPr>
                <w:rFonts w:hint="eastAsia"/>
                <w:sz w:val="24"/>
              </w:rPr>
              <w:t>、BOD</w:t>
            </w:r>
            <w:r>
              <w:rPr>
                <w:rFonts w:hint="eastAsia"/>
                <w:sz w:val="24"/>
                <w:vertAlign w:val="subscript"/>
              </w:rPr>
              <w:t>5</w:t>
            </w:r>
            <w:r>
              <w:rPr>
                <w:rFonts w:hint="eastAsia"/>
                <w:sz w:val="24"/>
              </w:rPr>
              <w:t>、SS和NH</w:t>
            </w:r>
            <w:r>
              <w:rPr>
                <w:rFonts w:hint="eastAsia"/>
                <w:sz w:val="24"/>
                <w:vertAlign w:val="subscript"/>
              </w:rPr>
              <w:t>3</w:t>
            </w:r>
            <w:r>
              <w:rPr>
                <w:rFonts w:hint="eastAsia"/>
                <w:sz w:val="24"/>
              </w:rPr>
              <w:t>-N；食堂废水其主要污染物浓度分别为COD</w:t>
            </w:r>
            <w:r>
              <w:rPr>
                <w:rFonts w:hint="eastAsia"/>
                <w:sz w:val="24"/>
                <w:vertAlign w:val="subscript"/>
              </w:rPr>
              <w:t>Cr</w:t>
            </w:r>
            <w:r>
              <w:rPr>
                <w:rFonts w:hint="eastAsia"/>
                <w:sz w:val="24"/>
              </w:rPr>
              <w:t>、BOD</w:t>
            </w:r>
            <w:r>
              <w:rPr>
                <w:rFonts w:hint="eastAsia"/>
                <w:sz w:val="24"/>
                <w:vertAlign w:val="subscript"/>
              </w:rPr>
              <w:t>5</w:t>
            </w:r>
            <w:r>
              <w:rPr>
                <w:rFonts w:hint="eastAsia"/>
                <w:sz w:val="24"/>
              </w:rPr>
              <w:t>、SS、NH</w:t>
            </w:r>
            <w:r>
              <w:rPr>
                <w:rFonts w:hint="eastAsia"/>
                <w:sz w:val="24"/>
                <w:vertAlign w:val="subscript"/>
              </w:rPr>
              <w:t>3</w:t>
            </w:r>
            <w:r>
              <w:rPr>
                <w:rFonts w:hint="eastAsia"/>
                <w:sz w:val="24"/>
              </w:rPr>
              <w:t>-N和动植物油。</w:t>
            </w:r>
          </w:p>
          <w:p>
            <w:pPr>
              <w:adjustRightInd w:val="0"/>
              <w:snapToGrid w:val="0"/>
              <w:spacing w:line="480" w:lineRule="exact"/>
              <w:ind w:firstLine="482" w:firstLineChars="200"/>
              <w:rPr>
                <w:b/>
                <w:bCs/>
                <w:sz w:val="24"/>
              </w:rPr>
            </w:pPr>
            <w:r>
              <w:rPr>
                <w:rFonts w:hint="eastAsia"/>
                <w:b/>
                <w:bCs/>
                <w:sz w:val="24"/>
              </w:rPr>
              <w:t>5.2污染防控措施</w:t>
            </w:r>
          </w:p>
          <w:p>
            <w:pPr>
              <w:adjustRightInd w:val="0"/>
              <w:snapToGrid w:val="0"/>
              <w:spacing w:line="520" w:lineRule="exact"/>
              <w:ind w:firstLine="480" w:firstLineChars="200"/>
              <w:rPr>
                <w:sz w:val="24"/>
              </w:rPr>
            </w:pPr>
            <w:r>
              <w:rPr>
                <w:rFonts w:hint="eastAsia"/>
                <w:sz w:val="24"/>
              </w:rPr>
              <w:t>本项目洗车、地面冲洗废水，主要含石油类、SS，经厂区自设隔油沉淀池处理后排入厂区内</w:t>
            </w:r>
            <w:r>
              <w:rPr>
                <w:rFonts w:hint="eastAsia"/>
                <w:sz w:val="24"/>
                <w:lang w:val="en-US" w:eastAsia="zh-CN"/>
              </w:rPr>
              <w:t>污水处理设施</w:t>
            </w:r>
            <w:r>
              <w:rPr>
                <w:rFonts w:hint="eastAsia"/>
                <w:sz w:val="24"/>
              </w:rPr>
              <w:t>，</w:t>
            </w:r>
            <w:r>
              <w:rPr>
                <w:rFonts w:hint="eastAsia"/>
                <w:sz w:val="24"/>
                <w:lang w:val="en-US" w:eastAsia="zh-CN"/>
              </w:rPr>
              <w:t>经处理后用于厂区及周边绿化带绿化</w:t>
            </w:r>
            <w:r>
              <w:rPr>
                <w:rFonts w:hint="eastAsia"/>
                <w:sz w:val="24"/>
              </w:rPr>
              <w:t>；食堂废水经隔油池处理后</w:t>
            </w:r>
            <w:r>
              <w:rPr>
                <w:rFonts w:hint="eastAsia"/>
                <w:sz w:val="24"/>
                <w:lang w:val="en-US" w:eastAsia="zh-CN"/>
              </w:rPr>
              <w:t>同生活污水一起</w:t>
            </w:r>
            <w:r>
              <w:rPr>
                <w:rFonts w:hint="eastAsia"/>
                <w:sz w:val="24"/>
              </w:rPr>
              <w:t>排入厂区内</w:t>
            </w:r>
            <w:r>
              <w:rPr>
                <w:rFonts w:hint="eastAsia"/>
                <w:sz w:val="24"/>
                <w:lang w:val="en-US" w:eastAsia="zh-CN"/>
              </w:rPr>
              <w:t>污水处理设施</w:t>
            </w:r>
            <w:r>
              <w:rPr>
                <w:rFonts w:hint="eastAsia"/>
                <w:sz w:val="24"/>
              </w:rPr>
              <w:t>，</w:t>
            </w:r>
            <w:r>
              <w:rPr>
                <w:rFonts w:hint="eastAsia"/>
                <w:sz w:val="24"/>
                <w:lang w:val="en-US" w:eastAsia="zh-CN"/>
              </w:rPr>
              <w:t>经处理后用于厂区及周边绿化带绿化</w:t>
            </w:r>
            <w:r>
              <w:rPr>
                <w:rFonts w:hint="eastAsia"/>
                <w:sz w:val="24"/>
              </w:rPr>
              <w:t>。</w:t>
            </w:r>
          </w:p>
          <w:p>
            <w:pPr>
              <w:adjustRightInd w:val="0"/>
              <w:snapToGrid w:val="0"/>
              <w:spacing w:line="480" w:lineRule="exact"/>
              <w:ind w:firstLine="482" w:firstLineChars="200"/>
              <w:rPr>
                <w:b/>
                <w:bCs/>
                <w:sz w:val="24"/>
              </w:rPr>
            </w:pPr>
            <w:r>
              <w:rPr>
                <w:rFonts w:hint="eastAsia"/>
                <w:b/>
                <w:bCs/>
                <w:sz w:val="24"/>
              </w:rPr>
              <w:t>5.3分区防渗要求</w:t>
            </w:r>
          </w:p>
          <w:p>
            <w:pPr>
              <w:adjustRightInd w:val="0"/>
              <w:snapToGrid w:val="0"/>
              <w:spacing w:line="520" w:lineRule="exact"/>
              <w:ind w:firstLine="480" w:firstLineChars="200"/>
              <w:rPr>
                <w:sz w:val="24"/>
              </w:rPr>
            </w:pPr>
            <w:r>
              <w:rPr>
                <w:rFonts w:hint="eastAsia"/>
                <w:sz w:val="24"/>
              </w:rPr>
              <w:t>根据可能泄漏至地面的污染物的性质和生产单元的构建方式，结合项目总平面布置情况，将厂区各生产、生活功能单元可能产生污染的地区划分为重点防渗区、一般防渗区。对厂区可能泄漏污染物的地面进行防渗处理，可有效防治污染物渗入地下，并及时地将泄漏/渗漏的污染物收集并进行集中处理。</w:t>
            </w:r>
          </w:p>
          <w:p>
            <w:pPr>
              <w:adjustRightInd w:val="0"/>
              <w:snapToGrid w:val="0"/>
              <w:spacing w:line="520" w:lineRule="exact"/>
              <w:ind w:firstLine="480" w:firstLineChars="200"/>
              <w:rPr>
                <w:sz w:val="24"/>
              </w:rPr>
            </w:pPr>
            <w:r>
              <w:rPr>
                <w:rFonts w:hint="eastAsia"/>
                <w:sz w:val="24"/>
              </w:rPr>
              <w:t>本环评要求企业采取以下环保措施避免对地下水造成污染：</w:t>
            </w:r>
          </w:p>
          <w:p>
            <w:pPr>
              <w:adjustRightInd w:val="0"/>
              <w:snapToGrid w:val="0"/>
              <w:spacing w:line="520" w:lineRule="exact"/>
              <w:ind w:firstLine="480" w:firstLineChars="200"/>
              <w:rPr>
                <w:sz w:val="24"/>
              </w:rPr>
            </w:pPr>
            <w:r>
              <w:rPr>
                <w:rFonts w:hint="eastAsia"/>
                <w:sz w:val="24"/>
              </w:rPr>
              <w:t>（1）车间内地面等全部硬化，并做好防渗措施；</w:t>
            </w:r>
          </w:p>
          <w:p>
            <w:pPr>
              <w:adjustRightInd w:val="0"/>
              <w:snapToGrid w:val="0"/>
              <w:spacing w:line="520" w:lineRule="exact"/>
              <w:ind w:firstLine="480" w:firstLineChars="200"/>
              <w:rPr>
                <w:sz w:val="24"/>
              </w:rPr>
            </w:pPr>
            <w:r>
              <w:rPr>
                <w:rFonts w:hint="eastAsia"/>
                <w:sz w:val="24"/>
              </w:rPr>
              <w:t>（2）做好地面防渗，以及装置、管道的密封防漏工作，定期检查、维修和及时更新；</w:t>
            </w:r>
          </w:p>
          <w:p>
            <w:pPr>
              <w:adjustRightInd w:val="0"/>
              <w:snapToGrid w:val="0"/>
              <w:spacing w:line="520" w:lineRule="exact"/>
              <w:ind w:firstLine="480" w:firstLineChars="200"/>
              <w:rPr>
                <w:sz w:val="24"/>
              </w:rPr>
            </w:pPr>
            <w:r>
              <w:rPr>
                <w:rFonts w:hint="eastAsia"/>
                <w:sz w:val="24"/>
              </w:rPr>
              <w:t>（3）柴油储罐，采用高标号水泥混凝土硬化和防渗，防止废水对地下水的影响本项目地下水实施分区分级污染防治，对厂区严格划分污染区和非污染区，根据《石油化工工程防渗技术规范》（GB/T 50934-2013），项目区分为一般防渗结构区、重点防渗结构区。</w:t>
            </w:r>
          </w:p>
          <w:p>
            <w:pPr>
              <w:adjustRightInd w:val="0"/>
              <w:snapToGrid w:val="0"/>
              <w:spacing w:line="520" w:lineRule="exact"/>
              <w:ind w:firstLine="480" w:firstLineChars="200"/>
              <w:rPr>
                <w:sz w:val="24"/>
              </w:rPr>
            </w:pPr>
            <w:r>
              <w:rPr>
                <w:rFonts w:hint="eastAsia"/>
                <w:sz w:val="24"/>
              </w:rPr>
              <w:t>1）防渗结构区</w:t>
            </w:r>
          </w:p>
          <w:p>
            <w:pPr>
              <w:adjustRightInd w:val="0"/>
              <w:snapToGrid w:val="0"/>
              <w:spacing w:line="520" w:lineRule="exact"/>
              <w:ind w:firstLine="480" w:firstLineChars="200"/>
              <w:rPr>
                <w:sz w:val="24"/>
              </w:rPr>
            </w:pPr>
            <w:r>
              <w:rPr>
                <w:rFonts w:hint="eastAsia"/>
                <w:sz w:val="24"/>
              </w:rPr>
              <w:t>一般防渗结构区主要为厂区道路、混装车维修间、综合材料库及维修工房，地面硬化处理，并按照相关要求设置防渗层，可选用天然或人工材料构筑防渗层，防渗层的防渗性能不应低于1.5m厚渗透系数为1.0×10</w:t>
            </w:r>
            <w:r>
              <w:rPr>
                <w:rFonts w:hint="eastAsia"/>
                <w:sz w:val="24"/>
                <w:vertAlign w:val="superscript"/>
              </w:rPr>
              <w:t>-7</w:t>
            </w:r>
            <w:r>
              <w:rPr>
                <w:rFonts w:hint="eastAsia"/>
                <w:sz w:val="24"/>
              </w:rPr>
              <w:t>cm/s的等效黏土层的防渗性能。</w:t>
            </w:r>
          </w:p>
          <w:p>
            <w:pPr>
              <w:adjustRightInd w:val="0"/>
              <w:snapToGrid w:val="0"/>
              <w:spacing w:line="520" w:lineRule="exact"/>
              <w:ind w:firstLine="480" w:firstLineChars="200"/>
              <w:rPr>
                <w:sz w:val="24"/>
              </w:rPr>
            </w:pPr>
            <w:r>
              <w:rPr>
                <w:rFonts w:hint="eastAsia"/>
                <w:sz w:val="24"/>
              </w:rPr>
              <w:t>2）重点防渗结构区</w:t>
            </w:r>
          </w:p>
          <w:p>
            <w:pPr>
              <w:adjustRightInd w:val="0"/>
              <w:snapToGrid w:val="0"/>
              <w:spacing w:line="520" w:lineRule="exact"/>
              <w:ind w:firstLine="480" w:firstLineChars="200"/>
              <w:rPr>
                <w:sz w:val="24"/>
              </w:rPr>
            </w:pPr>
            <w:r>
              <w:rPr>
                <w:rFonts w:hint="eastAsia"/>
                <w:sz w:val="24"/>
              </w:rPr>
              <w:t>重点污染防渗区主要包括柴油储罐区、隔油沉淀池、危废暂存间、</w:t>
            </w:r>
            <w:r>
              <w:rPr>
                <w:rFonts w:hint="eastAsia"/>
                <w:sz w:val="24"/>
                <w:lang w:val="en-US" w:eastAsia="zh-CN"/>
              </w:rPr>
              <w:t>污水处理设施区域</w:t>
            </w:r>
            <w:r>
              <w:rPr>
                <w:rFonts w:hint="eastAsia"/>
                <w:sz w:val="24"/>
              </w:rPr>
              <w:t>等。</w:t>
            </w:r>
          </w:p>
          <w:p>
            <w:pPr>
              <w:adjustRightInd w:val="0"/>
              <w:snapToGrid w:val="0"/>
              <w:spacing w:line="520" w:lineRule="exact"/>
              <w:ind w:firstLine="480" w:firstLineChars="200"/>
              <w:rPr>
                <w:sz w:val="24"/>
              </w:rPr>
            </w:pPr>
            <w:r>
              <w:rPr>
                <w:rFonts w:hint="eastAsia"/>
                <w:sz w:val="24"/>
              </w:rPr>
              <w:t>重点污染防治区防止地下水污染层的防止地下水污染性能应不低于6m厚渗透系数为1.0×10</w:t>
            </w:r>
            <w:r>
              <w:rPr>
                <w:rFonts w:hint="eastAsia"/>
                <w:sz w:val="24"/>
                <w:vertAlign w:val="superscript"/>
              </w:rPr>
              <w:t>-7</w:t>
            </w:r>
            <w:r>
              <w:rPr>
                <w:rFonts w:hint="eastAsia"/>
                <w:sz w:val="24"/>
              </w:rPr>
              <w:t>cm/s的粘土层。</w:t>
            </w:r>
          </w:p>
          <w:p>
            <w:pPr>
              <w:adjustRightInd w:val="0"/>
              <w:snapToGrid w:val="0"/>
              <w:spacing w:line="520" w:lineRule="exact"/>
              <w:ind w:firstLine="480" w:firstLineChars="200"/>
              <w:rPr>
                <w:sz w:val="24"/>
              </w:rPr>
            </w:pPr>
            <w:r>
              <w:rPr>
                <w:rFonts w:hint="eastAsia"/>
                <w:sz w:val="24"/>
              </w:rPr>
              <w:t>生活区采用水泥硬化，除上述区域外的场区，按常规建筑结构要求进行地面处理。</w:t>
            </w:r>
          </w:p>
          <w:p>
            <w:pPr>
              <w:adjustRightInd w:val="0"/>
              <w:snapToGrid w:val="0"/>
              <w:spacing w:line="520" w:lineRule="exact"/>
              <w:ind w:firstLine="480" w:firstLineChars="200"/>
              <w:rPr>
                <w:sz w:val="24"/>
              </w:rPr>
            </w:pPr>
            <w:r>
              <w:rPr>
                <w:rFonts w:hint="eastAsia"/>
                <w:sz w:val="24"/>
              </w:rPr>
              <w:t>本项目全厂污染防治分区情况详见表4-1</w:t>
            </w:r>
            <w:r>
              <w:rPr>
                <w:rFonts w:hint="eastAsia"/>
                <w:sz w:val="24"/>
                <w:lang w:val="en-US" w:eastAsia="zh-CN"/>
              </w:rPr>
              <w:t>3</w:t>
            </w:r>
            <w:r>
              <w:rPr>
                <w:rFonts w:hint="eastAsia"/>
                <w:sz w:val="24"/>
              </w:rPr>
              <w:t>。</w:t>
            </w:r>
          </w:p>
          <w:p>
            <w:pPr>
              <w:widowControl/>
              <w:ind w:firstLine="480" w:firstLineChars="200"/>
              <w:jc w:val="center"/>
              <w:rPr>
                <w:rFonts w:eastAsia="黑体"/>
                <w:sz w:val="24"/>
              </w:rPr>
            </w:pPr>
            <w:r>
              <w:rPr>
                <w:rFonts w:hint="eastAsia" w:eastAsia="黑体"/>
                <w:sz w:val="24"/>
              </w:rPr>
              <w:t>表4-1</w:t>
            </w:r>
            <w:r>
              <w:rPr>
                <w:rFonts w:hint="eastAsia" w:eastAsia="黑体"/>
                <w:sz w:val="24"/>
                <w:lang w:val="en-US" w:eastAsia="zh-CN"/>
              </w:rPr>
              <w:t>3</w:t>
            </w:r>
            <w:r>
              <w:rPr>
                <w:rFonts w:hint="eastAsia" w:eastAsia="黑体"/>
                <w:sz w:val="24"/>
              </w:rPr>
              <w:t xml:space="preserve">  本项目地下水污染防治分区情况表</w:t>
            </w:r>
          </w:p>
          <w:tbl>
            <w:tblPr>
              <w:tblStyle w:val="30"/>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71"/>
              <w:gridCol w:w="68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5" w:type="pct"/>
                  <w:tcBorders>
                    <w:tl2br w:val="nil"/>
                    <w:tr2bl w:val="nil"/>
                  </w:tcBorders>
                </w:tcPr>
                <w:p>
                  <w:pPr>
                    <w:pStyle w:val="20"/>
                    <w:jc w:val="center"/>
                  </w:pPr>
                  <w:r>
                    <w:rPr>
                      <w:rFonts w:hint="eastAsia"/>
                    </w:rPr>
                    <w:t>名称</w:t>
                  </w:r>
                </w:p>
              </w:tc>
              <w:tc>
                <w:tcPr>
                  <w:tcW w:w="3754" w:type="pct"/>
                  <w:tcBorders>
                    <w:tl2br w:val="nil"/>
                    <w:tr2bl w:val="nil"/>
                  </w:tcBorders>
                </w:tcPr>
                <w:p>
                  <w:pPr>
                    <w:pStyle w:val="20"/>
                    <w:jc w:val="center"/>
                  </w:pPr>
                  <w:r>
                    <w:rPr>
                      <w:rFonts w:hint="eastAsia"/>
                    </w:rPr>
                    <w:t>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5" w:type="pct"/>
                  <w:tcBorders>
                    <w:tl2br w:val="nil"/>
                    <w:tr2bl w:val="nil"/>
                  </w:tcBorders>
                </w:tcPr>
                <w:p>
                  <w:pPr>
                    <w:pStyle w:val="20"/>
                    <w:jc w:val="center"/>
                  </w:pPr>
                  <w:r>
                    <w:rPr>
                      <w:rFonts w:hint="eastAsia"/>
                    </w:rPr>
                    <w:t>重点防渗区</w:t>
                  </w:r>
                </w:p>
              </w:tc>
              <w:tc>
                <w:tcPr>
                  <w:tcW w:w="3754" w:type="pct"/>
                  <w:tcBorders>
                    <w:tl2br w:val="nil"/>
                    <w:tr2bl w:val="nil"/>
                  </w:tcBorders>
                </w:tcPr>
                <w:p>
                  <w:pPr>
                    <w:pStyle w:val="20"/>
                    <w:jc w:val="center"/>
                  </w:pPr>
                  <w:r>
                    <w:rPr>
                      <w:rFonts w:hint="eastAsia"/>
                    </w:rPr>
                    <w:t>柴油储罐区、隔油沉淀池、危废暂存间、</w:t>
                  </w:r>
                  <w:r>
                    <w:rPr>
                      <w:rFonts w:hint="eastAsia"/>
                      <w:lang w:val="en-US" w:eastAsia="zh-CN"/>
                    </w:rPr>
                    <w:t>污水处理设施区域</w:t>
                  </w:r>
                  <w:r>
                    <w:rPr>
                      <w:rFonts w:hint="eastAsia"/>
                    </w:rPr>
                    <w:t>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5" w:type="pct"/>
                  <w:tcBorders>
                    <w:tl2br w:val="nil"/>
                    <w:tr2bl w:val="nil"/>
                  </w:tcBorders>
                </w:tcPr>
                <w:p>
                  <w:pPr>
                    <w:pStyle w:val="20"/>
                    <w:jc w:val="center"/>
                  </w:pPr>
                  <w:r>
                    <w:rPr>
                      <w:rFonts w:hint="eastAsia"/>
                    </w:rPr>
                    <w:t>一般防渗区</w:t>
                  </w:r>
                </w:p>
              </w:tc>
              <w:tc>
                <w:tcPr>
                  <w:tcW w:w="3754" w:type="pct"/>
                  <w:tcBorders>
                    <w:tl2br w:val="nil"/>
                    <w:tr2bl w:val="nil"/>
                  </w:tcBorders>
                </w:tcPr>
                <w:p>
                  <w:pPr>
                    <w:pStyle w:val="20"/>
                    <w:jc w:val="center"/>
                  </w:pPr>
                  <w:r>
                    <w:rPr>
                      <w:rFonts w:hint="eastAsia"/>
                    </w:rPr>
                    <w:t>厂区道路、混装车维修间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5" w:type="pct"/>
                  <w:tcBorders>
                    <w:tl2br w:val="nil"/>
                    <w:tr2bl w:val="nil"/>
                  </w:tcBorders>
                </w:tcPr>
                <w:p>
                  <w:pPr>
                    <w:pStyle w:val="20"/>
                    <w:jc w:val="center"/>
                  </w:pPr>
                  <w:r>
                    <w:rPr>
                      <w:rFonts w:hint="eastAsia"/>
                    </w:rPr>
                    <w:t>非防渗区</w:t>
                  </w:r>
                </w:p>
              </w:tc>
              <w:tc>
                <w:tcPr>
                  <w:tcW w:w="3754" w:type="pct"/>
                  <w:tcBorders>
                    <w:tl2br w:val="nil"/>
                    <w:tr2bl w:val="nil"/>
                  </w:tcBorders>
                </w:tcPr>
                <w:p>
                  <w:pPr>
                    <w:pStyle w:val="20"/>
                    <w:jc w:val="center"/>
                  </w:pPr>
                  <w:r>
                    <w:rPr>
                      <w:rFonts w:hint="eastAsia"/>
                    </w:rPr>
                    <w:t>办公楼、门卫等</w:t>
                  </w:r>
                </w:p>
              </w:tc>
            </w:tr>
          </w:tbl>
          <w:p>
            <w:pPr>
              <w:adjustRightInd w:val="0"/>
              <w:snapToGrid w:val="0"/>
              <w:spacing w:line="480" w:lineRule="exact"/>
              <w:ind w:firstLine="482" w:firstLineChars="200"/>
              <w:rPr>
                <w:b/>
                <w:bCs/>
                <w:sz w:val="24"/>
              </w:rPr>
            </w:pPr>
            <w:r>
              <w:rPr>
                <w:rFonts w:hint="eastAsia"/>
                <w:b/>
                <w:bCs/>
                <w:sz w:val="24"/>
              </w:rPr>
              <w:t>5.4跟踪监测计划</w:t>
            </w:r>
          </w:p>
          <w:p>
            <w:pPr>
              <w:adjustRightInd w:val="0"/>
              <w:snapToGrid w:val="0"/>
              <w:spacing w:line="520" w:lineRule="exact"/>
              <w:ind w:firstLine="480" w:firstLineChars="200"/>
              <w:rPr>
                <w:sz w:val="24"/>
              </w:rPr>
            </w:pPr>
            <w:r>
              <w:rPr>
                <w:rFonts w:hint="eastAsia"/>
                <w:sz w:val="24"/>
              </w:rPr>
              <w:t>地下水跟踪监测计划见下表。</w:t>
            </w:r>
          </w:p>
          <w:p>
            <w:pPr>
              <w:widowControl/>
              <w:ind w:firstLine="480" w:firstLineChars="200"/>
              <w:jc w:val="center"/>
              <w:rPr>
                <w:rFonts w:eastAsia="黑体"/>
                <w:sz w:val="24"/>
              </w:rPr>
            </w:pPr>
            <w:r>
              <w:rPr>
                <w:rFonts w:hint="eastAsia" w:eastAsia="黑体"/>
                <w:sz w:val="24"/>
              </w:rPr>
              <w:t>表4-1</w:t>
            </w:r>
            <w:r>
              <w:rPr>
                <w:rFonts w:hint="eastAsia" w:eastAsia="黑体"/>
                <w:sz w:val="24"/>
                <w:lang w:val="en-US" w:eastAsia="zh-CN"/>
              </w:rPr>
              <w:t>4</w:t>
            </w:r>
            <w:r>
              <w:rPr>
                <w:rFonts w:hint="eastAsia" w:eastAsia="黑体"/>
                <w:sz w:val="24"/>
              </w:rPr>
              <w:t xml:space="preserve">  本项目地下水环境监测计划</w:t>
            </w:r>
          </w:p>
          <w:tbl>
            <w:tblPr>
              <w:tblStyle w:val="3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0"/>
              <w:gridCol w:w="1631"/>
              <w:gridCol w:w="3063"/>
              <w:gridCol w:w="1682"/>
              <w:gridCol w:w="15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6" w:type="pct"/>
                  <w:tcBorders>
                    <w:tl2br w:val="nil"/>
                    <w:tr2bl w:val="nil"/>
                  </w:tcBorders>
                  <w:vAlign w:val="center"/>
                </w:tcPr>
                <w:p>
                  <w:pPr>
                    <w:pStyle w:val="20"/>
                    <w:jc w:val="center"/>
                    <w:rPr>
                      <w:rFonts w:ascii="Times New Roman" w:hAnsi="Times New Roman"/>
                      <w:szCs w:val="21"/>
                    </w:rPr>
                  </w:pPr>
                  <w:r>
                    <w:rPr>
                      <w:rFonts w:ascii="Times New Roman" w:hAnsi="Times New Roman"/>
                      <w:szCs w:val="21"/>
                    </w:rPr>
                    <w:t>类别</w:t>
                  </w:r>
                </w:p>
              </w:tc>
              <w:tc>
                <w:tcPr>
                  <w:tcW w:w="894" w:type="pct"/>
                  <w:tcBorders>
                    <w:tl2br w:val="nil"/>
                    <w:tr2bl w:val="nil"/>
                  </w:tcBorders>
                  <w:vAlign w:val="center"/>
                </w:tcPr>
                <w:p>
                  <w:pPr>
                    <w:pStyle w:val="20"/>
                    <w:jc w:val="center"/>
                    <w:rPr>
                      <w:rFonts w:ascii="Times New Roman" w:hAnsi="Times New Roman"/>
                      <w:szCs w:val="21"/>
                    </w:rPr>
                  </w:pPr>
                  <w:r>
                    <w:rPr>
                      <w:rFonts w:ascii="Times New Roman" w:hAnsi="Times New Roman"/>
                      <w:szCs w:val="21"/>
                    </w:rPr>
                    <w:t>监测对象</w:t>
                  </w:r>
                </w:p>
              </w:tc>
              <w:tc>
                <w:tcPr>
                  <w:tcW w:w="1679" w:type="pct"/>
                  <w:tcBorders>
                    <w:tl2br w:val="nil"/>
                    <w:tr2bl w:val="nil"/>
                  </w:tcBorders>
                  <w:vAlign w:val="center"/>
                </w:tcPr>
                <w:p>
                  <w:pPr>
                    <w:pStyle w:val="20"/>
                    <w:jc w:val="center"/>
                    <w:rPr>
                      <w:rFonts w:ascii="Times New Roman" w:hAnsi="Times New Roman"/>
                      <w:szCs w:val="21"/>
                    </w:rPr>
                  </w:pPr>
                  <w:r>
                    <w:rPr>
                      <w:rFonts w:ascii="Times New Roman" w:hAnsi="Times New Roman"/>
                      <w:szCs w:val="21"/>
                    </w:rPr>
                    <w:t>监测项目</w:t>
                  </w:r>
                </w:p>
              </w:tc>
              <w:tc>
                <w:tcPr>
                  <w:tcW w:w="922" w:type="pct"/>
                  <w:tcBorders>
                    <w:tl2br w:val="nil"/>
                    <w:tr2bl w:val="nil"/>
                  </w:tcBorders>
                  <w:vAlign w:val="center"/>
                </w:tcPr>
                <w:p>
                  <w:pPr>
                    <w:pStyle w:val="20"/>
                    <w:jc w:val="center"/>
                    <w:rPr>
                      <w:rFonts w:ascii="Times New Roman" w:hAnsi="Times New Roman"/>
                      <w:szCs w:val="21"/>
                    </w:rPr>
                  </w:pPr>
                  <w:r>
                    <w:rPr>
                      <w:rFonts w:ascii="Times New Roman" w:hAnsi="Times New Roman"/>
                      <w:szCs w:val="21"/>
                    </w:rPr>
                    <w:t>监测频率</w:t>
                  </w:r>
                </w:p>
              </w:tc>
              <w:tc>
                <w:tcPr>
                  <w:tcW w:w="866" w:type="pct"/>
                  <w:tcBorders>
                    <w:tl2br w:val="nil"/>
                    <w:tr2bl w:val="nil"/>
                  </w:tcBorders>
                </w:tcPr>
                <w:p>
                  <w:pPr>
                    <w:pStyle w:val="20"/>
                    <w:jc w:val="center"/>
                    <w:rPr>
                      <w:rFonts w:ascii="Times New Roman" w:hAnsi="Times New Roman"/>
                      <w:szCs w:val="21"/>
                    </w:rPr>
                  </w:pPr>
                  <w:r>
                    <w:rPr>
                      <w:rFonts w:ascii="Times New Roman" w:hAnsi="Times New Roman"/>
                      <w:szCs w:val="21"/>
                    </w:rPr>
                    <w:t>监测方式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6" w:type="pct"/>
                  <w:tcBorders>
                    <w:tl2br w:val="nil"/>
                    <w:tr2bl w:val="nil"/>
                  </w:tcBorders>
                  <w:vAlign w:val="center"/>
                </w:tcPr>
                <w:p>
                  <w:pPr>
                    <w:pStyle w:val="20"/>
                    <w:jc w:val="center"/>
                    <w:rPr>
                      <w:rFonts w:ascii="Times New Roman" w:hAnsi="Times New Roman"/>
                      <w:szCs w:val="21"/>
                    </w:rPr>
                  </w:pPr>
                  <w:r>
                    <w:rPr>
                      <w:rFonts w:ascii="Times New Roman" w:hAnsi="Times New Roman"/>
                      <w:szCs w:val="21"/>
                    </w:rPr>
                    <w:t>环境质量监测</w:t>
                  </w:r>
                </w:p>
              </w:tc>
              <w:tc>
                <w:tcPr>
                  <w:tcW w:w="894" w:type="pct"/>
                  <w:tcBorders>
                    <w:tl2br w:val="nil"/>
                    <w:tr2bl w:val="nil"/>
                  </w:tcBorders>
                  <w:vAlign w:val="center"/>
                </w:tcPr>
                <w:p>
                  <w:pPr>
                    <w:pStyle w:val="20"/>
                    <w:jc w:val="center"/>
                    <w:rPr>
                      <w:rFonts w:ascii="Times New Roman" w:hAnsi="Times New Roman"/>
                      <w:szCs w:val="21"/>
                    </w:rPr>
                  </w:pPr>
                  <w:r>
                    <w:rPr>
                      <w:rFonts w:ascii="Times New Roman" w:hAnsi="Times New Roman"/>
                      <w:szCs w:val="21"/>
                    </w:rPr>
                    <w:t>厂区下游地下水监测井</w:t>
                  </w:r>
                </w:p>
              </w:tc>
              <w:tc>
                <w:tcPr>
                  <w:tcW w:w="1679" w:type="pct"/>
                  <w:tcBorders>
                    <w:tl2br w:val="nil"/>
                    <w:tr2bl w:val="nil"/>
                  </w:tcBorders>
                  <w:vAlign w:val="center"/>
                </w:tcPr>
                <w:p>
                  <w:pPr>
                    <w:pStyle w:val="20"/>
                    <w:jc w:val="center"/>
                    <w:rPr>
                      <w:rFonts w:ascii="Times New Roman" w:hAnsi="Times New Roman"/>
                      <w:szCs w:val="21"/>
                    </w:rPr>
                  </w:pPr>
                  <w:r>
                    <w:rPr>
                      <w:rFonts w:ascii="Times New Roman" w:hAnsi="Times New Roman"/>
                      <w:szCs w:val="21"/>
                    </w:rPr>
                    <w:t>pH、石油类、总硬度、溶</w:t>
                  </w:r>
                </w:p>
                <w:p>
                  <w:pPr>
                    <w:pStyle w:val="20"/>
                    <w:jc w:val="center"/>
                    <w:rPr>
                      <w:rFonts w:ascii="Times New Roman" w:hAnsi="Times New Roman"/>
                      <w:szCs w:val="21"/>
                    </w:rPr>
                  </w:pPr>
                  <w:r>
                    <w:rPr>
                      <w:rFonts w:ascii="Times New Roman" w:hAnsi="Times New Roman"/>
                      <w:szCs w:val="21"/>
                    </w:rPr>
                    <w:t>解性总固体、高锰酸盐指</w:t>
                  </w:r>
                </w:p>
                <w:p>
                  <w:pPr>
                    <w:pStyle w:val="20"/>
                    <w:jc w:val="center"/>
                    <w:rPr>
                      <w:rFonts w:ascii="Times New Roman" w:hAnsi="Times New Roman"/>
                      <w:szCs w:val="21"/>
                    </w:rPr>
                  </w:pPr>
                  <w:r>
                    <w:rPr>
                      <w:rFonts w:ascii="Times New Roman" w:hAnsi="Times New Roman"/>
                      <w:szCs w:val="21"/>
                    </w:rPr>
                    <w:t>数、挥发酚</w:t>
                  </w:r>
                </w:p>
              </w:tc>
              <w:tc>
                <w:tcPr>
                  <w:tcW w:w="922" w:type="pct"/>
                  <w:tcBorders>
                    <w:tl2br w:val="nil"/>
                    <w:tr2bl w:val="nil"/>
                  </w:tcBorders>
                  <w:vAlign w:val="center"/>
                </w:tcPr>
                <w:p>
                  <w:pPr>
                    <w:pStyle w:val="20"/>
                    <w:jc w:val="center"/>
                    <w:rPr>
                      <w:rFonts w:ascii="Times New Roman" w:hAnsi="Times New Roman"/>
                      <w:szCs w:val="21"/>
                    </w:rPr>
                  </w:pPr>
                  <w:r>
                    <w:rPr>
                      <w:rFonts w:ascii="Times New Roman" w:hAnsi="Times New Roman"/>
                      <w:szCs w:val="21"/>
                    </w:rPr>
                    <w:t>间断监测</w:t>
                  </w:r>
                </w:p>
                <w:p>
                  <w:pPr>
                    <w:pStyle w:val="20"/>
                    <w:jc w:val="center"/>
                    <w:rPr>
                      <w:rFonts w:ascii="Times New Roman" w:hAnsi="Times New Roman"/>
                      <w:szCs w:val="21"/>
                    </w:rPr>
                  </w:pPr>
                  <w:r>
                    <w:rPr>
                      <w:rFonts w:ascii="Times New Roman" w:hAnsi="Times New Roman"/>
                      <w:szCs w:val="21"/>
                    </w:rPr>
                    <w:t>每年 1 次</w:t>
                  </w:r>
                </w:p>
              </w:tc>
              <w:tc>
                <w:tcPr>
                  <w:tcW w:w="866" w:type="pct"/>
                  <w:vMerge w:val="restart"/>
                  <w:tcBorders>
                    <w:tl2br w:val="nil"/>
                    <w:tr2bl w:val="nil"/>
                  </w:tcBorders>
                  <w:vAlign w:val="center"/>
                </w:tcPr>
                <w:p>
                  <w:pPr>
                    <w:pStyle w:val="20"/>
                    <w:jc w:val="center"/>
                    <w:rPr>
                      <w:rFonts w:ascii="Times New Roman" w:hAnsi="Times New Roman"/>
                      <w:szCs w:val="21"/>
                    </w:rPr>
                  </w:pPr>
                  <w:r>
                    <w:rPr>
                      <w:rFonts w:ascii="Times New Roman" w:hAnsi="Times New Roman"/>
                      <w:szCs w:val="21"/>
                    </w:rPr>
                    <w:t>委托第三方监测单位监测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636" w:type="pct"/>
                  <w:tcBorders>
                    <w:tl2br w:val="nil"/>
                    <w:tr2bl w:val="nil"/>
                  </w:tcBorders>
                  <w:vAlign w:val="center"/>
                </w:tcPr>
                <w:p>
                  <w:pPr>
                    <w:pStyle w:val="20"/>
                    <w:jc w:val="center"/>
                    <w:rPr>
                      <w:rFonts w:ascii="Times New Roman" w:hAnsi="Times New Roman"/>
                      <w:szCs w:val="21"/>
                    </w:rPr>
                  </w:pPr>
                  <w:r>
                    <w:rPr>
                      <w:rFonts w:ascii="Times New Roman" w:hAnsi="Times New Roman"/>
                      <w:szCs w:val="21"/>
                    </w:rPr>
                    <w:t>污染源监测</w:t>
                  </w:r>
                </w:p>
              </w:tc>
              <w:tc>
                <w:tcPr>
                  <w:tcW w:w="894" w:type="pct"/>
                  <w:tcBorders>
                    <w:tl2br w:val="nil"/>
                    <w:tr2bl w:val="nil"/>
                  </w:tcBorders>
                  <w:vAlign w:val="center"/>
                </w:tcPr>
                <w:p>
                  <w:pPr>
                    <w:pStyle w:val="20"/>
                    <w:jc w:val="center"/>
                    <w:rPr>
                      <w:rFonts w:ascii="Times New Roman" w:hAnsi="Times New Roman"/>
                      <w:szCs w:val="21"/>
                    </w:rPr>
                  </w:pPr>
                  <w:r>
                    <w:rPr>
                      <w:rFonts w:ascii="Times New Roman" w:hAnsi="Times New Roman"/>
                      <w:szCs w:val="21"/>
                    </w:rPr>
                    <w:t>厂区总排</w:t>
                  </w:r>
                </w:p>
                <w:p>
                  <w:pPr>
                    <w:pStyle w:val="20"/>
                    <w:jc w:val="center"/>
                    <w:rPr>
                      <w:rFonts w:ascii="Times New Roman" w:hAnsi="Times New Roman"/>
                      <w:szCs w:val="21"/>
                    </w:rPr>
                  </w:pPr>
                  <w:r>
                    <w:rPr>
                      <w:rFonts w:ascii="Times New Roman" w:hAnsi="Times New Roman"/>
                      <w:szCs w:val="21"/>
                    </w:rPr>
                    <w:t>放口</w:t>
                  </w:r>
                </w:p>
              </w:tc>
              <w:tc>
                <w:tcPr>
                  <w:tcW w:w="1679" w:type="pct"/>
                  <w:tcBorders>
                    <w:tl2br w:val="nil"/>
                    <w:tr2bl w:val="nil"/>
                  </w:tcBorders>
                  <w:vAlign w:val="center"/>
                </w:tcPr>
                <w:p>
                  <w:pPr>
                    <w:pStyle w:val="20"/>
                    <w:jc w:val="center"/>
                    <w:rPr>
                      <w:rFonts w:ascii="Times New Roman" w:hAnsi="Times New Roman"/>
                      <w:szCs w:val="21"/>
                    </w:rPr>
                  </w:pPr>
                  <w:r>
                    <w:rPr>
                      <w:rFonts w:hint="eastAsia" w:ascii="Times New Roman" w:hAnsi="Times New Roman"/>
                      <w:szCs w:val="21"/>
                    </w:rPr>
                    <w:t>pH、</w:t>
                  </w:r>
                  <w:r>
                    <w:rPr>
                      <w:rFonts w:ascii="Times New Roman" w:hAnsi="Times New Roman"/>
                      <w:szCs w:val="21"/>
                    </w:rPr>
                    <w:t>COD</w:t>
                  </w:r>
                  <w:r>
                    <w:rPr>
                      <w:rFonts w:hint="eastAsia" w:ascii="Times New Roman" w:hAnsi="Times New Roman"/>
                      <w:szCs w:val="21"/>
                      <w:vertAlign w:val="subscript"/>
                    </w:rPr>
                    <w:t>cr</w:t>
                  </w:r>
                  <w:r>
                    <w:rPr>
                      <w:rFonts w:ascii="Times New Roman" w:hAnsi="Times New Roman"/>
                      <w:szCs w:val="21"/>
                    </w:rPr>
                    <w:t>、BOD</w:t>
                  </w:r>
                  <w:r>
                    <w:rPr>
                      <w:rFonts w:ascii="Times New Roman" w:hAnsi="Times New Roman"/>
                      <w:szCs w:val="21"/>
                      <w:vertAlign w:val="subscript"/>
                    </w:rPr>
                    <w:t>5</w:t>
                  </w:r>
                  <w:r>
                    <w:rPr>
                      <w:rFonts w:ascii="Times New Roman" w:hAnsi="Times New Roman"/>
                      <w:szCs w:val="21"/>
                    </w:rPr>
                    <w:t>、NH</w:t>
                  </w:r>
                  <w:r>
                    <w:rPr>
                      <w:rFonts w:ascii="Times New Roman" w:hAnsi="Times New Roman"/>
                      <w:szCs w:val="21"/>
                      <w:vertAlign w:val="subscript"/>
                    </w:rPr>
                    <w:t>3</w:t>
                  </w:r>
                  <w:r>
                    <w:rPr>
                      <w:rFonts w:ascii="Times New Roman" w:hAnsi="Times New Roman"/>
                      <w:szCs w:val="21"/>
                    </w:rPr>
                    <w:t>-N、SS</w:t>
                  </w:r>
                </w:p>
              </w:tc>
              <w:tc>
                <w:tcPr>
                  <w:tcW w:w="922" w:type="pct"/>
                  <w:tcBorders>
                    <w:tl2br w:val="nil"/>
                    <w:tr2bl w:val="nil"/>
                  </w:tcBorders>
                  <w:vAlign w:val="center"/>
                </w:tcPr>
                <w:p>
                  <w:pPr>
                    <w:pStyle w:val="20"/>
                    <w:jc w:val="center"/>
                    <w:rPr>
                      <w:rFonts w:ascii="Times New Roman" w:hAnsi="Times New Roman"/>
                      <w:szCs w:val="21"/>
                    </w:rPr>
                  </w:pPr>
                  <w:r>
                    <w:rPr>
                      <w:rFonts w:ascii="Times New Roman" w:hAnsi="Times New Roman"/>
                      <w:szCs w:val="21"/>
                    </w:rPr>
                    <w:t>每年 1 次</w:t>
                  </w:r>
                </w:p>
              </w:tc>
              <w:tc>
                <w:tcPr>
                  <w:tcW w:w="866" w:type="pct"/>
                  <w:vMerge w:val="continue"/>
                  <w:tcBorders>
                    <w:tl2br w:val="nil"/>
                    <w:tr2bl w:val="nil"/>
                  </w:tcBorders>
                </w:tcPr>
                <w:p>
                  <w:pPr>
                    <w:pStyle w:val="20"/>
                    <w:jc w:val="center"/>
                    <w:rPr>
                      <w:rFonts w:ascii="Times New Roman" w:hAnsi="Times New Roman"/>
                      <w:szCs w:val="21"/>
                    </w:rPr>
                  </w:pPr>
                </w:p>
              </w:tc>
            </w:tr>
          </w:tbl>
          <w:p>
            <w:pPr>
              <w:adjustRightInd w:val="0"/>
              <w:snapToGrid w:val="0"/>
              <w:spacing w:line="480" w:lineRule="exact"/>
              <w:ind w:firstLine="482" w:firstLineChars="200"/>
              <w:rPr>
                <w:b/>
                <w:bCs/>
                <w:sz w:val="24"/>
              </w:rPr>
            </w:pPr>
            <w:r>
              <w:rPr>
                <w:rFonts w:hint="eastAsia"/>
                <w:b/>
                <w:bCs/>
                <w:sz w:val="24"/>
              </w:rPr>
              <w:t>6、环境风险</w:t>
            </w:r>
          </w:p>
          <w:p>
            <w:pPr>
              <w:adjustRightInd w:val="0"/>
              <w:snapToGrid w:val="0"/>
              <w:spacing w:line="520" w:lineRule="exact"/>
              <w:ind w:firstLine="480" w:firstLineChars="200"/>
              <w:rPr>
                <w:b/>
                <w:bCs/>
                <w:sz w:val="24"/>
              </w:rPr>
            </w:pPr>
            <w:r>
              <w:rPr>
                <w:rFonts w:hint="eastAsia"/>
                <w:kern w:val="0"/>
                <w:sz w:val="24"/>
                <w:lang w:bidi="ar"/>
              </w:rPr>
              <w:t>本项目为炸药生产项目，主要环境风险事故情形为硝酸铵、柴油发生泄漏，在高温、高压、明火和有可能被氧化的物质存在下发生爆炸，导致次生污染物大量NO</w:t>
            </w:r>
            <w:r>
              <w:rPr>
                <w:rFonts w:hint="eastAsia"/>
                <w:kern w:val="0"/>
                <w:sz w:val="24"/>
                <w:vertAlign w:val="subscript"/>
                <w:lang w:bidi="ar"/>
              </w:rPr>
              <w:t>2</w:t>
            </w:r>
            <w:r>
              <w:rPr>
                <w:rFonts w:hint="eastAsia"/>
                <w:kern w:val="0"/>
                <w:sz w:val="24"/>
                <w:lang w:bidi="ar"/>
              </w:rPr>
              <w:t>气体瞬时排放可能对周围人群身体健康产生不利影响；发生爆炸事故后处理过程中产生的消防事故水，厂区设置消防事故废水池，并在厂内设置截流明沟与消防废水收集池相连，消防事故水集中收集排入消防废水收集池中。根据《建设项目环境风险评价技术导则》（HJ169-2018），本项目涉及风险物质为硝酸铵、柴油</w:t>
            </w:r>
            <w:r>
              <w:rPr>
                <w:rFonts w:hint="eastAsia"/>
                <w:kern w:val="0"/>
                <w:sz w:val="24"/>
                <w:lang w:eastAsia="zh-CN" w:bidi="ar"/>
              </w:rPr>
              <w:t>、</w:t>
            </w:r>
            <w:r>
              <w:rPr>
                <w:rFonts w:hint="eastAsia"/>
                <w:kern w:val="0"/>
                <w:sz w:val="24"/>
                <w:lang w:val="en-US" w:eastAsia="zh-CN" w:bidi="ar"/>
              </w:rPr>
              <w:t>电子雷管</w:t>
            </w:r>
            <w:r>
              <w:rPr>
                <w:rFonts w:hint="eastAsia"/>
                <w:kern w:val="0"/>
                <w:sz w:val="24"/>
                <w:lang w:bidi="ar"/>
              </w:rPr>
              <w:t>，其中硝酸铵厂区最大存储量为600t，大于其临界量（50t），因此需编制环境风险专章，详见环境风险专项评价。</w:t>
            </w:r>
          </w:p>
          <w:p>
            <w:pPr>
              <w:adjustRightInd w:val="0"/>
              <w:snapToGrid w:val="0"/>
              <w:spacing w:line="480" w:lineRule="exact"/>
              <w:ind w:firstLine="482" w:firstLineChars="200"/>
              <w:rPr>
                <w:b/>
                <w:bCs/>
                <w:sz w:val="24"/>
              </w:rPr>
            </w:pPr>
            <w:r>
              <w:rPr>
                <w:rFonts w:hint="eastAsia"/>
                <w:b/>
                <w:bCs/>
                <w:sz w:val="24"/>
              </w:rPr>
              <w:t>7、环保投资</w:t>
            </w:r>
          </w:p>
          <w:p>
            <w:pPr>
              <w:widowControl/>
              <w:autoSpaceDE w:val="0"/>
              <w:autoSpaceDN w:val="0"/>
              <w:spacing w:line="520" w:lineRule="exact"/>
              <w:ind w:firstLine="480" w:firstLineChars="200"/>
              <w:rPr>
                <w:snapToGrid w:val="0"/>
                <w:sz w:val="24"/>
              </w:rPr>
            </w:pPr>
            <w:r>
              <w:rPr>
                <w:sz w:val="24"/>
              </w:rPr>
              <w:t>本</w:t>
            </w:r>
            <w:r>
              <w:rPr>
                <w:snapToGrid w:val="0"/>
                <w:sz w:val="24"/>
              </w:rPr>
              <w:t>项目环保投资合计为</w:t>
            </w:r>
            <w:r>
              <w:rPr>
                <w:rFonts w:hint="eastAsia"/>
                <w:snapToGrid w:val="0"/>
                <w:sz w:val="24"/>
                <w:lang w:val="en-US" w:eastAsia="zh-CN"/>
              </w:rPr>
              <w:t>157</w:t>
            </w:r>
            <w:r>
              <w:rPr>
                <w:rFonts w:hint="eastAsia"/>
                <w:snapToGrid w:val="0"/>
                <w:sz w:val="24"/>
              </w:rPr>
              <w:t>.2</w:t>
            </w:r>
            <w:r>
              <w:rPr>
                <w:snapToGrid w:val="0"/>
                <w:sz w:val="24"/>
              </w:rPr>
              <w:t>万元，占项目总投资的</w:t>
            </w:r>
            <w:r>
              <w:rPr>
                <w:rFonts w:hint="eastAsia"/>
                <w:snapToGrid w:val="0"/>
                <w:sz w:val="24"/>
              </w:rPr>
              <w:t>6.</w:t>
            </w:r>
            <w:r>
              <w:rPr>
                <w:rFonts w:hint="eastAsia"/>
                <w:snapToGrid w:val="0"/>
                <w:sz w:val="24"/>
                <w:lang w:val="en-US" w:eastAsia="zh-CN"/>
              </w:rPr>
              <w:t>4</w:t>
            </w:r>
            <w:r>
              <w:rPr>
                <w:rFonts w:hint="eastAsia"/>
                <w:snapToGrid w:val="0"/>
                <w:sz w:val="24"/>
              </w:rPr>
              <w:t>2</w:t>
            </w:r>
            <w:r>
              <w:rPr>
                <w:snapToGrid w:val="0"/>
                <w:sz w:val="24"/>
              </w:rPr>
              <w:t>%。本项目环保投资分析估算见表</w:t>
            </w:r>
            <w:r>
              <w:rPr>
                <w:rFonts w:hint="eastAsia" w:eastAsia="黑体"/>
                <w:sz w:val="24"/>
              </w:rPr>
              <w:t>4-1</w:t>
            </w:r>
            <w:r>
              <w:rPr>
                <w:rFonts w:hint="eastAsia" w:eastAsia="黑体"/>
                <w:sz w:val="24"/>
                <w:lang w:val="en-US" w:eastAsia="zh-CN"/>
              </w:rPr>
              <w:t>5</w:t>
            </w:r>
            <w:r>
              <w:rPr>
                <w:snapToGrid w:val="0"/>
                <w:sz w:val="24"/>
              </w:rPr>
              <w:t>。</w:t>
            </w:r>
          </w:p>
          <w:p>
            <w:pPr>
              <w:widowControl/>
              <w:ind w:firstLine="480" w:firstLineChars="200"/>
              <w:jc w:val="center"/>
              <w:rPr>
                <w:rFonts w:eastAsia="黑体"/>
                <w:sz w:val="24"/>
                <w:highlight w:val="yellow"/>
              </w:rPr>
            </w:pPr>
            <w:r>
              <w:rPr>
                <w:rFonts w:eastAsia="黑体"/>
                <w:sz w:val="24"/>
              </w:rPr>
              <w:t>表</w:t>
            </w:r>
            <w:r>
              <w:rPr>
                <w:rFonts w:hint="eastAsia" w:eastAsia="黑体"/>
                <w:sz w:val="24"/>
              </w:rPr>
              <w:t>4-1</w:t>
            </w:r>
            <w:r>
              <w:rPr>
                <w:rFonts w:hint="eastAsia" w:eastAsia="黑体"/>
                <w:sz w:val="24"/>
                <w:lang w:val="en-US" w:eastAsia="zh-CN"/>
              </w:rPr>
              <w:t>5</w:t>
            </w:r>
            <w:r>
              <w:rPr>
                <w:rFonts w:eastAsia="黑体"/>
                <w:sz w:val="24"/>
              </w:rPr>
              <w:t xml:space="preserve">  环保投资估算</w:t>
            </w:r>
          </w:p>
          <w:tbl>
            <w:tblPr>
              <w:tblStyle w:val="29"/>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05"/>
              <w:gridCol w:w="1245"/>
              <w:gridCol w:w="5109"/>
              <w:gridCol w:w="155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661" w:type="pct"/>
                  <w:vAlign w:val="center"/>
                </w:tcPr>
                <w:p>
                  <w:pPr>
                    <w:snapToGrid w:val="0"/>
                    <w:jc w:val="center"/>
                    <w:rPr>
                      <w:szCs w:val="21"/>
                    </w:rPr>
                  </w:pPr>
                  <w:r>
                    <w:rPr>
                      <w:rFonts w:hint="eastAsia"/>
                      <w:szCs w:val="21"/>
                    </w:rPr>
                    <w:t>时段</w:t>
                  </w:r>
                </w:p>
              </w:tc>
              <w:tc>
                <w:tcPr>
                  <w:tcW w:w="683" w:type="pct"/>
                  <w:vAlign w:val="center"/>
                </w:tcPr>
                <w:p>
                  <w:pPr>
                    <w:snapToGrid w:val="0"/>
                    <w:jc w:val="center"/>
                    <w:rPr>
                      <w:szCs w:val="21"/>
                    </w:rPr>
                  </w:pPr>
                  <w:r>
                    <w:rPr>
                      <w:rStyle w:val="35"/>
                    </w:rPr>
                    <w:t>类别</w:t>
                  </w:r>
                </w:p>
              </w:tc>
              <w:tc>
                <w:tcPr>
                  <w:tcW w:w="2802" w:type="pct"/>
                  <w:vAlign w:val="center"/>
                </w:tcPr>
                <w:p>
                  <w:pPr>
                    <w:snapToGrid w:val="0"/>
                    <w:jc w:val="center"/>
                    <w:rPr>
                      <w:szCs w:val="21"/>
                    </w:rPr>
                  </w:pPr>
                  <w:r>
                    <w:rPr>
                      <w:szCs w:val="21"/>
                    </w:rPr>
                    <w:t>环保措施</w:t>
                  </w:r>
                </w:p>
              </w:tc>
              <w:tc>
                <w:tcPr>
                  <w:tcW w:w="853" w:type="pct"/>
                  <w:vAlign w:val="center"/>
                </w:tcPr>
                <w:p>
                  <w:pPr>
                    <w:snapToGrid w:val="0"/>
                    <w:jc w:val="center"/>
                    <w:rPr>
                      <w:szCs w:val="21"/>
                    </w:rPr>
                  </w:pPr>
                  <w:r>
                    <w:rPr>
                      <w:szCs w:val="21"/>
                    </w:rPr>
                    <w:t>投资（万元）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661" w:type="pct"/>
                  <w:vMerge w:val="restart"/>
                  <w:vAlign w:val="center"/>
                </w:tcPr>
                <w:p>
                  <w:pPr>
                    <w:snapToGrid w:val="0"/>
                    <w:jc w:val="center"/>
                    <w:rPr>
                      <w:szCs w:val="21"/>
                    </w:rPr>
                  </w:pPr>
                  <w:r>
                    <w:rPr>
                      <w:rFonts w:hint="eastAsia"/>
                      <w:szCs w:val="21"/>
                    </w:rPr>
                    <w:t>施工期</w:t>
                  </w:r>
                </w:p>
              </w:tc>
              <w:tc>
                <w:tcPr>
                  <w:tcW w:w="683" w:type="pct"/>
                  <w:vAlign w:val="center"/>
                </w:tcPr>
                <w:p>
                  <w:pPr>
                    <w:snapToGrid w:val="0"/>
                    <w:jc w:val="center"/>
                    <w:rPr>
                      <w:szCs w:val="21"/>
                    </w:rPr>
                  </w:pPr>
                  <w:r>
                    <w:rPr>
                      <w:szCs w:val="21"/>
                    </w:rPr>
                    <w:t>废</w:t>
                  </w:r>
                  <w:r>
                    <w:rPr>
                      <w:rFonts w:hint="eastAsia"/>
                      <w:szCs w:val="21"/>
                    </w:rPr>
                    <w:t>气</w:t>
                  </w:r>
                </w:p>
              </w:tc>
              <w:tc>
                <w:tcPr>
                  <w:tcW w:w="2802" w:type="pct"/>
                  <w:vAlign w:val="center"/>
                </w:tcPr>
                <w:p>
                  <w:pPr>
                    <w:snapToGrid w:val="0"/>
                    <w:jc w:val="center"/>
                    <w:rPr>
                      <w:szCs w:val="21"/>
                    </w:rPr>
                  </w:pPr>
                  <w:r>
                    <w:rPr>
                      <w:rFonts w:hint="eastAsia"/>
                      <w:szCs w:val="21"/>
                    </w:rPr>
                    <w:t>防尘彩钢板、苫盖</w:t>
                  </w:r>
                </w:p>
              </w:tc>
              <w:tc>
                <w:tcPr>
                  <w:tcW w:w="853" w:type="pct"/>
                  <w:vAlign w:val="center"/>
                </w:tcPr>
                <w:p>
                  <w:pPr>
                    <w:snapToGrid w:val="0"/>
                    <w:jc w:val="center"/>
                    <w:rPr>
                      <w:szCs w:val="21"/>
                    </w:rPr>
                  </w:pPr>
                  <w:r>
                    <w:rPr>
                      <w:rFonts w:hint="eastAsia"/>
                      <w:szCs w:val="21"/>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jc w:val="center"/>
              </w:trPr>
              <w:tc>
                <w:tcPr>
                  <w:tcW w:w="661" w:type="pct"/>
                  <w:vMerge w:val="continue"/>
                  <w:vAlign w:val="center"/>
                </w:tcPr>
                <w:p>
                  <w:pPr>
                    <w:snapToGrid w:val="0"/>
                    <w:jc w:val="center"/>
                    <w:rPr>
                      <w:szCs w:val="21"/>
                    </w:rPr>
                  </w:pPr>
                </w:p>
              </w:tc>
              <w:tc>
                <w:tcPr>
                  <w:tcW w:w="683" w:type="pct"/>
                  <w:vAlign w:val="center"/>
                </w:tcPr>
                <w:p>
                  <w:pPr>
                    <w:snapToGrid w:val="0"/>
                    <w:jc w:val="center"/>
                    <w:rPr>
                      <w:szCs w:val="21"/>
                    </w:rPr>
                  </w:pPr>
                  <w:r>
                    <w:rPr>
                      <w:rFonts w:hint="eastAsia"/>
                      <w:szCs w:val="21"/>
                    </w:rPr>
                    <w:t>废水</w:t>
                  </w:r>
                </w:p>
              </w:tc>
              <w:tc>
                <w:tcPr>
                  <w:tcW w:w="2802" w:type="pct"/>
                  <w:vAlign w:val="center"/>
                </w:tcPr>
                <w:p>
                  <w:pPr>
                    <w:snapToGrid w:val="0"/>
                    <w:jc w:val="center"/>
                    <w:rPr>
                      <w:szCs w:val="21"/>
                    </w:rPr>
                  </w:pPr>
                  <w:r>
                    <w:rPr>
                      <w:rFonts w:hint="eastAsia"/>
                      <w:szCs w:val="21"/>
                    </w:rPr>
                    <w:t>15m</w:t>
                  </w:r>
                  <w:r>
                    <w:rPr>
                      <w:rFonts w:hint="eastAsia"/>
                      <w:szCs w:val="21"/>
                      <w:vertAlign w:val="superscript"/>
                    </w:rPr>
                    <w:t>3</w:t>
                  </w:r>
                  <w:r>
                    <w:rPr>
                      <w:rFonts w:hint="eastAsia"/>
                      <w:szCs w:val="21"/>
                    </w:rPr>
                    <w:t>沉砂池</w:t>
                  </w:r>
                </w:p>
              </w:tc>
              <w:tc>
                <w:tcPr>
                  <w:tcW w:w="853" w:type="pct"/>
                  <w:vAlign w:val="center"/>
                </w:tcPr>
                <w:p>
                  <w:pPr>
                    <w:snapToGrid w:val="0"/>
                    <w:jc w:val="center"/>
                    <w:rPr>
                      <w:szCs w:val="21"/>
                    </w:rPr>
                  </w:pPr>
                  <w:r>
                    <w:rPr>
                      <w:rFonts w:hint="eastAsia"/>
                      <w:szCs w:val="21"/>
                    </w:rPr>
                    <w:t>5</w:t>
                  </w:r>
                  <w:r>
                    <w:rPr>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jc w:val="center"/>
              </w:trPr>
              <w:tc>
                <w:tcPr>
                  <w:tcW w:w="661" w:type="pct"/>
                  <w:vMerge w:val="continue"/>
                  <w:vAlign w:val="center"/>
                </w:tcPr>
                <w:p>
                  <w:pPr>
                    <w:snapToGrid w:val="0"/>
                    <w:jc w:val="center"/>
                    <w:rPr>
                      <w:szCs w:val="21"/>
                    </w:rPr>
                  </w:pPr>
                </w:p>
              </w:tc>
              <w:tc>
                <w:tcPr>
                  <w:tcW w:w="683" w:type="pct"/>
                  <w:vAlign w:val="center"/>
                </w:tcPr>
                <w:p>
                  <w:pPr>
                    <w:snapToGrid w:val="0"/>
                    <w:jc w:val="center"/>
                    <w:rPr>
                      <w:szCs w:val="21"/>
                    </w:rPr>
                  </w:pPr>
                  <w:r>
                    <w:rPr>
                      <w:rFonts w:hint="eastAsia"/>
                      <w:szCs w:val="21"/>
                    </w:rPr>
                    <w:t>噪声</w:t>
                  </w:r>
                </w:p>
              </w:tc>
              <w:tc>
                <w:tcPr>
                  <w:tcW w:w="2802" w:type="pct"/>
                  <w:vAlign w:val="center"/>
                </w:tcPr>
                <w:p>
                  <w:pPr>
                    <w:snapToGrid w:val="0"/>
                    <w:jc w:val="center"/>
                    <w:rPr>
                      <w:szCs w:val="21"/>
                    </w:rPr>
                  </w:pPr>
                  <w:r>
                    <w:rPr>
                      <w:rFonts w:hint="eastAsia"/>
                      <w:szCs w:val="21"/>
                    </w:rPr>
                    <w:t>单面隔音板</w:t>
                  </w:r>
                </w:p>
              </w:tc>
              <w:tc>
                <w:tcPr>
                  <w:tcW w:w="853" w:type="pct"/>
                  <w:vAlign w:val="center"/>
                </w:tcPr>
                <w:p>
                  <w:pPr>
                    <w:snapToGrid w:val="0"/>
                    <w:jc w:val="center"/>
                    <w:rPr>
                      <w:szCs w:val="21"/>
                    </w:rPr>
                  </w:pPr>
                  <w:r>
                    <w:rPr>
                      <w:rFonts w:hint="eastAsia"/>
                      <w:szCs w:val="21"/>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jc w:val="center"/>
              </w:trPr>
              <w:tc>
                <w:tcPr>
                  <w:tcW w:w="661" w:type="pct"/>
                  <w:vMerge w:val="continue"/>
                  <w:vAlign w:val="center"/>
                </w:tcPr>
                <w:p>
                  <w:pPr>
                    <w:snapToGrid w:val="0"/>
                    <w:jc w:val="center"/>
                    <w:rPr>
                      <w:szCs w:val="21"/>
                    </w:rPr>
                  </w:pPr>
                </w:p>
              </w:tc>
              <w:tc>
                <w:tcPr>
                  <w:tcW w:w="683" w:type="pct"/>
                  <w:vAlign w:val="center"/>
                </w:tcPr>
                <w:p>
                  <w:pPr>
                    <w:snapToGrid w:val="0"/>
                    <w:jc w:val="center"/>
                    <w:rPr>
                      <w:szCs w:val="21"/>
                    </w:rPr>
                  </w:pPr>
                  <w:r>
                    <w:rPr>
                      <w:rFonts w:hint="eastAsia"/>
                      <w:szCs w:val="21"/>
                    </w:rPr>
                    <w:t>固废</w:t>
                  </w:r>
                </w:p>
              </w:tc>
              <w:tc>
                <w:tcPr>
                  <w:tcW w:w="2802" w:type="pct"/>
                  <w:vAlign w:val="center"/>
                </w:tcPr>
                <w:p>
                  <w:pPr>
                    <w:snapToGrid w:val="0"/>
                    <w:jc w:val="center"/>
                    <w:rPr>
                      <w:szCs w:val="21"/>
                    </w:rPr>
                  </w:pPr>
                  <w:r>
                    <w:rPr>
                      <w:rFonts w:hint="eastAsia"/>
                      <w:szCs w:val="21"/>
                    </w:rPr>
                    <w:t>拉运至垃圾填埋场</w:t>
                  </w:r>
                </w:p>
              </w:tc>
              <w:tc>
                <w:tcPr>
                  <w:tcW w:w="853" w:type="pct"/>
                  <w:vAlign w:val="center"/>
                </w:tcPr>
                <w:p>
                  <w:pPr>
                    <w:snapToGrid w:val="0"/>
                    <w:jc w:val="center"/>
                    <w:rPr>
                      <w:szCs w:val="21"/>
                    </w:rPr>
                  </w:pPr>
                  <w:r>
                    <w:rPr>
                      <w:rFonts w:hint="eastAsia"/>
                      <w:szCs w:val="21"/>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jc w:val="center"/>
              </w:trPr>
              <w:tc>
                <w:tcPr>
                  <w:tcW w:w="661" w:type="pct"/>
                  <w:vMerge w:val="continue"/>
                  <w:vAlign w:val="center"/>
                </w:tcPr>
                <w:p>
                  <w:pPr>
                    <w:snapToGrid w:val="0"/>
                    <w:jc w:val="center"/>
                    <w:rPr>
                      <w:szCs w:val="21"/>
                    </w:rPr>
                  </w:pPr>
                </w:p>
              </w:tc>
              <w:tc>
                <w:tcPr>
                  <w:tcW w:w="683" w:type="pct"/>
                  <w:vAlign w:val="center"/>
                </w:tcPr>
                <w:p>
                  <w:pPr>
                    <w:snapToGrid w:val="0"/>
                    <w:jc w:val="center"/>
                    <w:rPr>
                      <w:szCs w:val="21"/>
                    </w:rPr>
                  </w:pPr>
                  <w:r>
                    <w:rPr>
                      <w:rFonts w:hint="eastAsia"/>
                      <w:szCs w:val="21"/>
                    </w:rPr>
                    <w:t>防沙治沙</w:t>
                  </w:r>
                </w:p>
              </w:tc>
              <w:tc>
                <w:tcPr>
                  <w:tcW w:w="2802" w:type="pct"/>
                  <w:vAlign w:val="center"/>
                </w:tcPr>
                <w:p>
                  <w:pPr>
                    <w:snapToGrid w:val="0"/>
                    <w:jc w:val="center"/>
                    <w:rPr>
                      <w:szCs w:val="21"/>
                    </w:rPr>
                  </w:pPr>
                  <w:r>
                    <w:rPr>
                      <w:rFonts w:hint="eastAsia"/>
                      <w:szCs w:val="21"/>
                    </w:rPr>
                    <w:t>绿化、防沙治沙标识牌</w:t>
                  </w:r>
                </w:p>
              </w:tc>
              <w:tc>
                <w:tcPr>
                  <w:tcW w:w="853" w:type="pct"/>
                  <w:vAlign w:val="center"/>
                </w:tcPr>
                <w:p>
                  <w:pPr>
                    <w:snapToGrid w:val="0"/>
                    <w:jc w:val="center"/>
                    <w:rPr>
                      <w:szCs w:val="21"/>
                    </w:rPr>
                  </w:pPr>
                  <w:r>
                    <w:rPr>
                      <w:rFonts w:hint="eastAsia"/>
                      <w:szCs w:val="21"/>
                    </w:rPr>
                    <w:t>50.0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661" w:type="pct"/>
                  <w:vMerge w:val="restart"/>
                  <w:vAlign w:val="center"/>
                </w:tcPr>
                <w:p>
                  <w:pPr>
                    <w:snapToGrid w:val="0"/>
                    <w:jc w:val="center"/>
                    <w:rPr>
                      <w:szCs w:val="21"/>
                    </w:rPr>
                  </w:pPr>
                  <w:r>
                    <w:rPr>
                      <w:rFonts w:hint="eastAsia"/>
                      <w:szCs w:val="21"/>
                    </w:rPr>
                    <w:t>运营期</w:t>
                  </w:r>
                </w:p>
              </w:tc>
              <w:tc>
                <w:tcPr>
                  <w:tcW w:w="683" w:type="pct"/>
                  <w:vAlign w:val="center"/>
                </w:tcPr>
                <w:p>
                  <w:pPr>
                    <w:snapToGrid w:val="0"/>
                    <w:jc w:val="center"/>
                    <w:rPr>
                      <w:szCs w:val="21"/>
                    </w:rPr>
                  </w:pPr>
                  <w:r>
                    <w:rPr>
                      <w:szCs w:val="21"/>
                    </w:rPr>
                    <w:t>废气</w:t>
                  </w:r>
                </w:p>
              </w:tc>
              <w:tc>
                <w:tcPr>
                  <w:tcW w:w="2802" w:type="pct"/>
                  <w:vAlign w:val="center"/>
                </w:tcPr>
                <w:p>
                  <w:pPr>
                    <w:snapToGrid w:val="0"/>
                    <w:jc w:val="center"/>
                    <w:rPr>
                      <w:szCs w:val="21"/>
                    </w:rPr>
                  </w:pPr>
                  <w:r>
                    <w:rPr>
                      <w:rFonts w:hint="eastAsia"/>
                      <w:szCs w:val="21"/>
                    </w:rPr>
                    <w:t>密闭上料仓、油烟净化器</w:t>
                  </w:r>
                </w:p>
              </w:tc>
              <w:tc>
                <w:tcPr>
                  <w:tcW w:w="853" w:type="pct"/>
                  <w:vAlign w:val="center"/>
                </w:tcPr>
                <w:p>
                  <w:pPr>
                    <w:snapToGrid w:val="0"/>
                    <w:jc w:val="center"/>
                    <w:rPr>
                      <w:szCs w:val="21"/>
                    </w:rPr>
                  </w:pPr>
                  <w:r>
                    <w:rPr>
                      <w:rFonts w:hint="eastAsia"/>
                      <w:szCs w:val="21"/>
                      <w:lang w:val="en-US" w:eastAsia="zh-CN"/>
                    </w:rPr>
                    <w:t>5</w:t>
                  </w:r>
                  <w:r>
                    <w:rPr>
                      <w:rFonts w:hint="eastAsia"/>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661" w:type="pct"/>
                  <w:vMerge w:val="continue"/>
                  <w:vAlign w:val="center"/>
                </w:tcPr>
                <w:p>
                  <w:pPr>
                    <w:snapToGrid w:val="0"/>
                    <w:jc w:val="center"/>
                    <w:rPr>
                      <w:szCs w:val="21"/>
                    </w:rPr>
                  </w:pPr>
                </w:p>
              </w:tc>
              <w:tc>
                <w:tcPr>
                  <w:tcW w:w="683" w:type="pct"/>
                  <w:vAlign w:val="center"/>
                </w:tcPr>
                <w:p>
                  <w:pPr>
                    <w:snapToGrid w:val="0"/>
                    <w:jc w:val="center"/>
                    <w:rPr>
                      <w:szCs w:val="21"/>
                    </w:rPr>
                  </w:pPr>
                  <w:r>
                    <w:rPr>
                      <w:rFonts w:hint="eastAsia"/>
                      <w:szCs w:val="21"/>
                    </w:rPr>
                    <w:t>废水</w:t>
                  </w:r>
                </w:p>
              </w:tc>
              <w:tc>
                <w:tcPr>
                  <w:tcW w:w="2802" w:type="pct"/>
                  <w:vAlign w:val="center"/>
                </w:tcPr>
                <w:p>
                  <w:pPr>
                    <w:snapToGrid w:val="0"/>
                    <w:jc w:val="center"/>
                    <w:rPr>
                      <w:szCs w:val="21"/>
                    </w:rPr>
                  </w:pPr>
                  <w:r>
                    <w:rPr>
                      <w:rFonts w:hint="eastAsia"/>
                      <w:szCs w:val="21"/>
                      <w:lang w:val="en-US" w:eastAsia="zh-CN"/>
                    </w:rPr>
                    <w:t>地埋式一体化污水处理设施</w:t>
                  </w:r>
                  <w:r>
                    <w:rPr>
                      <w:rFonts w:hint="eastAsia"/>
                      <w:szCs w:val="21"/>
                    </w:rPr>
                    <w:t>、隔油沉淀池、隔油池</w:t>
                  </w:r>
                </w:p>
              </w:tc>
              <w:tc>
                <w:tcPr>
                  <w:tcW w:w="853" w:type="pct"/>
                  <w:vAlign w:val="center"/>
                </w:tcPr>
                <w:p>
                  <w:pPr>
                    <w:snapToGrid w:val="0"/>
                    <w:jc w:val="center"/>
                    <w:rPr>
                      <w:szCs w:val="21"/>
                    </w:rPr>
                  </w:pPr>
                  <w:r>
                    <w:rPr>
                      <w:rFonts w:hint="eastAsia"/>
                      <w:szCs w:val="21"/>
                    </w:rPr>
                    <w:t>50.0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92" w:hRule="atLeast"/>
                <w:jc w:val="center"/>
              </w:trPr>
              <w:tc>
                <w:tcPr>
                  <w:tcW w:w="661" w:type="pct"/>
                  <w:vMerge w:val="continue"/>
                  <w:vAlign w:val="center"/>
                </w:tcPr>
                <w:p>
                  <w:pPr>
                    <w:snapToGrid w:val="0"/>
                    <w:jc w:val="center"/>
                  </w:pPr>
                </w:p>
              </w:tc>
              <w:tc>
                <w:tcPr>
                  <w:tcW w:w="683" w:type="pct"/>
                  <w:vAlign w:val="center"/>
                </w:tcPr>
                <w:p>
                  <w:pPr>
                    <w:snapToGrid w:val="0"/>
                    <w:jc w:val="center"/>
                  </w:pPr>
                  <w:r>
                    <w:rPr>
                      <w:szCs w:val="21"/>
                    </w:rPr>
                    <w:t>噪声</w:t>
                  </w:r>
                </w:p>
              </w:tc>
              <w:tc>
                <w:tcPr>
                  <w:tcW w:w="2802" w:type="pct"/>
                  <w:vAlign w:val="center"/>
                </w:tcPr>
                <w:p>
                  <w:pPr>
                    <w:snapToGrid w:val="0"/>
                    <w:jc w:val="center"/>
                    <w:rPr>
                      <w:szCs w:val="21"/>
                    </w:rPr>
                  </w:pPr>
                  <w:r>
                    <w:rPr>
                      <w:szCs w:val="21"/>
                    </w:rPr>
                    <w:t>橡胶减震接头、减震垫、消声、隔声门窗、选用低噪声</w:t>
                  </w:r>
                  <w:r>
                    <w:rPr>
                      <w:rFonts w:hint="eastAsia"/>
                      <w:szCs w:val="21"/>
                    </w:rPr>
                    <w:t>设备</w:t>
                  </w:r>
                </w:p>
              </w:tc>
              <w:tc>
                <w:tcPr>
                  <w:tcW w:w="853" w:type="pct"/>
                  <w:vAlign w:val="center"/>
                </w:tcPr>
                <w:p>
                  <w:pPr>
                    <w:snapToGrid w:val="0"/>
                    <w:jc w:val="center"/>
                    <w:rPr>
                      <w:szCs w:val="21"/>
                    </w:rPr>
                  </w:pPr>
                  <w:r>
                    <w:rPr>
                      <w:rFonts w:hint="eastAsia"/>
                      <w:szCs w:val="21"/>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jc w:val="center"/>
              </w:trPr>
              <w:tc>
                <w:tcPr>
                  <w:tcW w:w="661" w:type="pct"/>
                  <w:vMerge w:val="continue"/>
                  <w:vAlign w:val="center"/>
                </w:tcPr>
                <w:p>
                  <w:pPr>
                    <w:snapToGrid w:val="0"/>
                    <w:jc w:val="center"/>
                    <w:rPr>
                      <w:szCs w:val="21"/>
                    </w:rPr>
                  </w:pPr>
                </w:p>
              </w:tc>
              <w:tc>
                <w:tcPr>
                  <w:tcW w:w="683" w:type="pct"/>
                  <w:vAlign w:val="center"/>
                </w:tcPr>
                <w:p>
                  <w:pPr>
                    <w:snapToGrid w:val="0"/>
                    <w:jc w:val="center"/>
                    <w:rPr>
                      <w:szCs w:val="21"/>
                    </w:rPr>
                  </w:pPr>
                  <w:r>
                    <w:rPr>
                      <w:rFonts w:hint="eastAsia"/>
                      <w:szCs w:val="21"/>
                    </w:rPr>
                    <w:t>固废</w:t>
                  </w:r>
                </w:p>
              </w:tc>
              <w:tc>
                <w:tcPr>
                  <w:tcW w:w="2802" w:type="pct"/>
                  <w:vAlign w:val="center"/>
                </w:tcPr>
                <w:p>
                  <w:pPr>
                    <w:snapToGrid w:val="0"/>
                    <w:jc w:val="center"/>
                    <w:rPr>
                      <w:szCs w:val="21"/>
                    </w:rPr>
                  </w:pPr>
                  <w:r>
                    <w:rPr>
                      <w:szCs w:val="21"/>
                    </w:rPr>
                    <w:t>生活垃圾箱</w:t>
                  </w:r>
                </w:p>
              </w:tc>
              <w:tc>
                <w:tcPr>
                  <w:tcW w:w="853" w:type="pct"/>
                  <w:vAlign w:val="center"/>
                </w:tcPr>
                <w:p>
                  <w:pPr>
                    <w:snapToGrid w:val="0"/>
                    <w:jc w:val="center"/>
                    <w:rPr>
                      <w:szCs w:val="21"/>
                    </w:rPr>
                  </w:pPr>
                  <w:r>
                    <w:rPr>
                      <w:szCs w:val="21"/>
                    </w:rPr>
                    <w:t>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jc w:val="center"/>
              </w:trPr>
              <w:tc>
                <w:tcPr>
                  <w:tcW w:w="661" w:type="pct"/>
                  <w:vMerge w:val="continue"/>
                  <w:vAlign w:val="center"/>
                </w:tcPr>
                <w:p>
                  <w:pPr>
                    <w:snapToGrid w:val="0"/>
                    <w:jc w:val="center"/>
                    <w:rPr>
                      <w:szCs w:val="21"/>
                    </w:rPr>
                  </w:pPr>
                </w:p>
              </w:tc>
              <w:tc>
                <w:tcPr>
                  <w:tcW w:w="683" w:type="pct"/>
                  <w:vAlign w:val="center"/>
                </w:tcPr>
                <w:p>
                  <w:pPr>
                    <w:snapToGrid w:val="0"/>
                    <w:jc w:val="center"/>
                    <w:rPr>
                      <w:szCs w:val="21"/>
                    </w:rPr>
                  </w:pPr>
                  <w:r>
                    <w:rPr>
                      <w:rFonts w:hint="eastAsia"/>
                      <w:szCs w:val="21"/>
                    </w:rPr>
                    <w:t>危险废物</w:t>
                  </w:r>
                </w:p>
              </w:tc>
              <w:tc>
                <w:tcPr>
                  <w:tcW w:w="2802" w:type="pct"/>
                  <w:vAlign w:val="center"/>
                </w:tcPr>
                <w:p>
                  <w:pPr>
                    <w:snapToGrid w:val="0"/>
                    <w:jc w:val="center"/>
                    <w:rPr>
                      <w:szCs w:val="21"/>
                    </w:rPr>
                  </w:pPr>
                  <w:r>
                    <w:rPr>
                      <w:rFonts w:hint="eastAsia"/>
                      <w:szCs w:val="21"/>
                    </w:rPr>
                    <w:t>设立危废暂存间，并委托具有处理资质的单位处置</w:t>
                  </w:r>
                </w:p>
              </w:tc>
              <w:tc>
                <w:tcPr>
                  <w:tcW w:w="853" w:type="pct"/>
                  <w:vAlign w:val="center"/>
                </w:tcPr>
                <w:p>
                  <w:pPr>
                    <w:snapToGrid w:val="0"/>
                    <w:jc w:val="center"/>
                    <w:rPr>
                      <w:szCs w:val="21"/>
                    </w:rPr>
                  </w:pPr>
                  <w:r>
                    <w:rPr>
                      <w:rFonts w:hint="eastAsia"/>
                      <w:szCs w:val="21"/>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344" w:type="pct"/>
                  <w:gridSpan w:val="2"/>
                  <w:vAlign w:val="center"/>
                </w:tcPr>
                <w:p>
                  <w:pPr>
                    <w:snapToGrid w:val="0"/>
                    <w:jc w:val="center"/>
                    <w:rPr>
                      <w:szCs w:val="21"/>
                    </w:rPr>
                  </w:pPr>
                  <w:r>
                    <w:rPr>
                      <w:szCs w:val="21"/>
                    </w:rPr>
                    <w:t>合  计</w:t>
                  </w:r>
                </w:p>
              </w:tc>
              <w:tc>
                <w:tcPr>
                  <w:tcW w:w="2802" w:type="pct"/>
                  <w:vAlign w:val="center"/>
                </w:tcPr>
                <w:p>
                  <w:pPr>
                    <w:snapToGrid w:val="0"/>
                    <w:jc w:val="center"/>
                    <w:rPr>
                      <w:szCs w:val="21"/>
                    </w:rPr>
                  </w:pPr>
                </w:p>
              </w:tc>
              <w:tc>
                <w:tcPr>
                  <w:tcW w:w="853" w:type="pct"/>
                  <w:vAlign w:val="center"/>
                </w:tcPr>
                <w:p>
                  <w:pPr>
                    <w:snapToGrid w:val="0"/>
                    <w:jc w:val="center"/>
                    <w:rPr>
                      <w:szCs w:val="21"/>
                    </w:rPr>
                  </w:pPr>
                  <w:r>
                    <w:rPr>
                      <w:rFonts w:hint="eastAsia"/>
                      <w:szCs w:val="21"/>
                      <w:lang w:val="en-US" w:eastAsia="zh-CN"/>
                    </w:rPr>
                    <w:t>157</w:t>
                  </w:r>
                  <w:r>
                    <w:rPr>
                      <w:rFonts w:hint="eastAsia"/>
                      <w:szCs w:val="21"/>
                    </w:rPr>
                    <w:t>.2</w:t>
                  </w:r>
                </w:p>
              </w:tc>
            </w:tr>
          </w:tbl>
          <w:p>
            <w:pPr>
              <w:pStyle w:val="6"/>
              <w:adjustRightInd w:val="0"/>
              <w:snapToGrid w:val="0"/>
              <w:spacing w:before="156" w:beforeLines="50" w:after="0" w:line="360" w:lineRule="auto"/>
              <w:ind w:firstLine="482" w:firstLineChars="200"/>
              <w:rPr>
                <w:rFonts w:ascii="Times New Roman" w:hAnsi="Times New Roman" w:eastAsia="宋体"/>
                <w:bCs/>
                <w:color w:val="000000"/>
                <w:sz w:val="24"/>
                <w:szCs w:val="24"/>
              </w:rPr>
            </w:pPr>
            <w:r>
              <w:rPr>
                <w:rFonts w:hint="eastAsia" w:ascii="Times New Roman" w:hAnsi="Times New Roman" w:eastAsia="宋体"/>
                <w:bCs/>
                <w:color w:val="000000"/>
                <w:sz w:val="24"/>
                <w:szCs w:val="24"/>
                <w:lang w:val="en-US" w:eastAsia="zh-CN"/>
              </w:rPr>
              <w:t>8、迁建项目建</w:t>
            </w:r>
            <w:r>
              <w:rPr>
                <w:rFonts w:hint="eastAsia" w:ascii="Times New Roman" w:hAnsi="Times New Roman" w:eastAsia="宋体"/>
                <w:bCs/>
                <w:color w:val="000000"/>
                <w:sz w:val="24"/>
                <w:szCs w:val="24"/>
              </w:rPr>
              <w:t>成后“三本账”分析</w:t>
            </w:r>
          </w:p>
          <w:p>
            <w:pPr>
              <w:topLinePunct/>
              <w:adjustRightInd w:val="0"/>
              <w:snapToGrid w:val="0"/>
              <w:spacing w:line="360" w:lineRule="auto"/>
              <w:ind w:firstLine="480" w:firstLineChars="200"/>
              <w:textAlignment w:val="baseline"/>
              <w:rPr>
                <w:snapToGrid w:val="0"/>
                <w:color w:val="000000"/>
                <w:kern w:val="0"/>
                <w:sz w:val="24"/>
                <w:szCs w:val="24"/>
              </w:rPr>
            </w:pPr>
            <w:r>
              <w:rPr>
                <w:rFonts w:hint="eastAsia"/>
                <w:color w:val="000000"/>
                <w:kern w:val="28"/>
                <w:sz w:val="24"/>
                <w:szCs w:val="24"/>
                <w:lang w:val="en-US" w:eastAsia="zh-CN"/>
              </w:rPr>
              <w:t>迁建</w:t>
            </w:r>
            <w:r>
              <w:rPr>
                <w:rFonts w:hint="eastAsia"/>
                <w:color w:val="000000"/>
                <w:kern w:val="28"/>
                <w:sz w:val="24"/>
                <w:szCs w:val="24"/>
              </w:rPr>
              <w:t>项目</w:t>
            </w:r>
            <w:r>
              <w:rPr>
                <w:rFonts w:hint="eastAsia"/>
                <w:color w:val="000000"/>
                <w:sz w:val="24"/>
              </w:rPr>
              <w:t>“三废”排放量变化情况详见表</w:t>
            </w:r>
            <w:r>
              <w:rPr>
                <w:rFonts w:hint="eastAsia"/>
                <w:color w:val="000000"/>
                <w:sz w:val="24"/>
                <w:lang w:val="en-US" w:eastAsia="zh-CN"/>
              </w:rPr>
              <w:t>4-16</w:t>
            </w:r>
            <w:r>
              <w:rPr>
                <w:rFonts w:hint="eastAsia"/>
                <w:color w:val="000000"/>
                <w:sz w:val="24"/>
              </w:rPr>
              <w:t>。</w:t>
            </w:r>
          </w:p>
          <w:p>
            <w:pPr>
              <w:adjustRightInd w:val="0"/>
              <w:snapToGrid w:val="0"/>
              <w:jc w:val="center"/>
              <w:rPr>
                <w:rFonts w:hint="default" w:ascii="Times New Roman" w:hAnsi="Times New Roman" w:eastAsia="黑体" w:cs="Times New Roman"/>
                <w:b w:val="0"/>
                <w:bCs/>
                <w:color w:val="FF0000"/>
                <w:sz w:val="24"/>
                <w:szCs w:val="24"/>
                <w:lang w:val="en-US" w:eastAsia="zh-CN"/>
              </w:rPr>
            </w:pPr>
            <w:r>
              <w:rPr>
                <w:rFonts w:hint="default" w:ascii="Times New Roman" w:hAnsi="Times New Roman" w:eastAsia="黑体" w:cs="Times New Roman"/>
                <w:b w:val="0"/>
                <w:bCs/>
                <w:color w:val="000000"/>
                <w:sz w:val="24"/>
                <w:szCs w:val="24"/>
              </w:rPr>
              <w:t>表</w:t>
            </w:r>
            <w:r>
              <w:rPr>
                <w:rFonts w:hint="eastAsia" w:eastAsia="黑体" w:cs="Times New Roman"/>
                <w:b w:val="0"/>
                <w:bCs/>
                <w:color w:val="000000"/>
                <w:sz w:val="24"/>
                <w:szCs w:val="24"/>
                <w:lang w:val="en-US" w:eastAsia="zh-CN"/>
              </w:rPr>
              <w:t>4-16</w:t>
            </w:r>
            <w:r>
              <w:rPr>
                <w:rFonts w:hint="default" w:ascii="Times New Roman" w:hAnsi="Times New Roman" w:eastAsia="黑体" w:cs="Times New Roman"/>
                <w:b w:val="0"/>
                <w:bCs/>
                <w:color w:val="000000"/>
                <w:sz w:val="24"/>
                <w:szCs w:val="24"/>
              </w:rPr>
              <w:t xml:space="preserve">  </w:t>
            </w:r>
            <w:r>
              <w:rPr>
                <w:rFonts w:hint="eastAsia" w:eastAsia="黑体" w:cs="Times New Roman"/>
                <w:b w:val="0"/>
                <w:bCs/>
                <w:color w:val="000000"/>
                <w:sz w:val="24"/>
                <w:szCs w:val="24"/>
                <w:lang w:val="en-US" w:eastAsia="zh-CN"/>
              </w:rPr>
              <w:t>迁</w:t>
            </w:r>
            <w:r>
              <w:rPr>
                <w:rFonts w:hint="default" w:ascii="Times New Roman" w:hAnsi="Times New Roman" w:eastAsia="黑体" w:cs="Times New Roman"/>
                <w:b w:val="0"/>
                <w:bCs/>
                <w:color w:val="000000"/>
                <w:sz w:val="24"/>
                <w:szCs w:val="24"/>
                <w:lang w:val="en-US" w:eastAsia="zh-CN"/>
              </w:rPr>
              <w:t>建</w:t>
            </w:r>
            <w:r>
              <w:rPr>
                <w:rFonts w:hint="default" w:ascii="Times New Roman" w:hAnsi="Times New Roman" w:eastAsia="黑体" w:cs="Times New Roman"/>
                <w:b w:val="0"/>
                <w:bCs/>
                <w:color w:val="000000"/>
                <w:sz w:val="24"/>
                <w:szCs w:val="24"/>
              </w:rPr>
              <w:t>完成后污染物排放情况分析（三本帐）</w:t>
            </w:r>
            <w:r>
              <w:rPr>
                <w:rFonts w:hint="eastAsia" w:eastAsia="黑体" w:cs="Times New Roman"/>
                <w:b w:val="0"/>
                <w:bCs/>
                <w:color w:val="000000"/>
                <w:sz w:val="24"/>
                <w:szCs w:val="24"/>
                <w:lang w:val="en-US" w:eastAsia="zh-CN"/>
              </w:rPr>
              <w:t xml:space="preserve">  单位：t/a</w:t>
            </w:r>
          </w:p>
          <w:tbl>
            <w:tblPr>
              <w:tblStyle w:val="29"/>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12"/>
              <w:gridCol w:w="1021"/>
              <w:gridCol w:w="2258"/>
              <w:gridCol w:w="1671"/>
              <w:gridCol w:w="1523"/>
              <w:gridCol w:w="183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4" w:hRule="atLeast"/>
                <w:jc w:val="center"/>
              </w:trPr>
              <w:tc>
                <w:tcPr>
                  <w:tcW w:w="1005" w:type="pct"/>
                  <w:gridSpan w:val="2"/>
                  <w:noWrap w:val="0"/>
                  <w:vAlign w:val="center"/>
                </w:tcPr>
                <w:p>
                  <w:pPr>
                    <w:widowControl/>
                    <w:adjustRightInd w:val="0"/>
                    <w:snapToGrid w:val="0"/>
                    <w:ind w:left="-105" w:leftChars="-50" w:right="-105" w:rightChars="-50"/>
                    <w:jc w:val="center"/>
                    <w:rPr>
                      <w:rFonts w:cs="宋体"/>
                      <w:color w:val="000000"/>
                      <w:kern w:val="0"/>
                      <w:sz w:val="21"/>
                      <w:szCs w:val="18"/>
                    </w:rPr>
                  </w:pPr>
                  <w:r>
                    <w:rPr>
                      <w:rFonts w:hint="eastAsia" w:cs="宋体"/>
                      <w:color w:val="000000"/>
                      <w:kern w:val="0"/>
                      <w:sz w:val="21"/>
                      <w:szCs w:val="18"/>
                    </w:rPr>
                    <w:t>类别</w:t>
                  </w:r>
                </w:p>
              </w:tc>
              <w:tc>
                <w:tcPr>
                  <w:tcW w:w="1238" w:type="pct"/>
                  <w:noWrap w:val="0"/>
                  <w:vAlign w:val="center"/>
                </w:tcPr>
                <w:p>
                  <w:pPr>
                    <w:adjustRightInd w:val="0"/>
                    <w:snapToGrid w:val="0"/>
                    <w:ind w:left="-105" w:leftChars="-50" w:right="-105" w:rightChars="-50"/>
                    <w:jc w:val="center"/>
                    <w:rPr>
                      <w:rFonts w:cs="宋体"/>
                      <w:color w:val="000000"/>
                      <w:kern w:val="0"/>
                      <w:sz w:val="21"/>
                      <w:szCs w:val="18"/>
                    </w:rPr>
                  </w:pPr>
                  <w:r>
                    <w:rPr>
                      <w:rFonts w:hint="eastAsia" w:cs="宋体"/>
                      <w:color w:val="000000"/>
                      <w:kern w:val="0"/>
                      <w:sz w:val="21"/>
                      <w:szCs w:val="18"/>
                    </w:rPr>
                    <w:t>污染物</w:t>
                  </w:r>
                </w:p>
              </w:tc>
              <w:tc>
                <w:tcPr>
                  <w:tcW w:w="916" w:type="pct"/>
                  <w:noWrap w:val="0"/>
                  <w:vAlign w:val="center"/>
                </w:tcPr>
                <w:p>
                  <w:pPr>
                    <w:widowControl/>
                    <w:adjustRightInd w:val="0"/>
                    <w:snapToGrid w:val="0"/>
                    <w:ind w:left="-105" w:leftChars="-50" w:right="-105" w:rightChars="-50"/>
                    <w:jc w:val="center"/>
                    <w:rPr>
                      <w:rFonts w:hint="eastAsia" w:cs="宋体"/>
                      <w:color w:val="000000"/>
                      <w:kern w:val="0"/>
                      <w:sz w:val="21"/>
                      <w:szCs w:val="18"/>
                    </w:rPr>
                  </w:pPr>
                  <w:r>
                    <w:rPr>
                      <w:rFonts w:hint="eastAsia" w:cs="宋体"/>
                      <w:color w:val="000000"/>
                      <w:kern w:val="0"/>
                      <w:sz w:val="21"/>
                      <w:szCs w:val="18"/>
                      <w:lang w:val="en-US" w:eastAsia="zh-CN"/>
                    </w:rPr>
                    <w:t>迁建</w:t>
                  </w:r>
                  <w:r>
                    <w:rPr>
                      <w:rFonts w:hint="eastAsia" w:cs="宋体"/>
                      <w:color w:val="000000"/>
                      <w:kern w:val="0"/>
                      <w:sz w:val="21"/>
                      <w:szCs w:val="18"/>
                    </w:rPr>
                    <w:t>前</w:t>
                  </w:r>
                </w:p>
                <w:p>
                  <w:pPr>
                    <w:widowControl/>
                    <w:adjustRightInd w:val="0"/>
                    <w:snapToGrid w:val="0"/>
                    <w:ind w:left="-105" w:leftChars="-50" w:right="-105" w:rightChars="-50"/>
                    <w:jc w:val="center"/>
                    <w:rPr>
                      <w:rFonts w:cs="宋体"/>
                      <w:color w:val="000000"/>
                      <w:kern w:val="0"/>
                      <w:sz w:val="21"/>
                      <w:szCs w:val="18"/>
                    </w:rPr>
                  </w:pPr>
                  <w:r>
                    <w:rPr>
                      <w:rFonts w:hint="eastAsia" w:cs="宋体"/>
                      <w:color w:val="000000"/>
                      <w:kern w:val="0"/>
                      <w:sz w:val="21"/>
                      <w:szCs w:val="18"/>
                    </w:rPr>
                    <w:t>排放量</w:t>
                  </w:r>
                </w:p>
              </w:tc>
              <w:tc>
                <w:tcPr>
                  <w:tcW w:w="835" w:type="pct"/>
                  <w:noWrap w:val="0"/>
                  <w:vAlign w:val="center"/>
                </w:tcPr>
                <w:p>
                  <w:pPr>
                    <w:widowControl/>
                    <w:adjustRightInd w:val="0"/>
                    <w:snapToGrid w:val="0"/>
                    <w:ind w:left="-105" w:leftChars="-50" w:right="-105" w:rightChars="-50"/>
                    <w:jc w:val="center"/>
                    <w:rPr>
                      <w:rFonts w:hint="default" w:cs="宋体"/>
                      <w:color w:val="000000"/>
                      <w:kern w:val="0"/>
                      <w:sz w:val="21"/>
                      <w:szCs w:val="18"/>
                      <w:lang w:val="en-US"/>
                    </w:rPr>
                  </w:pPr>
                  <w:r>
                    <w:rPr>
                      <w:rFonts w:hint="eastAsia" w:cs="宋体"/>
                      <w:color w:val="000000"/>
                      <w:kern w:val="0"/>
                      <w:sz w:val="21"/>
                      <w:szCs w:val="18"/>
                      <w:lang w:val="en-US" w:eastAsia="zh-CN"/>
                    </w:rPr>
                    <w:t>迁建后</w:t>
                  </w:r>
                </w:p>
                <w:p>
                  <w:pPr>
                    <w:widowControl/>
                    <w:adjustRightInd w:val="0"/>
                    <w:snapToGrid w:val="0"/>
                    <w:ind w:left="-105" w:leftChars="-50" w:right="-105" w:rightChars="-50"/>
                    <w:jc w:val="center"/>
                    <w:rPr>
                      <w:rFonts w:cs="宋体"/>
                      <w:color w:val="000000"/>
                      <w:kern w:val="0"/>
                      <w:sz w:val="21"/>
                      <w:szCs w:val="18"/>
                    </w:rPr>
                  </w:pPr>
                  <w:r>
                    <w:rPr>
                      <w:rFonts w:hint="eastAsia" w:cs="宋体"/>
                      <w:color w:val="000000"/>
                      <w:kern w:val="0"/>
                      <w:sz w:val="21"/>
                      <w:szCs w:val="18"/>
                    </w:rPr>
                    <w:t>排放量</w:t>
                  </w:r>
                </w:p>
              </w:tc>
              <w:tc>
                <w:tcPr>
                  <w:tcW w:w="1003" w:type="pct"/>
                  <w:noWrap w:val="0"/>
                  <w:vAlign w:val="center"/>
                </w:tcPr>
                <w:p>
                  <w:pPr>
                    <w:widowControl/>
                    <w:adjustRightInd w:val="0"/>
                    <w:snapToGrid w:val="0"/>
                    <w:ind w:left="-105" w:leftChars="-50" w:right="-105" w:rightChars="-50"/>
                    <w:jc w:val="center"/>
                    <w:rPr>
                      <w:rFonts w:hint="eastAsia" w:cs="宋体"/>
                      <w:color w:val="000000"/>
                      <w:kern w:val="0"/>
                      <w:sz w:val="21"/>
                      <w:szCs w:val="18"/>
                    </w:rPr>
                  </w:pPr>
                  <w:r>
                    <w:rPr>
                      <w:rFonts w:hint="eastAsia" w:cs="宋体"/>
                      <w:color w:val="000000"/>
                      <w:kern w:val="0"/>
                      <w:sz w:val="21"/>
                      <w:szCs w:val="18"/>
                    </w:rPr>
                    <w:t>增减量</w:t>
                  </w:r>
                </w:p>
                <w:p>
                  <w:pPr>
                    <w:widowControl/>
                    <w:adjustRightInd w:val="0"/>
                    <w:snapToGrid w:val="0"/>
                    <w:ind w:left="-105" w:leftChars="-50" w:right="-105" w:rightChars="-50"/>
                    <w:jc w:val="center"/>
                    <w:rPr>
                      <w:rFonts w:hint="eastAsia" w:cs="宋体"/>
                      <w:color w:val="000000"/>
                      <w:kern w:val="0"/>
                      <w:sz w:val="21"/>
                      <w:szCs w:val="18"/>
                    </w:rPr>
                  </w:pPr>
                  <w:r>
                    <w:rPr>
                      <w:rFonts w:hint="eastAsia" w:cs="宋体"/>
                      <w:color w:val="000000"/>
                      <w:kern w:val="0"/>
                      <w:sz w:val="21"/>
                      <w:szCs w:val="18"/>
                    </w:rPr>
                    <w:t>变化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2" w:hRule="atLeast"/>
                <w:jc w:val="center"/>
              </w:trPr>
              <w:tc>
                <w:tcPr>
                  <w:tcW w:w="445" w:type="pct"/>
                  <w:vMerge w:val="restart"/>
                  <w:tcBorders>
                    <w:right w:val="single" w:color="auto" w:sz="4" w:space="0"/>
                  </w:tcBorders>
                  <w:noWrap w:val="0"/>
                  <w:vAlign w:val="center"/>
                </w:tcPr>
                <w:p>
                  <w:pPr>
                    <w:widowControl/>
                    <w:adjustRightInd w:val="0"/>
                    <w:snapToGrid w:val="0"/>
                    <w:ind w:left="-105" w:leftChars="-50" w:right="-105" w:rightChars="-50"/>
                    <w:jc w:val="center"/>
                    <w:rPr>
                      <w:rFonts w:hint="default" w:cs="宋体"/>
                      <w:color w:val="000000"/>
                      <w:kern w:val="0"/>
                      <w:sz w:val="21"/>
                      <w:szCs w:val="18"/>
                      <w:lang w:val="en-US" w:eastAsia="zh-CN"/>
                    </w:rPr>
                  </w:pPr>
                  <w:r>
                    <w:rPr>
                      <w:rFonts w:hint="eastAsia" w:cs="宋体"/>
                      <w:color w:val="000000"/>
                      <w:kern w:val="0"/>
                      <w:sz w:val="21"/>
                      <w:szCs w:val="18"/>
                      <w:lang w:val="en-US" w:eastAsia="zh-CN"/>
                    </w:rPr>
                    <w:t>废气</w:t>
                  </w:r>
                </w:p>
              </w:tc>
              <w:tc>
                <w:tcPr>
                  <w:tcW w:w="560" w:type="pct"/>
                  <w:vMerge w:val="restart"/>
                  <w:tcBorders>
                    <w:left w:val="single" w:color="auto" w:sz="4" w:space="0"/>
                  </w:tcBorders>
                  <w:noWrap w:val="0"/>
                  <w:vAlign w:val="center"/>
                </w:tcPr>
                <w:p>
                  <w:pPr>
                    <w:widowControl/>
                    <w:adjustRightInd w:val="0"/>
                    <w:snapToGrid w:val="0"/>
                    <w:ind w:left="-105" w:leftChars="-50" w:right="-105" w:rightChars="-50"/>
                    <w:jc w:val="center"/>
                    <w:rPr>
                      <w:rFonts w:hint="default" w:cs="宋体"/>
                      <w:color w:val="000000"/>
                      <w:kern w:val="0"/>
                      <w:sz w:val="21"/>
                      <w:szCs w:val="18"/>
                      <w:lang w:val="en-US" w:eastAsia="zh-CN"/>
                    </w:rPr>
                  </w:pPr>
                  <w:r>
                    <w:rPr>
                      <w:rFonts w:hint="eastAsia" w:cs="宋体"/>
                      <w:color w:val="000000"/>
                      <w:kern w:val="0"/>
                      <w:sz w:val="21"/>
                      <w:szCs w:val="18"/>
                      <w:lang w:val="en-US" w:eastAsia="zh-CN"/>
                    </w:rPr>
                    <w:t>无组织废气</w:t>
                  </w:r>
                </w:p>
              </w:tc>
              <w:tc>
                <w:tcPr>
                  <w:tcW w:w="1238" w:type="pct"/>
                  <w:noWrap w:val="0"/>
                  <w:vAlign w:val="center"/>
                </w:tcPr>
                <w:p>
                  <w:pPr>
                    <w:adjustRightInd w:val="0"/>
                    <w:snapToGrid w:val="0"/>
                    <w:ind w:left="-105" w:leftChars="-50" w:right="-105" w:rightChars="-50"/>
                    <w:jc w:val="center"/>
                    <w:rPr>
                      <w:rFonts w:hint="eastAsia"/>
                      <w:color w:val="000000"/>
                      <w:sz w:val="21"/>
                      <w:szCs w:val="18"/>
                      <w:lang w:val="en-US" w:eastAsia="zh-CN"/>
                    </w:rPr>
                  </w:pPr>
                  <w:r>
                    <w:rPr>
                      <w:rFonts w:hint="eastAsia"/>
                      <w:color w:val="000000"/>
                      <w:sz w:val="21"/>
                      <w:szCs w:val="18"/>
                      <w:lang w:val="en-US" w:eastAsia="zh-CN"/>
                    </w:rPr>
                    <w:t>颗粒物</w:t>
                  </w:r>
                </w:p>
              </w:tc>
              <w:tc>
                <w:tcPr>
                  <w:tcW w:w="916" w:type="pct"/>
                  <w:noWrap w:val="0"/>
                  <w:vAlign w:val="center"/>
                </w:tcPr>
                <w:p>
                  <w:pPr>
                    <w:adjustRightInd w:val="0"/>
                    <w:snapToGrid w:val="0"/>
                    <w:ind w:left="-105" w:leftChars="-50" w:right="-50" w:rightChars="0"/>
                    <w:jc w:val="center"/>
                    <w:rPr>
                      <w:rFonts w:hint="default" w:eastAsia="宋体"/>
                      <w:color w:val="000000"/>
                      <w:sz w:val="21"/>
                      <w:szCs w:val="18"/>
                      <w:lang w:val="en-US" w:eastAsia="zh-CN"/>
                    </w:rPr>
                  </w:pPr>
                  <w:r>
                    <w:rPr>
                      <w:rFonts w:hint="eastAsia" w:eastAsia="宋体"/>
                      <w:color w:val="000000"/>
                      <w:sz w:val="21"/>
                      <w:szCs w:val="18"/>
                      <w:lang w:val="en-US" w:eastAsia="zh-CN"/>
                    </w:rPr>
                    <w:t>0.684</w:t>
                  </w:r>
                </w:p>
              </w:tc>
              <w:tc>
                <w:tcPr>
                  <w:tcW w:w="835" w:type="pct"/>
                  <w:noWrap w:val="0"/>
                  <w:vAlign w:val="center"/>
                </w:tcPr>
                <w:p>
                  <w:pPr>
                    <w:adjustRightInd w:val="0"/>
                    <w:snapToGrid w:val="0"/>
                    <w:ind w:left="-105" w:leftChars="-50" w:right="-50" w:rightChars="0"/>
                    <w:jc w:val="center"/>
                    <w:rPr>
                      <w:rFonts w:hint="default" w:eastAsia="宋体"/>
                      <w:color w:val="000000"/>
                      <w:sz w:val="21"/>
                      <w:szCs w:val="18"/>
                      <w:lang w:val="en-US" w:eastAsia="zh-CN"/>
                    </w:rPr>
                  </w:pPr>
                  <w:r>
                    <w:rPr>
                      <w:rFonts w:hint="eastAsia" w:eastAsia="宋体"/>
                      <w:color w:val="000000"/>
                      <w:sz w:val="21"/>
                      <w:szCs w:val="18"/>
                      <w:lang w:val="en-US" w:eastAsia="zh-CN"/>
                    </w:rPr>
                    <w:t>0.017</w:t>
                  </w:r>
                </w:p>
              </w:tc>
              <w:tc>
                <w:tcPr>
                  <w:tcW w:w="1003" w:type="pct"/>
                  <w:noWrap w:val="0"/>
                  <w:vAlign w:val="center"/>
                </w:tcPr>
                <w:p>
                  <w:pPr>
                    <w:adjustRightInd w:val="0"/>
                    <w:snapToGrid w:val="0"/>
                    <w:ind w:left="-105" w:leftChars="-50" w:right="-50" w:rightChars="0"/>
                    <w:jc w:val="center"/>
                    <w:rPr>
                      <w:rFonts w:hint="default" w:eastAsia="宋体"/>
                      <w:color w:val="000000"/>
                      <w:sz w:val="21"/>
                      <w:szCs w:val="18"/>
                      <w:lang w:val="en-US" w:eastAsia="zh-CN"/>
                    </w:rPr>
                  </w:pPr>
                  <w:r>
                    <w:rPr>
                      <w:rFonts w:hint="eastAsia" w:eastAsia="宋体"/>
                      <w:color w:val="000000"/>
                      <w:sz w:val="21"/>
                      <w:szCs w:val="18"/>
                      <w:lang w:val="en-US" w:eastAsia="zh-CN"/>
                    </w:rPr>
                    <w:t>-0.667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2" w:hRule="atLeast"/>
                <w:jc w:val="center"/>
              </w:trPr>
              <w:tc>
                <w:tcPr>
                  <w:tcW w:w="445" w:type="pct"/>
                  <w:vMerge w:val="continue"/>
                  <w:tcBorders>
                    <w:right w:val="single" w:color="auto" w:sz="4" w:space="0"/>
                  </w:tcBorders>
                  <w:noWrap w:val="0"/>
                  <w:vAlign w:val="center"/>
                </w:tcPr>
                <w:p>
                  <w:pPr>
                    <w:widowControl/>
                    <w:adjustRightInd w:val="0"/>
                    <w:snapToGrid w:val="0"/>
                    <w:ind w:left="-105" w:leftChars="-50" w:right="-105" w:rightChars="-50"/>
                    <w:jc w:val="center"/>
                    <w:rPr>
                      <w:rFonts w:hint="eastAsia" w:cs="宋体"/>
                      <w:color w:val="000000"/>
                      <w:kern w:val="0"/>
                      <w:sz w:val="21"/>
                      <w:szCs w:val="18"/>
                      <w:lang w:val="en-US" w:eastAsia="zh-CN"/>
                    </w:rPr>
                  </w:pPr>
                </w:p>
              </w:tc>
              <w:tc>
                <w:tcPr>
                  <w:tcW w:w="560" w:type="pct"/>
                  <w:vMerge w:val="continue"/>
                  <w:tcBorders>
                    <w:left w:val="single" w:color="auto" w:sz="4" w:space="0"/>
                  </w:tcBorders>
                  <w:noWrap w:val="0"/>
                  <w:vAlign w:val="center"/>
                </w:tcPr>
                <w:p>
                  <w:pPr>
                    <w:widowControl/>
                    <w:adjustRightInd w:val="0"/>
                    <w:snapToGrid w:val="0"/>
                    <w:ind w:left="-105" w:leftChars="-50" w:right="-105" w:rightChars="-50"/>
                    <w:jc w:val="center"/>
                    <w:rPr>
                      <w:rFonts w:hint="eastAsia" w:cs="宋体"/>
                      <w:color w:val="000000"/>
                      <w:kern w:val="0"/>
                      <w:sz w:val="21"/>
                      <w:szCs w:val="18"/>
                      <w:lang w:val="en-US" w:eastAsia="zh-CN"/>
                    </w:rPr>
                  </w:pPr>
                </w:p>
              </w:tc>
              <w:tc>
                <w:tcPr>
                  <w:tcW w:w="1238" w:type="pct"/>
                  <w:noWrap w:val="0"/>
                  <w:vAlign w:val="center"/>
                </w:tcPr>
                <w:p>
                  <w:pPr>
                    <w:adjustRightInd w:val="0"/>
                    <w:snapToGrid w:val="0"/>
                    <w:ind w:left="-105" w:leftChars="-50" w:right="-105" w:rightChars="-50"/>
                    <w:jc w:val="center"/>
                    <w:rPr>
                      <w:rFonts w:hint="default"/>
                      <w:color w:val="000000"/>
                      <w:sz w:val="21"/>
                      <w:szCs w:val="18"/>
                      <w:lang w:val="en-US" w:eastAsia="zh-CN"/>
                    </w:rPr>
                  </w:pPr>
                  <w:r>
                    <w:rPr>
                      <w:rFonts w:hint="eastAsia"/>
                      <w:color w:val="000000"/>
                      <w:sz w:val="21"/>
                      <w:szCs w:val="18"/>
                      <w:lang w:val="en-US" w:eastAsia="zh-CN"/>
                    </w:rPr>
                    <w:t>VOCs</w:t>
                  </w:r>
                </w:p>
              </w:tc>
              <w:tc>
                <w:tcPr>
                  <w:tcW w:w="916" w:type="pct"/>
                  <w:noWrap w:val="0"/>
                  <w:vAlign w:val="center"/>
                </w:tcPr>
                <w:p>
                  <w:pPr>
                    <w:adjustRightInd w:val="0"/>
                    <w:snapToGrid w:val="0"/>
                    <w:ind w:left="-105" w:leftChars="-50" w:right="-50" w:rightChars="0"/>
                    <w:jc w:val="center"/>
                    <w:rPr>
                      <w:rFonts w:hint="default" w:eastAsia="宋体"/>
                      <w:color w:val="000000"/>
                      <w:sz w:val="21"/>
                      <w:szCs w:val="18"/>
                      <w:lang w:val="en-US" w:eastAsia="zh-CN"/>
                    </w:rPr>
                  </w:pPr>
                  <w:r>
                    <w:rPr>
                      <w:rFonts w:hint="eastAsia" w:eastAsia="宋体"/>
                      <w:color w:val="000000"/>
                      <w:sz w:val="21"/>
                      <w:szCs w:val="18"/>
                      <w:lang w:val="en-US" w:eastAsia="zh-CN"/>
                    </w:rPr>
                    <w:t>0.066</w:t>
                  </w:r>
                </w:p>
              </w:tc>
              <w:tc>
                <w:tcPr>
                  <w:tcW w:w="835" w:type="pct"/>
                  <w:noWrap w:val="0"/>
                  <w:vAlign w:val="center"/>
                </w:tcPr>
                <w:p>
                  <w:pPr>
                    <w:adjustRightInd w:val="0"/>
                    <w:snapToGrid w:val="0"/>
                    <w:ind w:left="-105" w:leftChars="-50" w:right="-50" w:rightChars="0"/>
                    <w:jc w:val="center"/>
                    <w:rPr>
                      <w:rFonts w:hint="default" w:eastAsia="宋体"/>
                      <w:color w:val="000000"/>
                      <w:sz w:val="21"/>
                      <w:szCs w:val="18"/>
                      <w:lang w:val="en-US" w:eastAsia="zh-CN"/>
                    </w:rPr>
                  </w:pPr>
                  <w:r>
                    <w:rPr>
                      <w:rFonts w:hint="eastAsia" w:eastAsia="宋体"/>
                      <w:color w:val="000000"/>
                      <w:sz w:val="21"/>
                      <w:szCs w:val="18"/>
                      <w:lang w:val="en-US" w:eastAsia="zh-CN"/>
                    </w:rPr>
                    <w:t>0.041</w:t>
                  </w:r>
                </w:p>
              </w:tc>
              <w:tc>
                <w:tcPr>
                  <w:tcW w:w="1003" w:type="pct"/>
                  <w:noWrap w:val="0"/>
                  <w:vAlign w:val="center"/>
                </w:tcPr>
                <w:p>
                  <w:pPr>
                    <w:adjustRightInd w:val="0"/>
                    <w:snapToGrid w:val="0"/>
                    <w:ind w:left="-105" w:leftChars="-50" w:right="-50" w:rightChars="0"/>
                    <w:jc w:val="center"/>
                    <w:rPr>
                      <w:rFonts w:hint="default" w:eastAsia="宋体"/>
                      <w:color w:val="000000"/>
                      <w:sz w:val="21"/>
                      <w:szCs w:val="18"/>
                      <w:lang w:val="en-US" w:eastAsia="zh-CN"/>
                    </w:rPr>
                  </w:pPr>
                  <w:r>
                    <w:rPr>
                      <w:rFonts w:hint="eastAsia" w:eastAsia="宋体"/>
                      <w:color w:val="000000"/>
                      <w:sz w:val="21"/>
                      <w:szCs w:val="18"/>
                      <w:lang w:val="en-US" w:eastAsia="zh-CN"/>
                    </w:rPr>
                    <w:t>-0.025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2" w:hRule="atLeast"/>
                <w:jc w:val="center"/>
              </w:trPr>
              <w:tc>
                <w:tcPr>
                  <w:tcW w:w="445" w:type="pct"/>
                  <w:vMerge w:val="continue"/>
                  <w:tcBorders>
                    <w:right w:val="single" w:color="auto" w:sz="4" w:space="0"/>
                  </w:tcBorders>
                  <w:noWrap w:val="0"/>
                  <w:vAlign w:val="center"/>
                </w:tcPr>
                <w:p>
                  <w:pPr>
                    <w:widowControl/>
                    <w:adjustRightInd w:val="0"/>
                    <w:snapToGrid w:val="0"/>
                    <w:ind w:left="-105" w:leftChars="-50" w:right="-105" w:rightChars="-50"/>
                    <w:jc w:val="center"/>
                    <w:rPr>
                      <w:rFonts w:hint="eastAsia" w:cs="宋体"/>
                      <w:color w:val="000000"/>
                      <w:kern w:val="0"/>
                      <w:sz w:val="21"/>
                      <w:szCs w:val="18"/>
                      <w:lang w:val="en-US" w:eastAsia="zh-CN"/>
                    </w:rPr>
                  </w:pPr>
                </w:p>
              </w:tc>
              <w:tc>
                <w:tcPr>
                  <w:tcW w:w="560" w:type="pct"/>
                  <w:tcBorders>
                    <w:left w:val="single" w:color="auto" w:sz="4" w:space="0"/>
                  </w:tcBorders>
                  <w:noWrap w:val="0"/>
                  <w:vAlign w:val="center"/>
                </w:tcPr>
                <w:p>
                  <w:pPr>
                    <w:widowControl/>
                    <w:adjustRightInd w:val="0"/>
                    <w:snapToGrid w:val="0"/>
                    <w:ind w:left="-105" w:leftChars="-50" w:right="-105" w:rightChars="-50"/>
                    <w:jc w:val="center"/>
                    <w:rPr>
                      <w:rFonts w:hint="default" w:cs="宋体"/>
                      <w:color w:val="000000"/>
                      <w:kern w:val="0"/>
                      <w:sz w:val="21"/>
                      <w:szCs w:val="18"/>
                      <w:lang w:val="en-US" w:eastAsia="zh-CN"/>
                    </w:rPr>
                  </w:pPr>
                  <w:r>
                    <w:rPr>
                      <w:rFonts w:hint="eastAsia" w:cs="宋体"/>
                      <w:color w:val="000000"/>
                      <w:kern w:val="0"/>
                      <w:sz w:val="21"/>
                      <w:szCs w:val="18"/>
                      <w:lang w:val="en-US" w:eastAsia="zh-CN"/>
                    </w:rPr>
                    <w:t>油烟</w:t>
                  </w:r>
                </w:p>
              </w:tc>
              <w:tc>
                <w:tcPr>
                  <w:tcW w:w="1238" w:type="pct"/>
                  <w:noWrap w:val="0"/>
                  <w:vAlign w:val="center"/>
                </w:tcPr>
                <w:p>
                  <w:pPr>
                    <w:adjustRightInd w:val="0"/>
                    <w:snapToGrid w:val="0"/>
                    <w:ind w:left="-105" w:leftChars="-50" w:right="-105" w:rightChars="-50"/>
                    <w:jc w:val="center"/>
                    <w:rPr>
                      <w:rFonts w:hint="eastAsia" w:eastAsia="宋体" w:cs="宋体"/>
                      <w:color w:val="000000"/>
                      <w:kern w:val="0"/>
                      <w:sz w:val="21"/>
                      <w:szCs w:val="18"/>
                      <w:lang w:val="en-US" w:eastAsia="zh-CN"/>
                    </w:rPr>
                  </w:pPr>
                  <w:r>
                    <w:rPr>
                      <w:rFonts w:hint="eastAsia"/>
                      <w:color w:val="000000"/>
                      <w:sz w:val="21"/>
                      <w:szCs w:val="18"/>
                    </w:rPr>
                    <w:t>油烟</w:t>
                  </w:r>
                  <w:r>
                    <w:rPr>
                      <w:rFonts w:hint="eastAsia" w:cs="宋体"/>
                      <w:color w:val="000000"/>
                      <w:kern w:val="0"/>
                      <w:sz w:val="21"/>
                      <w:szCs w:val="18"/>
                    </w:rPr>
                    <w:t>(t/a)</w:t>
                  </w:r>
                </w:p>
              </w:tc>
              <w:tc>
                <w:tcPr>
                  <w:tcW w:w="916" w:type="pct"/>
                  <w:noWrap w:val="0"/>
                  <w:vAlign w:val="center"/>
                </w:tcPr>
                <w:p>
                  <w:pPr>
                    <w:adjustRightInd w:val="0"/>
                    <w:snapToGrid w:val="0"/>
                    <w:ind w:left="-105" w:leftChars="-50" w:right="-50" w:rightChars="0"/>
                    <w:jc w:val="center"/>
                    <w:rPr>
                      <w:rFonts w:hint="default" w:eastAsia="宋体" w:cs="宋体"/>
                      <w:color w:val="000000"/>
                      <w:kern w:val="0"/>
                      <w:sz w:val="21"/>
                      <w:szCs w:val="18"/>
                      <w:lang w:val="en-US" w:eastAsia="zh-CN"/>
                    </w:rPr>
                  </w:pPr>
                  <w:r>
                    <w:rPr>
                      <w:rFonts w:hint="eastAsia" w:cs="宋体"/>
                      <w:color w:val="000000"/>
                      <w:kern w:val="0"/>
                      <w:sz w:val="21"/>
                      <w:szCs w:val="18"/>
                      <w:lang w:val="en-US" w:eastAsia="zh-CN"/>
                    </w:rPr>
                    <w:t>0</w:t>
                  </w:r>
                </w:p>
              </w:tc>
              <w:tc>
                <w:tcPr>
                  <w:tcW w:w="835" w:type="pct"/>
                  <w:noWrap w:val="0"/>
                  <w:vAlign w:val="center"/>
                </w:tcPr>
                <w:p>
                  <w:pPr>
                    <w:adjustRightInd w:val="0"/>
                    <w:snapToGrid w:val="0"/>
                    <w:ind w:left="-105" w:leftChars="-50" w:right="-50" w:rightChars="0"/>
                    <w:jc w:val="center"/>
                    <w:rPr>
                      <w:rFonts w:hint="default" w:eastAsia="宋体" w:cs="宋体"/>
                      <w:color w:val="000000"/>
                      <w:kern w:val="0"/>
                      <w:sz w:val="21"/>
                      <w:szCs w:val="18"/>
                      <w:lang w:val="en-US" w:eastAsia="zh-CN"/>
                    </w:rPr>
                  </w:pPr>
                  <w:r>
                    <w:rPr>
                      <w:rFonts w:hint="eastAsia" w:cs="宋体"/>
                      <w:color w:val="000000"/>
                      <w:kern w:val="0"/>
                      <w:sz w:val="21"/>
                      <w:szCs w:val="18"/>
                      <w:lang w:val="en-US" w:eastAsia="zh-CN"/>
                    </w:rPr>
                    <w:t>0.004</w:t>
                  </w:r>
                </w:p>
              </w:tc>
              <w:tc>
                <w:tcPr>
                  <w:tcW w:w="1003" w:type="pct"/>
                  <w:noWrap w:val="0"/>
                  <w:vAlign w:val="center"/>
                </w:tcPr>
                <w:p>
                  <w:pPr>
                    <w:widowControl/>
                    <w:adjustRightInd w:val="0"/>
                    <w:snapToGrid w:val="0"/>
                    <w:ind w:left="-105" w:leftChars="-50" w:right="-105" w:rightChars="-50"/>
                    <w:jc w:val="center"/>
                    <w:rPr>
                      <w:rFonts w:hint="default" w:eastAsia="宋体" w:cs="宋体"/>
                      <w:color w:val="000000"/>
                      <w:kern w:val="0"/>
                      <w:sz w:val="21"/>
                      <w:szCs w:val="18"/>
                      <w:lang w:val="en-US" w:eastAsia="zh-CN"/>
                    </w:rPr>
                  </w:pPr>
                  <w:r>
                    <w:rPr>
                      <w:rFonts w:hint="eastAsia" w:cs="宋体"/>
                      <w:color w:val="000000"/>
                      <w:kern w:val="0"/>
                      <w:sz w:val="21"/>
                      <w:szCs w:val="18"/>
                      <w:lang w:val="en-US" w:eastAsia="zh-CN"/>
                    </w:rPr>
                    <w:t>+0.004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2" w:hRule="atLeast"/>
                <w:jc w:val="center"/>
              </w:trPr>
              <w:tc>
                <w:tcPr>
                  <w:tcW w:w="1005" w:type="pct"/>
                  <w:gridSpan w:val="2"/>
                  <w:vMerge w:val="restart"/>
                  <w:noWrap w:val="0"/>
                  <w:vAlign w:val="center"/>
                </w:tcPr>
                <w:p>
                  <w:pPr>
                    <w:widowControl/>
                    <w:adjustRightInd w:val="0"/>
                    <w:snapToGrid w:val="0"/>
                    <w:ind w:left="-105" w:leftChars="-50" w:right="-105" w:rightChars="-50"/>
                    <w:jc w:val="center"/>
                    <w:rPr>
                      <w:rFonts w:hint="default" w:cs="宋体"/>
                      <w:color w:val="000000"/>
                      <w:kern w:val="0"/>
                      <w:sz w:val="21"/>
                      <w:szCs w:val="18"/>
                      <w:lang w:val="en-US" w:eastAsia="zh-CN"/>
                    </w:rPr>
                  </w:pPr>
                  <w:r>
                    <w:rPr>
                      <w:rFonts w:hint="eastAsia" w:cs="宋体"/>
                      <w:color w:val="000000"/>
                      <w:kern w:val="0"/>
                      <w:sz w:val="21"/>
                      <w:szCs w:val="18"/>
                      <w:lang w:val="en-US" w:eastAsia="zh-CN"/>
                    </w:rPr>
                    <w:t>废水</w:t>
                  </w:r>
                </w:p>
              </w:tc>
              <w:tc>
                <w:tcPr>
                  <w:tcW w:w="1238" w:type="pct"/>
                  <w:noWrap w:val="0"/>
                  <w:vAlign w:val="center"/>
                </w:tcPr>
                <w:p>
                  <w:pPr>
                    <w:widowControl/>
                    <w:adjustRightInd w:val="0"/>
                    <w:snapToGrid w:val="0"/>
                    <w:ind w:left="-105" w:leftChars="-50" w:right="-105" w:rightChars="-50"/>
                    <w:jc w:val="center"/>
                    <w:rPr>
                      <w:rFonts w:hint="eastAsia" w:ascii="Times New Roman" w:hAnsi="Times New Roman" w:eastAsia="宋体" w:cs="宋体"/>
                      <w:color w:val="000000"/>
                      <w:kern w:val="0"/>
                      <w:sz w:val="21"/>
                      <w:szCs w:val="18"/>
                      <w:lang w:val="en-US" w:eastAsia="zh-CN" w:bidi="ar-SA"/>
                    </w:rPr>
                  </w:pPr>
                  <w:r>
                    <w:rPr>
                      <w:rFonts w:hint="eastAsia" w:cs="宋体"/>
                      <w:color w:val="000000"/>
                      <w:kern w:val="0"/>
                      <w:sz w:val="21"/>
                      <w:szCs w:val="18"/>
                      <w:lang w:val="en-US" w:eastAsia="zh-CN"/>
                    </w:rPr>
                    <w:t>COD</w:t>
                  </w:r>
                </w:p>
              </w:tc>
              <w:tc>
                <w:tcPr>
                  <w:tcW w:w="916" w:type="pct"/>
                  <w:noWrap w:val="0"/>
                  <w:vAlign w:val="center"/>
                </w:tcPr>
                <w:p>
                  <w:pPr>
                    <w:adjustRightInd w:val="0"/>
                    <w:snapToGrid w:val="0"/>
                    <w:ind w:left="-105" w:leftChars="-50" w:right="-50" w:rightChars="0"/>
                    <w:jc w:val="center"/>
                    <w:rPr>
                      <w:rFonts w:hint="default" w:cs="宋体"/>
                      <w:color w:val="000000"/>
                      <w:kern w:val="0"/>
                      <w:sz w:val="21"/>
                      <w:szCs w:val="18"/>
                      <w:lang w:val="en-US" w:eastAsia="zh-CN"/>
                    </w:rPr>
                  </w:pPr>
                  <w:r>
                    <w:rPr>
                      <w:rFonts w:hint="eastAsia" w:cs="宋体"/>
                      <w:color w:val="000000"/>
                      <w:kern w:val="0"/>
                      <w:sz w:val="21"/>
                      <w:szCs w:val="18"/>
                      <w:lang w:val="en-US" w:eastAsia="zh-CN"/>
                    </w:rPr>
                    <w:t>0.322</w:t>
                  </w:r>
                </w:p>
              </w:tc>
              <w:tc>
                <w:tcPr>
                  <w:tcW w:w="835" w:type="pct"/>
                  <w:noWrap w:val="0"/>
                  <w:vAlign w:val="center"/>
                </w:tcPr>
                <w:p>
                  <w:pPr>
                    <w:pStyle w:val="40"/>
                    <w:snapToGrid w:val="0"/>
                    <w:spacing w:line="240" w:lineRule="auto"/>
                    <w:rPr>
                      <w:rFonts w:hint="default" w:cs="宋体"/>
                      <w:color w:val="000000"/>
                      <w:kern w:val="0"/>
                      <w:sz w:val="21"/>
                      <w:szCs w:val="18"/>
                      <w:lang w:val="en-US" w:eastAsia="zh-CN"/>
                    </w:rPr>
                  </w:pPr>
                  <w:r>
                    <w:rPr>
                      <w:rFonts w:hint="eastAsia" w:ascii="Times New Roman" w:hAnsi="Times New Roman"/>
                      <w:lang w:val="en-US" w:eastAsia="zh-CN"/>
                    </w:rPr>
                    <w:t>0.063</w:t>
                  </w:r>
                </w:p>
              </w:tc>
              <w:tc>
                <w:tcPr>
                  <w:tcW w:w="1003" w:type="pct"/>
                  <w:noWrap w:val="0"/>
                  <w:vAlign w:val="center"/>
                </w:tcPr>
                <w:p>
                  <w:pPr>
                    <w:widowControl/>
                    <w:adjustRightInd w:val="0"/>
                    <w:snapToGrid w:val="0"/>
                    <w:ind w:left="-105" w:leftChars="-50" w:right="-105" w:rightChars="-50"/>
                    <w:jc w:val="center"/>
                    <w:rPr>
                      <w:rFonts w:hint="default" w:cs="宋体"/>
                      <w:color w:val="000000"/>
                      <w:kern w:val="0"/>
                      <w:sz w:val="21"/>
                      <w:szCs w:val="18"/>
                      <w:lang w:val="en-US" w:eastAsia="zh-CN"/>
                    </w:rPr>
                  </w:pPr>
                  <w:r>
                    <w:rPr>
                      <w:rFonts w:hint="eastAsia" w:cs="宋体"/>
                      <w:color w:val="000000"/>
                      <w:kern w:val="0"/>
                      <w:sz w:val="21"/>
                      <w:szCs w:val="18"/>
                      <w:lang w:val="en-US" w:eastAsia="zh-CN"/>
                    </w:rPr>
                    <w:t>-0.259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2" w:hRule="atLeast"/>
                <w:jc w:val="center"/>
              </w:trPr>
              <w:tc>
                <w:tcPr>
                  <w:tcW w:w="1005" w:type="pct"/>
                  <w:gridSpan w:val="2"/>
                  <w:vMerge w:val="continue"/>
                  <w:noWrap w:val="0"/>
                  <w:vAlign w:val="center"/>
                </w:tcPr>
                <w:p>
                  <w:pPr>
                    <w:widowControl/>
                    <w:adjustRightInd w:val="0"/>
                    <w:snapToGrid w:val="0"/>
                    <w:ind w:left="-105" w:leftChars="-50" w:right="-105" w:rightChars="-50"/>
                    <w:jc w:val="center"/>
                    <w:rPr>
                      <w:rFonts w:hint="default" w:cs="宋体"/>
                      <w:color w:val="000000"/>
                      <w:kern w:val="0"/>
                      <w:sz w:val="21"/>
                      <w:szCs w:val="18"/>
                      <w:vertAlign w:val="subscript"/>
                      <w:lang w:val="en-US" w:eastAsia="zh-CN"/>
                    </w:rPr>
                  </w:pPr>
                </w:p>
              </w:tc>
              <w:tc>
                <w:tcPr>
                  <w:tcW w:w="1238" w:type="pct"/>
                  <w:noWrap w:val="0"/>
                  <w:vAlign w:val="center"/>
                </w:tcPr>
                <w:p>
                  <w:pPr>
                    <w:widowControl/>
                    <w:adjustRightInd w:val="0"/>
                    <w:snapToGrid w:val="0"/>
                    <w:ind w:left="-105" w:leftChars="-50" w:right="-105" w:rightChars="-50"/>
                    <w:jc w:val="center"/>
                    <w:rPr>
                      <w:rFonts w:hint="eastAsia" w:ascii="Times New Roman" w:hAnsi="Times New Roman" w:eastAsia="宋体" w:cs="宋体"/>
                      <w:color w:val="000000"/>
                      <w:kern w:val="0"/>
                      <w:sz w:val="21"/>
                      <w:szCs w:val="18"/>
                      <w:vertAlign w:val="subscript"/>
                      <w:lang w:val="en-US" w:eastAsia="zh-CN" w:bidi="ar-SA"/>
                    </w:rPr>
                  </w:pPr>
                  <w:r>
                    <w:rPr>
                      <w:rFonts w:hint="eastAsia" w:cs="宋体"/>
                      <w:color w:val="000000"/>
                      <w:kern w:val="0"/>
                      <w:sz w:val="21"/>
                      <w:szCs w:val="18"/>
                      <w:lang w:val="en-US" w:eastAsia="zh-CN"/>
                    </w:rPr>
                    <w:t>BOD</w:t>
                  </w:r>
                  <w:r>
                    <w:rPr>
                      <w:rFonts w:hint="eastAsia" w:cs="宋体"/>
                      <w:color w:val="000000"/>
                      <w:kern w:val="0"/>
                      <w:sz w:val="21"/>
                      <w:szCs w:val="18"/>
                      <w:vertAlign w:val="subscript"/>
                      <w:lang w:val="en-US" w:eastAsia="zh-CN"/>
                    </w:rPr>
                    <w:t>5</w:t>
                  </w:r>
                </w:p>
              </w:tc>
              <w:tc>
                <w:tcPr>
                  <w:tcW w:w="916" w:type="pct"/>
                  <w:noWrap w:val="0"/>
                  <w:vAlign w:val="center"/>
                </w:tcPr>
                <w:p>
                  <w:pPr>
                    <w:adjustRightInd w:val="0"/>
                    <w:snapToGrid w:val="0"/>
                    <w:ind w:left="-105" w:leftChars="-50" w:right="-50" w:rightChars="0"/>
                    <w:jc w:val="center"/>
                    <w:rPr>
                      <w:rFonts w:hint="default" w:cs="宋体"/>
                      <w:color w:val="000000"/>
                      <w:kern w:val="0"/>
                      <w:sz w:val="21"/>
                      <w:szCs w:val="18"/>
                      <w:lang w:val="en-US" w:eastAsia="zh-CN"/>
                    </w:rPr>
                  </w:pPr>
                  <w:r>
                    <w:rPr>
                      <w:rFonts w:hint="eastAsia" w:cs="宋体"/>
                      <w:color w:val="000000"/>
                      <w:kern w:val="0"/>
                      <w:sz w:val="21"/>
                      <w:szCs w:val="18"/>
                      <w:lang w:val="en-US" w:eastAsia="zh-CN"/>
                    </w:rPr>
                    <w:t>0.161</w:t>
                  </w:r>
                </w:p>
              </w:tc>
              <w:tc>
                <w:tcPr>
                  <w:tcW w:w="835" w:type="pct"/>
                  <w:noWrap w:val="0"/>
                  <w:vAlign w:val="center"/>
                </w:tcPr>
                <w:p>
                  <w:pPr>
                    <w:pStyle w:val="40"/>
                    <w:snapToGrid w:val="0"/>
                    <w:spacing w:line="240" w:lineRule="auto"/>
                    <w:rPr>
                      <w:rFonts w:hint="default" w:cs="宋体"/>
                      <w:color w:val="000000"/>
                      <w:kern w:val="0"/>
                      <w:sz w:val="21"/>
                      <w:szCs w:val="18"/>
                      <w:lang w:val="en-US" w:eastAsia="zh-CN"/>
                    </w:rPr>
                  </w:pPr>
                  <w:r>
                    <w:rPr>
                      <w:rFonts w:hint="eastAsia" w:ascii="Times New Roman" w:hAnsi="Times New Roman"/>
                      <w:lang w:val="en-US" w:eastAsia="zh-CN"/>
                    </w:rPr>
                    <w:t>0.015</w:t>
                  </w:r>
                </w:p>
              </w:tc>
              <w:tc>
                <w:tcPr>
                  <w:tcW w:w="1003" w:type="pct"/>
                  <w:noWrap w:val="0"/>
                  <w:vAlign w:val="center"/>
                </w:tcPr>
                <w:p>
                  <w:pPr>
                    <w:widowControl/>
                    <w:adjustRightInd w:val="0"/>
                    <w:snapToGrid w:val="0"/>
                    <w:ind w:left="-105" w:leftChars="-50" w:right="-105" w:rightChars="-50"/>
                    <w:jc w:val="center"/>
                    <w:rPr>
                      <w:rFonts w:hint="default" w:cs="宋体"/>
                      <w:color w:val="000000"/>
                      <w:kern w:val="0"/>
                      <w:sz w:val="21"/>
                      <w:szCs w:val="18"/>
                      <w:lang w:val="en-US" w:eastAsia="zh-CN"/>
                    </w:rPr>
                  </w:pPr>
                  <w:r>
                    <w:rPr>
                      <w:rFonts w:hint="eastAsia" w:cs="宋体"/>
                      <w:color w:val="000000"/>
                      <w:kern w:val="0"/>
                      <w:sz w:val="21"/>
                      <w:szCs w:val="18"/>
                      <w:lang w:val="en-US" w:eastAsia="zh-CN"/>
                    </w:rPr>
                    <w:t>-0.146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2" w:hRule="atLeast"/>
                <w:jc w:val="center"/>
              </w:trPr>
              <w:tc>
                <w:tcPr>
                  <w:tcW w:w="1005" w:type="pct"/>
                  <w:gridSpan w:val="2"/>
                  <w:vMerge w:val="continue"/>
                  <w:noWrap w:val="0"/>
                  <w:vAlign w:val="center"/>
                </w:tcPr>
                <w:p>
                  <w:pPr>
                    <w:widowControl/>
                    <w:adjustRightInd w:val="0"/>
                    <w:snapToGrid w:val="0"/>
                    <w:ind w:left="-105" w:leftChars="-50" w:right="-105" w:rightChars="-50"/>
                    <w:jc w:val="center"/>
                    <w:rPr>
                      <w:rFonts w:hint="default" w:cs="宋体"/>
                      <w:color w:val="000000"/>
                      <w:kern w:val="0"/>
                      <w:sz w:val="21"/>
                      <w:szCs w:val="18"/>
                      <w:lang w:val="en-US" w:eastAsia="zh-CN"/>
                    </w:rPr>
                  </w:pPr>
                </w:p>
              </w:tc>
              <w:tc>
                <w:tcPr>
                  <w:tcW w:w="1238" w:type="pct"/>
                  <w:noWrap w:val="0"/>
                  <w:vAlign w:val="center"/>
                </w:tcPr>
                <w:p>
                  <w:pPr>
                    <w:widowControl/>
                    <w:adjustRightInd w:val="0"/>
                    <w:snapToGrid w:val="0"/>
                    <w:ind w:left="-105" w:leftChars="-50" w:right="-105" w:rightChars="-50"/>
                    <w:jc w:val="center"/>
                    <w:rPr>
                      <w:rFonts w:hint="eastAsia" w:ascii="Times New Roman" w:hAnsi="Times New Roman" w:eastAsia="宋体" w:cs="宋体"/>
                      <w:color w:val="000000"/>
                      <w:kern w:val="0"/>
                      <w:sz w:val="21"/>
                      <w:szCs w:val="18"/>
                      <w:lang w:val="en-US" w:eastAsia="zh-CN" w:bidi="ar-SA"/>
                    </w:rPr>
                  </w:pPr>
                  <w:r>
                    <w:rPr>
                      <w:rFonts w:hint="eastAsia" w:cs="宋体"/>
                      <w:color w:val="000000"/>
                      <w:kern w:val="0"/>
                      <w:sz w:val="21"/>
                      <w:szCs w:val="18"/>
                      <w:lang w:val="en-US" w:eastAsia="zh-CN"/>
                    </w:rPr>
                    <w:t>SS</w:t>
                  </w:r>
                </w:p>
              </w:tc>
              <w:tc>
                <w:tcPr>
                  <w:tcW w:w="916" w:type="pct"/>
                  <w:noWrap w:val="0"/>
                  <w:vAlign w:val="center"/>
                </w:tcPr>
                <w:p>
                  <w:pPr>
                    <w:adjustRightInd w:val="0"/>
                    <w:snapToGrid w:val="0"/>
                    <w:ind w:left="-105" w:leftChars="-50" w:right="-50" w:rightChars="0"/>
                    <w:jc w:val="center"/>
                    <w:rPr>
                      <w:rFonts w:hint="default" w:cs="宋体"/>
                      <w:color w:val="000000"/>
                      <w:kern w:val="0"/>
                      <w:sz w:val="21"/>
                      <w:szCs w:val="18"/>
                      <w:lang w:val="en-US" w:eastAsia="zh-CN"/>
                    </w:rPr>
                  </w:pPr>
                  <w:r>
                    <w:rPr>
                      <w:rFonts w:hint="eastAsia" w:cs="宋体"/>
                      <w:color w:val="000000"/>
                      <w:kern w:val="0"/>
                      <w:sz w:val="21"/>
                      <w:szCs w:val="18"/>
                      <w:lang w:val="en-US" w:eastAsia="zh-CN"/>
                    </w:rPr>
                    <w:t>0.164</w:t>
                  </w:r>
                </w:p>
              </w:tc>
              <w:tc>
                <w:tcPr>
                  <w:tcW w:w="835" w:type="pct"/>
                  <w:noWrap w:val="0"/>
                  <w:vAlign w:val="center"/>
                </w:tcPr>
                <w:p>
                  <w:pPr>
                    <w:pStyle w:val="40"/>
                    <w:snapToGrid w:val="0"/>
                    <w:spacing w:line="240" w:lineRule="auto"/>
                    <w:rPr>
                      <w:rFonts w:hint="default" w:cs="宋体"/>
                      <w:color w:val="000000"/>
                      <w:kern w:val="0"/>
                      <w:sz w:val="21"/>
                      <w:szCs w:val="18"/>
                      <w:lang w:val="en-US" w:eastAsia="zh-CN"/>
                    </w:rPr>
                  </w:pPr>
                  <w:r>
                    <w:rPr>
                      <w:rFonts w:hint="eastAsia" w:ascii="Times New Roman" w:hAnsi="Times New Roman"/>
                      <w:lang w:val="en-US" w:eastAsia="zh-CN"/>
                    </w:rPr>
                    <w:t>0.038</w:t>
                  </w:r>
                </w:p>
              </w:tc>
              <w:tc>
                <w:tcPr>
                  <w:tcW w:w="1003" w:type="pct"/>
                  <w:noWrap w:val="0"/>
                  <w:vAlign w:val="center"/>
                </w:tcPr>
                <w:p>
                  <w:pPr>
                    <w:widowControl/>
                    <w:adjustRightInd w:val="0"/>
                    <w:snapToGrid w:val="0"/>
                    <w:ind w:left="-105" w:leftChars="-50" w:right="-105" w:rightChars="-50"/>
                    <w:jc w:val="center"/>
                    <w:rPr>
                      <w:rFonts w:hint="default" w:cs="宋体"/>
                      <w:color w:val="000000"/>
                      <w:kern w:val="0"/>
                      <w:sz w:val="21"/>
                      <w:szCs w:val="18"/>
                      <w:lang w:val="en-US" w:eastAsia="zh-CN"/>
                    </w:rPr>
                  </w:pPr>
                  <w:r>
                    <w:rPr>
                      <w:rFonts w:hint="eastAsia" w:cs="宋体"/>
                      <w:color w:val="000000"/>
                      <w:kern w:val="0"/>
                      <w:sz w:val="21"/>
                      <w:szCs w:val="18"/>
                      <w:lang w:val="en-US" w:eastAsia="zh-CN"/>
                    </w:rPr>
                    <w:t>-0.126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2" w:hRule="atLeast"/>
                <w:jc w:val="center"/>
              </w:trPr>
              <w:tc>
                <w:tcPr>
                  <w:tcW w:w="1005" w:type="pct"/>
                  <w:gridSpan w:val="2"/>
                  <w:vMerge w:val="continue"/>
                  <w:noWrap w:val="0"/>
                  <w:vAlign w:val="center"/>
                </w:tcPr>
                <w:p>
                  <w:pPr>
                    <w:widowControl/>
                    <w:adjustRightInd w:val="0"/>
                    <w:snapToGrid w:val="0"/>
                    <w:ind w:left="-105" w:leftChars="-50" w:right="-105" w:rightChars="-50"/>
                    <w:jc w:val="center"/>
                    <w:rPr>
                      <w:rFonts w:hint="default" w:cs="宋体"/>
                      <w:color w:val="000000"/>
                      <w:kern w:val="0"/>
                      <w:sz w:val="21"/>
                      <w:szCs w:val="18"/>
                      <w:vertAlign w:val="baseline"/>
                      <w:lang w:val="en-US" w:eastAsia="zh-CN"/>
                    </w:rPr>
                  </w:pPr>
                </w:p>
              </w:tc>
              <w:tc>
                <w:tcPr>
                  <w:tcW w:w="1238" w:type="pct"/>
                  <w:noWrap w:val="0"/>
                  <w:vAlign w:val="center"/>
                </w:tcPr>
                <w:p>
                  <w:pPr>
                    <w:widowControl/>
                    <w:adjustRightInd w:val="0"/>
                    <w:snapToGrid w:val="0"/>
                    <w:ind w:left="-105" w:leftChars="-50" w:right="-105" w:rightChars="-50"/>
                    <w:jc w:val="center"/>
                    <w:rPr>
                      <w:rFonts w:hint="eastAsia" w:ascii="Times New Roman" w:hAnsi="Times New Roman" w:eastAsia="宋体" w:cs="宋体"/>
                      <w:color w:val="000000"/>
                      <w:kern w:val="0"/>
                      <w:sz w:val="21"/>
                      <w:szCs w:val="18"/>
                      <w:vertAlign w:val="baseline"/>
                      <w:lang w:val="en-US" w:eastAsia="zh-CN" w:bidi="ar-SA"/>
                    </w:rPr>
                  </w:pPr>
                  <w:r>
                    <w:rPr>
                      <w:rFonts w:hint="eastAsia" w:cs="宋体"/>
                      <w:color w:val="000000"/>
                      <w:kern w:val="0"/>
                      <w:sz w:val="21"/>
                      <w:szCs w:val="18"/>
                      <w:lang w:val="en-US" w:eastAsia="zh-CN"/>
                    </w:rPr>
                    <w:t>NH</w:t>
                  </w:r>
                  <w:r>
                    <w:rPr>
                      <w:rFonts w:hint="eastAsia" w:cs="宋体"/>
                      <w:color w:val="000000"/>
                      <w:kern w:val="0"/>
                      <w:sz w:val="21"/>
                      <w:szCs w:val="18"/>
                      <w:vertAlign w:val="subscript"/>
                      <w:lang w:val="en-US" w:eastAsia="zh-CN"/>
                    </w:rPr>
                    <w:t>3</w:t>
                  </w:r>
                  <w:r>
                    <w:rPr>
                      <w:rFonts w:hint="eastAsia" w:cs="宋体"/>
                      <w:color w:val="000000"/>
                      <w:kern w:val="0"/>
                      <w:sz w:val="21"/>
                      <w:szCs w:val="18"/>
                      <w:vertAlign w:val="baseline"/>
                      <w:lang w:val="en-US" w:eastAsia="zh-CN"/>
                    </w:rPr>
                    <w:t>-N</w:t>
                  </w:r>
                </w:p>
              </w:tc>
              <w:tc>
                <w:tcPr>
                  <w:tcW w:w="916" w:type="pct"/>
                  <w:noWrap w:val="0"/>
                  <w:vAlign w:val="center"/>
                </w:tcPr>
                <w:p>
                  <w:pPr>
                    <w:adjustRightInd w:val="0"/>
                    <w:snapToGrid w:val="0"/>
                    <w:ind w:left="-105" w:leftChars="-50" w:right="-50" w:rightChars="0"/>
                    <w:jc w:val="center"/>
                    <w:rPr>
                      <w:rFonts w:hint="default" w:cs="宋体"/>
                      <w:color w:val="000000"/>
                      <w:kern w:val="0"/>
                      <w:sz w:val="21"/>
                      <w:szCs w:val="18"/>
                      <w:lang w:val="en-US" w:eastAsia="zh-CN"/>
                    </w:rPr>
                  </w:pPr>
                  <w:r>
                    <w:rPr>
                      <w:rFonts w:hint="eastAsia" w:cs="宋体"/>
                      <w:color w:val="000000"/>
                      <w:kern w:val="0"/>
                      <w:sz w:val="21"/>
                      <w:szCs w:val="18"/>
                      <w:lang w:val="en-US" w:eastAsia="zh-CN"/>
                    </w:rPr>
                    <w:t>0.028</w:t>
                  </w:r>
                </w:p>
              </w:tc>
              <w:tc>
                <w:tcPr>
                  <w:tcW w:w="835" w:type="pct"/>
                  <w:noWrap w:val="0"/>
                  <w:vAlign w:val="center"/>
                </w:tcPr>
                <w:p>
                  <w:pPr>
                    <w:adjustRightInd w:val="0"/>
                    <w:snapToGrid w:val="0"/>
                    <w:ind w:left="-105" w:leftChars="-50" w:right="-50" w:rightChars="0"/>
                    <w:jc w:val="center"/>
                    <w:rPr>
                      <w:rFonts w:hint="default" w:cs="宋体"/>
                      <w:color w:val="000000"/>
                      <w:kern w:val="0"/>
                      <w:sz w:val="21"/>
                      <w:szCs w:val="18"/>
                      <w:lang w:val="en-US" w:eastAsia="zh-CN"/>
                    </w:rPr>
                  </w:pPr>
                  <w:r>
                    <w:rPr>
                      <w:rFonts w:hint="eastAsia" w:cs="宋体"/>
                      <w:color w:val="000000"/>
                      <w:kern w:val="0"/>
                      <w:sz w:val="21"/>
                      <w:szCs w:val="18"/>
                      <w:lang w:val="en-US" w:eastAsia="zh-CN"/>
                    </w:rPr>
                    <w:t>0.01</w:t>
                  </w:r>
                </w:p>
              </w:tc>
              <w:tc>
                <w:tcPr>
                  <w:tcW w:w="1003" w:type="pct"/>
                  <w:noWrap w:val="0"/>
                  <w:vAlign w:val="center"/>
                </w:tcPr>
                <w:p>
                  <w:pPr>
                    <w:widowControl/>
                    <w:adjustRightInd w:val="0"/>
                    <w:snapToGrid w:val="0"/>
                    <w:ind w:left="-105" w:leftChars="-50" w:right="-105" w:rightChars="-50"/>
                    <w:jc w:val="center"/>
                    <w:rPr>
                      <w:rFonts w:hint="default" w:cs="宋体"/>
                      <w:color w:val="000000"/>
                      <w:kern w:val="0"/>
                      <w:sz w:val="21"/>
                      <w:szCs w:val="18"/>
                      <w:lang w:val="en-US" w:eastAsia="zh-CN"/>
                    </w:rPr>
                  </w:pPr>
                  <w:r>
                    <w:rPr>
                      <w:rFonts w:hint="eastAsia" w:cs="宋体"/>
                      <w:color w:val="000000"/>
                      <w:kern w:val="0"/>
                      <w:sz w:val="21"/>
                      <w:szCs w:val="18"/>
                      <w:lang w:val="en-US" w:eastAsia="zh-CN"/>
                    </w:rPr>
                    <w:t>-0.018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2" w:hRule="atLeast"/>
                <w:jc w:val="center"/>
              </w:trPr>
              <w:tc>
                <w:tcPr>
                  <w:tcW w:w="1005" w:type="pct"/>
                  <w:gridSpan w:val="2"/>
                  <w:vMerge w:val="continue"/>
                  <w:noWrap w:val="0"/>
                  <w:vAlign w:val="center"/>
                </w:tcPr>
                <w:p>
                  <w:pPr>
                    <w:widowControl/>
                    <w:adjustRightInd w:val="0"/>
                    <w:snapToGrid w:val="0"/>
                    <w:ind w:left="-105" w:leftChars="-50" w:right="-105" w:rightChars="-50"/>
                    <w:jc w:val="center"/>
                    <w:rPr>
                      <w:rFonts w:hint="eastAsia" w:cs="宋体"/>
                      <w:color w:val="000000"/>
                      <w:kern w:val="0"/>
                      <w:sz w:val="21"/>
                      <w:szCs w:val="18"/>
                      <w:lang w:val="en-US" w:eastAsia="zh-CN"/>
                    </w:rPr>
                  </w:pPr>
                </w:p>
              </w:tc>
              <w:tc>
                <w:tcPr>
                  <w:tcW w:w="1238" w:type="pct"/>
                  <w:noWrap w:val="0"/>
                  <w:vAlign w:val="center"/>
                </w:tcPr>
                <w:p>
                  <w:pPr>
                    <w:widowControl/>
                    <w:adjustRightInd w:val="0"/>
                    <w:snapToGrid w:val="0"/>
                    <w:ind w:left="-105" w:leftChars="-50" w:right="-105" w:rightChars="-50"/>
                    <w:jc w:val="center"/>
                    <w:rPr>
                      <w:rFonts w:hint="eastAsia" w:ascii="Times New Roman" w:hAnsi="Times New Roman" w:eastAsia="宋体" w:cs="宋体"/>
                      <w:color w:val="000000"/>
                      <w:kern w:val="0"/>
                      <w:sz w:val="21"/>
                      <w:szCs w:val="18"/>
                      <w:lang w:val="en-US" w:eastAsia="zh-CN" w:bidi="ar-SA"/>
                    </w:rPr>
                  </w:pPr>
                  <w:r>
                    <w:rPr>
                      <w:rFonts w:hint="eastAsia" w:cs="宋体"/>
                      <w:color w:val="000000"/>
                      <w:kern w:val="0"/>
                      <w:sz w:val="21"/>
                      <w:szCs w:val="18"/>
                      <w:lang w:val="en-US" w:eastAsia="zh-CN"/>
                    </w:rPr>
                    <w:t>动植物油</w:t>
                  </w:r>
                </w:p>
              </w:tc>
              <w:tc>
                <w:tcPr>
                  <w:tcW w:w="916" w:type="pct"/>
                  <w:noWrap w:val="0"/>
                  <w:vAlign w:val="center"/>
                </w:tcPr>
                <w:p>
                  <w:pPr>
                    <w:adjustRightInd w:val="0"/>
                    <w:snapToGrid w:val="0"/>
                    <w:ind w:left="-105" w:leftChars="-50" w:right="-50" w:rightChars="0"/>
                    <w:jc w:val="center"/>
                    <w:rPr>
                      <w:rFonts w:hint="default" w:cs="宋体"/>
                      <w:color w:val="000000"/>
                      <w:kern w:val="0"/>
                      <w:sz w:val="21"/>
                      <w:szCs w:val="18"/>
                      <w:lang w:val="en-US" w:eastAsia="zh-CN"/>
                    </w:rPr>
                  </w:pPr>
                  <w:r>
                    <w:rPr>
                      <w:rFonts w:hint="eastAsia" w:cs="宋体"/>
                      <w:color w:val="000000"/>
                      <w:kern w:val="0"/>
                      <w:sz w:val="21"/>
                      <w:szCs w:val="18"/>
                      <w:lang w:val="en-US" w:eastAsia="zh-CN"/>
                    </w:rPr>
                    <w:t>0.032</w:t>
                  </w:r>
                </w:p>
              </w:tc>
              <w:tc>
                <w:tcPr>
                  <w:tcW w:w="835" w:type="pct"/>
                  <w:noWrap w:val="0"/>
                  <w:vAlign w:val="center"/>
                </w:tcPr>
                <w:p>
                  <w:pPr>
                    <w:adjustRightInd w:val="0"/>
                    <w:snapToGrid w:val="0"/>
                    <w:ind w:left="-105" w:leftChars="-50" w:right="-50" w:rightChars="0"/>
                    <w:jc w:val="center"/>
                    <w:rPr>
                      <w:rFonts w:hint="default" w:cs="宋体"/>
                      <w:color w:val="000000"/>
                      <w:kern w:val="0"/>
                      <w:sz w:val="21"/>
                      <w:szCs w:val="18"/>
                      <w:lang w:val="en-US" w:eastAsia="zh-CN"/>
                    </w:rPr>
                  </w:pPr>
                  <w:r>
                    <w:rPr>
                      <w:rFonts w:hint="eastAsia" w:cs="宋体"/>
                      <w:color w:val="000000"/>
                      <w:kern w:val="0"/>
                      <w:sz w:val="21"/>
                      <w:szCs w:val="18"/>
                      <w:lang w:val="en-US" w:eastAsia="zh-CN"/>
                    </w:rPr>
                    <w:t>0.018</w:t>
                  </w:r>
                </w:p>
              </w:tc>
              <w:tc>
                <w:tcPr>
                  <w:tcW w:w="1003" w:type="pct"/>
                  <w:noWrap w:val="0"/>
                  <w:vAlign w:val="center"/>
                </w:tcPr>
                <w:p>
                  <w:pPr>
                    <w:widowControl/>
                    <w:adjustRightInd w:val="0"/>
                    <w:snapToGrid w:val="0"/>
                    <w:ind w:left="-105" w:leftChars="-50" w:right="-105" w:rightChars="-50"/>
                    <w:jc w:val="center"/>
                    <w:rPr>
                      <w:rFonts w:hint="default" w:cs="宋体"/>
                      <w:color w:val="000000"/>
                      <w:kern w:val="0"/>
                      <w:sz w:val="21"/>
                      <w:szCs w:val="18"/>
                      <w:lang w:val="en-US" w:eastAsia="zh-CN"/>
                    </w:rPr>
                  </w:pPr>
                  <w:r>
                    <w:rPr>
                      <w:rFonts w:hint="eastAsia" w:cs="宋体"/>
                      <w:color w:val="000000"/>
                      <w:kern w:val="0"/>
                      <w:sz w:val="21"/>
                      <w:szCs w:val="18"/>
                      <w:lang w:val="en-US" w:eastAsia="zh-CN"/>
                    </w:rPr>
                    <w:t>0.004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2" w:hRule="atLeast"/>
                <w:jc w:val="center"/>
              </w:trPr>
              <w:tc>
                <w:tcPr>
                  <w:tcW w:w="1005" w:type="pct"/>
                  <w:gridSpan w:val="2"/>
                  <w:vMerge w:val="continue"/>
                  <w:noWrap w:val="0"/>
                  <w:vAlign w:val="center"/>
                </w:tcPr>
                <w:p>
                  <w:pPr>
                    <w:widowControl/>
                    <w:adjustRightInd w:val="0"/>
                    <w:snapToGrid w:val="0"/>
                    <w:ind w:left="-105" w:leftChars="-50" w:right="-105" w:rightChars="-50"/>
                    <w:jc w:val="center"/>
                    <w:rPr>
                      <w:rFonts w:hint="eastAsia" w:cs="宋体"/>
                      <w:color w:val="000000"/>
                      <w:kern w:val="0"/>
                      <w:sz w:val="21"/>
                      <w:szCs w:val="18"/>
                      <w:lang w:val="en-US" w:eastAsia="zh-CN"/>
                    </w:rPr>
                  </w:pPr>
                </w:p>
              </w:tc>
              <w:tc>
                <w:tcPr>
                  <w:tcW w:w="1238" w:type="pct"/>
                  <w:noWrap w:val="0"/>
                  <w:vAlign w:val="center"/>
                </w:tcPr>
                <w:p>
                  <w:pPr>
                    <w:widowControl/>
                    <w:adjustRightInd w:val="0"/>
                    <w:snapToGrid w:val="0"/>
                    <w:ind w:left="-105" w:leftChars="-50" w:right="-105" w:rightChars="-50"/>
                    <w:jc w:val="center"/>
                    <w:rPr>
                      <w:rFonts w:hint="default" w:cs="宋体"/>
                      <w:color w:val="000000"/>
                      <w:kern w:val="0"/>
                      <w:sz w:val="21"/>
                      <w:szCs w:val="18"/>
                      <w:lang w:val="en-US" w:eastAsia="zh-CN"/>
                    </w:rPr>
                  </w:pPr>
                  <w:r>
                    <w:rPr>
                      <w:rFonts w:hint="eastAsia" w:cs="宋体"/>
                      <w:color w:val="000000"/>
                      <w:kern w:val="0"/>
                      <w:sz w:val="21"/>
                      <w:szCs w:val="18"/>
                      <w:lang w:val="en-US" w:eastAsia="zh-CN"/>
                    </w:rPr>
                    <w:t>石油类</w:t>
                  </w:r>
                </w:p>
              </w:tc>
              <w:tc>
                <w:tcPr>
                  <w:tcW w:w="916" w:type="pct"/>
                  <w:noWrap w:val="0"/>
                  <w:vAlign w:val="center"/>
                </w:tcPr>
                <w:p>
                  <w:pPr>
                    <w:adjustRightInd w:val="0"/>
                    <w:snapToGrid w:val="0"/>
                    <w:ind w:left="-105" w:leftChars="-50" w:right="-50" w:rightChars="0"/>
                    <w:jc w:val="center"/>
                    <w:rPr>
                      <w:rFonts w:hint="default" w:cs="宋体"/>
                      <w:color w:val="000000"/>
                      <w:kern w:val="0"/>
                      <w:sz w:val="21"/>
                      <w:szCs w:val="18"/>
                      <w:lang w:val="en-US" w:eastAsia="zh-CN"/>
                    </w:rPr>
                  </w:pPr>
                  <w:r>
                    <w:rPr>
                      <w:rFonts w:hint="eastAsia" w:cs="宋体"/>
                      <w:color w:val="000000"/>
                      <w:kern w:val="0"/>
                      <w:sz w:val="21"/>
                      <w:szCs w:val="18"/>
                      <w:lang w:val="en-US" w:eastAsia="zh-CN"/>
                    </w:rPr>
                    <w:t>0.005</w:t>
                  </w:r>
                </w:p>
              </w:tc>
              <w:tc>
                <w:tcPr>
                  <w:tcW w:w="835" w:type="pct"/>
                  <w:noWrap w:val="0"/>
                  <w:vAlign w:val="center"/>
                </w:tcPr>
                <w:p>
                  <w:pPr>
                    <w:adjustRightInd w:val="0"/>
                    <w:snapToGrid w:val="0"/>
                    <w:ind w:left="-105" w:leftChars="-50" w:right="-50" w:rightChars="0"/>
                    <w:jc w:val="center"/>
                    <w:rPr>
                      <w:rFonts w:hint="default" w:cs="宋体"/>
                      <w:color w:val="000000"/>
                      <w:kern w:val="0"/>
                      <w:sz w:val="21"/>
                      <w:szCs w:val="18"/>
                      <w:lang w:val="en-US" w:eastAsia="zh-CN"/>
                    </w:rPr>
                  </w:pPr>
                  <w:r>
                    <w:rPr>
                      <w:rFonts w:hint="eastAsia" w:cs="宋体"/>
                      <w:color w:val="000000"/>
                      <w:kern w:val="0"/>
                      <w:sz w:val="21"/>
                      <w:szCs w:val="18"/>
                      <w:lang w:val="en-US" w:eastAsia="zh-CN"/>
                    </w:rPr>
                    <w:t>0.003</w:t>
                  </w:r>
                </w:p>
              </w:tc>
              <w:tc>
                <w:tcPr>
                  <w:tcW w:w="1003" w:type="pct"/>
                  <w:noWrap w:val="0"/>
                  <w:vAlign w:val="center"/>
                </w:tcPr>
                <w:p>
                  <w:pPr>
                    <w:widowControl/>
                    <w:adjustRightInd w:val="0"/>
                    <w:snapToGrid w:val="0"/>
                    <w:ind w:left="-105" w:leftChars="-50" w:right="-105" w:rightChars="-50"/>
                    <w:jc w:val="center"/>
                    <w:rPr>
                      <w:rFonts w:hint="default" w:cs="宋体"/>
                      <w:color w:val="000000"/>
                      <w:kern w:val="0"/>
                      <w:sz w:val="21"/>
                      <w:szCs w:val="18"/>
                      <w:lang w:val="en-US" w:eastAsia="zh-CN"/>
                    </w:rPr>
                  </w:pPr>
                  <w:r>
                    <w:rPr>
                      <w:rFonts w:hint="eastAsia" w:cs="宋体"/>
                      <w:color w:val="000000"/>
                      <w:kern w:val="0"/>
                      <w:sz w:val="21"/>
                      <w:szCs w:val="18"/>
                      <w:lang w:val="en-US" w:eastAsia="zh-CN"/>
                    </w:rPr>
                    <w:t>0.002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8" w:hRule="atLeast"/>
                <w:jc w:val="center"/>
              </w:trPr>
              <w:tc>
                <w:tcPr>
                  <w:tcW w:w="445" w:type="pct"/>
                  <w:vMerge w:val="restart"/>
                  <w:noWrap w:val="0"/>
                  <w:vAlign w:val="center"/>
                </w:tcPr>
                <w:p>
                  <w:pPr>
                    <w:adjustRightInd w:val="0"/>
                    <w:snapToGrid w:val="0"/>
                    <w:ind w:left="-105" w:leftChars="-50" w:right="-105" w:rightChars="-50"/>
                    <w:jc w:val="center"/>
                    <w:rPr>
                      <w:rFonts w:hint="eastAsia" w:cs="宋体"/>
                      <w:color w:val="000000"/>
                      <w:kern w:val="0"/>
                      <w:sz w:val="21"/>
                      <w:szCs w:val="18"/>
                    </w:rPr>
                  </w:pPr>
                  <w:r>
                    <w:rPr>
                      <w:rFonts w:hint="eastAsia" w:cs="宋体"/>
                      <w:color w:val="000000"/>
                      <w:kern w:val="0"/>
                      <w:sz w:val="21"/>
                      <w:szCs w:val="18"/>
                    </w:rPr>
                    <w:t>固</w:t>
                  </w:r>
                </w:p>
                <w:p>
                  <w:pPr>
                    <w:widowControl/>
                    <w:adjustRightInd w:val="0"/>
                    <w:snapToGrid w:val="0"/>
                    <w:ind w:left="-105" w:leftChars="-50" w:right="-105" w:rightChars="-50"/>
                    <w:jc w:val="center"/>
                    <w:rPr>
                      <w:rFonts w:hint="eastAsia" w:cs="宋体"/>
                      <w:color w:val="000000"/>
                      <w:kern w:val="0"/>
                      <w:sz w:val="21"/>
                      <w:szCs w:val="18"/>
                    </w:rPr>
                  </w:pPr>
                  <w:r>
                    <w:rPr>
                      <w:rFonts w:hint="eastAsia" w:cs="宋体"/>
                      <w:color w:val="000000"/>
                      <w:kern w:val="0"/>
                      <w:sz w:val="21"/>
                      <w:szCs w:val="18"/>
                    </w:rPr>
                    <w:t>废</w:t>
                  </w:r>
                </w:p>
              </w:tc>
              <w:tc>
                <w:tcPr>
                  <w:tcW w:w="560" w:type="pct"/>
                  <w:noWrap w:val="0"/>
                  <w:vAlign w:val="center"/>
                </w:tcPr>
                <w:p>
                  <w:pPr>
                    <w:adjustRightInd w:val="0"/>
                    <w:snapToGrid w:val="0"/>
                    <w:ind w:left="-105" w:leftChars="-50" w:right="-105" w:rightChars="-50"/>
                    <w:jc w:val="center"/>
                    <w:rPr>
                      <w:rFonts w:hint="eastAsia" w:cs="宋体"/>
                      <w:color w:val="000000"/>
                      <w:kern w:val="0"/>
                      <w:sz w:val="21"/>
                      <w:szCs w:val="18"/>
                    </w:rPr>
                  </w:pPr>
                  <w:r>
                    <w:rPr>
                      <w:rFonts w:hint="eastAsia" w:cs="宋体"/>
                      <w:color w:val="000000"/>
                      <w:kern w:val="0"/>
                      <w:sz w:val="21"/>
                      <w:szCs w:val="18"/>
                    </w:rPr>
                    <w:t>固体</w:t>
                  </w:r>
                </w:p>
                <w:p>
                  <w:pPr>
                    <w:adjustRightInd w:val="0"/>
                    <w:snapToGrid w:val="0"/>
                    <w:ind w:left="-105" w:leftChars="-50" w:right="-105" w:rightChars="-50"/>
                    <w:jc w:val="center"/>
                    <w:rPr>
                      <w:rFonts w:hint="eastAsia" w:cs="宋体"/>
                      <w:color w:val="000000"/>
                      <w:kern w:val="0"/>
                      <w:sz w:val="21"/>
                      <w:szCs w:val="18"/>
                    </w:rPr>
                  </w:pPr>
                  <w:r>
                    <w:rPr>
                      <w:rFonts w:hint="eastAsia" w:cs="宋体"/>
                      <w:color w:val="000000"/>
                      <w:kern w:val="0"/>
                      <w:sz w:val="21"/>
                      <w:szCs w:val="18"/>
                    </w:rPr>
                    <w:t>废物</w:t>
                  </w:r>
                </w:p>
              </w:tc>
              <w:tc>
                <w:tcPr>
                  <w:tcW w:w="1238" w:type="pct"/>
                  <w:noWrap w:val="0"/>
                  <w:vAlign w:val="center"/>
                </w:tcPr>
                <w:p>
                  <w:pPr>
                    <w:adjustRightInd w:val="0"/>
                    <w:snapToGrid w:val="0"/>
                    <w:ind w:left="-105" w:leftChars="-50" w:right="-50"/>
                    <w:jc w:val="center"/>
                    <w:rPr>
                      <w:rFonts w:hint="eastAsia" w:eastAsia="宋体"/>
                      <w:color w:val="000000"/>
                      <w:sz w:val="21"/>
                      <w:szCs w:val="18"/>
                      <w:lang w:val="en-US" w:eastAsia="zh-CN"/>
                    </w:rPr>
                  </w:pPr>
                  <w:r>
                    <w:rPr>
                      <w:rFonts w:hint="eastAsia"/>
                      <w:color w:val="000000"/>
                      <w:sz w:val="21"/>
                      <w:szCs w:val="18"/>
                      <w:lang w:val="en-US" w:eastAsia="zh-CN"/>
                    </w:rPr>
                    <w:t>废包装袋</w:t>
                  </w:r>
                </w:p>
              </w:tc>
              <w:tc>
                <w:tcPr>
                  <w:tcW w:w="916" w:type="pct"/>
                  <w:noWrap w:val="0"/>
                  <w:vAlign w:val="center"/>
                </w:tcPr>
                <w:p>
                  <w:pPr>
                    <w:adjustRightInd w:val="0"/>
                    <w:snapToGrid w:val="0"/>
                    <w:ind w:left="-105" w:leftChars="-50" w:right="-50"/>
                    <w:jc w:val="center"/>
                    <w:rPr>
                      <w:rFonts w:hint="default" w:eastAsia="宋体"/>
                      <w:color w:val="000000"/>
                      <w:sz w:val="21"/>
                      <w:szCs w:val="18"/>
                      <w:lang w:val="en-US" w:eastAsia="zh-CN"/>
                    </w:rPr>
                  </w:pPr>
                  <w:r>
                    <w:rPr>
                      <w:rFonts w:hint="eastAsia"/>
                      <w:color w:val="000000"/>
                      <w:sz w:val="21"/>
                      <w:szCs w:val="18"/>
                      <w:lang w:val="en-US" w:eastAsia="zh-CN"/>
                    </w:rPr>
                    <w:t>80000个</w:t>
                  </w:r>
                </w:p>
              </w:tc>
              <w:tc>
                <w:tcPr>
                  <w:tcW w:w="835" w:type="pct"/>
                  <w:noWrap w:val="0"/>
                  <w:vAlign w:val="center"/>
                </w:tcPr>
                <w:p>
                  <w:pPr>
                    <w:adjustRightInd w:val="0"/>
                    <w:snapToGrid w:val="0"/>
                    <w:ind w:left="-105" w:leftChars="-50" w:right="-50"/>
                    <w:jc w:val="center"/>
                    <w:rPr>
                      <w:rFonts w:hint="default" w:eastAsia="宋体"/>
                      <w:color w:val="000000"/>
                      <w:sz w:val="21"/>
                      <w:szCs w:val="18"/>
                      <w:lang w:val="en-US" w:eastAsia="zh-CN"/>
                    </w:rPr>
                  </w:pPr>
                  <w:r>
                    <w:rPr>
                      <w:rFonts w:hint="eastAsia"/>
                      <w:color w:val="000000"/>
                      <w:sz w:val="21"/>
                      <w:szCs w:val="18"/>
                      <w:lang w:val="en-US" w:eastAsia="zh-CN"/>
                    </w:rPr>
                    <w:t>80000个</w:t>
                  </w:r>
                </w:p>
              </w:tc>
              <w:tc>
                <w:tcPr>
                  <w:tcW w:w="1003" w:type="pct"/>
                  <w:noWrap w:val="0"/>
                  <w:vAlign w:val="center"/>
                </w:tcPr>
                <w:p>
                  <w:pPr>
                    <w:adjustRightInd w:val="0"/>
                    <w:snapToGrid w:val="0"/>
                    <w:ind w:left="-105" w:leftChars="-50" w:right="-50"/>
                    <w:jc w:val="center"/>
                    <w:rPr>
                      <w:rFonts w:hint="default" w:eastAsia="宋体"/>
                      <w:color w:val="000000"/>
                      <w:sz w:val="21"/>
                      <w:szCs w:val="18"/>
                      <w:lang w:val="en-US" w:eastAsia="zh-CN"/>
                    </w:rPr>
                  </w:pPr>
                  <w:r>
                    <w:rPr>
                      <w:rFonts w:hint="eastAsia"/>
                      <w:color w:val="000000"/>
                      <w:sz w:val="21"/>
                      <w:szCs w:val="18"/>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8" w:hRule="atLeast"/>
                <w:jc w:val="center"/>
              </w:trPr>
              <w:tc>
                <w:tcPr>
                  <w:tcW w:w="445" w:type="pct"/>
                  <w:vMerge w:val="continue"/>
                  <w:noWrap w:val="0"/>
                  <w:vAlign w:val="center"/>
                </w:tcPr>
                <w:p>
                  <w:pPr>
                    <w:adjustRightInd w:val="0"/>
                    <w:snapToGrid w:val="0"/>
                    <w:ind w:left="-105" w:leftChars="-50" w:right="-105" w:rightChars="-50"/>
                    <w:jc w:val="center"/>
                    <w:rPr>
                      <w:rFonts w:hint="eastAsia" w:cs="宋体"/>
                      <w:color w:val="000000"/>
                      <w:kern w:val="0"/>
                      <w:sz w:val="21"/>
                      <w:szCs w:val="18"/>
                    </w:rPr>
                  </w:pPr>
                </w:p>
              </w:tc>
              <w:tc>
                <w:tcPr>
                  <w:tcW w:w="560" w:type="pct"/>
                  <w:vMerge w:val="restart"/>
                  <w:noWrap w:val="0"/>
                  <w:vAlign w:val="center"/>
                </w:tcPr>
                <w:p>
                  <w:pPr>
                    <w:adjustRightInd w:val="0"/>
                    <w:snapToGrid w:val="0"/>
                    <w:ind w:left="-105" w:leftChars="-50" w:right="-105" w:rightChars="-50"/>
                    <w:jc w:val="center"/>
                    <w:rPr>
                      <w:rFonts w:hint="eastAsia" w:cs="宋体"/>
                      <w:color w:val="000000"/>
                      <w:kern w:val="0"/>
                      <w:sz w:val="21"/>
                      <w:szCs w:val="18"/>
                      <w:lang w:val="en-US" w:eastAsia="zh-CN"/>
                    </w:rPr>
                  </w:pPr>
                  <w:r>
                    <w:rPr>
                      <w:rFonts w:hint="eastAsia" w:cs="宋体"/>
                      <w:color w:val="000000"/>
                      <w:kern w:val="0"/>
                      <w:sz w:val="21"/>
                      <w:szCs w:val="18"/>
                      <w:lang w:val="en-US" w:eastAsia="zh-CN"/>
                    </w:rPr>
                    <w:t>生活</w:t>
                  </w:r>
                </w:p>
                <w:p>
                  <w:pPr>
                    <w:adjustRightInd w:val="0"/>
                    <w:snapToGrid w:val="0"/>
                    <w:ind w:left="-105" w:leftChars="-50" w:right="-105" w:rightChars="-50"/>
                    <w:jc w:val="center"/>
                    <w:rPr>
                      <w:rFonts w:hint="eastAsia" w:eastAsia="宋体" w:cs="宋体"/>
                      <w:color w:val="000000"/>
                      <w:kern w:val="0"/>
                      <w:sz w:val="21"/>
                      <w:szCs w:val="18"/>
                      <w:lang w:val="en-US" w:eastAsia="zh-CN"/>
                    </w:rPr>
                  </w:pPr>
                  <w:r>
                    <w:rPr>
                      <w:rFonts w:hint="eastAsia" w:cs="宋体"/>
                      <w:color w:val="000000"/>
                      <w:kern w:val="0"/>
                      <w:sz w:val="21"/>
                      <w:szCs w:val="18"/>
                      <w:lang w:val="en-US" w:eastAsia="zh-CN"/>
                    </w:rPr>
                    <w:t>垃圾</w:t>
                  </w:r>
                </w:p>
              </w:tc>
              <w:tc>
                <w:tcPr>
                  <w:tcW w:w="1238" w:type="pct"/>
                  <w:noWrap w:val="0"/>
                  <w:vAlign w:val="center"/>
                </w:tcPr>
                <w:p>
                  <w:pPr>
                    <w:adjustRightInd w:val="0"/>
                    <w:snapToGrid w:val="0"/>
                    <w:ind w:left="-105" w:leftChars="-50" w:right="-50"/>
                    <w:jc w:val="center"/>
                    <w:rPr>
                      <w:rFonts w:hint="default" w:eastAsia="宋体"/>
                      <w:color w:val="000000"/>
                      <w:sz w:val="21"/>
                      <w:szCs w:val="18"/>
                      <w:lang w:val="en-US" w:eastAsia="zh-CN"/>
                    </w:rPr>
                  </w:pPr>
                  <w:r>
                    <w:rPr>
                      <w:rFonts w:hint="eastAsia"/>
                      <w:color w:val="000000"/>
                      <w:sz w:val="21"/>
                      <w:szCs w:val="18"/>
                      <w:lang w:val="en-US" w:eastAsia="zh-CN"/>
                    </w:rPr>
                    <w:t>生活垃圾</w:t>
                  </w:r>
                </w:p>
              </w:tc>
              <w:tc>
                <w:tcPr>
                  <w:tcW w:w="916" w:type="pct"/>
                  <w:vMerge w:val="restart"/>
                  <w:noWrap w:val="0"/>
                  <w:vAlign w:val="center"/>
                </w:tcPr>
                <w:p>
                  <w:pPr>
                    <w:adjustRightInd w:val="0"/>
                    <w:snapToGrid w:val="0"/>
                    <w:ind w:left="-105" w:leftChars="-50" w:right="-50"/>
                    <w:jc w:val="center"/>
                    <w:rPr>
                      <w:rFonts w:hint="default" w:eastAsia="宋体"/>
                      <w:color w:val="000000"/>
                      <w:sz w:val="21"/>
                      <w:szCs w:val="18"/>
                      <w:lang w:val="en-US" w:eastAsia="zh-CN"/>
                    </w:rPr>
                  </w:pPr>
                  <w:r>
                    <w:rPr>
                      <w:rFonts w:hint="eastAsia"/>
                      <w:color w:val="000000"/>
                      <w:sz w:val="21"/>
                      <w:szCs w:val="18"/>
                      <w:lang w:val="en-US" w:eastAsia="zh-CN"/>
                    </w:rPr>
                    <w:t>1.88</w:t>
                  </w:r>
                </w:p>
              </w:tc>
              <w:tc>
                <w:tcPr>
                  <w:tcW w:w="835" w:type="pct"/>
                  <w:noWrap w:val="0"/>
                  <w:vAlign w:val="center"/>
                </w:tcPr>
                <w:p>
                  <w:pPr>
                    <w:adjustRightInd w:val="0"/>
                    <w:snapToGrid w:val="0"/>
                    <w:ind w:left="-105" w:leftChars="-50" w:right="-50"/>
                    <w:jc w:val="center"/>
                    <w:rPr>
                      <w:rFonts w:hint="default" w:eastAsia="宋体"/>
                      <w:color w:val="000000"/>
                      <w:sz w:val="21"/>
                      <w:szCs w:val="18"/>
                      <w:lang w:val="en-US" w:eastAsia="zh-CN"/>
                    </w:rPr>
                  </w:pPr>
                  <w:r>
                    <w:rPr>
                      <w:rFonts w:hint="eastAsia"/>
                      <w:color w:val="000000"/>
                      <w:sz w:val="21"/>
                      <w:szCs w:val="18"/>
                      <w:lang w:val="en-US" w:eastAsia="zh-CN"/>
                    </w:rPr>
                    <w:t>8.75</w:t>
                  </w:r>
                </w:p>
              </w:tc>
              <w:tc>
                <w:tcPr>
                  <w:tcW w:w="1003" w:type="pct"/>
                  <w:vMerge w:val="restart"/>
                  <w:noWrap w:val="0"/>
                  <w:vAlign w:val="center"/>
                </w:tcPr>
                <w:p>
                  <w:pPr>
                    <w:adjustRightInd w:val="0"/>
                    <w:snapToGrid w:val="0"/>
                    <w:ind w:left="-105" w:leftChars="-50" w:right="-50"/>
                    <w:jc w:val="center"/>
                    <w:rPr>
                      <w:rFonts w:hint="default" w:eastAsia="宋体"/>
                      <w:color w:val="000000"/>
                      <w:sz w:val="21"/>
                      <w:szCs w:val="18"/>
                      <w:lang w:val="en-US" w:eastAsia="zh-CN"/>
                    </w:rPr>
                  </w:pPr>
                  <w:r>
                    <w:rPr>
                      <w:rFonts w:hint="eastAsia"/>
                      <w:color w:val="000000"/>
                      <w:sz w:val="21"/>
                      <w:szCs w:val="18"/>
                      <w:lang w:val="en-US" w:eastAsia="zh-CN"/>
                    </w:rPr>
                    <w:t>+10.37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8" w:hRule="atLeast"/>
                <w:jc w:val="center"/>
              </w:trPr>
              <w:tc>
                <w:tcPr>
                  <w:tcW w:w="445" w:type="pct"/>
                  <w:vMerge w:val="continue"/>
                  <w:noWrap w:val="0"/>
                  <w:vAlign w:val="center"/>
                </w:tcPr>
                <w:p>
                  <w:pPr>
                    <w:widowControl/>
                    <w:adjustRightInd w:val="0"/>
                    <w:snapToGrid w:val="0"/>
                    <w:ind w:left="-105" w:leftChars="-50" w:right="-105" w:rightChars="-50"/>
                    <w:jc w:val="center"/>
                    <w:rPr>
                      <w:rFonts w:hint="eastAsia" w:cs="宋体"/>
                      <w:color w:val="000000"/>
                      <w:kern w:val="0"/>
                      <w:sz w:val="21"/>
                      <w:szCs w:val="18"/>
                    </w:rPr>
                  </w:pPr>
                </w:p>
              </w:tc>
              <w:tc>
                <w:tcPr>
                  <w:tcW w:w="560" w:type="pct"/>
                  <w:vMerge w:val="continue"/>
                  <w:noWrap w:val="0"/>
                  <w:vAlign w:val="center"/>
                </w:tcPr>
                <w:p>
                  <w:pPr>
                    <w:adjustRightInd w:val="0"/>
                    <w:snapToGrid w:val="0"/>
                    <w:ind w:left="-105" w:leftChars="-50" w:right="-105" w:rightChars="-50"/>
                    <w:jc w:val="center"/>
                    <w:rPr>
                      <w:rFonts w:hint="eastAsia" w:cs="宋体"/>
                      <w:color w:val="000000"/>
                      <w:kern w:val="0"/>
                      <w:sz w:val="21"/>
                      <w:szCs w:val="18"/>
                    </w:rPr>
                  </w:pPr>
                </w:p>
              </w:tc>
              <w:tc>
                <w:tcPr>
                  <w:tcW w:w="1238" w:type="pct"/>
                  <w:noWrap w:val="0"/>
                  <w:vAlign w:val="center"/>
                </w:tcPr>
                <w:p>
                  <w:pPr>
                    <w:adjustRightInd w:val="0"/>
                    <w:snapToGrid w:val="0"/>
                    <w:ind w:left="-105" w:leftChars="-50" w:right="-105" w:rightChars="-50"/>
                    <w:jc w:val="center"/>
                    <w:rPr>
                      <w:rFonts w:hint="eastAsia" w:eastAsia="宋体" w:cs="宋体"/>
                      <w:color w:val="000000"/>
                      <w:kern w:val="0"/>
                      <w:sz w:val="21"/>
                      <w:szCs w:val="18"/>
                      <w:lang w:val="en-US" w:eastAsia="zh-CN"/>
                    </w:rPr>
                  </w:pPr>
                  <w:r>
                    <w:rPr>
                      <w:rFonts w:hint="eastAsia" w:cs="宋体"/>
                      <w:color w:val="000000"/>
                      <w:kern w:val="0"/>
                      <w:sz w:val="21"/>
                      <w:szCs w:val="18"/>
                      <w:lang w:val="en-US" w:eastAsia="zh-CN"/>
                    </w:rPr>
                    <w:t>厨余垃圾</w:t>
                  </w:r>
                </w:p>
              </w:tc>
              <w:tc>
                <w:tcPr>
                  <w:tcW w:w="916" w:type="pct"/>
                  <w:vMerge w:val="continue"/>
                  <w:noWrap w:val="0"/>
                  <w:vAlign w:val="center"/>
                </w:tcPr>
                <w:p>
                  <w:pPr>
                    <w:adjustRightInd w:val="0"/>
                    <w:snapToGrid w:val="0"/>
                    <w:ind w:left="-105" w:leftChars="-50" w:right="-105" w:rightChars="-50"/>
                    <w:jc w:val="center"/>
                    <w:rPr>
                      <w:rFonts w:hint="default" w:eastAsia="宋体" w:cs="宋体"/>
                      <w:color w:val="000000"/>
                      <w:kern w:val="0"/>
                      <w:sz w:val="21"/>
                      <w:szCs w:val="18"/>
                      <w:lang w:val="en-US" w:eastAsia="zh-CN"/>
                    </w:rPr>
                  </w:pPr>
                </w:p>
              </w:tc>
              <w:tc>
                <w:tcPr>
                  <w:tcW w:w="835" w:type="pct"/>
                  <w:noWrap w:val="0"/>
                  <w:vAlign w:val="center"/>
                </w:tcPr>
                <w:p>
                  <w:pPr>
                    <w:adjustRightInd w:val="0"/>
                    <w:snapToGrid w:val="0"/>
                    <w:ind w:left="-105" w:leftChars="-50" w:right="-50"/>
                    <w:jc w:val="center"/>
                    <w:rPr>
                      <w:rFonts w:hint="default" w:eastAsia="宋体" w:cs="宋体"/>
                      <w:color w:val="000000"/>
                      <w:kern w:val="0"/>
                      <w:sz w:val="21"/>
                      <w:szCs w:val="18"/>
                      <w:lang w:val="en-US" w:eastAsia="zh-CN"/>
                    </w:rPr>
                  </w:pPr>
                  <w:r>
                    <w:rPr>
                      <w:rFonts w:hint="eastAsia" w:cs="宋体"/>
                      <w:color w:val="000000"/>
                      <w:kern w:val="0"/>
                      <w:sz w:val="21"/>
                      <w:szCs w:val="18"/>
                      <w:lang w:val="en-US" w:eastAsia="zh-CN"/>
                    </w:rPr>
                    <w:t>3.5</w:t>
                  </w:r>
                </w:p>
              </w:tc>
              <w:tc>
                <w:tcPr>
                  <w:tcW w:w="1003" w:type="pct"/>
                  <w:vMerge w:val="continue"/>
                  <w:noWrap w:val="0"/>
                  <w:vAlign w:val="center"/>
                </w:tcPr>
                <w:p>
                  <w:pPr>
                    <w:adjustRightInd w:val="0"/>
                    <w:snapToGrid w:val="0"/>
                    <w:ind w:left="-105" w:leftChars="-50" w:right="-50"/>
                    <w:jc w:val="center"/>
                    <w:rPr>
                      <w:rFonts w:hint="default" w:eastAsia="宋体" w:cs="宋体"/>
                      <w:color w:val="000000"/>
                      <w:kern w:val="0"/>
                      <w:sz w:val="21"/>
                      <w:szCs w:val="18"/>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8" w:hRule="atLeast"/>
                <w:jc w:val="center"/>
              </w:trPr>
              <w:tc>
                <w:tcPr>
                  <w:tcW w:w="445" w:type="pct"/>
                  <w:vMerge w:val="continue"/>
                  <w:noWrap w:val="0"/>
                  <w:vAlign w:val="center"/>
                </w:tcPr>
                <w:p>
                  <w:pPr>
                    <w:widowControl/>
                    <w:adjustRightInd w:val="0"/>
                    <w:snapToGrid w:val="0"/>
                    <w:ind w:left="-105" w:leftChars="-50" w:right="-105" w:rightChars="-50"/>
                    <w:jc w:val="center"/>
                    <w:rPr>
                      <w:rFonts w:hint="eastAsia" w:cs="宋体"/>
                      <w:color w:val="000000"/>
                      <w:kern w:val="0"/>
                      <w:sz w:val="21"/>
                      <w:szCs w:val="18"/>
                    </w:rPr>
                  </w:pPr>
                </w:p>
              </w:tc>
              <w:tc>
                <w:tcPr>
                  <w:tcW w:w="560" w:type="pct"/>
                  <w:vMerge w:val="restart"/>
                  <w:noWrap w:val="0"/>
                  <w:vAlign w:val="center"/>
                </w:tcPr>
                <w:p>
                  <w:pPr>
                    <w:adjustRightInd w:val="0"/>
                    <w:snapToGrid w:val="0"/>
                    <w:ind w:left="-105" w:leftChars="-50" w:right="-105" w:rightChars="-50"/>
                    <w:jc w:val="center"/>
                    <w:rPr>
                      <w:rFonts w:hint="eastAsia" w:cs="宋体"/>
                      <w:color w:val="000000"/>
                      <w:kern w:val="0"/>
                      <w:sz w:val="21"/>
                      <w:szCs w:val="18"/>
                      <w:lang w:val="en-US" w:eastAsia="zh-CN"/>
                    </w:rPr>
                  </w:pPr>
                  <w:r>
                    <w:rPr>
                      <w:rFonts w:hint="eastAsia" w:cs="宋体"/>
                      <w:color w:val="000000"/>
                      <w:kern w:val="0"/>
                      <w:sz w:val="21"/>
                      <w:szCs w:val="18"/>
                      <w:lang w:val="en-US" w:eastAsia="zh-CN"/>
                    </w:rPr>
                    <w:t>危险</w:t>
                  </w:r>
                </w:p>
                <w:p>
                  <w:pPr>
                    <w:adjustRightInd w:val="0"/>
                    <w:snapToGrid w:val="0"/>
                    <w:ind w:left="-105" w:leftChars="-50" w:right="-105" w:rightChars="-50"/>
                    <w:jc w:val="center"/>
                    <w:rPr>
                      <w:rFonts w:hint="default" w:eastAsia="宋体" w:cs="宋体"/>
                      <w:color w:val="000000"/>
                      <w:kern w:val="0"/>
                      <w:sz w:val="21"/>
                      <w:szCs w:val="18"/>
                      <w:lang w:val="en-US" w:eastAsia="zh-CN"/>
                    </w:rPr>
                  </w:pPr>
                  <w:r>
                    <w:rPr>
                      <w:rFonts w:hint="eastAsia" w:cs="宋体"/>
                      <w:color w:val="000000"/>
                      <w:kern w:val="0"/>
                      <w:sz w:val="21"/>
                      <w:szCs w:val="18"/>
                      <w:lang w:val="en-US" w:eastAsia="zh-CN"/>
                    </w:rPr>
                    <w:t>废物</w:t>
                  </w:r>
                </w:p>
              </w:tc>
              <w:tc>
                <w:tcPr>
                  <w:tcW w:w="1238" w:type="pct"/>
                  <w:noWrap w:val="0"/>
                  <w:vAlign w:val="center"/>
                </w:tcPr>
                <w:p>
                  <w:pPr>
                    <w:adjustRightInd w:val="0"/>
                    <w:snapToGrid w:val="0"/>
                    <w:ind w:left="-105" w:leftChars="-50" w:right="-105" w:rightChars="-50"/>
                    <w:jc w:val="center"/>
                    <w:rPr>
                      <w:rFonts w:hint="default" w:eastAsia="宋体" w:cs="宋体"/>
                      <w:color w:val="000000"/>
                      <w:kern w:val="0"/>
                      <w:sz w:val="21"/>
                      <w:szCs w:val="18"/>
                      <w:lang w:val="en-US" w:eastAsia="zh-CN"/>
                    </w:rPr>
                  </w:pPr>
                  <w:r>
                    <w:rPr>
                      <w:rFonts w:hint="eastAsia" w:cs="宋体"/>
                      <w:color w:val="000000"/>
                      <w:kern w:val="0"/>
                      <w:sz w:val="21"/>
                      <w:szCs w:val="18"/>
                      <w:lang w:val="en-US" w:eastAsia="zh-CN"/>
                    </w:rPr>
                    <w:t>废机油</w:t>
                  </w:r>
                </w:p>
              </w:tc>
              <w:tc>
                <w:tcPr>
                  <w:tcW w:w="916" w:type="pct"/>
                  <w:noWrap w:val="0"/>
                  <w:vAlign w:val="center"/>
                </w:tcPr>
                <w:p>
                  <w:pPr>
                    <w:adjustRightInd w:val="0"/>
                    <w:snapToGrid w:val="0"/>
                    <w:ind w:left="-105" w:leftChars="-50" w:right="-105" w:rightChars="-50"/>
                    <w:jc w:val="center"/>
                    <w:rPr>
                      <w:rFonts w:hint="default" w:eastAsia="宋体" w:cs="宋体"/>
                      <w:color w:val="000000"/>
                      <w:kern w:val="0"/>
                      <w:sz w:val="21"/>
                      <w:szCs w:val="18"/>
                      <w:lang w:val="en-US" w:eastAsia="zh-CN"/>
                    </w:rPr>
                  </w:pPr>
                  <w:r>
                    <w:rPr>
                      <w:rFonts w:hint="eastAsia" w:cs="宋体"/>
                      <w:color w:val="000000"/>
                      <w:kern w:val="0"/>
                      <w:sz w:val="21"/>
                      <w:szCs w:val="18"/>
                      <w:lang w:val="en-US" w:eastAsia="zh-CN"/>
                    </w:rPr>
                    <w:t>0</w:t>
                  </w:r>
                </w:p>
              </w:tc>
              <w:tc>
                <w:tcPr>
                  <w:tcW w:w="835" w:type="pct"/>
                  <w:noWrap w:val="0"/>
                  <w:vAlign w:val="center"/>
                </w:tcPr>
                <w:p>
                  <w:pPr>
                    <w:adjustRightInd w:val="0"/>
                    <w:snapToGrid w:val="0"/>
                    <w:ind w:left="-105" w:leftChars="-50" w:right="-50"/>
                    <w:jc w:val="center"/>
                    <w:rPr>
                      <w:rFonts w:hint="default" w:eastAsia="宋体" w:cs="宋体"/>
                      <w:color w:val="000000"/>
                      <w:kern w:val="0"/>
                      <w:sz w:val="21"/>
                      <w:szCs w:val="18"/>
                      <w:lang w:val="en-US" w:eastAsia="zh-CN"/>
                    </w:rPr>
                  </w:pPr>
                  <w:r>
                    <w:rPr>
                      <w:rFonts w:hint="eastAsia" w:cs="宋体"/>
                      <w:color w:val="000000"/>
                      <w:kern w:val="0"/>
                      <w:sz w:val="21"/>
                      <w:szCs w:val="18"/>
                      <w:lang w:val="en-US" w:eastAsia="zh-CN"/>
                    </w:rPr>
                    <w:t>0.5</w:t>
                  </w:r>
                </w:p>
              </w:tc>
              <w:tc>
                <w:tcPr>
                  <w:tcW w:w="1003" w:type="pct"/>
                  <w:noWrap w:val="0"/>
                  <w:vAlign w:val="center"/>
                </w:tcPr>
                <w:p>
                  <w:pPr>
                    <w:adjustRightInd w:val="0"/>
                    <w:snapToGrid w:val="0"/>
                    <w:ind w:left="-105" w:leftChars="-50" w:right="-50"/>
                    <w:jc w:val="center"/>
                    <w:rPr>
                      <w:rFonts w:hint="default" w:eastAsia="宋体" w:cs="宋体"/>
                      <w:color w:val="000000"/>
                      <w:kern w:val="0"/>
                      <w:sz w:val="21"/>
                      <w:szCs w:val="18"/>
                      <w:lang w:val="en-US" w:eastAsia="zh-CN"/>
                    </w:rPr>
                  </w:pPr>
                  <w:r>
                    <w:rPr>
                      <w:rFonts w:hint="eastAsia" w:cs="宋体"/>
                      <w:color w:val="000000"/>
                      <w:kern w:val="0"/>
                      <w:sz w:val="21"/>
                      <w:szCs w:val="18"/>
                      <w:lang w:val="en-US" w:eastAsia="zh-CN"/>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8" w:hRule="atLeast"/>
                <w:jc w:val="center"/>
              </w:trPr>
              <w:tc>
                <w:tcPr>
                  <w:tcW w:w="445" w:type="pct"/>
                  <w:vMerge w:val="continue"/>
                  <w:noWrap w:val="0"/>
                  <w:vAlign w:val="center"/>
                </w:tcPr>
                <w:p>
                  <w:pPr>
                    <w:widowControl/>
                    <w:adjustRightInd w:val="0"/>
                    <w:snapToGrid w:val="0"/>
                    <w:ind w:left="-105" w:leftChars="-50" w:right="-105" w:rightChars="-50"/>
                    <w:jc w:val="center"/>
                    <w:rPr>
                      <w:rFonts w:hint="eastAsia" w:cs="宋体"/>
                      <w:color w:val="000000"/>
                      <w:kern w:val="0"/>
                      <w:sz w:val="21"/>
                      <w:szCs w:val="18"/>
                    </w:rPr>
                  </w:pPr>
                </w:p>
              </w:tc>
              <w:tc>
                <w:tcPr>
                  <w:tcW w:w="560" w:type="pct"/>
                  <w:vMerge w:val="continue"/>
                  <w:noWrap w:val="0"/>
                  <w:vAlign w:val="center"/>
                </w:tcPr>
                <w:p>
                  <w:pPr>
                    <w:adjustRightInd w:val="0"/>
                    <w:snapToGrid w:val="0"/>
                    <w:ind w:left="-105" w:leftChars="-50" w:right="-105" w:rightChars="-50"/>
                    <w:jc w:val="center"/>
                    <w:rPr>
                      <w:rFonts w:hint="eastAsia" w:cs="宋体"/>
                      <w:color w:val="000000"/>
                      <w:kern w:val="0"/>
                      <w:sz w:val="21"/>
                      <w:szCs w:val="18"/>
                    </w:rPr>
                  </w:pPr>
                </w:p>
              </w:tc>
              <w:tc>
                <w:tcPr>
                  <w:tcW w:w="1238" w:type="pct"/>
                  <w:noWrap w:val="0"/>
                  <w:vAlign w:val="center"/>
                </w:tcPr>
                <w:p>
                  <w:pPr>
                    <w:adjustRightInd w:val="0"/>
                    <w:snapToGrid w:val="0"/>
                    <w:ind w:left="-105" w:leftChars="-50" w:right="-105" w:rightChars="-50"/>
                    <w:jc w:val="center"/>
                    <w:rPr>
                      <w:rFonts w:hint="default" w:cs="宋体"/>
                      <w:color w:val="000000"/>
                      <w:kern w:val="0"/>
                      <w:sz w:val="21"/>
                      <w:szCs w:val="18"/>
                      <w:lang w:val="en-US" w:eastAsia="zh-CN"/>
                    </w:rPr>
                  </w:pPr>
                  <w:r>
                    <w:rPr>
                      <w:rFonts w:hint="eastAsia" w:cs="宋体"/>
                      <w:color w:val="000000"/>
                      <w:kern w:val="0"/>
                      <w:sz w:val="21"/>
                      <w:szCs w:val="18"/>
                      <w:lang w:val="en-US" w:eastAsia="zh-CN"/>
                    </w:rPr>
                    <w:t>浮油渣</w:t>
                  </w:r>
                </w:p>
              </w:tc>
              <w:tc>
                <w:tcPr>
                  <w:tcW w:w="916" w:type="pct"/>
                  <w:noWrap w:val="0"/>
                  <w:vAlign w:val="center"/>
                </w:tcPr>
                <w:p>
                  <w:pPr>
                    <w:adjustRightInd w:val="0"/>
                    <w:snapToGrid w:val="0"/>
                    <w:ind w:left="-105" w:leftChars="-50" w:right="-105" w:rightChars="-50"/>
                    <w:jc w:val="center"/>
                    <w:rPr>
                      <w:rFonts w:hint="default" w:eastAsia="宋体" w:cs="宋体"/>
                      <w:color w:val="000000"/>
                      <w:kern w:val="0"/>
                      <w:sz w:val="21"/>
                      <w:szCs w:val="18"/>
                      <w:lang w:val="en-US" w:eastAsia="zh-CN"/>
                    </w:rPr>
                  </w:pPr>
                  <w:r>
                    <w:rPr>
                      <w:rFonts w:hint="eastAsia" w:cs="宋体"/>
                      <w:color w:val="000000"/>
                      <w:kern w:val="0"/>
                      <w:sz w:val="21"/>
                      <w:szCs w:val="18"/>
                      <w:lang w:val="en-US" w:eastAsia="zh-CN"/>
                    </w:rPr>
                    <w:t>少量</w:t>
                  </w:r>
                </w:p>
              </w:tc>
              <w:tc>
                <w:tcPr>
                  <w:tcW w:w="835" w:type="pct"/>
                  <w:noWrap w:val="0"/>
                  <w:vAlign w:val="center"/>
                </w:tcPr>
                <w:p>
                  <w:pPr>
                    <w:adjustRightInd w:val="0"/>
                    <w:snapToGrid w:val="0"/>
                    <w:ind w:left="-105" w:leftChars="-50" w:right="-50"/>
                    <w:jc w:val="center"/>
                    <w:rPr>
                      <w:rFonts w:hint="default" w:eastAsia="宋体" w:cs="宋体"/>
                      <w:color w:val="000000"/>
                      <w:kern w:val="0"/>
                      <w:sz w:val="21"/>
                      <w:szCs w:val="18"/>
                      <w:lang w:val="en-US" w:eastAsia="zh-CN"/>
                    </w:rPr>
                  </w:pPr>
                  <w:r>
                    <w:rPr>
                      <w:rFonts w:hint="eastAsia" w:cs="宋体"/>
                      <w:color w:val="000000"/>
                      <w:kern w:val="0"/>
                      <w:sz w:val="21"/>
                      <w:szCs w:val="18"/>
                      <w:lang w:val="en-US" w:eastAsia="zh-CN"/>
                    </w:rPr>
                    <w:t>0.2</w:t>
                  </w:r>
                </w:p>
              </w:tc>
              <w:tc>
                <w:tcPr>
                  <w:tcW w:w="1003" w:type="pct"/>
                  <w:noWrap w:val="0"/>
                  <w:vAlign w:val="center"/>
                </w:tcPr>
                <w:p>
                  <w:pPr>
                    <w:adjustRightInd w:val="0"/>
                    <w:snapToGrid w:val="0"/>
                    <w:ind w:left="-105" w:leftChars="-50" w:right="-50"/>
                    <w:jc w:val="center"/>
                    <w:rPr>
                      <w:rFonts w:hint="default" w:eastAsia="宋体" w:cs="宋体"/>
                      <w:color w:val="000000"/>
                      <w:kern w:val="0"/>
                      <w:sz w:val="21"/>
                      <w:szCs w:val="18"/>
                      <w:lang w:val="en-US" w:eastAsia="zh-CN"/>
                    </w:rPr>
                  </w:pPr>
                  <w:r>
                    <w:rPr>
                      <w:rFonts w:hint="eastAsia" w:cs="宋体"/>
                      <w:color w:val="000000"/>
                      <w:kern w:val="0"/>
                      <w:sz w:val="21"/>
                      <w:szCs w:val="18"/>
                      <w:lang w:val="en-US" w:eastAsia="zh-CN"/>
                    </w:rPr>
                    <w:t>+0.2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8" w:hRule="atLeast"/>
                <w:jc w:val="center"/>
              </w:trPr>
              <w:tc>
                <w:tcPr>
                  <w:tcW w:w="445" w:type="pct"/>
                  <w:vMerge w:val="continue"/>
                  <w:noWrap w:val="0"/>
                  <w:vAlign w:val="center"/>
                </w:tcPr>
                <w:p>
                  <w:pPr>
                    <w:widowControl/>
                    <w:adjustRightInd w:val="0"/>
                    <w:snapToGrid w:val="0"/>
                    <w:ind w:left="-105" w:leftChars="-50" w:right="-105" w:rightChars="-50"/>
                    <w:jc w:val="center"/>
                    <w:rPr>
                      <w:rFonts w:hint="eastAsia" w:cs="宋体"/>
                      <w:color w:val="000000"/>
                      <w:kern w:val="0"/>
                      <w:sz w:val="21"/>
                      <w:szCs w:val="18"/>
                    </w:rPr>
                  </w:pPr>
                </w:p>
              </w:tc>
              <w:tc>
                <w:tcPr>
                  <w:tcW w:w="560" w:type="pct"/>
                  <w:vMerge w:val="continue"/>
                  <w:noWrap w:val="0"/>
                  <w:vAlign w:val="center"/>
                </w:tcPr>
                <w:p>
                  <w:pPr>
                    <w:adjustRightInd w:val="0"/>
                    <w:snapToGrid w:val="0"/>
                    <w:ind w:left="-105" w:leftChars="-50" w:right="-105" w:rightChars="-50"/>
                    <w:jc w:val="center"/>
                    <w:rPr>
                      <w:rFonts w:hint="eastAsia" w:cs="宋体"/>
                      <w:color w:val="000000"/>
                      <w:kern w:val="0"/>
                      <w:sz w:val="21"/>
                      <w:szCs w:val="18"/>
                    </w:rPr>
                  </w:pPr>
                </w:p>
              </w:tc>
              <w:tc>
                <w:tcPr>
                  <w:tcW w:w="1238" w:type="pct"/>
                  <w:noWrap w:val="0"/>
                  <w:vAlign w:val="center"/>
                </w:tcPr>
                <w:p>
                  <w:pPr>
                    <w:adjustRightInd w:val="0"/>
                    <w:snapToGrid w:val="0"/>
                    <w:ind w:left="-105" w:leftChars="-50" w:right="-105" w:rightChars="-50"/>
                    <w:jc w:val="center"/>
                    <w:rPr>
                      <w:rFonts w:hint="default" w:cs="宋体"/>
                      <w:color w:val="000000"/>
                      <w:kern w:val="0"/>
                      <w:sz w:val="21"/>
                      <w:szCs w:val="18"/>
                      <w:lang w:val="en-US" w:eastAsia="zh-CN"/>
                    </w:rPr>
                  </w:pPr>
                  <w:r>
                    <w:rPr>
                      <w:rFonts w:hint="eastAsia" w:cs="宋体"/>
                      <w:color w:val="000000"/>
                      <w:kern w:val="0"/>
                      <w:sz w:val="21"/>
                      <w:szCs w:val="18"/>
                      <w:lang w:val="en-US" w:eastAsia="zh-CN"/>
                    </w:rPr>
                    <w:t>油泥</w:t>
                  </w:r>
                </w:p>
              </w:tc>
              <w:tc>
                <w:tcPr>
                  <w:tcW w:w="916" w:type="pct"/>
                  <w:noWrap w:val="0"/>
                  <w:vAlign w:val="center"/>
                </w:tcPr>
                <w:p>
                  <w:pPr>
                    <w:adjustRightInd w:val="0"/>
                    <w:snapToGrid w:val="0"/>
                    <w:ind w:left="-105" w:leftChars="-50" w:right="-105" w:rightChars="-50"/>
                    <w:jc w:val="center"/>
                    <w:rPr>
                      <w:rFonts w:hint="default" w:eastAsia="宋体" w:cs="宋体"/>
                      <w:color w:val="000000"/>
                      <w:kern w:val="0"/>
                      <w:sz w:val="21"/>
                      <w:szCs w:val="18"/>
                      <w:lang w:val="en-US" w:eastAsia="zh-CN"/>
                    </w:rPr>
                  </w:pPr>
                  <w:r>
                    <w:rPr>
                      <w:rFonts w:hint="eastAsia" w:cs="宋体"/>
                      <w:color w:val="000000"/>
                      <w:kern w:val="0"/>
                      <w:sz w:val="21"/>
                      <w:szCs w:val="18"/>
                      <w:lang w:val="en-US" w:eastAsia="zh-CN"/>
                    </w:rPr>
                    <w:t>0</w:t>
                  </w:r>
                </w:p>
              </w:tc>
              <w:tc>
                <w:tcPr>
                  <w:tcW w:w="835" w:type="pct"/>
                  <w:noWrap w:val="0"/>
                  <w:vAlign w:val="center"/>
                </w:tcPr>
                <w:p>
                  <w:pPr>
                    <w:adjustRightInd w:val="0"/>
                    <w:snapToGrid w:val="0"/>
                    <w:ind w:left="-105" w:leftChars="-50" w:right="-50"/>
                    <w:jc w:val="center"/>
                    <w:rPr>
                      <w:rFonts w:hint="default" w:eastAsia="宋体" w:cs="宋体"/>
                      <w:color w:val="000000"/>
                      <w:kern w:val="0"/>
                      <w:sz w:val="21"/>
                      <w:szCs w:val="18"/>
                      <w:lang w:val="en-US" w:eastAsia="zh-CN"/>
                    </w:rPr>
                  </w:pPr>
                  <w:r>
                    <w:rPr>
                      <w:rFonts w:hint="eastAsia" w:cs="宋体"/>
                      <w:color w:val="000000"/>
                      <w:kern w:val="0"/>
                      <w:sz w:val="21"/>
                      <w:szCs w:val="18"/>
                      <w:lang w:val="en-US" w:eastAsia="zh-CN"/>
                    </w:rPr>
                    <w:t>0.1</w:t>
                  </w:r>
                </w:p>
              </w:tc>
              <w:tc>
                <w:tcPr>
                  <w:tcW w:w="1003" w:type="pct"/>
                  <w:noWrap w:val="0"/>
                  <w:vAlign w:val="center"/>
                </w:tcPr>
                <w:p>
                  <w:pPr>
                    <w:adjustRightInd w:val="0"/>
                    <w:snapToGrid w:val="0"/>
                    <w:ind w:left="-105" w:leftChars="-50" w:right="-50"/>
                    <w:jc w:val="center"/>
                    <w:rPr>
                      <w:rFonts w:hint="default" w:eastAsia="宋体" w:cs="宋体"/>
                      <w:color w:val="000000"/>
                      <w:kern w:val="0"/>
                      <w:sz w:val="21"/>
                      <w:szCs w:val="18"/>
                      <w:lang w:val="en-US" w:eastAsia="zh-CN"/>
                    </w:rPr>
                  </w:pPr>
                  <w:r>
                    <w:rPr>
                      <w:rFonts w:hint="eastAsia" w:cs="宋体"/>
                      <w:color w:val="000000"/>
                      <w:kern w:val="0"/>
                      <w:sz w:val="21"/>
                      <w:szCs w:val="18"/>
                      <w:lang w:val="en-US" w:eastAsia="zh-CN"/>
                    </w:rPr>
                    <w:t>+0.1</w:t>
                  </w:r>
                </w:p>
              </w:tc>
            </w:tr>
          </w:tbl>
          <w:p>
            <w:pPr>
              <w:spacing w:line="520" w:lineRule="exact"/>
              <w:ind w:firstLine="480" w:firstLineChars="200"/>
              <w:rPr>
                <w:sz w:val="24"/>
                <w:szCs w:val="32"/>
              </w:rPr>
            </w:pPr>
          </w:p>
        </w:tc>
      </w:tr>
    </w:tbl>
    <w:p>
      <w:pPr>
        <w:adjustRightInd w:val="0"/>
        <w:snapToGrid w:val="0"/>
        <w:spacing w:line="360" w:lineRule="auto"/>
        <w:rPr>
          <w:rFonts w:ascii="宋体" w:cs="宋体"/>
          <w:b/>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pPr>
        <w:pStyle w:val="25"/>
        <w:jc w:val="center"/>
        <w:outlineLvl w:val="0"/>
        <w:rPr>
          <w:rFonts w:ascii="黑体" w:hAnsi="黑体" w:eastAsia="黑体"/>
          <w:snapToGrid w:val="0"/>
          <w:sz w:val="30"/>
          <w:szCs w:val="30"/>
        </w:rPr>
      </w:pPr>
      <w:r>
        <w:rPr>
          <w:rFonts w:hint="eastAsia" w:ascii="黑体" w:hAnsi="黑体" w:eastAsia="黑体"/>
          <w:snapToGrid w:val="0"/>
          <w:sz w:val="30"/>
          <w:szCs w:val="30"/>
        </w:rPr>
        <w:t>五、</w:t>
      </w:r>
      <w:bookmarkStart w:id="4" w:name="_Hlk54167917"/>
      <w:r>
        <w:rPr>
          <w:rFonts w:hint="eastAsia" w:ascii="黑体" w:hAnsi="黑体" w:eastAsia="黑体"/>
          <w:snapToGrid w:val="0"/>
          <w:sz w:val="30"/>
          <w:szCs w:val="30"/>
        </w:rPr>
        <w:t>环境保护措施监督检查清单</w:t>
      </w:r>
      <w:bookmarkEnd w:id="4"/>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077"/>
        <w:gridCol w:w="1189"/>
        <w:gridCol w:w="1935"/>
        <w:gridCol w:w="2898"/>
        <w:gridCol w:w="2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778" w:type="dxa"/>
            <w:tcBorders>
              <w:tl2br w:val="single" w:color="auto" w:sz="4" w:space="0"/>
            </w:tcBorders>
          </w:tcPr>
          <w:p>
            <w:pPr>
              <w:adjustRightInd w:val="0"/>
              <w:snapToGrid w:val="0"/>
              <w:ind w:firstLine="840"/>
              <w:rPr>
                <w:szCs w:val="21"/>
              </w:rPr>
            </w:pPr>
            <w:r>
              <w:rPr>
                <w:szCs w:val="21"/>
              </w:rPr>
              <w:t>内容</w:t>
            </w:r>
          </w:p>
          <w:p>
            <w:pPr>
              <w:adjustRightInd w:val="0"/>
              <w:snapToGrid w:val="0"/>
              <w:rPr>
                <w:szCs w:val="21"/>
              </w:rPr>
            </w:pPr>
            <w:r>
              <w:rPr>
                <w:szCs w:val="21"/>
              </w:rPr>
              <w:t>要素</w:t>
            </w:r>
          </w:p>
        </w:tc>
        <w:tc>
          <w:tcPr>
            <w:tcW w:w="1077" w:type="dxa"/>
            <w:vAlign w:val="center"/>
          </w:tcPr>
          <w:p>
            <w:pPr>
              <w:adjustRightInd w:val="0"/>
              <w:snapToGrid w:val="0"/>
              <w:jc w:val="center"/>
              <w:rPr>
                <w:szCs w:val="21"/>
              </w:rPr>
            </w:pPr>
            <w:r>
              <w:rPr>
                <w:szCs w:val="21"/>
              </w:rPr>
              <w:t>排放口(编号、</w:t>
            </w:r>
          </w:p>
          <w:p>
            <w:pPr>
              <w:adjustRightInd w:val="0"/>
              <w:snapToGrid w:val="0"/>
              <w:jc w:val="center"/>
              <w:rPr>
                <w:szCs w:val="21"/>
              </w:rPr>
            </w:pPr>
            <w:r>
              <w:rPr>
                <w:szCs w:val="21"/>
              </w:rPr>
              <w:t>名称)/污染源</w:t>
            </w:r>
          </w:p>
        </w:tc>
        <w:tc>
          <w:tcPr>
            <w:tcW w:w="1189" w:type="dxa"/>
            <w:vAlign w:val="center"/>
          </w:tcPr>
          <w:p>
            <w:pPr>
              <w:adjustRightInd w:val="0"/>
              <w:snapToGrid w:val="0"/>
              <w:jc w:val="center"/>
              <w:rPr>
                <w:szCs w:val="21"/>
              </w:rPr>
            </w:pPr>
            <w:r>
              <w:rPr>
                <w:szCs w:val="21"/>
              </w:rPr>
              <w:t>污染物项目</w:t>
            </w:r>
          </w:p>
        </w:tc>
        <w:tc>
          <w:tcPr>
            <w:tcW w:w="1935" w:type="dxa"/>
            <w:vAlign w:val="center"/>
          </w:tcPr>
          <w:p>
            <w:pPr>
              <w:adjustRightInd w:val="0"/>
              <w:snapToGrid w:val="0"/>
              <w:jc w:val="center"/>
              <w:rPr>
                <w:szCs w:val="21"/>
              </w:rPr>
            </w:pPr>
            <w:r>
              <w:rPr>
                <w:szCs w:val="21"/>
              </w:rPr>
              <w:t>环境保护措施</w:t>
            </w:r>
          </w:p>
        </w:tc>
        <w:tc>
          <w:tcPr>
            <w:tcW w:w="2898" w:type="dxa"/>
            <w:vAlign w:val="center"/>
          </w:tcPr>
          <w:p>
            <w:pPr>
              <w:adjustRightInd w:val="0"/>
              <w:snapToGrid w:val="0"/>
              <w:jc w:val="center"/>
              <w:rPr>
                <w:szCs w:val="21"/>
              </w:rPr>
            </w:pPr>
            <w:r>
              <w:rPr>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778" w:type="dxa"/>
            <w:vMerge w:val="restart"/>
            <w:vAlign w:val="center"/>
          </w:tcPr>
          <w:p>
            <w:pPr>
              <w:adjustRightInd w:val="0"/>
              <w:snapToGrid w:val="0"/>
              <w:jc w:val="center"/>
              <w:rPr>
                <w:szCs w:val="21"/>
              </w:rPr>
            </w:pPr>
            <w:r>
              <w:rPr>
                <w:szCs w:val="21"/>
              </w:rPr>
              <w:t>大气环境</w:t>
            </w:r>
          </w:p>
        </w:tc>
        <w:tc>
          <w:tcPr>
            <w:tcW w:w="1077" w:type="dxa"/>
            <w:vAlign w:val="center"/>
          </w:tcPr>
          <w:p>
            <w:pPr>
              <w:adjustRightInd w:val="0"/>
              <w:snapToGrid w:val="0"/>
              <w:jc w:val="center"/>
              <w:rPr>
                <w:szCs w:val="21"/>
              </w:rPr>
            </w:pPr>
            <w:r>
              <w:rPr>
                <w:rFonts w:hint="eastAsia"/>
                <w:szCs w:val="21"/>
              </w:rPr>
              <w:t>多孔粒状硝酸铵上料粉尘</w:t>
            </w:r>
          </w:p>
        </w:tc>
        <w:tc>
          <w:tcPr>
            <w:tcW w:w="1189" w:type="dxa"/>
            <w:vAlign w:val="center"/>
          </w:tcPr>
          <w:p>
            <w:pPr>
              <w:adjustRightInd w:val="0"/>
              <w:snapToGrid w:val="0"/>
              <w:jc w:val="center"/>
              <w:rPr>
                <w:szCs w:val="21"/>
              </w:rPr>
            </w:pPr>
            <w:r>
              <w:rPr>
                <w:rFonts w:hint="eastAsia"/>
                <w:szCs w:val="21"/>
              </w:rPr>
              <w:t>颗粒物</w:t>
            </w:r>
          </w:p>
        </w:tc>
        <w:tc>
          <w:tcPr>
            <w:tcW w:w="1935" w:type="dxa"/>
            <w:vAlign w:val="center"/>
          </w:tcPr>
          <w:p>
            <w:pPr>
              <w:adjustRightInd w:val="0"/>
              <w:snapToGrid w:val="0"/>
              <w:jc w:val="center"/>
              <w:rPr>
                <w:szCs w:val="21"/>
              </w:rPr>
            </w:pPr>
            <w:r>
              <w:rPr>
                <w:rFonts w:hint="eastAsia"/>
                <w:szCs w:val="21"/>
              </w:rPr>
              <w:t>密闭上料仓</w:t>
            </w:r>
          </w:p>
        </w:tc>
        <w:tc>
          <w:tcPr>
            <w:tcW w:w="2898" w:type="dxa"/>
            <w:vAlign w:val="center"/>
          </w:tcPr>
          <w:p>
            <w:pPr>
              <w:adjustRightInd w:val="0"/>
              <w:snapToGrid w:val="0"/>
              <w:jc w:val="center"/>
              <w:rPr>
                <w:rFonts w:hAnsi="宋体"/>
                <w:szCs w:val="21"/>
              </w:rPr>
            </w:pPr>
            <w:r>
              <w:rPr>
                <w:rFonts w:hint="eastAsia" w:hAnsi="宋体"/>
                <w:szCs w:val="21"/>
              </w:rPr>
              <w:t>《大气污染物综合排放标准》（GB16297-1996）表2颗粒物无组织排放限值要求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778" w:type="dxa"/>
            <w:vMerge w:val="continue"/>
            <w:vAlign w:val="center"/>
          </w:tcPr>
          <w:p>
            <w:pPr>
              <w:adjustRightInd w:val="0"/>
              <w:snapToGrid w:val="0"/>
              <w:jc w:val="center"/>
              <w:rPr>
                <w:szCs w:val="21"/>
              </w:rPr>
            </w:pPr>
          </w:p>
        </w:tc>
        <w:tc>
          <w:tcPr>
            <w:tcW w:w="1077" w:type="dxa"/>
            <w:vAlign w:val="center"/>
          </w:tcPr>
          <w:p>
            <w:pPr>
              <w:adjustRightInd w:val="0"/>
              <w:snapToGrid w:val="0"/>
              <w:jc w:val="center"/>
              <w:rPr>
                <w:szCs w:val="21"/>
              </w:rPr>
            </w:pPr>
            <w:r>
              <w:rPr>
                <w:rFonts w:hint="eastAsia"/>
                <w:szCs w:val="21"/>
              </w:rPr>
              <w:t>柴油储罐装卸、储存废气</w:t>
            </w:r>
          </w:p>
        </w:tc>
        <w:tc>
          <w:tcPr>
            <w:tcW w:w="1189" w:type="dxa"/>
            <w:vAlign w:val="center"/>
          </w:tcPr>
          <w:p>
            <w:pPr>
              <w:adjustRightInd w:val="0"/>
              <w:snapToGrid w:val="0"/>
              <w:jc w:val="center"/>
              <w:rPr>
                <w:szCs w:val="21"/>
              </w:rPr>
            </w:pPr>
            <w:r>
              <w:rPr>
                <w:rFonts w:hint="eastAsia"/>
                <w:szCs w:val="21"/>
              </w:rPr>
              <w:t>VOCs</w:t>
            </w:r>
          </w:p>
        </w:tc>
        <w:tc>
          <w:tcPr>
            <w:tcW w:w="1935" w:type="dxa"/>
            <w:vAlign w:val="center"/>
          </w:tcPr>
          <w:p>
            <w:pPr>
              <w:adjustRightInd w:val="0"/>
              <w:snapToGrid w:val="0"/>
              <w:jc w:val="center"/>
              <w:rPr>
                <w:rFonts w:hint="eastAsia" w:eastAsia="宋体"/>
                <w:szCs w:val="21"/>
                <w:lang w:eastAsia="zh-CN"/>
              </w:rPr>
            </w:pPr>
            <w:r>
              <w:rPr>
                <w:rFonts w:hint="eastAsia"/>
                <w:szCs w:val="21"/>
                <w:lang w:val="en-US" w:eastAsia="zh-CN"/>
              </w:rPr>
              <w:t>/</w:t>
            </w:r>
          </w:p>
        </w:tc>
        <w:tc>
          <w:tcPr>
            <w:tcW w:w="2898" w:type="dxa"/>
            <w:vAlign w:val="center"/>
          </w:tcPr>
          <w:p>
            <w:pPr>
              <w:adjustRightInd w:val="0"/>
              <w:snapToGrid w:val="0"/>
              <w:jc w:val="center"/>
              <w:rPr>
                <w:spacing w:val="6"/>
                <w:szCs w:val="21"/>
              </w:rPr>
            </w:pPr>
            <w:r>
              <w:rPr>
                <w:rFonts w:hint="eastAsia"/>
                <w:spacing w:val="6"/>
                <w:szCs w:val="21"/>
              </w:rPr>
              <w:t>无组织排放非甲烷总烃厂区内满足《挥发性有机物无组织排放控制标准》（GB37822-2019）表A.1排放限值要求，厂界满足《大气污染物综合排放标准》（GB16297-1996）表2中的浓度限值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778" w:type="dxa"/>
            <w:vMerge w:val="continue"/>
            <w:vAlign w:val="center"/>
          </w:tcPr>
          <w:p>
            <w:pPr>
              <w:adjustRightInd w:val="0"/>
              <w:snapToGrid w:val="0"/>
              <w:jc w:val="center"/>
              <w:rPr>
                <w:szCs w:val="21"/>
              </w:rPr>
            </w:pPr>
          </w:p>
        </w:tc>
        <w:tc>
          <w:tcPr>
            <w:tcW w:w="1077" w:type="dxa"/>
            <w:vAlign w:val="center"/>
          </w:tcPr>
          <w:p>
            <w:pPr>
              <w:adjustRightInd w:val="0"/>
              <w:snapToGrid w:val="0"/>
              <w:jc w:val="center"/>
              <w:rPr>
                <w:szCs w:val="21"/>
              </w:rPr>
            </w:pPr>
            <w:r>
              <w:rPr>
                <w:rFonts w:hint="eastAsia"/>
                <w:szCs w:val="21"/>
              </w:rPr>
              <w:t>食堂油烟</w:t>
            </w:r>
          </w:p>
        </w:tc>
        <w:tc>
          <w:tcPr>
            <w:tcW w:w="1189" w:type="dxa"/>
            <w:vAlign w:val="center"/>
          </w:tcPr>
          <w:p>
            <w:pPr>
              <w:adjustRightInd w:val="0"/>
              <w:snapToGrid w:val="0"/>
              <w:jc w:val="center"/>
              <w:rPr>
                <w:szCs w:val="21"/>
              </w:rPr>
            </w:pPr>
            <w:r>
              <w:rPr>
                <w:rFonts w:hint="eastAsia"/>
                <w:szCs w:val="21"/>
              </w:rPr>
              <w:t>食堂油烟</w:t>
            </w:r>
          </w:p>
        </w:tc>
        <w:tc>
          <w:tcPr>
            <w:tcW w:w="1935" w:type="dxa"/>
            <w:vAlign w:val="center"/>
          </w:tcPr>
          <w:p>
            <w:pPr>
              <w:adjustRightInd w:val="0"/>
              <w:snapToGrid w:val="0"/>
              <w:jc w:val="center"/>
              <w:rPr>
                <w:szCs w:val="21"/>
              </w:rPr>
            </w:pPr>
            <w:r>
              <w:rPr>
                <w:rFonts w:hint="eastAsia"/>
                <w:szCs w:val="21"/>
              </w:rPr>
              <w:t>油烟净化器</w:t>
            </w:r>
          </w:p>
        </w:tc>
        <w:tc>
          <w:tcPr>
            <w:tcW w:w="2898" w:type="dxa"/>
            <w:vAlign w:val="center"/>
          </w:tcPr>
          <w:p>
            <w:pPr>
              <w:adjustRightInd w:val="0"/>
              <w:snapToGrid w:val="0"/>
              <w:jc w:val="center"/>
              <w:rPr>
                <w:spacing w:val="6"/>
                <w:szCs w:val="21"/>
              </w:rPr>
            </w:pPr>
            <w:r>
              <w:rPr>
                <w:sz w:val="24"/>
              </w:rPr>
              <w:t>《</w:t>
            </w:r>
            <w:r>
              <w:rPr>
                <w:szCs w:val="21"/>
              </w:rPr>
              <w:t>饮食业油烟排放标准</w:t>
            </w:r>
            <w:r>
              <w:rPr>
                <w:rStyle w:val="35"/>
                <w:rFonts w:hint="eastAsia"/>
                <w:kern w:val="0"/>
                <w:szCs w:val="20"/>
              </w:rPr>
              <w:t>（试行）</w:t>
            </w:r>
            <w:r>
              <w:rPr>
                <w:szCs w:val="21"/>
              </w:rPr>
              <w:t>》（GB18483—2001）中2.0mg/m</w:t>
            </w:r>
            <w:r>
              <w:rPr>
                <w:szCs w:val="21"/>
                <w:vertAlign w:val="superscript"/>
              </w:rPr>
              <w:t>3</w:t>
            </w:r>
            <w:r>
              <w:rPr>
                <w:szCs w:val="21"/>
              </w:rPr>
              <w:t>的标准限值要求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369" w:hRule="atLeast"/>
          <w:jc w:val="center"/>
        </w:trPr>
        <w:tc>
          <w:tcPr>
            <w:tcW w:w="1778" w:type="dxa"/>
            <w:vMerge w:val="restart"/>
            <w:vAlign w:val="center"/>
          </w:tcPr>
          <w:p>
            <w:pPr>
              <w:adjustRightInd w:val="0"/>
              <w:snapToGrid w:val="0"/>
              <w:jc w:val="center"/>
              <w:rPr>
                <w:szCs w:val="21"/>
              </w:rPr>
            </w:pPr>
            <w:r>
              <w:rPr>
                <w:szCs w:val="21"/>
              </w:rPr>
              <w:t>地表水环境</w:t>
            </w:r>
          </w:p>
        </w:tc>
        <w:tc>
          <w:tcPr>
            <w:tcW w:w="1077" w:type="dxa"/>
            <w:vMerge w:val="restart"/>
            <w:vAlign w:val="center"/>
          </w:tcPr>
          <w:p>
            <w:pPr>
              <w:adjustRightInd w:val="0"/>
              <w:snapToGrid w:val="0"/>
              <w:jc w:val="center"/>
              <w:rPr>
                <w:szCs w:val="21"/>
              </w:rPr>
            </w:pPr>
            <w:r>
              <w:rPr>
                <w:szCs w:val="21"/>
              </w:rPr>
              <w:t>生活</w:t>
            </w:r>
            <w:r>
              <w:rPr>
                <w:rFonts w:hint="eastAsia"/>
                <w:szCs w:val="21"/>
              </w:rPr>
              <w:t>污水</w:t>
            </w:r>
          </w:p>
        </w:tc>
        <w:tc>
          <w:tcPr>
            <w:tcW w:w="1189" w:type="dxa"/>
            <w:vAlign w:val="center"/>
          </w:tcPr>
          <w:p>
            <w:pPr>
              <w:adjustRightInd w:val="0"/>
              <w:snapToGrid w:val="0"/>
              <w:jc w:val="center"/>
              <w:rPr>
                <w:szCs w:val="21"/>
                <w:vertAlign w:val="subscript"/>
              </w:rPr>
            </w:pPr>
            <w:r>
              <w:rPr>
                <w:szCs w:val="21"/>
              </w:rPr>
              <w:t>COD</w:t>
            </w:r>
            <w:r>
              <w:rPr>
                <w:rFonts w:hint="eastAsia"/>
                <w:szCs w:val="21"/>
                <w:vertAlign w:val="subscript"/>
              </w:rPr>
              <w:t>Cr</w:t>
            </w:r>
          </w:p>
        </w:tc>
        <w:tc>
          <w:tcPr>
            <w:tcW w:w="1935" w:type="dxa"/>
            <w:vMerge w:val="restart"/>
            <w:vAlign w:val="center"/>
          </w:tcPr>
          <w:p>
            <w:pPr>
              <w:adjustRightInd w:val="0"/>
              <w:snapToGrid w:val="0"/>
              <w:jc w:val="center"/>
              <w:rPr>
                <w:rFonts w:hint="default" w:eastAsia="宋体"/>
                <w:szCs w:val="21"/>
                <w:lang w:val="en-US" w:eastAsia="zh-CN"/>
              </w:rPr>
            </w:pPr>
            <w:r>
              <w:rPr>
                <w:rFonts w:hint="eastAsia" w:hAnsi="宋体"/>
                <w:snapToGrid w:val="0"/>
                <w:kern w:val="0"/>
                <w:szCs w:val="21"/>
              </w:rPr>
              <w:t>生活污水排入</w:t>
            </w:r>
            <w:r>
              <w:rPr>
                <w:rFonts w:hint="eastAsia" w:hAnsi="宋体"/>
                <w:snapToGrid w:val="0"/>
                <w:kern w:val="0"/>
                <w:szCs w:val="21"/>
                <w:lang w:val="en-US" w:eastAsia="zh-CN"/>
              </w:rPr>
              <w:t>地埋式一体化污水处理设施，经处理后用于厂区及周边绿化带绿化</w:t>
            </w:r>
          </w:p>
        </w:tc>
        <w:tc>
          <w:tcPr>
            <w:tcW w:w="2898" w:type="dxa"/>
            <w:vMerge w:val="restart"/>
            <w:vAlign w:val="center"/>
          </w:tcPr>
          <w:p>
            <w:pPr>
              <w:adjustRightInd w:val="0"/>
              <w:snapToGrid w:val="0"/>
              <w:jc w:val="center"/>
              <w:rPr>
                <w:szCs w:val="21"/>
              </w:rPr>
            </w:pPr>
            <w:r>
              <w:rPr>
                <w:rFonts w:hint="eastAsia"/>
                <w:kern w:val="0"/>
                <w:szCs w:val="21"/>
              </w:rPr>
              <w:t>《城市污水再利用城市杂用水水质》（GB/T18920-2020）绿化用水标准限值；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268" w:hRule="atLeast"/>
          <w:jc w:val="center"/>
        </w:trPr>
        <w:tc>
          <w:tcPr>
            <w:tcW w:w="1778" w:type="dxa"/>
            <w:vMerge w:val="continue"/>
            <w:vAlign w:val="center"/>
          </w:tcPr>
          <w:p>
            <w:pPr>
              <w:adjustRightInd w:val="0"/>
              <w:snapToGrid w:val="0"/>
              <w:jc w:val="center"/>
              <w:rPr>
                <w:szCs w:val="21"/>
              </w:rPr>
            </w:pPr>
          </w:p>
        </w:tc>
        <w:tc>
          <w:tcPr>
            <w:tcW w:w="1077" w:type="dxa"/>
            <w:vMerge w:val="continue"/>
            <w:vAlign w:val="center"/>
          </w:tcPr>
          <w:p>
            <w:pPr>
              <w:adjustRightInd w:val="0"/>
              <w:snapToGrid w:val="0"/>
              <w:jc w:val="center"/>
              <w:rPr>
                <w:szCs w:val="21"/>
              </w:rPr>
            </w:pPr>
          </w:p>
        </w:tc>
        <w:tc>
          <w:tcPr>
            <w:tcW w:w="1189" w:type="dxa"/>
            <w:vAlign w:val="center"/>
          </w:tcPr>
          <w:p>
            <w:pPr>
              <w:adjustRightInd w:val="0"/>
              <w:snapToGrid w:val="0"/>
              <w:jc w:val="center"/>
              <w:rPr>
                <w:szCs w:val="21"/>
              </w:rPr>
            </w:pPr>
            <w:r>
              <w:rPr>
                <w:szCs w:val="21"/>
              </w:rPr>
              <w:t>BOD</w:t>
            </w:r>
            <w:r>
              <w:rPr>
                <w:szCs w:val="21"/>
                <w:vertAlign w:val="subscript"/>
              </w:rPr>
              <w:t>5</w:t>
            </w:r>
          </w:p>
        </w:tc>
        <w:tc>
          <w:tcPr>
            <w:tcW w:w="1935" w:type="dxa"/>
            <w:vMerge w:val="continue"/>
            <w:vAlign w:val="center"/>
          </w:tcPr>
          <w:p>
            <w:pPr>
              <w:adjustRightInd w:val="0"/>
              <w:snapToGrid w:val="0"/>
              <w:jc w:val="center"/>
              <w:rPr>
                <w:szCs w:val="21"/>
              </w:rPr>
            </w:pP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371" w:hRule="atLeast"/>
          <w:jc w:val="center"/>
        </w:trPr>
        <w:tc>
          <w:tcPr>
            <w:tcW w:w="1778" w:type="dxa"/>
            <w:vMerge w:val="continue"/>
            <w:vAlign w:val="center"/>
          </w:tcPr>
          <w:p>
            <w:pPr>
              <w:adjustRightInd w:val="0"/>
              <w:snapToGrid w:val="0"/>
              <w:jc w:val="center"/>
              <w:rPr>
                <w:szCs w:val="21"/>
              </w:rPr>
            </w:pPr>
          </w:p>
        </w:tc>
        <w:tc>
          <w:tcPr>
            <w:tcW w:w="1077" w:type="dxa"/>
            <w:vMerge w:val="continue"/>
            <w:vAlign w:val="center"/>
          </w:tcPr>
          <w:p>
            <w:pPr>
              <w:adjustRightInd w:val="0"/>
              <w:snapToGrid w:val="0"/>
              <w:jc w:val="center"/>
              <w:rPr>
                <w:szCs w:val="21"/>
              </w:rPr>
            </w:pPr>
          </w:p>
        </w:tc>
        <w:tc>
          <w:tcPr>
            <w:tcW w:w="1189" w:type="dxa"/>
            <w:vAlign w:val="center"/>
          </w:tcPr>
          <w:p>
            <w:pPr>
              <w:adjustRightInd w:val="0"/>
              <w:snapToGrid w:val="0"/>
              <w:jc w:val="center"/>
              <w:rPr>
                <w:szCs w:val="21"/>
              </w:rPr>
            </w:pPr>
            <w:r>
              <w:rPr>
                <w:szCs w:val="21"/>
              </w:rPr>
              <w:t>NH</w:t>
            </w:r>
            <w:r>
              <w:rPr>
                <w:szCs w:val="21"/>
                <w:vertAlign w:val="subscript"/>
              </w:rPr>
              <w:t>3</w:t>
            </w:r>
            <w:r>
              <w:rPr>
                <w:szCs w:val="21"/>
              </w:rPr>
              <w:t>-N</w:t>
            </w:r>
          </w:p>
        </w:tc>
        <w:tc>
          <w:tcPr>
            <w:tcW w:w="1935" w:type="dxa"/>
            <w:vMerge w:val="continue"/>
            <w:vAlign w:val="center"/>
          </w:tcPr>
          <w:p>
            <w:pPr>
              <w:adjustRightInd w:val="0"/>
              <w:snapToGrid w:val="0"/>
              <w:jc w:val="center"/>
              <w:rPr>
                <w:szCs w:val="21"/>
              </w:rPr>
            </w:pP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281" w:hRule="atLeast"/>
          <w:jc w:val="center"/>
        </w:trPr>
        <w:tc>
          <w:tcPr>
            <w:tcW w:w="1778" w:type="dxa"/>
            <w:vMerge w:val="continue"/>
            <w:vAlign w:val="center"/>
          </w:tcPr>
          <w:p>
            <w:pPr>
              <w:adjustRightInd w:val="0"/>
              <w:snapToGrid w:val="0"/>
              <w:jc w:val="center"/>
              <w:rPr>
                <w:szCs w:val="21"/>
              </w:rPr>
            </w:pPr>
          </w:p>
        </w:tc>
        <w:tc>
          <w:tcPr>
            <w:tcW w:w="1077" w:type="dxa"/>
            <w:vMerge w:val="continue"/>
            <w:vAlign w:val="center"/>
          </w:tcPr>
          <w:p>
            <w:pPr>
              <w:adjustRightInd w:val="0"/>
              <w:snapToGrid w:val="0"/>
              <w:jc w:val="center"/>
              <w:rPr>
                <w:szCs w:val="21"/>
              </w:rPr>
            </w:pPr>
          </w:p>
        </w:tc>
        <w:tc>
          <w:tcPr>
            <w:tcW w:w="1189" w:type="dxa"/>
            <w:vAlign w:val="center"/>
          </w:tcPr>
          <w:p>
            <w:pPr>
              <w:adjustRightInd w:val="0"/>
              <w:snapToGrid w:val="0"/>
              <w:jc w:val="center"/>
              <w:rPr>
                <w:szCs w:val="21"/>
              </w:rPr>
            </w:pPr>
            <w:r>
              <w:rPr>
                <w:szCs w:val="21"/>
              </w:rPr>
              <w:t>SS</w:t>
            </w:r>
          </w:p>
        </w:tc>
        <w:tc>
          <w:tcPr>
            <w:tcW w:w="1935" w:type="dxa"/>
            <w:vMerge w:val="continue"/>
            <w:vAlign w:val="center"/>
          </w:tcPr>
          <w:p>
            <w:pPr>
              <w:adjustRightInd w:val="0"/>
              <w:snapToGrid w:val="0"/>
              <w:jc w:val="center"/>
              <w:rPr>
                <w:szCs w:val="21"/>
              </w:rPr>
            </w:pP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90" w:hRule="atLeast"/>
          <w:jc w:val="center"/>
        </w:trPr>
        <w:tc>
          <w:tcPr>
            <w:tcW w:w="1778" w:type="dxa"/>
            <w:vMerge w:val="continue"/>
            <w:vAlign w:val="center"/>
          </w:tcPr>
          <w:p>
            <w:pPr>
              <w:adjustRightInd w:val="0"/>
              <w:snapToGrid w:val="0"/>
              <w:jc w:val="center"/>
              <w:rPr>
                <w:szCs w:val="21"/>
              </w:rPr>
            </w:pPr>
          </w:p>
        </w:tc>
        <w:tc>
          <w:tcPr>
            <w:tcW w:w="1077" w:type="dxa"/>
            <w:vMerge w:val="restart"/>
            <w:vAlign w:val="center"/>
          </w:tcPr>
          <w:p>
            <w:pPr>
              <w:adjustRightInd w:val="0"/>
              <w:snapToGrid w:val="0"/>
              <w:jc w:val="center"/>
              <w:rPr>
                <w:szCs w:val="21"/>
              </w:rPr>
            </w:pPr>
            <w:r>
              <w:rPr>
                <w:rFonts w:hint="eastAsia"/>
                <w:szCs w:val="21"/>
              </w:rPr>
              <w:t>食堂废水</w:t>
            </w:r>
          </w:p>
        </w:tc>
        <w:tc>
          <w:tcPr>
            <w:tcW w:w="1189" w:type="dxa"/>
            <w:vAlign w:val="center"/>
          </w:tcPr>
          <w:p>
            <w:pPr>
              <w:adjustRightInd w:val="0"/>
              <w:snapToGrid w:val="0"/>
              <w:jc w:val="center"/>
              <w:rPr>
                <w:szCs w:val="21"/>
              </w:rPr>
            </w:pPr>
            <w:r>
              <w:rPr>
                <w:szCs w:val="21"/>
              </w:rPr>
              <w:t>COD</w:t>
            </w:r>
            <w:r>
              <w:rPr>
                <w:rFonts w:hint="eastAsia"/>
                <w:szCs w:val="21"/>
                <w:vertAlign w:val="subscript"/>
              </w:rPr>
              <w:t>Cr</w:t>
            </w:r>
          </w:p>
        </w:tc>
        <w:tc>
          <w:tcPr>
            <w:tcW w:w="1935" w:type="dxa"/>
            <w:vMerge w:val="restart"/>
            <w:vAlign w:val="center"/>
          </w:tcPr>
          <w:p>
            <w:pPr>
              <w:adjustRightInd w:val="0"/>
              <w:snapToGrid w:val="0"/>
              <w:jc w:val="center"/>
              <w:rPr>
                <w:szCs w:val="21"/>
              </w:rPr>
            </w:pPr>
            <w:r>
              <w:rPr>
                <w:rFonts w:hint="eastAsia"/>
                <w:szCs w:val="21"/>
              </w:rPr>
              <w:t>经隔油池处理后排入</w:t>
            </w:r>
            <w:r>
              <w:rPr>
                <w:rFonts w:hint="eastAsia" w:hAnsi="宋体"/>
                <w:snapToGrid w:val="0"/>
                <w:kern w:val="0"/>
                <w:szCs w:val="21"/>
                <w:lang w:val="en-US" w:eastAsia="zh-CN"/>
              </w:rPr>
              <w:t>地埋式一体化污水处理设施，经处理后用于厂区及周边绿化带绿化</w:t>
            </w: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90" w:hRule="atLeast"/>
          <w:jc w:val="center"/>
        </w:trPr>
        <w:tc>
          <w:tcPr>
            <w:tcW w:w="1778" w:type="dxa"/>
            <w:vMerge w:val="continue"/>
            <w:vAlign w:val="center"/>
          </w:tcPr>
          <w:p>
            <w:pPr>
              <w:adjustRightInd w:val="0"/>
              <w:snapToGrid w:val="0"/>
              <w:jc w:val="center"/>
              <w:rPr>
                <w:szCs w:val="21"/>
              </w:rPr>
            </w:pPr>
          </w:p>
        </w:tc>
        <w:tc>
          <w:tcPr>
            <w:tcW w:w="1077" w:type="dxa"/>
            <w:vMerge w:val="continue"/>
            <w:vAlign w:val="center"/>
          </w:tcPr>
          <w:p>
            <w:pPr>
              <w:adjustRightInd w:val="0"/>
              <w:snapToGrid w:val="0"/>
              <w:jc w:val="center"/>
              <w:rPr>
                <w:szCs w:val="21"/>
              </w:rPr>
            </w:pPr>
          </w:p>
        </w:tc>
        <w:tc>
          <w:tcPr>
            <w:tcW w:w="1189" w:type="dxa"/>
            <w:vAlign w:val="center"/>
          </w:tcPr>
          <w:p>
            <w:pPr>
              <w:adjustRightInd w:val="0"/>
              <w:snapToGrid w:val="0"/>
              <w:jc w:val="center"/>
              <w:rPr>
                <w:szCs w:val="21"/>
              </w:rPr>
            </w:pPr>
            <w:r>
              <w:rPr>
                <w:szCs w:val="21"/>
              </w:rPr>
              <w:t>BOD</w:t>
            </w:r>
            <w:r>
              <w:rPr>
                <w:szCs w:val="21"/>
                <w:vertAlign w:val="subscript"/>
              </w:rPr>
              <w:t>5</w:t>
            </w:r>
          </w:p>
        </w:tc>
        <w:tc>
          <w:tcPr>
            <w:tcW w:w="1935" w:type="dxa"/>
            <w:vMerge w:val="continue"/>
            <w:vAlign w:val="center"/>
          </w:tcPr>
          <w:p>
            <w:pPr>
              <w:adjustRightInd w:val="0"/>
              <w:snapToGrid w:val="0"/>
              <w:jc w:val="center"/>
              <w:rPr>
                <w:szCs w:val="21"/>
              </w:rPr>
            </w:pP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90" w:hRule="atLeast"/>
          <w:jc w:val="center"/>
        </w:trPr>
        <w:tc>
          <w:tcPr>
            <w:tcW w:w="1778" w:type="dxa"/>
            <w:vMerge w:val="continue"/>
            <w:vAlign w:val="center"/>
          </w:tcPr>
          <w:p>
            <w:pPr>
              <w:adjustRightInd w:val="0"/>
              <w:snapToGrid w:val="0"/>
              <w:jc w:val="center"/>
              <w:rPr>
                <w:szCs w:val="21"/>
              </w:rPr>
            </w:pPr>
          </w:p>
        </w:tc>
        <w:tc>
          <w:tcPr>
            <w:tcW w:w="1077" w:type="dxa"/>
            <w:vMerge w:val="continue"/>
            <w:vAlign w:val="center"/>
          </w:tcPr>
          <w:p>
            <w:pPr>
              <w:adjustRightInd w:val="0"/>
              <w:snapToGrid w:val="0"/>
              <w:jc w:val="center"/>
              <w:rPr>
                <w:szCs w:val="21"/>
              </w:rPr>
            </w:pPr>
          </w:p>
        </w:tc>
        <w:tc>
          <w:tcPr>
            <w:tcW w:w="1189" w:type="dxa"/>
            <w:vAlign w:val="center"/>
          </w:tcPr>
          <w:p>
            <w:pPr>
              <w:adjustRightInd w:val="0"/>
              <w:snapToGrid w:val="0"/>
              <w:jc w:val="center"/>
              <w:rPr>
                <w:szCs w:val="21"/>
              </w:rPr>
            </w:pPr>
            <w:r>
              <w:rPr>
                <w:szCs w:val="21"/>
              </w:rPr>
              <w:t>NH</w:t>
            </w:r>
            <w:r>
              <w:rPr>
                <w:szCs w:val="21"/>
                <w:vertAlign w:val="subscript"/>
              </w:rPr>
              <w:t>3</w:t>
            </w:r>
            <w:r>
              <w:rPr>
                <w:szCs w:val="21"/>
              </w:rPr>
              <w:t>-N</w:t>
            </w:r>
          </w:p>
        </w:tc>
        <w:tc>
          <w:tcPr>
            <w:tcW w:w="1935" w:type="dxa"/>
            <w:vMerge w:val="continue"/>
            <w:vAlign w:val="center"/>
          </w:tcPr>
          <w:p>
            <w:pPr>
              <w:adjustRightInd w:val="0"/>
              <w:snapToGrid w:val="0"/>
              <w:jc w:val="center"/>
              <w:rPr>
                <w:szCs w:val="21"/>
              </w:rPr>
            </w:pP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90" w:hRule="atLeast"/>
          <w:jc w:val="center"/>
        </w:trPr>
        <w:tc>
          <w:tcPr>
            <w:tcW w:w="1778" w:type="dxa"/>
            <w:vMerge w:val="continue"/>
            <w:vAlign w:val="center"/>
          </w:tcPr>
          <w:p>
            <w:pPr>
              <w:adjustRightInd w:val="0"/>
              <w:snapToGrid w:val="0"/>
              <w:jc w:val="center"/>
              <w:rPr>
                <w:szCs w:val="21"/>
              </w:rPr>
            </w:pPr>
          </w:p>
        </w:tc>
        <w:tc>
          <w:tcPr>
            <w:tcW w:w="1077" w:type="dxa"/>
            <w:vMerge w:val="continue"/>
            <w:vAlign w:val="center"/>
          </w:tcPr>
          <w:p>
            <w:pPr>
              <w:adjustRightInd w:val="0"/>
              <w:snapToGrid w:val="0"/>
              <w:jc w:val="center"/>
              <w:rPr>
                <w:szCs w:val="21"/>
              </w:rPr>
            </w:pPr>
          </w:p>
        </w:tc>
        <w:tc>
          <w:tcPr>
            <w:tcW w:w="1189" w:type="dxa"/>
            <w:vAlign w:val="center"/>
          </w:tcPr>
          <w:p>
            <w:pPr>
              <w:adjustRightInd w:val="0"/>
              <w:snapToGrid w:val="0"/>
              <w:jc w:val="center"/>
              <w:rPr>
                <w:szCs w:val="21"/>
              </w:rPr>
            </w:pPr>
            <w:r>
              <w:rPr>
                <w:szCs w:val="21"/>
              </w:rPr>
              <w:t>SS</w:t>
            </w:r>
          </w:p>
        </w:tc>
        <w:tc>
          <w:tcPr>
            <w:tcW w:w="1935" w:type="dxa"/>
            <w:vMerge w:val="continue"/>
            <w:vAlign w:val="center"/>
          </w:tcPr>
          <w:p>
            <w:pPr>
              <w:adjustRightInd w:val="0"/>
              <w:snapToGrid w:val="0"/>
              <w:jc w:val="center"/>
              <w:rPr>
                <w:szCs w:val="21"/>
              </w:rPr>
            </w:pP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90" w:hRule="atLeast"/>
          <w:jc w:val="center"/>
        </w:trPr>
        <w:tc>
          <w:tcPr>
            <w:tcW w:w="1778" w:type="dxa"/>
            <w:vMerge w:val="continue"/>
            <w:vAlign w:val="center"/>
          </w:tcPr>
          <w:p>
            <w:pPr>
              <w:adjustRightInd w:val="0"/>
              <w:snapToGrid w:val="0"/>
              <w:jc w:val="center"/>
              <w:rPr>
                <w:szCs w:val="21"/>
              </w:rPr>
            </w:pPr>
          </w:p>
        </w:tc>
        <w:tc>
          <w:tcPr>
            <w:tcW w:w="1077" w:type="dxa"/>
            <w:vMerge w:val="continue"/>
            <w:vAlign w:val="center"/>
          </w:tcPr>
          <w:p>
            <w:pPr>
              <w:adjustRightInd w:val="0"/>
              <w:snapToGrid w:val="0"/>
              <w:jc w:val="center"/>
              <w:rPr>
                <w:szCs w:val="21"/>
              </w:rPr>
            </w:pPr>
          </w:p>
        </w:tc>
        <w:tc>
          <w:tcPr>
            <w:tcW w:w="1189" w:type="dxa"/>
            <w:vAlign w:val="center"/>
          </w:tcPr>
          <w:p>
            <w:pPr>
              <w:adjustRightInd w:val="0"/>
              <w:snapToGrid w:val="0"/>
              <w:jc w:val="center"/>
              <w:rPr>
                <w:szCs w:val="21"/>
              </w:rPr>
            </w:pPr>
            <w:r>
              <w:rPr>
                <w:rFonts w:hint="eastAsia"/>
                <w:szCs w:val="21"/>
              </w:rPr>
              <w:t>动植物油</w:t>
            </w:r>
          </w:p>
        </w:tc>
        <w:tc>
          <w:tcPr>
            <w:tcW w:w="1935" w:type="dxa"/>
            <w:vMerge w:val="continue"/>
            <w:vAlign w:val="center"/>
          </w:tcPr>
          <w:p>
            <w:pPr>
              <w:adjustRightInd w:val="0"/>
              <w:snapToGrid w:val="0"/>
              <w:jc w:val="center"/>
              <w:rPr>
                <w:szCs w:val="21"/>
              </w:rPr>
            </w:pP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90" w:hRule="atLeast"/>
          <w:jc w:val="center"/>
        </w:trPr>
        <w:tc>
          <w:tcPr>
            <w:tcW w:w="1778" w:type="dxa"/>
            <w:vMerge w:val="continue"/>
            <w:vAlign w:val="center"/>
          </w:tcPr>
          <w:p>
            <w:pPr>
              <w:adjustRightInd w:val="0"/>
              <w:snapToGrid w:val="0"/>
              <w:jc w:val="center"/>
              <w:rPr>
                <w:szCs w:val="21"/>
              </w:rPr>
            </w:pPr>
          </w:p>
        </w:tc>
        <w:tc>
          <w:tcPr>
            <w:tcW w:w="1077" w:type="dxa"/>
            <w:vMerge w:val="restart"/>
            <w:vAlign w:val="center"/>
          </w:tcPr>
          <w:p>
            <w:pPr>
              <w:adjustRightInd w:val="0"/>
              <w:snapToGrid w:val="0"/>
              <w:jc w:val="center"/>
              <w:rPr>
                <w:szCs w:val="21"/>
              </w:rPr>
            </w:pPr>
            <w:r>
              <w:rPr>
                <w:rFonts w:hint="eastAsia"/>
                <w:szCs w:val="21"/>
              </w:rPr>
              <w:t>地面、车辆冲洗废水</w:t>
            </w:r>
          </w:p>
        </w:tc>
        <w:tc>
          <w:tcPr>
            <w:tcW w:w="1189" w:type="dxa"/>
            <w:vAlign w:val="center"/>
          </w:tcPr>
          <w:p>
            <w:pPr>
              <w:adjustRightInd w:val="0"/>
              <w:snapToGrid w:val="0"/>
              <w:jc w:val="center"/>
              <w:rPr>
                <w:szCs w:val="21"/>
              </w:rPr>
            </w:pPr>
            <w:r>
              <w:rPr>
                <w:szCs w:val="21"/>
              </w:rPr>
              <w:t>COD</w:t>
            </w:r>
            <w:r>
              <w:rPr>
                <w:rFonts w:hint="eastAsia"/>
                <w:szCs w:val="21"/>
                <w:vertAlign w:val="subscript"/>
              </w:rPr>
              <w:t>Cr</w:t>
            </w:r>
          </w:p>
        </w:tc>
        <w:tc>
          <w:tcPr>
            <w:tcW w:w="1935" w:type="dxa"/>
            <w:vMerge w:val="restart"/>
            <w:vAlign w:val="center"/>
          </w:tcPr>
          <w:p>
            <w:pPr>
              <w:adjustRightInd w:val="0"/>
              <w:snapToGrid w:val="0"/>
              <w:jc w:val="center"/>
              <w:rPr>
                <w:szCs w:val="21"/>
              </w:rPr>
            </w:pPr>
            <w:r>
              <w:rPr>
                <w:rFonts w:hint="eastAsia"/>
                <w:szCs w:val="21"/>
              </w:rPr>
              <w:t>经隔油沉淀池处理后排入厂区</w:t>
            </w:r>
            <w:r>
              <w:rPr>
                <w:rFonts w:hint="eastAsia" w:hAnsi="宋体"/>
                <w:snapToGrid w:val="0"/>
                <w:kern w:val="0"/>
                <w:szCs w:val="21"/>
                <w:lang w:val="en-US" w:eastAsia="zh-CN"/>
              </w:rPr>
              <w:t>地埋式一体化污水处理设施，经处理后用于厂区及周边绿化带绿化</w:t>
            </w: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90" w:hRule="atLeast"/>
          <w:jc w:val="center"/>
        </w:trPr>
        <w:tc>
          <w:tcPr>
            <w:tcW w:w="1778" w:type="dxa"/>
            <w:vMerge w:val="continue"/>
            <w:vAlign w:val="center"/>
          </w:tcPr>
          <w:p>
            <w:pPr>
              <w:adjustRightInd w:val="0"/>
              <w:snapToGrid w:val="0"/>
              <w:jc w:val="center"/>
              <w:rPr>
                <w:szCs w:val="21"/>
              </w:rPr>
            </w:pPr>
          </w:p>
        </w:tc>
        <w:tc>
          <w:tcPr>
            <w:tcW w:w="1077" w:type="dxa"/>
            <w:vMerge w:val="continue"/>
            <w:vAlign w:val="center"/>
          </w:tcPr>
          <w:p>
            <w:pPr>
              <w:adjustRightInd w:val="0"/>
              <w:snapToGrid w:val="0"/>
              <w:jc w:val="center"/>
              <w:rPr>
                <w:szCs w:val="21"/>
              </w:rPr>
            </w:pPr>
          </w:p>
        </w:tc>
        <w:tc>
          <w:tcPr>
            <w:tcW w:w="1189" w:type="dxa"/>
            <w:vAlign w:val="center"/>
          </w:tcPr>
          <w:p>
            <w:pPr>
              <w:adjustRightInd w:val="0"/>
              <w:snapToGrid w:val="0"/>
              <w:jc w:val="center"/>
              <w:rPr>
                <w:szCs w:val="21"/>
              </w:rPr>
            </w:pPr>
            <w:r>
              <w:rPr>
                <w:szCs w:val="21"/>
              </w:rPr>
              <w:t>BOD</w:t>
            </w:r>
            <w:r>
              <w:rPr>
                <w:szCs w:val="21"/>
                <w:vertAlign w:val="subscript"/>
              </w:rPr>
              <w:t>5</w:t>
            </w:r>
          </w:p>
        </w:tc>
        <w:tc>
          <w:tcPr>
            <w:tcW w:w="1935" w:type="dxa"/>
            <w:vMerge w:val="continue"/>
            <w:vAlign w:val="center"/>
          </w:tcPr>
          <w:p>
            <w:pPr>
              <w:adjustRightInd w:val="0"/>
              <w:snapToGrid w:val="0"/>
              <w:jc w:val="center"/>
              <w:rPr>
                <w:szCs w:val="21"/>
              </w:rPr>
            </w:pP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90" w:hRule="atLeast"/>
          <w:jc w:val="center"/>
        </w:trPr>
        <w:tc>
          <w:tcPr>
            <w:tcW w:w="1778" w:type="dxa"/>
            <w:vMerge w:val="continue"/>
            <w:vAlign w:val="center"/>
          </w:tcPr>
          <w:p>
            <w:pPr>
              <w:adjustRightInd w:val="0"/>
              <w:snapToGrid w:val="0"/>
              <w:jc w:val="center"/>
              <w:rPr>
                <w:szCs w:val="21"/>
              </w:rPr>
            </w:pPr>
          </w:p>
        </w:tc>
        <w:tc>
          <w:tcPr>
            <w:tcW w:w="1077" w:type="dxa"/>
            <w:vMerge w:val="continue"/>
            <w:vAlign w:val="center"/>
          </w:tcPr>
          <w:p>
            <w:pPr>
              <w:adjustRightInd w:val="0"/>
              <w:snapToGrid w:val="0"/>
              <w:jc w:val="center"/>
              <w:rPr>
                <w:szCs w:val="21"/>
              </w:rPr>
            </w:pPr>
          </w:p>
        </w:tc>
        <w:tc>
          <w:tcPr>
            <w:tcW w:w="1189" w:type="dxa"/>
            <w:vAlign w:val="center"/>
          </w:tcPr>
          <w:p>
            <w:pPr>
              <w:adjustRightInd w:val="0"/>
              <w:snapToGrid w:val="0"/>
              <w:jc w:val="center"/>
              <w:rPr>
                <w:szCs w:val="21"/>
              </w:rPr>
            </w:pPr>
            <w:r>
              <w:rPr>
                <w:rFonts w:hint="eastAsia"/>
                <w:szCs w:val="21"/>
              </w:rPr>
              <w:t>SS</w:t>
            </w:r>
          </w:p>
        </w:tc>
        <w:tc>
          <w:tcPr>
            <w:tcW w:w="1935" w:type="dxa"/>
            <w:vMerge w:val="continue"/>
            <w:vAlign w:val="center"/>
          </w:tcPr>
          <w:p>
            <w:pPr>
              <w:adjustRightInd w:val="0"/>
              <w:snapToGrid w:val="0"/>
              <w:jc w:val="center"/>
              <w:rPr>
                <w:szCs w:val="21"/>
              </w:rPr>
            </w:pP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90" w:hRule="atLeast"/>
          <w:jc w:val="center"/>
        </w:trPr>
        <w:tc>
          <w:tcPr>
            <w:tcW w:w="1778" w:type="dxa"/>
            <w:vMerge w:val="continue"/>
            <w:vAlign w:val="center"/>
          </w:tcPr>
          <w:p>
            <w:pPr>
              <w:adjustRightInd w:val="0"/>
              <w:snapToGrid w:val="0"/>
              <w:jc w:val="center"/>
              <w:rPr>
                <w:szCs w:val="21"/>
              </w:rPr>
            </w:pPr>
          </w:p>
        </w:tc>
        <w:tc>
          <w:tcPr>
            <w:tcW w:w="1077" w:type="dxa"/>
            <w:vMerge w:val="continue"/>
            <w:vAlign w:val="center"/>
          </w:tcPr>
          <w:p>
            <w:pPr>
              <w:adjustRightInd w:val="0"/>
              <w:snapToGrid w:val="0"/>
              <w:jc w:val="center"/>
              <w:rPr>
                <w:szCs w:val="21"/>
              </w:rPr>
            </w:pPr>
          </w:p>
        </w:tc>
        <w:tc>
          <w:tcPr>
            <w:tcW w:w="1189" w:type="dxa"/>
            <w:vAlign w:val="center"/>
          </w:tcPr>
          <w:p>
            <w:pPr>
              <w:adjustRightInd w:val="0"/>
              <w:snapToGrid w:val="0"/>
              <w:jc w:val="center"/>
              <w:rPr>
                <w:szCs w:val="21"/>
              </w:rPr>
            </w:pPr>
            <w:r>
              <w:rPr>
                <w:rFonts w:hint="eastAsia"/>
                <w:szCs w:val="21"/>
              </w:rPr>
              <w:t>石油类</w:t>
            </w:r>
          </w:p>
        </w:tc>
        <w:tc>
          <w:tcPr>
            <w:tcW w:w="1935" w:type="dxa"/>
            <w:vMerge w:val="continue"/>
            <w:vAlign w:val="center"/>
          </w:tcPr>
          <w:p>
            <w:pPr>
              <w:adjustRightInd w:val="0"/>
              <w:snapToGrid w:val="0"/>
              <w:jc w:val="center"/>
              <w:rPr>
                <w:szCs w:val="21"/>
              </w:rPr>
            </w:pP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367" w:hRule="atLeast"/>
          <w:jc w:val="center"/>
        </w:trPr>
        <w:tc>
          <w:tcPr>
            <w:tcW w:w="1778" w:type="dxa"/>
            <w:vMerge w:val="restart"/>
            <w:vAlign w:val="center"/>
          </w:tcPr>
          <w:p>
            <w:pPr>
              <w:adjustRightInd w:val="0"/>
              <w:snapToGrid w:val="0"/>
              <w:jc w:val="center"/>
              <w:rPr>
                <w:szCs w:val="21"/>
              </w:rPr>
            </w:pPr>
            <w:r>
              <w:rPr>
                <w:szCs w:val="21"/>
              </w:rPr>
              <w:t>声环境</w:t>
            </w:r>
          </w:p>
        </w:tc>
        <w:tc>
          <w:tcPr>
            <w:tcW w:w="1077" w:type="dxa"/>
            <w:vAlign w:val="center"/>
          </w:tcPr>
          <w:p>
            <w:pPr>
              <w:adjustRightInd w:val="0"/>
              <w:snapToGrid w:val="0"/>
              <w:jc w:val="center"/>
              <w:rPr>
                <w:szCs w:val="21"/>
              </w:rPr>
            </w:pPr>
            <w:r>
              <w:rPr>
                <w:rFonts w:hint="eastAsia"/>
                <w:szCs w:val="21"/>
              </w:rPr>
              <w:t>柴油输送泵</w:t>
            </w:r>
          </w:p>
        </w:tc>
        <w:tc>
          <w:tcPr>
            <w:tcW w:w="1189" w:type="dxa"/>
            <w:vMerge w:val="restart"/>
            <w:vAlign w:val="center"/>
          </w:tcPr>
          <w:p>
            <w:pPr>
              <w:adjustRightInd w:val="0"/>
              <w:snapToGrid w:val="0"/>
              <w:jc w:val="center"/>
              <w:rPr>
                <w:szCs w:val="21"/>
              </w:rPr>
            </w:pPr>
            <w:r>
              <w:rPr>
                <w:rFonts w:hint="eastAsia"/>
                <w:szCs w:val="21"/>
              </w:rPr>
              <w:t>噪声</w:t>
            </w:r>
          </w:p>
        </w:tc>
        <w:tc>
          <w:tcPr>
            <w:tcW w:w="1935" w:type="dxa"/>
            <w:vMerge w:val="restart"/>
            <w:vAlign w:val="center"/>
          </w:tcPr>
          <w:p>
            <w:pPr>
              <w:adjustRightInd w:val="0"/>
              <w:snapToGrid w:val="0"/>
              <w:jc w:val="center"/>
              <w:rPr>
                <w:szCs w:val="21"/>
              </w:rPr>
            </w:pPr>
            <w:r>
              <w:rPr>
                <w:szCs w:val="21"/>
              </w:rPr>
              <w:t>橡胶减震接头、减震垫、消声、隔声门窗、选用低噪声</w:t>
            </w:r>
            <w:r>
              <w:rPr>
                <w:rFonts w:hint="eastAsia"/>
                <w:szCs w:val="21"/>
              </w:rPr>
              <w:t>设备</w:t>
            </w:r>
          </w:p>
        </w:tc>
        <w:tc>
          <w:tcPr>
            <w:tcW w:w="2898" w:type="dxa"/>
            <w:vMerge w:val="restart"/>
            <w:vAlign w:val="center"/>
          </w:tcPr>
          <w:p>
            <w:pPr>
              <w:adjustRightInd w:val="0"/>
              <w:snapToGrid w:val="0"/>
              <w:jc w:val="center"/>
              <w:rPr>
                <w:szCs w:val="21"/>
              </w:rPr>
            </w:pPr>
            <w:r>
              <w:rPr>
                <w:rFonts w:hAnsi="宋体"/>
                <w:szCs w:val="21"/>
              </w:rPr>
              <w:t>达到《工业企业厂界环境噪声排放标准（</w:t>
            </w:r>
            <w:r>
              <w:rPr>
                <w:szCs w:val="21"/>
              </w:rPr>
              <w:t>GB12348-2008</w:t>
            </w:r>
            <w:r>
              <w:rPr>
                <w:rFonts w:hAnsi="宋体"/>
                <w:szCs w:val="21"/>
              </w:rPr>
              <w:t>）》中</w:t>
            </w:r>
            <w:r>
              <w:rPr>
                <w:rFonts w:hint="eastAsia" w:hAnsi="宋体"/>
                <w:szCs w:val="21"/>
                <w:lang w:val="en-US" w:eastAsia="zh-CN"/>
              </w:rPr>
              <w:t>2</w:t>
            </w:r>
            <w:r>
              <w:rPr>
                <w:rFonts w:hAnsi="宋体"/>
                <w:szCs w:val="21"/>
              </w:rPr>
              <w:t>类标准限值中昼间</w:t>
            </w:r>
            <w:r>
              <w:rPr>
                <w:szCs w:val="21"/>
              </w:rPr>
              <w:t>≤6</w:t>
            </w:r>
            <w:r>
              <w:rPr>
                <w:rFonts w:hint="eastAsia"/>
                <w:szCs w:val="21"/>
                <w:lang w:val="en-US" w:eastAsia="zh-CN"/>
              </w:rPr>
              <w:t>0</w:t>
            </w:r>
            <w:r>
              <w:rPr>
                <w:szCs w:val="21"/>
              </w:rPr>
              <w:t>dB(A)</w:t>
            </w:r>
            <w:r>
              <w:rPr>
                <w:rFonts w:hAnsi="宋体"/>
                <w:szCs w:val="21"/>
              </w:rPr>
              <w:t>，夜间</w:t>
            </w:r>
            <w:r>
              <w:rPr>
                <w:szCs w:val="21"/>
              </w:rPr>
              <w:t>≤5</w:t>
            </w:r>
            <w:r>
              <w:rPr>
                <w:rFonts w:hint="eastAsia"/>
                <w:szCs w:val="21"/>
                <w:lang w:val="en-US" w:eastAsia="zh-CN"/>
              </w:rPr>
              <w:t>0</w:t>
            </w:r>
            <w:r>
              <w:rPr>
                <w:szCs w:val="21"/>
              </w:rPr>
              <w:t>dB(A)</w:t>
            </w:r>
            <w:r>
              <w:rPr>
                <w:rFonts w:hint="eastAsia"/>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322" w:hRule="atLeast"/>
          <w:jc w:val="center"/>
        </w:trPr>
        <w:tc>
          <w:tcPr>
            <w:tcW w:w="1778" w:type="dxa"/>
            <w:vMerge w:val="continue"/>
            <w:vAlign w:val="center"/>
          </w:tcPr>
          <w:p>
            <w:pPr>
              <w:adjustRightInd w:val="0"/>
              <w:snapToGrid w:val="0"/>
              <w:jc w:val="center"/>
            </w:pPr>
          </w:p>
        </w:tc>
        <w:tc>
          <w:tcPr>
            <w:tcW w:w="1077" w:type="dxa"/>
            <w:vAlign w:val="center"/>
          </w:tcPr>
          <w:p>
            <w:pPr>
              <w:adjustRightInd w:val="0"/>
              <w:snapToGrid w:val="0"/>
              <w:jc w:val="center"/>
              <w:rPr>
                <w:szCs w:val="21"/>
              </w:rPr>
            </w:pPr>
            <w:r>
              <w:rPr>
                <w:rFonts w:hint="eastAsia"/>
                <w:szCs w:val="21"/>
              </w:rPr>
              <w:t>混装车</w:t>
            </w:r>
          </w:p>
        </w:tc>
        <w:tc>
          <w:tcPr>
            <w:tcW w:w="1189" w:type="dxa"/>
            <w:vMerge w:val="continue"/>
            <w:vAlign w:val="center"/>
          </w:tcPr>
          <w:p>
            <w:pPr>
              <w:adjustRightInd w:val="0"/>
              <w:snapToGrid w:val="0"/>
              <w:jc w:val="center"/>
              <w:rPr>
                <w:szCs w:val="21"/>
              </w:rPr>
            </w:pPr>
          </w:p>
        </w:tc>
        <w:tc>
          <w:tcPr>
            <w:tcW w:w="1935" w:type="dxa"/>
            <w:vMerge w:val="continue"/>
            <w:vAlign w:val="center"/>
          </w:tcPr>
          <w:p>
            <w:pPr>
              <w:adjustRightInd w:val="0"/>
              <w:snapToGrid w:val="0"/>
              <w:jc w:val="center"/>
              <w:rPr>
                <w:szCs w:val="21"/>
              </w:rPr>
            </w:pP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778" w:type="dxa"/>
            <w:vMerge w:val="continue"/>
            <w:vAlign w:val="center"/>
          </w:tcPr>
          <w:p>
            <w:pPr>
              <w:adjustRightInd w:val="0"/>
              <w:snapToGrid w:val="0"/>
              <w:jc w:val="center"/>
              <w:rPr>
                <w:szCs w:val="21"/>
              </w:rPr>
            </w:pPr>
          </w:p>
        </w:tc>
        <w:tc>
          <w:tcPr>
            <w:tcW w:w="1077" w:type="dxa"/>
            <w:vAlign w:val="center"/>
          </w:tcPr>
          <w:p>
            <w:pPr>
              <w:adjustRightInd w:val="0"/>
              <w:snapToGrid w:val="0"/>
              <w:jc w:val="center"/>
              <w:rPr>
                <w:szCs w:val="21"/>
              </w:rPr>
            </w:pPr>
            <w:r>
              <w:rPr>
                <w:rFonts w:hint="eastAsia"/>
                <w:szCs w:val="21"/>
              </w:rPr>
              <w:t>提升机</w:t>
            </w:r>
          </w:p>
        </w:tc>
        <w:tc>
          <w:tcPr>
            <w:tcW w:w="1189" w:type="dxa"/>
            <w:vMerge w:val="continue"/>
            <w:vAlign w:val="center"/>
          </w:tcPr>
          <w:p>
            <w:pPr>
              <w:adjustRightInd w:val="0"/>
              <w:snapToGrid w:val="0"/>
              <w:jc w:val="center"/>
              <w:rPr>
                <w:szCs w:val="21"/>
              </w:rPr>
            </w:pPr>
          </w:p>
        </w:tc>
        <w:tc>
          <w:tcPr>
            <w:tcW w:w="1935" w:type="dxa"/>
            <w:vMerge w:val="continue"/>
            <w:vAlign w:val="center"/>
          </w:tcPr>
          <w:p>
            <w:pPr>
              <w:adjustRightInd w:val="0"/>
              <w:snapToGrid w:val="0"/>
              <w:jc w:val="center"/>
              <w:rPr>
                <w:szCs w:val="21"/>
              </w:rPr>
            </w:pP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778" w:type="dxa"/>
            <w:vAlign w:val="center"/>
          </w:tcPr>
          <w:p>
            <w:pPr>
              <w:adjustRightInd w:val="0"/>
              <w:snapToGrid w:val="0"/>
              <w:jc w:val="center"/>
              <w:rPr>
                <w:szCs w:val="21"/>
              </w:rPr>
            </w:pPr>
            <w:r>
              <w:rPr>
                <w:szCs w:val="21"/>
              </w:rPr>
              <w:t>电磁辐射</w:t>
            </w:r>
          </w:p>
        </w:tc>
        <w:tc>
          <w:tcPr>
            <w:tcW w:w="7120" w:type="dxa"/>
            <w:gridSpan w:val="5"/>
            <w:vAlign w:val="center"/>
          </w:tcPr>
          <w:p>
            <w:pPr>
              <w:adjustRightInd w:val="0"/>
              <w:snapToGrid w:val="0"/>
              <w:jc w:val="center"/>
              <w:rPr>
                <w:szCs w:val="21"/>
              </w:rPr>
            </w:pPr>
            <w:r>
              <w:rPr>
                <w:rFonts w:hint="eastAsia"/>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778" w:type="dxa"/>
            <w:vMerge w:val="restart"/>
            <w:vAlign w:val="center"/>
          </w:tcPr>
          <w:p>
            <w:pPr>
              <w:adjustRightInd w:val="0"/>
              <w:snapToGrid w:val="0"/>
              <w:jc w:val="center"/>
              <w:rPr>
                <w:szCs w:val="21"/>
              </w:rPr>
            </w:pPr>
            <w:r>
              <w:rPr>
                <w:szCs w:val="21"/>
              </w:rPr>
              <w:t>固体废物</w:t>
            </w:r>
          </w:p>
        </w:tc>
        <w:tc>
          <w:tcPr>
            <w:tcW w:w="1077" w:type="dxa"/>
            <w:vAlign w:val="center"/>
          </w:tcPr>
          <w:p>
            <w:pPr>
              <w:adjustRightInd w:val="0"/>
              <w:snapToGrid w:val="0"/>
              <w:jc w:val="center"/>
              <w:rPr>
                <w:szCs w:val="21"/>
              </w:rPr>
            </w:pPr>
            <w:r>
              <w:rPr>
                <w:rFonts w:hint="eastAsia"/>
                <w:szCs w:val="21"/>
              </w:rPr>
              <w:t>生产</w:t>
            </w:r>
          </w:p>
        </w:tc>
        <w:tc>
          <w:tcPr>
            <w:tcW w:w="1189" w:type="dxa"/>
            <w:vAlign w:val="center"/>
          </w:tcPr>
          <w:p>
            <w:pPr>
              <w:adjustRightInd w:val="0"/>
              <w:snapToGrid w:val="0"/>
              <w:jc w:val="center"/>
              <w:rPr>
                <w:szCs w:val="21"/>
              </w:rPr>
            </w:pPr>
            <w:r>
              <w:rPr>
                <w:rFonts w:hint="eastAsia"/>
                <w:szCs w:val="21"/>
              </w:rPr>
              <w:t>废包装袋</w:t>
            </w:r>
          </w:p>
        </w:tc>
        <w:tc>
          <w:tcPr>
            <w:tcW w:w="1935" w:type="dxa"/>
            <w:vAlign w:val="center"/>
          </w:tcPr>
          <w:p>
            <w:pPr>
              <w:adjustRightInd w:val="0"/>
              <w:snapToGrid w:val="0"/>
              <w:jc w:val="center"/>
              <w:rPr>
                <w:szCs w:val="21"/>
              </w:rPr>
            </w:pPr>
            <w:r>
              <w:rPr>
                <w:rFonts w:hint="eastAsia"/>
                <w:szCs w:val="21"/>
              </w:rPr>
              <w:t>厂家回收</w:t>
            </w:r>
          </w:p>
        </w:tc>
        <w:tc>
          <w:tcPr>
            <w:tcW w:w="2898" w:type="dxa"/>
            <w:vAlign w:val="center"/>
          </w:tcPr>
          <w:p>
            <w:pPr>
              <w:adjustRightInd w:val="0"/>
              <w:snapToGrid w:val="0"/>
              <w:jc w:val="center"/>
              <w:rPr>
                <w:szCs w:val="21"/>
              </w:rPr>
            </w:pPr>
            <w:r>
              <w:rPr>
                <w:rFonts w:hint="eastAsia"/>
                <w:szCs w:val="21"/>
              </w:rPr>
              <w:t>《一般工业固体废物贮存和填埋污染控制标准》（GB18599-2020）；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778" w:type="dxa"/>
            <w:vMerge w:val="continue"/>
            <w:vAlign w:val="center"/>
          </w:tcPr>
          <w:p>
            <w:pPr>
              <w:adjustRightInd w:val="0"/>
              <w:snapToGrid w:val="0"/>
              <w:jc w:val="center"/>
              <w:rPr>
                <w:szCs w:val="21"/>
              </w:rPr>
            </w:pPr>
          </w:p>
        </w:tc>
        <w:tc>
          <w:tcPr>
            <w:tcW w:w="1077" w:type="dxa"/>
            <w:vAlign w:val="center"/>
          </w:tcPr>
          <w:p>
            <w:pPr>
              <w:adjustRightInd w:val="0"/>
              <w:snapToGrid w:val="0"/>
              <w:jc w:val="center"/>
              <w:rPr>
                <w:szCs w:val="21"/>
              </w:rPr>
            </w:pPr>
            <w:r>
              <w:rPr>
                <w:rFonts w:hint="eastAsia"/>
                <w:szCs w:val="21"/>
              </w:rPr>
              <w:t>生活</w:t>
            </w:r>
          </w:p>
        </w:tc>
        <w:tc>
          <w:tcPr>
            <w:tcW w:w="1189" w:type="dxa"/>
            <w:vAlign w:val="center"/>
          </w:tcPr>
          <w:p>
            <w:pPr>
              <w:adjustRightInd w:val="0"/>
              <w:snapToGrid w:val="0"/>
              <w:jc w:val="center"/>
              <w:rPr>
                <w:szCs w:val="21"/>
              </w:rPr>
            </w:pPr>
            <w:r>
              <w:rPr>
                <w:rFonts w:hint="eastAsia"/>
                <w:szCs w:val="21"/>
              </w:rPr>
              <w:t>生活垃圾</w:t>
            </w:r>
          </w:p>
        </w:tc>
        <w:tc>
          <w:tcPr>
            <w:tcW w:w="1935" w:type="dxa"/>
            <w:vAlign w:val="center"/>
          </w:tcPr>
          <w:p>
            <w:pPr>
              <w:adjustRightInd w:val="0"/>
              <w:snapToGrid w:val="0"/>
              <w:jc w:val="center"/>
              <w:rPr>
                <w:szCs w:val="21"/>
              </w:rPr>
            </w:pPr>
            <w:r>
              <w:rPr>
                <w:rFonts w:hint="eastAsia"/>
                <w:szCs w:val="21"/>
              </w:rPr>
              <w:t>集中收集后交由环卫部门统一处置</w:t>
            </w:r>
          </w:p>
        </w:tc>
        <w:tc>
          <w:tcPr>
            <w:tcW w:w="2898" w:type="dxa"/>
            <w:vMerge w:val="restart"/>
            <w:vAlign w:val="center"/>
          </w:tcPr>
          <w:p>
            <w:pPr>
              <w:adjustRightInd w:val="0"/>
              <w:snapToGrid w:val="0"/>
              <w:jc w:val="center"/>
              <w:rPr>
                <w:szCs w:val="21"/>
              </w:rPr>
            </w:pPr>
            <w:r>
              <w:rPr>
                <w:rFonts w:hint="eastAsia"/>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778" w:type="dxa"/>
            <w:vMerge w:val="continue"/>
            <w:vAlign w:val="center"/>
          </w:tcPr>
          <w:p>
            <w:pPr>
              <w:adjustRightInd w:val="0"/>
              <w:snapToGrid w:val="0"/>
              <w:jc w:val="center"/>
              <w:rPr>
                <w:szCs w:val="21"/>
              </w:rPr>
            </w:pPr>
          </w:p>
        </w:tc>
        <w:tc>
          <w:tcPr>
            <w:tcW w:w="1077" w:type="dxa"/>
            <w:vAlign w:val="center"/>
          </w:tcPr>
          <w:p>
            <w:pPr>
              <w:adjustRightInd w:val="0"/>
              <w:snapToGrid w:val="0"/>
              <w:jc w:val="center"/>
              <w:rPr>
                <w:szCs w:val="21"/>
              </w:rPr>
            </w:pPr>
            <w:r>
              <w:rPr>
                <w:rFonts w:hint="eastAsia"/>
                <w:szCs w:val="21"/>
              </w:rPr>
              <w:t>烹饪</w:t>
            </w:r>
          </w:p>
        </w:tc>
        <w:tc>
          <w:tcPr>
            <w:tcW w:w="1189" w:type="dxa"/>
            <w:vAlign w:val="center"/>
          </w:tcPr>
          <w:p>
            <w:pPr>
              <w:adjustRightInd w:val="0"/>
              <w:snapToGrid w:val="0"/>
              <w:jc w:val="center"/>
              <w:rPr>
                <w:szCs w:val="21"/>
              </w:rPr>
            </w:pPr>
            <w:r>
              <w:rPr>
                <w:rFonts w:hint="eastAsia"/>
                <w:szCs w:val="21"/>
              </w:rPr>
              <w:t>厨余垃圾</w:t>
            </w:r>
          </w:p>
        </w:tc>
        <w:tc>
          <w:tcPr>
            <w:tcW w:w="1935" w:type="dxa"/>
            <w:vAlign w:val="center"/>
          </w:tcPr>
          <w:p>
            <w:pPr>
              <w:adjustRightInd w:val="0"/>
              <w:snapToGrid w:val="0"/>
              <w:jc w:val="center"/>
              <w:rPr>
                <w:szCs w:val="21"/>
              </w:rPr>
            </w:pPr>
            <w:r>
              <w:rPr>
                <w:rFonts w:hint="eastAsia"/>
                <w:szCs w:val="21"/>
              </w:rPr>
              <w:t>集中收集交由厨余垃圾处理单位统一处置</w:t>
            </w: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372" w:hRule="atLeast"/>
          <w:jc w:val="center"/>
        </w:trPr>
        <w:tc>
          <w:tcPr>
            <w:tcW w:w="1778" w:type="dxa"/>
            <w:vMerge w:val="continue"/>
            <w:vAlign w:val="center"/>
          </w:tcPr>
          <w:p>
            <w:pPr>
              <w:adjustRightInd w:val="0"/>
              <w:snapToGrid w:val="0"/>
              <w:jc w:val="center"/>
              <w:rPr>
                <w:szCs w:val="21"/>
              </w:rPr>
            </w:pPr>
          </w:p>
        </w:tc>
        <w:tc>
          <w:tcPr>
            <w:tcW w:w="1077" w:type="dxa"/>
            <w:vMerge w:val="restart"/>
            <w:vAlign w:val="center"/>
          </w:tcPr>
          <w:p>
            <w:pPr>
              <w:adjustRightInd w:val="0"/>
              <w:snapToGrid w:val="0"/>
              <w:jc w:val="center"/>
              <w:rPr>
                <w:szCs w:val="21"/>
              </w:rPr>
            </w:pPr>
            <w:r>
              <w:rPr>
                <w:rFonts w:hint="eastAsia"/>
                <w:szCs w:val="21"/>
              </w:rPr>
              <w:t>危险废物</w:t>
            </w:r>
          </w:p>
        </w:tc>
        <w:tc>
          <w:tcPr>
            <w:tcW w:w="1189" w:type="dxa"/>
            <w:vAlign w:val="center"/>
          </w:tcPr>
          <w:p>
            <w:pPr>
              <w:adjustRightInd w:val="0"/>
              <w:snapToGrid w:val="0"/>
              <w:jc w:val="center"/>
              <w:rPr>
                <w:szCs w:val="21"/>
              </w:rPr>
            </w:pPr>
            <w:r>
              <w:rPr>
                <w:rFonts w:hint="eastAsia"/>
                <w:szCs w:val="21"/>
              </w:rPr>
              <w:t>废机油</w:t>
            </w:r>
          </w:p>
        </w:tc>
        <w:tc>
          <w:tcPr>
            <w:tcW w:w="1935" w:type="dxa"/>
            <w:vMerge w:val="restart"/>
            <w:vAlign w:val="center"/>
          </w:tcPr>
          <w:p>
            <w:pPr>
              <w:adjustRightInd w:val="0"/>
              <w:snapToGrid w:val="0"/>
              <w:jc w:val="center"/>
              <w:rPr>
                <w:szCs w:val="21"/>
              </w:rPr>
            </w:pPr>
            <w:r>
              <w:rPr>
                <w:rFonts w:hint="eastAsia"/>
                <w:szCs w:val="21"/>
              </w:rPr>
              <w:t>暂存危废暂存间，委托具有处理资质的单位处理</w:t>
            </w:r>
          </w:p>
        </w:tc>
        <w:tc>
          <w:tcPr>
            <w:tcW w:w="2898" w:type="dxa"/>
            <w:vMerge w:val="restart"/>
            <w:vAlign w:val="center"/>
          </w:tcPr>
          <w:p>
            <w:pPr>
              <w:adjustRightInd w:val="0"/>
              <w:snapToGrid w:val="0"/>
              <w:jc w:val="center"/>
              <w:rPr>
                <w:szCs w:val="21"/>
              </w:rPr>
            </w:pPr>
            <w:r>
              <w:rPr>
                <w:szCs w:val="21"/>
              </w:rPr>
              <w:t>《危险废物贮存污染控制标准》（GB18597-2001）及其</w:t>
            </w:r>
            <w:r>
              <w:rPr>
                <w:rFonts w:hint="eastAsia"/>
                <w:szCs w:val="21"/>
              </w:rPr>
              <w:t>2</w:t>
            </w:r>
            <w:r>
              <w:rPr>
                <w:szCs w:val="21"/>
              </w:rPr>
              <w:t>013</w:t>
            </w:r>
            <w:r>
              <w:rPr>
                <w:rFonts w:hint="eastAsia"/>
                <w:szCs w:val="21"/>
              </w:rPr>
              <w:t>年</w:t>
            </w:r>
            <w:r>
              <w:rPr>
                <w:szCs w:val="21"/>
              </w:rPr>
              <w:t>修改单</w:t>
            </w:r>
            <w:r>
              <w:rPr>
                <w:rFonts w:hint="eastAsia"/>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778" w:type="dxa"/>
            <w:vMerge w:val="continue"/>
            <w:vAlign w:val="center"/>
          </w:tcPr>
          <w:p>
            <w:pPr>
              <w:adjustRightInd w:val="0"/>
              <w:snapToGrid w:val="0"/>
              <w:jc w:val="center"/>
              <w:rPr>
                <w:szCs w:val="21"/>
              </w:rPr>
            </w:pPr>
          </w:p>
        </w:tc>
        <w:tc>
          <w:tcPr>
            <w:tcW w:w="1077" w:type="dxa"/>
            <w:vMerge w:val="continue"/>
            <w:vAlign w:val="center"/>
          </w:tcPr>
          <w:p>
            <w:pPr>
              <w:adjustRightInd w:val="0"/>
              <w:snapToGrid w:val="0"/>
              <w:jc w:val="center"/>
              <w:rPr>
                <w:szCs w:val="21"/>
              </w:rPr>
            </w:pPr>
          </w:p>
        </w:tc>
        <w:tc>
          <w:tcPr>
            <w:tcW w:w="1189" w:type="dxa"/>
            <w:vAlign w:val="center"/>
          </w:tcPr>
          <w:p>
            <w:pPr>
              <w:adjustRightInd w:val="0"/>
              <w:snapToGrid w:val="0"/>
              <w:jc w:val="center"/>
              <w:rPr>
                <w:szCs w:val="21"/>
              </w:rPr>
            </w:pPr>
            <w:r>
              <w:rPr>
                <w:rFonts w:hint="eastAsia"/>
                <w:szCs w:val="21"/>
              </w:rPr>
              <w:t>浮油渣</w:t>
            </w:r>
          </w:p>
        </w:tc>
        <w:tc>
          <w:tcPr>
            <w:tcW w:w="1935" w:type="dxa"/>
            <w:vMerge w:val="continue"/>
            <w:vAlign w:val="center"/>
          </w:tcPr>
          <w:p>
            <w:pPr>
              <w:adjustRightInd w:val="0"/>
              <w:snapToGrid w:val="0"/>
              <w:jc w:val="center"/>
              <w:rPr>
                <w:szCs w:val="21"/>
              </w:rPr>
            </w:pP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778" w:type="dxa"/>
            <w:vMerge w:val="continue"/>
            <w:vAlign w:val="center"/>
          </w:tcPr>
          <w:p>
            <w:pPr>
              <w:adjustRightInd w:val="0"/>
              <w:snapToGrid w:val="0"/>
              <w:jc w:val="center"/>
              <w:rPr>
                <w:szCs w:val="21"/>
              </w:rPr>
            </w:pPr>
          </w:p>
        </w:tc>
        <w:tc>
          <w:tcPr>
            <w:tcW w:w="1077" w:type="dxa"/>
            <w:vMerge w:val="continue"/>
            <w:vAlign w:val="center"/>
          </w:tcPr>
          <w:p>
            <w:pPr>
              <w:adjustRightInd w:val="0"/>
              <w:snapToGrid w:val="0"/>
              <w:jc w:val="center"/>
              <w:rPr>
                <w:szCs w:val="21"/>
              </w:rPr>
            </w:pPr>
          </w:p>
        </w:tc>
        <w:tc>
          <w:tcPr>
            <w:tcW w:w="1189" w:type="dxa"/>
            <w:vAlign w:val="center"/>
          </w:tcPr>
          <w:p>
            <w:pPr>
              <w:adjustRightInd w:val="0"/>
              <w:snapToGrid w:val="0"/>
              <w:jc w:val="center"/>
              <w:rPr>
                <w:szCs w:val="21"/>
              </w:rPr>
            </w:pPr>
            <w:r>
              <w:rPr>
                <w:rFonts w:hint="eastAsia"/>
                <w:szCs w:val="21"/>
              </w:rPr>
              <w:t>油泥</w:t>
            </w:r>
          </w:p>
        </w:tc>
        <w:tc>
          <w:tcPr>
            <w:tcW w:w="1935" w:type="dxa"/>
            <w:vAlign w:val="center"/>
          </w:tcPr>
          <w:p>
            <w:pPr>
              <w:adjustRightInd w:val="0"/>
              <w:snapToGrid w:val="0"/>
              <w:jc w:val="center"/>
              <w:rPr>
                <w:szCs w:val="21"/>
              </w:rPr>
            </w:pPr>
            <w:r>
              <w:rPr>
                <w:rFonts w:hint="eastAsia"/>
                <w:szCs w:val="21"/>
              </w:rPr>
              <w:t>由有资质的单位定期清洗柴油储罐并对油泥进行处置</w:t>
            </w:r>
          </w:p>
        </w:tc>
        <w:tc>
          <w:tcPr>
            <w:tcW w:w="2898"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778" w:type="dxa"/>
            <w:vAlign w:val="center"/>
          </w:tcPr>
          <w:p>
            <w:pPr>
              <w:adjustRightInd w:val="0"/>
              <w:snapToGrid w:val="0"/>
              <w:jc w:val="center"/>
              <w:rPr>
                <w:szCs w:val="21"/>
              </w:rPr>
            </w:pPr>
            <w:r>
              <w:rPr>
                <w:szCs w:val="21"/>
              </w:rPr>
              <w:t>土壤及地下水</w:t>
            </w:r>
          </w:p>
          <w:p>
            <w:pPr>
              <w:adjustRightInd w:val="0"/>
              <w:snapToGrid w:val="0"/>
              <w:jc w:val="center"/>
              <w:rPr>
                <w:szCs w:val="21"/>
              </w:rPr>
            </w:pPr>
            <w:r>
              <w:rPr>
                <w:szCs w:val="21"/>
              </w:rPr>
              <w:t>污染防治措施</w:t>
            </w:r>
          </w:p>
        </w:tc>
        <w:tc>
          <w:tcPr>
            <w:tcW w:w="7120" w:type="dxa"/>
            <w:gridSpan w:val="5"/>
            <w:vAlign w:val="center"/>
          </w:tcPr>
          <w:p>
            <w:pPr>
              <w:adjustRightInd w:val="0"/>
              <w:snapToGrid w:val="0"/>
              <w:jc w:val="center"/>
              <w:rPr>
                <w:szCs w:val="21"/>
              </w:rPr>
            </w:pPr>
            <w:r>
              <w:rPr>
                <w:rFonts w:hint="eastAsia"/>
                <w:szCs w:val="21"/>
              </w:rPr>
              <w:t>本项目厂区道路、混装车维修间等按照一般防渗区要求防护，柴油储罐区、隔油沉淀池、危废暂存间、</w:t>
            </w:r>
            <w:r>
              <w:rPr>
                <w:rFonts w:hint="eastAsia"/>
                <w:szCs w:val="21"/>
                <w:lang w:val="en-US" w:eastAsia="zh-CN"/>
              </w:rPr>
              <w:t>污水处理设施区</w:t>
            </w:r>
            <w:r>
              <w:rPr>
                <w:rFonts w:hint="eastAsia"/>
                <w:szCs w:val="21"/>
              </w:rPr>
              <w:t>等按照重点防渗区要求防护，其他区域按照非防渗区要求防护；</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778" w:type="dxa"/>
            <w:vAlign w:val="center"/>
          </w:tcPr>
          <w:p>
            <w:pPr>
              <w:adjustRightInd w:val="0"/>
              <w:snapToGrid w:val="0"/>
              <w:jc w:val="center"/>
              <w:rPr>
                <w:szCs w:val="21"/>
              </w:rPr>
            </w:pPr>
            <w:r>
              <w:rPr>
                <w:szCs w:val="21"/>
              </w:rPr>
              <w:t>生态保护措施</w:t>
            </w:r>
          </w:p>
        </w:tc>
        <w:tc>
          <w:tcPr>
            <w:tcW w:w="7120" w:type="dxa"/>
            <w:gridSpan w:val="5"/>
            <w:vAlign w:val="center"/>
          </w:tcPr>
          <w:p>
            <w:pPr>
              <w:adjustRightInd w:val="0"/>
              <w:snapToGrid w:val="0"/>
              <w:jc w:val="center"/>
              <w:rPr>
                <w:szCs w:val="21"/>
              </w:rPr>
            </w:pPr>
            <w:r>
              <w:rPr>
                <w:rFonts w:hint="eastAsia"/>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778" w:type="dxa"/>
            <w:vAlign w:val="center"/>
          </w:tcPr>
          <w:p>
            <w:pPr>
              <w:adjustRightInd w:val="0"/>
              <w:snapToGrid w:val="0"/>
              <w:jc w:val="center"/>
              <w:rPr>
                <w:spacing w:val="-8"/>
                <w:szCs w:val="21"/>
              </w:rPr>
            </w:pPr>
            <w:r>
              <w:rPr>
                <w:spacing w:val="-8"/>
                <w:szCs w:val="21"/>
              </w:rPr>
              <w:t>环境风险</w:t>
            </w:r>
          </w:p>
          <w:p>
            <w:pPr>
              <w:adjustRightInd w:val="0"/>
              <w:snapToGrid w:val="0"/>
              <w:jc w:val="center"/>
              <w:rPr>
                <w:spacing w:val="-8"/>
                <w:szCs w:val="21"/>
              </w:rPr>
            </w:pPr>
            <w:r>
              <w:rPr>
                <w:spacing w:val="-8"/>
                <w:szCs w:val="21"/>
              </w:rPr>
              <w:t>防范措施</w:t>
            </w:r>
          </w:p>
        </w:tc>
        <w:tc>
          <w:tcPr>
            <w:tcW w:w="7120" w:type="dxa"/>
            <w:gridSpan w:val="5"/>
            <w:vAlign w:val="center"/>
          </w:tcPr>
          <w:p>
            <w:pPr>
              <w:adjustRightInd w:val="0"/>
              <w:snapToGrid w:val="0"/>
              <w:jc w:val="center"/>
              <w:rPr>
                <w:szCs w:val="21"/>
              </w:rPr>
            </w:pPr>
            <w:r>
              <w:rPr>
                <w:rFonts w:hint="eastAsia"/>
                <w:szCs w:val="21"/>
              </w:rPr>
              <w:t>严格执行排污许可制度等环境管理要求。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778" w:type="dxa"/>
            <w:vAlign w:val="center"/>
          </w:tcPr>
          <w:p>
            <w:pPr>
              <w:adjustRightInd w:val="0"/>
              <w:snapToGrid w:val="0"/>
              <w:jc w:val="center"/>
              <w:rPr>
                <w:spacing w:val="-8"/>
                <w:szCs w:val="21"/>
              </w:rPr>
            </w:pPr>
            <w:r>
              <w:rPr>
                <w:spacing w:val="-8"/>
                <w:szCs w:val="21"/>
              </w:rPr>
              <w:t>其他环境</w:t>
            </w:r>
          </w:p>
          <w:p>
            <w:pPr>
              <w:adjustRightInd w:val="0"/>
              <w:snapToGrid w:val="0"/>
              <w:jc w:val="center"/>
              <w:rPr>
                <w:spacing w:val="-8"/>
                <w:szCs w:val="21"/>
              </w:rPr>
            </w:pPr>
            <w:r>
              <w:rPr>
                <w:spacing w:val="-8"/>
                <w:szCs w:val="21"/>
              </w:rPr>
              <w:t>管理要求</w:t>
            </w:r>
          </w:p>
        </w:tc>
        <w:tc>
          <w:tcPr>
            <w:tcW w:w="7120" w:type="dxa"/>
            <w:gridSpan w:val="5"/>
            <w:vAlign w:val="center"/>
          </w:tcPr>
          <w:p>
            <w:pPr>
              <w:adjustRightInd w:val="0"/>
              <w:snapToGrid w:val="0"/>
              <w:jc w:val="center"/>
              <w:rPr>
                <w:szCs w:val="21"/>
              </w:rPr>
            </w:pPr>
            <w:r>
              <w:rPr>
                <w:rFonts w:hint="eastAsia"/>
                <w:szCs w:val="21"/>
              </w:rPr>
              <w:t>/</w:t>
            </w:r>
          </w:p>
        </w:tc>
      </w:tr>
    </w:tbl>
    <w:p>
      <w:pPr>
        <w:pStyle w:val="25"/>
        <w:jc w:val="center"/>
        <w:outlineLvl w:val="0"/>
        <w:rPr>
          <w:rFonts w:ascii="黑体" w:hAnsi="黑体" w:eastAsia="黑体"/>
          <w:snapToGrid w:val="0"/>
          <w:sz w:val="30"/>
          <w:szCs w:val="30"/>
        </w:rPr>
      </w:pPr>
      <w:r>
        <w:rPr>
          <w:snapToGrid w:val="0"/>
        </w:rPr>
        <w:br w:type="page"/>
      </w:r>
      <w:r>
        <w:rPr>
          <w:rFonts w:hint="eastAsia" w:ascii="黑体" w:hAnsi="黑体" w:eastAsia="黑体"/>
          <w:snapToGrid w:val="0"/>
          <w:sz w:val="30"/>
          <w:szCs w:val="30"/>
        </w:rPr>
        <w:t>六、结论</w:t>
      </w:r>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991" w:hRule="atLeast"/>
          <w:jc w:val="center"/>
        </w:trPr>
        <w:tc>
          <w:tcPr>
            <w:tcW w:w="8865" w:type="dxa"/>
          </w:tcPr>
          <w:p>
            <w:pPr>
              <w:spacing w:line="520" w:lineRule="exact"/>
              <w:ind w:firstLine="480" w:firstLineChars="200"/>
              <w:rPr>
                <w:sz w:val="24"/>
              </w:rPr>
            </w:pPr>
            <w:r>
              <w:rPr>
                <w:sz w:val="24"/>
              </w:rPr>
              <w:t>本次评价对建项目及其周围区域环境现状进行了调查、监测和评价分析，通过对营运期污染物排放的环境影响分析和对环境风险的分析，提出了项目污染防治措施以及要求和建议，污染物的排放均能够严于相关标准，符合国家环境保护的要求。</w:t>
            </w:r>
          </w:p>
          <w:p>
            <w:pPr>
              <w:spacing w:line="520" w:lineRule="exact"/>
              <w:rPr>
                <w:sz w:val="24"/>
              </w:rPr>
            </w:pPr>
            <w:r>
              <w:rPr>
                <w:sz w:val="24"/>
              </w:rPr>
              <w:t>本项目运行期间产生一定量的废水、废气、噪声和固体废物，通过采取有效的污染防治措施，可将项目对周围环境造成的影响降到最低。同时，项目运营过程中，依据本次评价所提出的有关污染防治措施，全面落实“三同时”制度，加强运营期环境管理，定期监测，确保污染防治设施稳定达标运行，则项目建设对周围环境质量不会产生明显的影响，从环境保护角度出发，本项目建设是可行的。</w:t>
            </w:r>
          </w:p>
          <w:p>
            <w:pPr>
              <w:pStyle w:val="14"/>
              <w:rPr>
                <w:sz w:val="24"/>
              </w:rPr>
            </w:pPr>
          </w:p>
          <w:p>
            <w:pPr>
              <w:pStyle w:val="14"/>
              <w:rPr>
                <w:sz w:val="24"/>
              </w:rPr>
            </w:pPr>
          </w:p>
          <w:p>
            <w:pPr>
              <w:pStyle w:val="14"/>
              <w:rPr>
                <w:sz w:val="24"/>
              </w:rPr>
            </w:pPr>
          </w:p>
          <w:p>
            <w:pPr>
              <w:pStyle w:val="14"/>
              <w:rPr>
                <w:sz w:val="24"/>
              </w:rPr>
            </w:pPr>
          </w:p>
          <w:p>
            <w:pPr>
              <w:pStyle w:val="14"/>
              <w:rPr>
                <w:sz w:val="24"/>
              </w:rPr>
            </w:pPr>
          </w:p>
          <w:p>
            <w:pPr>
              <w:pStyle w:val="14"/>
              <w:rPr>
                <w:sz w:val="24"/>
              </w:rPr>
            </w:pPr>
          </w:p>
        </w:tc>
      </w:tr>
    </w:tbl>
    <w:p>
      <w:pPr>
        <w:rPr>
          <w:rFonts w:ascii="宋体"/>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5"/>
        <w:adjustRightInd w:val="0"/>
        <w:snapToGrid w:val="0"/>
        <w:spacing w:before="0" w:beforeAutospacing="0" w:after="0" w:afterAutospacing="0"/>
        <w:outlineLvl w:val="0"/>
        <w:rPr>
          <w:rFonts w:ascii="黑体" w:hAnsi="黑体" w:eastAsia="黑体"/>
          <w:snapToGrid w:val="0"/>
          <w:sz w:val="32"/>
          <w:szCs w:val="32"/>
        </w:rPr>
      </w:pPr>
      <w:r>
        <w:rPr>
          <w:rFonts w:hint="eastAsia" w:ascii="黑体" w:hAnsi="黑体" w:eastAsia="黑体"/>
          <w:snapToGrid w:val="0"/>
          <w:sz w:val="32"/>
          <w:szCs w:val="32"/>
        </w:rPr>
        <w:t>附表</w:t>
      </w:r>
    </w:p>
    <w:p>
      <w:pPr>
        <w:pStyle w:val="25"/>
        <w:adjustRightInd w:val="0"/>
        <w:snapToGrid w:val="0"/>
        <w:spacing w:before="0" w:beforeAutospacing="0" w:after="0" w:afterAutospacing="0"/>
        <w:jc w:val="center"/>
        <w:outlineLvl w:val="0"/>
        <w:rPr>
          <w:rFonts w:ascii="方正小标宋_GBK" w:hAnsi="黑体" w:eastAsia="方正小标宋_GBK"/>
          <w:snapToGrid w:val="0"/>
          <w:sz w:val="38"/>
          <w:szCs w:val="38"/>
        </w:rPr>
      </w:pPr>
      <w:r>
        <w:rPr>
          <w:rFonts w:hint="eastAsia" w:ascii="方正小标宋_GBK" w:hAnsi="黑体" w:eastAsia="方正小标宋_GBK"/>
          <w:snapToGrid w:val="0"/>
          <w:sz w:val="38"/>
          <w:szCs w:val="38"/>
        </w:rPr>
        <w:t>建设项目污染物排放量汇总表</w:t>
      </w:r>
    </w:p>
    <w:tbl>
      <w:tblPr>
        <w:tblStyle w:val="29"/>
        <w:tblW w:w="13860"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68"/>
        <w:gridCol w:w="1495"/>
        <w:gridCol w:w="1701"/>
        <w:gridCol w:w="1276"/>
        <w:gridCol w:w="1701"/>
        <w:gridCol w:w="1559"/>
        <w:gridCol w:w="1761"/>
        <w:gridCol w:w="1641"/>
        <w:gridCol w:w="135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368" w:type="dxa"/>
            <w:tcBorders>
              <w:tl2br w:val="single" w:color="auto" w:sz="4" w:space="0"/>
            </w:tcBorders>
            <w:tcMar>
              <w:left w:w="28" w:type="dxa"/>
              <w:right w:w="28" w:type="dxa"/>
            </w:tcMar>
            <w:vAlign w:val="center"/>
          </w:tcPr>
          <w:p>
            <w:pPr>
              <w:pStyle w:val="54"/>
              <w:spacing w:beforeLines="0" w:afterLines="0" w:line="240" w:lineRule="auto"/>
              <w:jc w:val="right"/>
              <w:rPr>
                <w:rFonts w:ascii="Times New Roman"/>
                <w:snapToGrid w:val="0"/>
                <w:spacing w:val="-6"/>
                <w:kern w:val="21"/>
                <w:szCs w:val="21"/>
              </w:rPr>
            </w:pPr>
            <w:r>
              <w:rPr>
                <w:rFonts w:ascii="Times New Roman"/>
                <w:snapToGrid w:val="0"/>
                <w:spacing w:val="-6"/>
                <w:kern w:val="21"/>
                <w:szCs w:val="21"/>
              </w:rPr>
              <w:t>项目</w:t>
            </w:r>
          </w:p>
          <w:p>
            <w:pPr>
              <w:pStyle w:val="54"/>
              <w:spacing w:beforeLines="0" w:afterLines="0" w:line="240" w:lineRule="auto"/>
              <w:jc w:val="left"/>
              <w:rPr>
                <w:rFonts w:ascii="Times New Roman"/>
                <w:snapToGrid w:val="0"/>
                <w:spacing w:val="-6"/>
                <w:kern w:val="21"/>
                <w:szCs w:val="21"/>
              </w:rPr>
            </w:pPr>
            <w:r>
              <w:rPr>
                <w:rFonts w:ascii="Times New Roman"/>
                <w:snapToGrid w:val="0"/>
                <w:spacing w:val="-6"/>
                <w:kern w:val="21"/>
                <w:szCs w:val="21"/>
              </w:rPr>
              <w:t>分类</w:t>
            </w:r>
          </w:p>
        </w:tc>
        <w:tc>
          <w:tcPr>
            <w:tcW w:w="1495" w:type="dxa"/>
            <w:tcMar>
              <w:left w:w="28" w:type="dxa"/>
              <w:right w:w="28" w:type="dxa"/>
            </w:tcMar>
            <w:vAlign w:val="center"/>
          </w:tcPr>
          <w:p>
            <w:pPr>
              <w:pStyle w:val="54"/>
              <w:spacing w:beforeLines="0" w:afterLines="0" w:line="240" w:lineRule="auto"/>
              <w:rPr>
                <w:rFonts w:ascii="Times New Roman"/>
                <w:snapToGrid w:val="0"/>
                <w:spacing w:val="-6"/>
                <w:kern w:val="21"/>
                <w:szCs w:val="21"/>
              </w:rPr>
            </w:pPr>
            <w:r>
              <w:rPr>
                <w:rFonts w:ascii="Times New Roman"/>
                <w:snapToGrid w:val="0"/>
                <w:spacing w:val="-6"/>
                <w:kern w:val="21"/>
                <w:szCs w:val="21"/>
              </w:rPr>
              <w:t>污染物名称</w:t>
            </w:r>
          </w:p>
        </w:tc>
        <w:tc>
          <w:tcPr>
            <w:tcW w:w="1701" w:type="dxa"/>
            <w:tcMar>
              <w:left w:w="28" w:type="dxa"/>
              <w:right w:w="28" w:type="dxa"/>
            </w:tcMar>
            <w:vAlign w:val="center"/>
          </w:tcPr>
          <w:p>
            <w:pPr>
              <w:pStyle w:val="54"/>
              <w:spacing w:beforeLines="0" w:afterLines="0" w:line="240" w:lineRule="auto"/>
              <w:rPr>
                <w:rFonts w:ascii="Times New Roman"/>
                <w:snapToGrid w:val="0"/>
                <w:spacing w:val="-6"/>
                <w:kern w:val="21"/>
                <w:szCs w:val="21"/>
              </w:rPr>
            </w:pPr>
            <w:r>
              <w:rPr>
                <w:rFonts w:ascii="Times New Roman"/>
                <w:snapToGrid w:val="0"/>
                <w:spacing w:val="-6"/>
                <w:kern w:val="21"/>
                <w:szCs w:val="21"/>
              </w:rPr>
              <w:t>现有工程</w:t>
            </w:r>
          </w:p>
          <w:p>
            <w:pPr>
              <w:pStyle w:val="54"/>
              <w:spacing w:beforeLines="0" w:afterLines="0" w:line="240" w:lineRule="auto"/>
              <w:rPr>
                <w:rFonts w:ascii="Times New Roman"/>
                <w:snapToGrid w:val="0"/>
                <w:spacing w:val="-6"/>
                <w:kern w:val="21"/>
                <w:szCs w:val="21"/>
              </w:rPr>
            </w:pPr>
            <w:r>
              <w:rPr>
                <w:rFonts w:ascii="Times New Roman"/>
                <w:snapToGrid w:val="0"/>
                <w:spacing w:val="-6"/>
                <w:kern w:val="21"/>
                <w:szCs w:val="21"/>
              </w:rPr>
              <w:t>排放量（固体废物产生量）</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ascii="Times New Roman"/>
                <w:kern w:val="2"/>
                <w:szCs w:val="21"/>
              </w:rPr>
              <w:t>①</w:t>
            </w:r>
            <w:r>
              <w:rPr>
                <w:rFonts w:ascii="Times New Roman"/>
                <w:snapToGrid w:val="0"/>
                <w:spacing w:val="-6"/>
                <w:kern w:val="21"/>
                <w:szCs w:val="21"/>
              </w:rPr>
              <w:fldChar w:fldCharType="end"/>
            </w:r>
          </w:p>
        </w:tc>
        <w:tc>
          <w:tcPr>
            <w:tcW w:w="1276" w:type="dxa"/>
            <w:tcMar>
              <w:left w:w="28" w:type="dxa"/>
              <w:right w:w="28" w:type="dxa"/>
            </w:tcMar>
            <w:vAlign w:val="center"/>
          </w:tcPr>
          <w:p>
            <w:pPr>
              <w:pStyle w:val="54"/>
              <w:spacing w:beforeLines="0" w:afterLines="0" w:line="240" w:lineRule="auto"/>
              <w:rPr>
                <w:rFonts w:ascii="Times New Roman"/>
                <w:snapToGrid w:val="0"/>
                <w:spacing w:val="-6"/>
                <w:kern w:val="21"/>
                <w:szCs w:val="21"/>
              </w:rPr>
            </w:pPr>
            <w:r>
              <w:rPr>
                <w:rFonts w:ascii="Times New Roman"/>
                <w:snapToGrid w:val="0"/>
                <w:spacing w:val="-6"/>
                <w:kern w:val="21"/>
                <w:szCs w:val="21"/>
              </w:rPr>
              <w:t>现有工程</w:t>
            </w:r>
          </w:p>
          <w:p>
            <w:pPr>
              <w:pStyle w:val="54"/>
              <w:spacing w:beforeLines="0" w:afterLines="0" w:line="240" w:lineRule="auto"/>
              <w:rPr>
                <w:rFonts w:ascii="Times New Roman"/>
                <w:snapToGrid w:val="0"/>
                <w:spacing w:val="-6"/>
                <w:kern w:val="21"/>
                <w:szCs w:val="21"/>
              </w:rPr>
            </w:pPr>
            <w:r>
              <w:rPr>
                <w:rFonts w:ascii="Times New Roman"/>
                <w:snapToGrid w:val="0"/>
                <w:spacing w:val="-6"/>
                <w:kern w:val="21"/>
                <w:szCs w:val="21"/>
              </w:rPr>
              <w:t>许可排放量</w:t>
            </w:r>
          </w:p>
          <w:p>
            <w:pPr>
              <w:pStyle w:val="54"/>
              <w:spacing w:beforeLines="0" w:afterLines="0" w:line="240" w:lineRule="auto"/>
              <w:rPr>
                <w:rFonts w:ascii="Times New Roman"/>
                <w:snapToGrid w:val="0"/>
                <w:spacing w:val="-6"/>
                <w:kern w:val="21"/>
                <w:szCs w:val="21"/>
              </w:rPr>
            </w:pPr>
            <w:r>
              <w:rPr>
                <w:rFonts w:ascii="Times New Roman"/>
                <w:snapToGrid w:val="0"/>
                <w:spacing w:val="-6"/>
                <w:kern w:val="21"/>
                <w:szCs w:val="21"/>
              </w:rPr>
              <w:fldChar w:fldCharType="begin"/>
            </w:r>
            <w:r>
              <w:rPr>
                <w:rFonts w:ascii="Times New Roman"/>
                <w:snapToGrid w:val="0"/>
                <w:spacing w:val="-6"/>
                <w:kern w:val="21"/>
                <w:szCs w:val="21"/>
              </w:rPr>
              <w:instrText xml:space="preserve"> = 2 \* GB3 \* MERGEFORMAT </w:instrText>
            </w:r>
            <w:r>
              <w:rPr>
                <w:rFonts w:ascii="Times New Roman"/>
                <w:snapToGrid w:val="0"/>
                <w:spacing w:val="-6"/>
                <w:kern w:val="21"/>
                <w:szCs w:val="21"/>
              </w:rPr>
              <w:fldChar w:fldCharType="separate"/>
            </w:r>
            <w:r>
              <w:rPr>
                <w:rFonts w:ascii="Times New Roman"/>
                <w:snapToGrid w:val="0"/>
                <w:spacing w:val="-6"/>
                <w:kern w:val="21"/>
                <w:szCs w:val="21"/>
              </w:rPr>
              <w:t>②</w:t>
            </w:r>
            <w:r>
              <w:rPr>
                <w:rFonts w:ascii="Times New Roman"/>
                <w:snapToGrid w:val="0"/>
                <w:spacing w:val="-6"/>
                <w:kern w:val="21"/>
                <w:szCs w:val="21"/>
              </w:rPr>
              <w:fldChar w:fldCharType="end"/>
            </w:r>
          </w:p>
        </w:tc>
        <w:tc>
          <w:tcPr>
            <w:tcW w:w="1701" w:type="dxa"/>
            <w:tcMar>
              <w:left w:w="28" w:type="dxa"/>
              <w:right w:w="28" w:type="dxa"/>
            </w:tcMar>
            <w:vAlign w:val="center"/>
          </w:tcPr>
          <w:p>
            <w:pPr>
              <w:pStyle w:val="54"/>
              <w:spacing w:beforeLines="0" w:afterLines="0" w:line="240" w:lineRule="auto"/>
              <w:rPr>
                <w:rFonts w:ascii="Times New Roman"/>
                <w:snapToGrid w:val="0"/>
                <w:spacing w:val="-6"/>
                <w:kern w:val="21"/>
                <w:szCs w:val="21"/>
              </w:rPr>
            </w:pPr>
            <w:r>
              <w:rPr>
                <w:rFonts w:ascii="Times New Roman"/>
                <w:snapToGrid w:val="0"/>
                <w:spacing w:val="-6"/>
                <w:kern w:val="21"/>
                <w:szCs w:val="21"/>
              </w:rPr>
              <w:t>在建工程</w:t>
            </w:r>
          </w:p>
          <w:p>
            <w:pPr>
              <w:pStyle w:val="54"/>
              <w:spacing w:beforeLines="0" w:afterLines="0" w:line="240" w:lineRule="auto"/>
              <w:rPr>
                <w:rFonts w:ascii="Times New Roman"/>
                <w:snapToGrid w:val="0"/>
                <w:spacing w:val="-6"/>
                <w:kern w:val="21"/>
                <w:szCs w:val="21"/>
              </w:rPr>
            </w:pPr>
            <w:r>
              <w:rPr>
                <w:rFonts w:ascii="Times New Roman"/>
                <w:snapToGrid w:val="0"/>
                <w:spacing w:val="-6"/>
                <w:kern w:val="21"/>
                <w:szCs w:val="21"/>
              </w:rPr>
              <w:t>排放量（固体废物产生量）</w:t>
            </w:r>
            <w:r>
              <w:rPr>
                <w:rFonts w:ascii="Times New Roman"/>
                <w:snapToGrid w:val="0"/>
                <w:spacing w:val="-6"/>
                <w:kern w:val="21"/>
                <w:szCs w:val="21"/>
              </w:rPr>
              <w:fldChar w:fldCharType="begin"/>
            </w:r>
            <w:r>
              <w:rPr>
                <w:rFonts w:ascii="Times New Roman"/>
                <w:snapToGrid w:val="0"/>
                <w:spacing w:val="-6"/>
                <w:kern w:val="21"/>
                <w:szCs w:val="21"/>
              </w:rPr>
              <w:instrText xml:space="preserve"> = 3 \* GB3 \* MERGEFORMAT </w:instrText>
            </w:r>
            <w:r>
              <w:rPr>
                <w:rFonts w:ascii="Times New Roman"/>
                <w:snapToGrid w:val="0"/>
                <w:spacing w:val="-6"/>
                <w:kern w:val="21"/>
                <w:szCs w:val="21"/>
              </w:rPr>
              <w:fldChar w:fldCharType="separate"/>
            </w:r>
            <w:r>
              <w:rPr>
                <w:rFonts w:ascii="Times New Roman"/>
                <w:kern w:val="2"/>
                <w:szCs w:val="21"/>
              </w:rPr>
              <w:t>③</w:t>
            </w:r>
            <w:r>
              <w:rPr>
                <w:rFonts w:ascii="Times New Roman"/>
                <w:snapToGrid w:val="0"/>
                <w:spacing w:val="-6"/>
                <w:kern w:val="21"/>
                <w:szCs w:val="21"/>
              </w:rPr>
              <w:fldChar w:fldCharType="end"/>
            </w:r>
          </w:p>
        </w:tc>
        <w:tc>
          <w:tcPr>
            <w:tcW w:w="1559" w:type="dxa"/>
            <w:tcMar>
              <w:left w:w="28" w:type="dxa"/>
              <w:right w:w="28" w:type="dxa"/>
            </w:tcMar>
            <w:vAlign w:val="center"/>
          </w:tcPr>
          <w:p>
            <w:pPr>
              <w:pStyle w:val="54"/>
              <w:spacing w:beforeLines="0" w:afterLines="0" w:line="240" w:lineRule="auto"/>
              <w:rPr>
                <w:rFonts w:ascii="Times New Roman"/>
                <w:snapToGrid w:val="0"/>
                <w:spacing w:val="-6"/>
                <w:kern w:val="21"/>
                <w:szCs w:val="21"/>
              </w:rPr>
            </w:pPr>
            <w:r>
              <w:rPr>
                <w:rFonts w:ascii="Times New Roman"/>
                <w:snapToGrid w:val="0"/>
                <w:spacing w:val="-6"/>
                <w:kern w:val="21"/>
                <w:szCs w:val="21"/>
              </w:rPr>
              <w:t>本项目</w:t>
            </w:r>
          </w:p>
          <w:p>
            <w:pPr>
              <w:pStyle w:val="54"/>
              <w:spacing w:beforeLines="0" w:afterLines="0" w:line="240" w:lineRule="auto"/>
              <w:rPr>
                <w:rFonts w:ascii="Times New Roman"/>
                <w:snapToGrid w:val="0"/>
                <w:spacing w:val="-6"/>
                <w:kern w:val="21"/>
                <w:szCs w:val="21"/>
              </w:rPr>
            </w:pPr>
            <w:r>
              <w:rPr>
                <w:rFonts w:ascii="Times New Roman"/>
                <w:snapToGrid w:val="0"/>
                <w:spacing w:val="-6"/>
                <w:kern w:val="21"/>
                <w:szCs w:val="21"/>
              </w:rPr>
              <w:t>排放量（固体废物产生量）</w:t>
            </w:r>
            <w:r>
              <w:rPr>
                <w:rFonts w:ascii="Times New Roman"/>
                <w:snapToGrid w:val="0"/>
                <w:spacing w:val="-6"/>
                <w:kern w:val="21"/>
                <w:szCs w:val="21"/>
              </w:rPr>
              <w:fldChar w:fldCharType="begin"/>
            </w:r>
            <w:r>
              <w:rPr>
                <w:rFonts w:ascii="Times New Roman"/>
                <w:snapToGrid w:val="0"/>
                <w:spacing w:val="-6"/>
                <w:kern w:val="21"/>
                <w:szCs w:val="21"/>
              </w:rPr>
              <w:instrText xml:space="preserve"> = 4 \* GB3 \* MERGEFORMAT </w:instrText>
            </w:r>
            <w:r>
              <w:rPr>
                <w:rFonts w:ascii="Times New Roman"/>
                <w:snapToGrid w:val="0"/>
                <w:spacing w:val="-6"/>
                <w:kern w:val="21"/>
                <w:szCs w:val="21"/>
              </w:rPr>
              <w:fldChar w:fldCharType="separate"/>
            </w:r>
            <w:r>
              <w:rPr>
                <w:rFonts w:ascii="Times New Roman"/>
                <w:kern w:val="2"/>
                <w:szCs w:val="21"/>
              </w:rPr>
              <w:t>④</w:t>
            </w:r>
            <w:r>
              <w:rPr>
                <w:rFonts w:ascii="Times New Roman"/>
                <w:snapToGrid w:val="0"/>
                <w:spacing w:val="-6"/>
                <w:kern w:val="21"/>
                <w:szCs w:val="21"/>
              </w:rPr>
              <w:fldChar w:fldCharType="end"/>
            </w:r>
          </w:p>
        </w:tc>
        <w:tc>
          <w:tcPr>
            <w:tcW w:w="1761" w:type="dxa"/>
            <w:tcMar>
              <w:left w:w="28" w:type="dxa"/>
              <w:right w:w="28" w:type="dxa"/>
            </w:tcMar>
            <w:vAlign w:val="center"/>
          </w:tcPr>
          <w:p>
            <w:pPr>
              <w:pStyle w:val="54"/>
              <w:spacing w:beforeLines="0" w:afterLines="0" w:line="240" w:lineRule="auto"/>
              <w:rPr>
                <w:rFonts w:ascii="Times New Roman"/>
                <w:snapToGrid w:val="0"/>
                <w:spacing w:val="-16"/>
                <w:kern w:val="21"/>
                <w:szCs w:val="21"/>
              </w:rPr>
            </w:pPr>
            <w:r>
              <w:rPr>
                <w:rFonts w:ascii="Times New Roman"/>
                <w:snapToGrid w:val="0"/>
                <w:spacing w:val="-16"/>
                <w:kern w:val="21"/>
                <w:szCs w:val="21"/>
              </w:rPr>
              <w:t>以新带老削减量</w:t>
            </w:r>
          </w:p>
          <w:p>
            <w:pPr>
              <w:pStyle w:val="54"/>
              <w:spacing w:beforeLines="0" w:afterLines="0" w:line="240" w:lineRule="auto"/>
              <w:rPr>
                <w:rFonts w:ascii="Times New Roman"/>
                <w:snapToGrid w:val="0"/>
                <w:spacing w:val="-16"/>
                <w:kern w:val="21"/>
                <w:szCs w:val="21"/>
              </w:rPr>
            </w:pPr>
            <w:r>
              <w:rPr>
                <w:rFonts w:ascii="Times New Roman"/>
                <w:snapToGrid w:val="0"/>
                <w:spacing w:val="-16"/>
                <w:kern w:val="21"/>
                <w:szCs w:val="21"/>
              </w:rPr>
              <w:t>（新建项目不填）</w:t>
            </w:r>
            <w:r>
              <w:rPr>
                <w:rFonts w:ascii="Times New Roman"/>
                <w:snapToGrid w:val="0"/>
                <w:spacing w:val="-16"/>
                <w:kern w:val="21"/>
                <w:szCs w:val="21"/>
              </w:rPr>
              <w:fldChar w:fldCharType="begin"/>
            </w:r>
            <w:r>
              <w:rPr>
                <w:rFonts w:ascii="Times New Roman"/>
                <w:snapToGrid w:val="0"/>
                <w:spacing w:val="-16"/>
                <w:kern w:val="21"/>
                <w:szCs w:val="21"/>
              </w:rPr>
              <w:instrText xml:space="preserve"> = 5 \* GB3 \* MERGEFORMAT </w:instrText>
            </w:r>
            <w:r>
              <w:rPr>
                <w:rFonts w:ascii="Times New Roman"/>
                <w:snapToGrid w:val="0"/>
                <w:spacing w:val="-16"/>
                <w:kern w:val="21"/>
                <w:szCs w:val="21"/>
              </w:rPr>
              <w:fldChar w:fldCharType="separate"/>
            </w:r>
            <w:r>
              <w:rPr>
                <w:rFonts w:ascii="Times New Roman"/>
                <w:kern w:val="2"/>
                <w:szCs w:val="21"/>
              </w:rPr>
              <w:t>⑤</w:t>
            </w:r>
            <w:r>
              <w:rPr>
                <w:rFonts w:ascii="Times New Roman"/>
                <w:snapToGrid w:val="0"/>
                <w:spacing w:val="-16"/>
                <w:kern w:val="21"/>
                <w:szCs w:val="21"/>
              </w:rPr>
              <w:fldChar w:fldCharType="end"/>
            </w:r>
          </w:p>
        </w:tc>
        <w:tc>
          <w:tcPr>
            <w:tcW w:w="1641" w:type="dxa"/>
            <w:tcMar>
              <w:left w:w="28" w:type="dxa"/>
              <w:right w:w="28" w:type="dxa"/>
            </w:tcMar>
            <w:vAlign w:val="center"/>
          </w:tcPr>
          <w:p>
            <w:pPr>
              <w:pStyle w:val="54"/>
              <w:spacing w:beforeLines="0" w:afterLines="0" w:line="240" w:lineRule="auto"/>
              <w:rPr>
                <w:rFonts w:ascii="Times New Roman"/>
                <w:snapToGrid w:val="0"/>
                <w:spacing w:val="-16"/>
                <w:kern w:val="21"/>
                <w:szCs w:val="21"/>
              </w:rPr>
            </w:pPr>
            <w:r>
              <w:rPr>
                <w:rFonts w:ascii="Times New Roman"/>
                <w:snapToGrid w:val="0"/>
                <w:spacing w:val="-16"/>
                <w:kern w:val="21"/>
                <w:szCs w:val="21"/>
              </w:rPr>
              <w:t>本项目建成后</w:t>
            </w:r>
          </w:p>
          <w:p>
            <w:pPr>
              <w:pStyle w:val="54"/>
              <w:spacing w:beforeLines="0" w:afterLines="0" w:line="240" w:lineRule="auto"/>
              <w:rPr>
                <w:rFonts w:ascii="Times New Roman"/>
                <w:snapToGrid w:val="0"/>
                <w:spacing w:val="-16"/>
                <w:kern w:val="21"/>
                <w:szCs w:val="21"/>
              </w:rPr>
            </w:pPr>
            <w:r>
              <w:rPr>
                <w:rFonts w:ascii="Times New Roman"/>
                <w:snapToGrid w:val="0"/>
                <w:spacing w:val="-16"/>
                <w:kern w:val="21"/>
                <w:szCs w:val="21"/>
              </w:rPr>
              <w:t>全厂排放量（固体废物产生量）</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ascii="Times New Roman"/>
                <w:kern w:val="2"/>
                <w:szCs w:val="21"/>
              </w:rPr>
              <w:t>⑥</w:t>
            </w:r>
            <w:r>
              <w:rPr>
                <w:rFonts w:ascii="Times New Roman"/>
                <w:snapToGrid w:val="0"/>
                <w:spacing w:val="-16"/>
                <w:kern w:val="21"/>
                <w:szCs w:val="21"/>
              </w:rPr>
              <w:fldChar w:fldCharType="end"/>
            </w:r>
          </w:p>
        </w:tc>
        <w:tc>
          <w:tcPr>
            <w:tcW w:w="1358" w:type="dxa"/>
            <w:tcMar>
              <w:left w:w="28" w:type="dxa"/>
              <w:right w:w="28" w:type="dxa"/>
            </w:tcMar>
            <w:vAlign w:val="center"/>
          </w:tcPr>
          <w:p>
            <w:pPr>
              <w:pStyle w:val="54"/>
              <w:spacing w:beforeLines="0" w:afterLines="0" w:line="240" w:lineRule="auto"/>
              <w:rPr>
                <w:rFonts w:ascii="Times New Roman"/>
                <w:snapToGrid w:val="0"/>
                <w:spacing w:val="-6"/>
                <w:kern w:val="21"/>
                <w:szCs w:val="21"/>
              </w:rPr>
            </w:pPr>
            <w:r>
              <w:rPr>
                <w:rFonts w:ascii="Times New Roman"/>
                <w:snapToGrid w:val="0"/>
                <w:spacing w:val="-6"/>
                <w:kern w:val="21"/>
                <w:szCs w:val="21"/>
              </w:rPr>
              <w:t>变化量</w:t>
            </w:r>
          </w:p>
          <w:p>
            <w:pPr>
              <w:pStyle w:val="54"/>
              <w:spacing w:beforeLines="0" w:afterLines="0" w:line="240" w:lineRule="auto"/>
              <w:rPr>
                <w:rFonts w:ascii="Times New Roman"/>
                <w:snapToGrid w:val="0"/>
                <w:spacing w:val="-6"/>
                <w:kern w:val="21"/>
                <w:szCs w:val="21"/>
              </w:rPr>
            </w:pPr>
            <w:r>
              <w:rPr>
                <w:rFonts w:ascii="Times New Roman"/>
                <w:snapToGrid w:val="0"/>
                <w:spacing w:val="-6"/>
                <w:kern w:val="21"/>
                <w:szCs w:val="21"/>
              </w:rPr>
              <w:fldChar w:fldCharType="begin"/>
            </w:r>
            <w:r>
              <w:rPr>
                <w:rFonts w:ascii="Times New Roman"/>
                <w:snapToGrid w:val="0"/>
                <w:spacing w:val="-6"/>
                <w:kern w:val="21"/>
                <w:szCs w:val="21"/>
              </w:rPr>
              <w:instrText xml:space="preserve"> = 7 \* GB3 \* MERGEFORMAT </w:instrText>
            </w:r>
            <w:r>
              <w:rPr>
                <w:rFonts w:ascii="Times New Roman"/>
                <w:snapToGrid w:val="0"/>
                <w:spacing w:val="-6"/>
                <w:kern w:val="21"/>
                <w:szCs w:val="21"/>
              </w:rPr>
              <w:fldChar w:fldCharType="separate"/>
            </w:r>
            <w:r>
              <w:rPr>
                <w:rFonts w:ascii="Times New Roman"/>
                <w:kern w:val="2"/>
                <w:szCs w:val="21"/>
              </w:rPr>
              <w:t>⑦</w:t>
            </w:r>
            <w:r>
              <w:rPr>
                <w:rFonts w:ascii="Times New Roman"/>
                <w:snapToGrid w:val="0"/>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1368" w:type="dxa"/>
            <w:vMerge w:val="restart"/>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废气</w:t>
            </w:r>
          </w:p>
        </w:tc>
        <w:tc>
          <w:tcPr>
            <w:tcW w:w="1495" w:type="dxa"/>
            <w:vAlign w:val="center"/>
          </w:tcPr>
          <w:p>
            <w:pPr>
              <w:pStyle w:val="54"/>
              <w:spacing w:beforeLines="0" w:afterLines="0" w:line="240" w:lineRule="auto"/>
              <w:rPr>
                <w:rFonts w:ascii="Times New Roman"/>
                <w:snapToGrid w:val="0"/>
                <w:kern w:val="21"/>
                <w:szCs w:val="21"/>
              </w:rPr>
            </w:pPr>
            <w:r>
              <w:rPr>
                <w:rFonts w:ascii="Times New Roman"/>
                <w:szCs w:val="21"/>
              </w:rPr>
              <w:t>颗粒物</w:t>
            </w:r>
          </w:p>
        </w:tc>
        <w:tc>
          <w:tcPr>
            <w:tcW w:w="170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276"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70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559" w:type="dxa"/>
            <w:vAlign w:val="center"/>
          </w:tcPr>
          <w:p>
            <w:pPr>
              <w:pStyle w:val="54"/>
              <w:spacing w:beforeLines="0" w:afterLines="0" w:line="240" w:lineRule="auto"/>
              <w:rPr>
                <w:rFonts w:ascii="Times New Roman"/>
                <w:snapToGrid w:val="0"/>
                <w:kern w:val="21"/>
                <w:szCs w:val="21"/>
              </w:rPr>
            </w:pPr>
            <w:r>
              <w:rPr>
                <w:rFonts w:hint="eastAsia" w:ascii="Times New Roman"/>
                <w:szCs w:val="21"/>
              </w:rPr>
              <w:t>0.017t/a</w:t>
            </w:r>
          </w:p>
        </w:tc>
        <w:tc>
          <w:tcPr>
            <w:tcW w:w="176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641" w:type="dxa"/>
            <w:vAlign w:val="center"/>
          </w:tcPr>
          <w:p>
            <w:pPr>
              <w:pStyle w:val="54"/>
              <w:spacing w:beforeLines="0" w:afterLines="0" w:line="240" w:lineRule="auto"/>
              <w:rPr>
                <w:rFonts w:ascii="Times New Roman"/>
                <w:snapToGrid w:val="0"/>
                <w:kern w:val="21"/>
                <w:szCs w:val="21"/>
              </w:rPr>
            </w:pPr>
            <w:r>
              <w:rPr>
                <w:rFonts w:hint="eastAsia" w:ascii="Times New Roman"/>
                <w:szCs w:val="21"/>
              </w:rPr>
              <w:t>0.017t/a</w:t>
            </w:r>
          </w:p>
        </w:tc>
        <w:tc>
          <w:tcPr>
            <w:tcW w:w="1358" w:type="dxa"/>
            <w:vAlign w:val="center"/>
          </w:tcPr>
          <w:p>
            <w:pPr>
              <w:pStyle w:val="54"/>
              <w:spacing w:beforeLines="0" w:afterLines="0" w:line="240" w:lineRule="auto"/>
              <w:rPr>
                <w:rFonts w:ascii="Times New Roman"/>
                <w:snapToGrid w:val="0"/>
                <w:kern w:val="21"/>
                <w:szCs w:val="21"/>
              </w:rPr>
            </w:pPr>
            <w:r>
              <w:rPr>
                <w:rFonts w:hint="eastAsia" w:ascii="Times New Roman"/>
                <w:szCs w:val="21"/>
              </w:rPr>
              <w:t>+0.017t/a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368" w:type="dxa"/>
            <w:vMerge w:val="continue"/>
            <w:vAlign w:val="center"/>
          </w:tcPr>
          <w:p>
            <w:pPr>
              <w:pStyle w:val="54"/>
              <w:spacing w:beforeLines="0" w:afterLines="0" w:line="240" w:lineRule="auto"/>
              <w:rPr>
                <w:rFonts w:ascii="Times New Roman"/>
                <w:snapToGrid w:val="0"/>
                <w:kern w:val="21"/>
                <w:szCs w:val="21"/>
              </w:rPr>
            </w:pPr>
          </w:p>
        </w:tc>
        <w:tc>
          <w:tcPr>
            <w:tcW w:w="1495" w:type="dxa"/>
            <w:vAlign w:val="center"/>
          </w:tcPr>
          <w:p>
            <w:pPr>
              <w:pStyle w:val="54"/>
              <w:spacing w:beforeLines="0" w:afterLines="0" w:line="240" w:lineRule="auto"/>
              <w:rPr>
                <w:rFonts w:ascii="Times New Roman"/>
                <w:snapToGrid w:val="0"/>
                <w:kern w:val="21"/>
                <w:szCs w:val="21"/>
              </w:rPr>
            </w:pPr>
            <w:r>
              <w:rPr>
                <w:rFonts w:ascii="Times New Roman"/>
                <w:spacing w:val="6"/>
                <w:szCs w:val="21"/>
              </w:rPr>
              <w:t>SO</w:t>
            </w:r>
            <w:r>
              <w:rPr>
                <w:rFonts w:ascii="Times New Roman"/>
                <w:spacing w:val="6"/>
                <w:szCs w:val="21"/>
                <w:vertAlign w:val="subscript"/>
              </w:rPr>
              <w:t>2</w:t>
            </w:r>
          </w:p>
        </w:tc>
        <w:tc>
          <w:tcPr>
            <w:tcW w:w="170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276"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70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559" w:type="dxa"/>
            <w:vAlign w:val="center"/>
          </w:tcPr>
          <w:p>
            <w:pPr>
              <w:pStyle w:val="54"/>
              <w:spacing w:beforeLines="0" w:afterLines="0" w:line="240" w:lineRule="auto"/>
              <w:rPr>
                <w:rFonts w:ascii="Times New Roman"/>
                <w:snapToGrid w:val="0"/>
                <w:kern w:val="21"/>
                <w:szCs w:val="21"/>
              </w:rPr>
            </w:pPr>
            <w:r>
              <w:rPr>
                <w:rFonts w:hint="eastAsia" w:ascii="Times New Roman"/>
                <w:szCs w:val="21"/>
              </w:rPr>
              <w:t>0</w:t>
            </w:r>
          </w:p>
        </w:tc>
        <w:tc>
          <w:tcPr>
            <w:tcW w:w="176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641" w:type="dxa"/>
            <w:vAlign w:val="center"/>
          </w:tcPr>
          <w:p>
            <w:pPr>
              <w:pStyle w:val="54"/>
              <w:spacing w:beforeLines="0" w:afterLines="0" w:line="240" w:lineRule="auto"/>
              <w:rPr>
                <w:rFonts w:ascii="Times New Roman"/>
                <w:snapToGrid w:val="0"/>
                <w:kern w:val="21"/>
                <w:szCs w:val="21"/>
              </w:rPr>
            </w:pPr>
            <w:r>
              <w:rPr>
                <w:rFonts w:hint="eastAsia" w:ascii="Times New Roman"/>
                <w:szCs w:val="21"/>
              </w:rPr>
              <w:t>0</w:t>
            </w:r>
          </w:p>
        </w:tc>
        <w:tc>
          <w:tcPr>
            <w:tcW w:w="1358" w:type="dxa"/>
            <w:vAlign w:val="center"/>
          </w:tcPr>
          <w:p>
            <w:pPr>
              <w:pStyle w:val="54"/>
              <w:spacing w:beforeLines="0" w:afterLines="0" w:line="240" w:lineRule="auto"/>
              <w:rPr>
                <w:rFonts w:ascii="Times New Roman"/>
                <w:snapToGrid w:val="0"/>
                <w:kern w:val="21"/>
                <w:szCs w:val="21"/>
              </w:rPr>
            </w:pPr>
            <w:r>
              <w:rPr>
                <w:rFonts w:hint="eastAsia" w:ascii="Times New Roman"/>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1368" w:type="dxa"/>
            <w:vMerge w:val="continue"/>
            <w:vAlign w:val="center"/>
          </w:tcPr>
          <w:p>
            <w:pPr>
              <w:pStyle w:val="54"/>
              <w:spacing w:beforeLines="0" w:afterLines="0" w:line="240" w:lineRule="auto"/>
              <w:rPr>
                <w:rFonts w:ascii="Times New Roman"/>
                <w:snapToGrid w:val="0"/>
                <w:kern w:val="21"/>
                <w:szCs w:val="21"/>
              </w:rPr>
            </w:pPr>
          </w:p>
        </w:tc>
        <w:tc>
          <w:tcPr>
            <w:tcW w:w="1495" w:type="dxa"/>
            <w:vAlign w:val="center"/>
          </w:tcPr>
          <w:p>
            <w:pPr>
              <w:pStyle w:val="54"/>
              <w:spacing w:beforeLines="0" w:afterLines="0" w:line="240" w:lineRule="auto"/>
              <w:rPr>
                <w:rFonts w:ascii="Times New Roman"/>
                <w:snapToGrid w:val="0"/>
                <w:kern w:val="21"/>
                <w:szCs w:val="21"/>
              </w:rPr>
            </w:pPr>
            <w:r>
              <w:rPr>
                <w:rFonts w:ascii="Times New Roman"/>
                <w:spacing w:val="6"/>
                <w:szCs w:val="21"/>
              </w:rPr>
              <w:t>NO</w:t>
            </w:r>
            <w:r>
              <w:rPr>
                <w:rFonts w:ascii="Times New Roman"/>
                <w:spacing w:val="6"/>
                <w:szCs w:val="21"/>
                <w:vertAlign w:val="subscript"/>
              </w:rPr>
              <w:t>x</w:t>
            </w:r>
          </w:p>
        </w:tc>
        <w:tc>
          <w:tcPr>
            <w:tcW w:w="170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276"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70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559" w:type="dxa"/>
            <w:vAlign w:val="center"/>
          </w:tcPr>
          <w:p>
            <w:pPr>
              <w:pStyle w:val="54"/>
              <w:spacing w:beforeLines="0" w:afterLines="0" w:line="240" w:lineRule="auto"/>
              <w:rPr>
                <w:rFonts w:ascii="Times New Roman"/>
                <w:snapToGrid w:val="0"/>
                <w:kern w:val="21"/>
                <w:szCs w:val="21"/>
              </w:rPr>
            </w:pPr>
            <w:r>
              <w:rPr>
                <w:rFonts w:hint="eastAsia" w:ascii="Times New Roman"/>
                <w:szCs w:val="21"/>
              </w:rPr>
              <w:t>0</w:t>
            </w:r>
          </w:p>
        </w:tc>
        <w:tc>
          <w:tcPr>
            <w:tcW w:w="176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641" w:type="dxa"/>
            <w:vAlign w:val="center"/>
          </w:tcPr>
          <w:p>
            <w:pPr>
              <w:pStyle w:val="54"/>
              <w:spacing w:beforeLines="0" w:afterLines="0" w:line="240" w:lineRule="auto"/>
              <w:rPr>
                <w:rFonts w:ascii="Times New Roman"/>
                <w:snapToGrid w:val="0"/>
                <w:kern w:val="21"/>
                <w:szCs w:val="21"/>
              </w:rPr>
            </w:pPr>
            <w:r>
              <w:rPr>
                <w:rFonts w:hint="eastAsia" w:ascii="Times New Roman"/>
                <w:szCs w:val="21"/>
              </w:rPr>
              <w:t>0</w:t>
            </w:r>
          </w:p>
        </w:tc>
        <w:tc>
          <w:tcPr>
            <w:tcW w:w="1358" w:type="dxa"/>
            <w:vAlign w:val="center"/>
          </w:tcPr>
          <w:p>
            <w:pPr>
              <w:pStyle w:val="54"/>
              <w:spacing w:beforeLines="0" w:afterLines="0" w:line="240" w:lineRule="auto"/>
              <w:rPr>
                <w:rFonts w:ascii="Times New Roman"/>
                <w:snapToGrid w:val="0"/>
                <w:kern w:val="21"/>
                <w:szCs w:val="21"/>
              </w:rPr>
            </w:pPr>
            <w:r>
              <w:rPr>
                <w:rFonts w:hint="eastAsia" w:ascii="Times New Roman"/>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1368" w:type="dxa"/>
            <w:vMerge w:val="continue"/>
            <w:vAlign w:val="center"/>
          </w:tcPr>
          <w:p>
            <w:pPr>
              <w:pStyle w:val="54"/>
              <w:spacing w:beforeLines="0" w:afterLines="0" w:line="240" w:lineRule="auto"/>
              <w:rPr>
                <w:rFonts w:ascii="Times New Roman"/>
                <w:snapToGrid w:val="0"/>
                <w:kern w:val="21"/>
                <w:szCs w:val="21"/>
              </w:rPr>
            </w:pPr>
          </w:p>
        </w:tc>
        <w:tc>
          <w:tcPr>
            <w:tcW w:w="1495" w:type="dxa"/>
            <w:vAlign w:val="center"/>
          </w:tcPr>
          <w:p>
            <w:pPr>
              <w:pStyle w:val="54"/>
              <w:spacing w:beforeLines="0" w:afterLines="0" w:line="240" w:lineRule="auto"/>
              <w:rPr>
                <w:rFonts w:ascii="Times New Roman"/>
                <w:spacing w:val="6"/>
                <w:szCs w:val="21"/>
              </w:rPr>
            </w:pPr>
            <w:r>
              <w:rPr>
                <w:rFonts w:hint="eastAsia" w:ascii="Times New Roman"/>
                <w:spacing w:val="6"/>
                <w:szCs w:val="21"/>
              </w:rPr>
              <w:t>VOCs</w:t>
            </w:r>
          </w:p>
        </w:tc>
        <w:tc>
          <w:tcPr>
            <w:tcW w:w="170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276"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70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559" w:type="dxa"/>
            <w:vAlign w:val="center"/>
          </w:tcPr>
          <w:p>
            <w:pPr>
              <w:pStyle w:val="54"/>
              <w:spacing w:beforeLines="0" w:afterLines="0" w:line="240" w:lineRule="auto"/>
              <w:rPr>
                <w:rFonts w:ascii="Times New Roman"/>
                <w:szCs w:val="21"/>
              </w:rPr>
            </w:pPr>
            <w:r>
              <w:rPr>
                <w:rFonts w:hint="eastAsia" w:ascii="Times New Roman"/>
                <w:szCs w:val="21"/>
                <w:lang w:val="en-US" w:eastAsia="zh-CN"/>
              </w:rPr>
              <w:t>0.041</w:t>
            </w:r>
            <w:r>
              <w:rPr>
                <w:rFonts w:hint="eastAsia" w:ascii="Times New Roman"/>
                <w:szCs w:val="21"/>
              </w:rPr>
              <w:t>t/a</w:t>
            </w:r>
          </w:p>
        </w:tc>
        <w:tc>
          <w:tcPr>
            <w:tcW w:w="176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641" w:type="dxa"/>
            <w:vAlign w:val="center"/>
          </w:tcPr>
          <w:p>
            <w:pPr>
              <w:pStyle w:val="54"/>
              <w:spacing w:beforeLines="0" w:afterLines="0" w:line="240" w:lineRule="auto"/>
              <w:rPr>
                <w:rFonts w:ascii="Times New Roman"/>
                <w:szCs w:val="21"/>
              </w:rPr>
            </w:pPr>
            <w:r>
              <w:rPr>
                <w:rFonts w:hint="eastAsia" w:ascii="Times New Roman"/>
                <w:szCs w:val="21"/>
                <w:lang w:val="en-US" w:eastAsia="zh-CN"/>
              </w:rPr>
              <w:t>0.041</w:t>
            </w:r>
            <w:r>
              <w:rPr>
                <w:rFonts w:hint="eastAsia" w:ascii="Times New Roman"/>
                <w:szCs w:val="21"/>
              </w:rPr>
              <w:t>t/a</w:t>
            </w:r>
          </w:p>
        </w:tc>
        <w:tc>
          <w:tcPr>
            <w:tcW w:w="1358" w:type="dxa"/>
            <w:vAlign w:val="center"/>
          </w:tcPr>
          <w:p>
            <w:pPr>
              <w:pStyle w:val="40"/>
              <w:snapToGrid w:val="0"/>
              <w:spacing w:line="240" w:lineRule="auto"/>
              <w:rPr>
                <w:rFonts w:ascii="Times New Roman"/>
                <w:szCs w:val="21"/>
              </w:rPr>
            </w:pPr>
            <w:r>
              <w:rPr>
                <w:rFonts w:hint="eastAsia" w:ascii="Times New Roman" w:hAnsi="Times New Roman"/>
                <w:lang w:val="en-US" w:eastAsia="zh-CN"/>
              </w:rPr>
              <w:t>+</w:t>
            </w:r>
            <w:r>
              <w:rPr>
                <w:rFonts w:hint="eastAsia" w:ascii="Times New Roman"/>
                <w:szCs w:val="21"/>
                <w:lang w:val="en-US" w:eastAsia="zh-CN"/>
              </w:rPr>
              <w:t>0.041</w:t>
            </w:r>
            <w:r>
              <w:rPr>
                <w:rFonts w:hint="eastAsia" w:ascii="Times New Roman"/>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1368" w:type="dxa"/>
            <w:vMerge w:val="restart"/>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废水</w:t>
            </w:r>
          </w:p>
        </w:tc>
        <w:tc>
          <w:tcPr>
            <w:tcW w:w="1495" w:type="dxa"/>
            <w:vAlign w:val="center"/>
          </w:tcPr>
          <w:p>
            <w:pPr>
              <w:pStyle w:val="54"/>
              <w:spacing w:beforeLines="0" w:afterLines="0" w:line="240" w:lineRule="auto"/>
              <w:rPr>
                <w:rFonts w:ascii="Times New Roman"/>
                <w:snapToGrid w:val="0"/>
                <w:kern w:val="21"/>
                <w:szCs w:val="21"/>
                <w:vertAlign w:val="subscript"/>
              </w:rPr>
            </w:pPr>
            <w:r>
              <w:rPr>
                <w:rFonts w:ascii="Times New Roman"/>
                <w:snapToGrid w:val="0"/>
                <w:kern w:val="21"/>
                <w:szCs w:val="21"/>
              </w:rPr>
              <w:t>COD</w:t>
            </w:r>
            <w:r>
              <w:rPr>
                <w:rFonts w:hint="eastAsia" w:ascii="Times New Roman"/>
                <w:snapToGrid w:val="0"/>
                <w:kern w:val="21"/>
                <w:szCs w:val="21"/>
                <w:vertAlign w:val="subscript"/>
              </w:rPr>
              <w:t>Cr</w:t>
            </w:r>
          </w:p>
        </w:tc>
        <w:tc>
          <w:tcPr>
            <w:tcW w:w="170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276"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559" w:type="dxa"/>
            <w:vAlign w:val="center"/>
          </w:tcPr>
          <w:p>
            <w:pPr>
              <w:pStyle w:val="40"/>
              <w:snapToGrid w:val="0"/>
              <w:spacing w:line="240" w:lineRule="auto"/>
              <w:rPr>
                <w:rFonts w:ascii="Times New Roman"/>
                <w:kern w:val="21"/>
              </w:rPr>
            </w:pPr>
            <w:r>
              <w:rPr>
                <w:rFonts w:hint="eastAsia" w:ascii="Times New Roman" w:hAnsi="Times New Roman"/>
              </w:rPr>
              <w:t>0.</w:t>
            </w:r>
            <w:r>
              <w:rPr>
                <w:rFonts w:hint="eastAsia" w:ascii="Times New Roman" w:hAnsi="Times New Roman"/>
                <w:lang w:val="en-US" w:eastAsia="zh-CN"/>
              </w:rPr>
              <w:t>063</w:t>
            </w:r>
            <w:r>
              <w:rPr>
                <w:rFonts w:hint="eastAsia" w:ascii="Times New Roman" w:hAnsi="Times New Roman"/>
              </w:rPr>
              <w:t>t/a</w:t>
            </w:r>
          </w:p>
        </w:tc>
        <w:tc>
          <w:tcPr>
            <w:tcW w:w="176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641" w:type="dxa"/>
            <w:vAlign w:val="center"/>
          </w:tcPr>
          <w:p>
            <w:pPr>
              <w:pStyle w:val="40"/>
              <w:snapToGrid w:val="0"/>
              <w:spacing w:line="240" w:lineRule="auto"/>
              <w:rPr>
                <w:rFonts w:ascii="Times New Roman"/>
                <w:kern w:val="21"/>
              </w:rPr>
            </w:pPr>
            <w:r>
              <w:rPr>
                <w:rFonts w:hint="eastAsia" w:ascii="Times New Roman" w:hAnsi="Times New Roman"/>
              </w:rPr>
              <w:t>0.</w:t>
            </w:r>
            <w:r>
              <w:rPr>
                <w:rFonts w:hint="eastAsia" w:ascii="Times New Roman" w:hAnsi="Times New Roman"/>
                <w:lang w:val="en-US" w:eastAsia="zh-CN"/>
              </w:rPr>
              <w:t>063</w:t>
            </w:r>
            <w:r>
              <w:rPr>
                <w:rFonts w:hint="eastAsia" w:ascii="Times New Roman" w:hAnsi="Times New Roman"/>
              </w:rPr>
              <w:t>t/a</w:t>
            </w:r>
          </w:p>
        </w:tc>
        <w:tc>
          <w:tcPr>
            <w:tcW w:w="1358" w:type="dxa"/>
            <w:vAlign w:val="center"/>
          </w:tcPr>
          <w:p>
            <w:pPr>
              <w:pStyle w:val="40"/>
              <w:snapToGrid w:val="0"/>
              <w:spacing w:line="240" w:lineRule="auto"/>
              <w:rPr>
                <w:rFonts w:ascii="Times New Roman"/>
                <w:kern w:val="21"/>
              </w:rPr>
            </w:pPr>
            <w:r>
              <w:rPr>
                <w:rFonts w:hint="eastAsia" w:ascii="Times New Roman" w:hAnsi="Times New Roman"/>
                <w:lang w:val="en-US" w:eastAsia="zh-CN"/>
              </w:rPr>
              <w:t>+</w:t>
            </w:r>
            <w:r>
              <w:rPr>
                <w:rFonts w:hint="eastAsia" w:ascii="Times New Roman" w:hAnsi="Times New Roman"/>
              </w:rPr>
              <w:t>0.0</w:t>
            </w:r>
            <w:r>
              <w:rPr>
                <w:rFonts w:hint="eastAsia" w:ascii="Times New Roman" w:hAnsi="Times New Roman"/>
                <w:lang w:val="en-US" w:eastAsia="zh-CN"/>
              </w:rPr>
              <w:t>1</w:t>
            </w:r>
            <w:r>
              <w:rPr>
                <w:rFonts w:hint="eastAsia" w:ascii="Times New Roman" w:hAnsi="Times New Roma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1368" w:type="dxa"/>
            <w:vMerge w:val="continue"/>
            <w:vAlign w:val="center"/>
          </w:tcPr>
          <w:p>
            <w:pPr>
              <w:pStyle w:val="54"/>
              <w:spacing w:beforeLines="0" w:afterLines="0" w:line="240" w:lineRule="auto"/>
              <w:rPr>
                <w:rFonts w:ascii="Times New Roman"/>
                <w:snapToGrid w:val="0"/>
                <w:kern w:val="21"/>
                <w:szCs w:val="21"/>
              </w:rPr>
            </w:pPr>
          </w:p>
        </w:tc>
        <w:tc>
          <w:tcPr>
            <w:tcW w:w="1495"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NH</w:t>
            </w:r>
            <w:r>
              <w:rPr>
                <w:rFonts w:ascii="Times New Roman"/>
                <w:snapToGrid w:val="0"/>
                <w:kern w:val="21"/>
                <w:szCs w:val="21"/>
                <w:vertAlign w:val="subscript"/>
              </w:rPr>
              <w:t>3</w:t>
            </w:r>
            <w:r>
              <w:rPr>
                <w:rFonts w:ascii="Times New Roman"/>
                <w:snapToGrid w:val="0"/>
                <w:kern w:val="21"/>
                <w:szCs w:val="21"/>
              </w:rPr>
              <w:t>-N</w:t>
            </w:r>
          </w:p>
        </w:tc>
        <w:tc>
          <w:tcPr>
            <w:tcW w:w="170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276"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559" w:type="dxa"/>
            <w:vAlign w:val="center"/>
          </w:tcPr>
          <w:p>
            <w:pPr>
              <w:pStyle w:val="40"/>
              <w:snapToGrid w:val="0"/>
              <w:spacing w:line="240" w:lineRule="auto"/>
              <w:rPr>
                <w:rFonts w:ascii="Times New Roman"/>
                <w:kern w:val="21"/>
              </w:rPr>
            </w:pPr>
            <w:r>
              <w:rPr>
                <w:rFonts w:hint="eastAsia" w:ascii="Times New Roman" w:hAnsi="Times New Roman"/>
              </w:rPr>
              <w:t>0.0</w:t>
            </w:r>
            <w:r>
              <w:rPr>
                <w:rFonts w:hint="eastAsia" w:ascii="Times New Roman" w:hAnsi="Times New Roman"/>
                <w:lang w:val="en-US" w:eastAsia="zh-CN"/>
              </w:rPr>
              <w:t>1</w:t>
            </w:r>
            <w:r>
              <w:rPr>
                <w:rFonts w:hint="eastAsia" w:ascii="Times New Roman" w:hAnsi="Times New Roman"/>
              </w:rPr>
              <w:t>t/a</w:t>
            </w:r>
          </w:p>
        </w:tc>
        <w:tc>
          <w:tcPr>
            <w:tcW w:w="176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641" w:type="dxa"/>
            <w:vAlign w:val="center"/>
          </w:tcPr>
          <w:p>
            <w:pPr>
              <w:pStyle w:val="40"/>
              <w:snapToGrid w:val="0"/>
              <w:spacing w:line="240" w:lineRule="auto"/>
              <w:rPr>
                <w:rFonts w:ascii="Times New Roman"/>
                <w:kern w:val="21"/>
              </w:rPr>
            </w:pPr>
            <w:r>
              <w:rPr>
                <w:rFonts w:hint="eastAsia" w:ascii="Times New Roman" w:hAnsi="Times New Roman"/>
              </w:rPr>
              <w:t>0.0</w:t>
            </w:r>
            <w:r>
              <w:rPr>
                <w:rFonts w:hint="eastAsia" w:ascii="Times New Roman" w:hAnsi="Times New Roman"/>
                <w:lang w:val="en-US" w:eastAsia="zh-CN"/>
              </w:rPr>
              <w:t>1</w:t>
            </w:r>
            <w:r>
              <w:rPr>
                <w:rFonts w:hint="eastAsia" w:ascii="Times New Roman" w:hAnsi="Times New Roman"/>
              </w:rPr>
              <w:t>t/a</w:t>
            </w:r>
          </w:p>
        </w:tc>
        <w:tc>
          <w:tcPr>
            <w:tcW w:w="1358" w:type="dxa"/>
            <w:vAlign w:val="center"/>
          </w:tcPr>
          <w:p>
            <w:pPr>
              <w:pStyle w:val="40"/>
              <w:snapToGrid w:val="0"/>
              <w:spacing w:line="240" w:lineRule="auto"/>
              <w:rPr>
                <w:rFonts w:ascii="Times New Roman"/>
                <w:kern w:val="21"/>
              </w:rPr>
            </w:pPr>
            <w:r>
              <w:rPr>
                <w:rFonts w:hint="eastAsia" w:ascii="Times New Roman" w:hAnsi="Times New Roman"/>
                <w:lang w:val="en-US" w:eastAsia="zh-CN"/>
              </w:rPr>
              <w:t>+</w:t>
            </w:r>
            <w:r>
              <w:rPr>
                <w:rFonts w:hint="eastAsia" w:ascii="Times New Roman" w:hAnsi="Times New Roman"/>
              </w:rPr>
              <w:t>0.</w:t>
            </w:r>
            <w:r>
              <w:rPr>
                <w:rFonts w:hint="eastAsia" w:ascii="Times New Roman" w:hAnsi="Times New Roman"/>
                <w:lang w:val="en-US" w:eastAsia="zh-CN"/>
              </w:rPr>
              <w:t>015</w:t>
            </w:r>
            <w:r>
              <w:rPr>
                <w:rFonts w:hint="eastAsia" w:ascii="Times New Roman" w:hAnsi="Times New Roma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1368" w:type="dxa"/>
            <w:vMerge w:val="continue"/>
            <w:vAlign w:val="center"/>
          </w:tcPr>
          <w:p>
            <w:pPr>
              <w:pStyle w:val="54"/>
              <w:spacing w:beforeLines="0" w:afterLines="0" w:line="240" w:lineRule="auto"/>
              <w:rPr>
                <w:rFonts w:ascii="Times New Roman"/>
                <w:snapToGrid w:val="0"/>
                <w:kern w:val="21"/>
                <w:szCs w:val="21"/>
              </w:rPr>
            </w:pPr>
          </w:p>
        </w:tc>
        <w:tc>
          <w:tcPr>
            <w:tcW w:w="1495" w:type="dxa"/>
            <w:vAlign w:val="center"/>
          </w:tcPr>
          <w:p>
            <w:pPr>
              <w:pStyle w:val="54"/>
              <w:spacing w:beforeLines="0" w:afterLines="0" w:line="240" w:lineRule="auto"/>
              <w:rPr>
                <w:rFonts w:ascii="Times New Roman"/>
                <w:snapToGrid w:val="0"/>
                <w:kern w:val="21"/>
                <w:szCs w:val="21"/>
                <w:vertAlign w:val="subscript"/>
              </w:rPr>
            </w:pPr>
            <w:r>
              <w:rPr>
                <w:rFonts w:ascii="Times New Roman"/>
                <w:snapToGrid w:val="0"/>
                <w:kern w:val="21"/>
                <w:szCs w:val="21"/>
              </w:rPr>
              <w:t>BOD</w:t>
            </w:r>
            <w:r>
              <w:rPr>
                <w:rFonts w:hint="eastAsia" w:ascii="Times New Roman"/>
                <w:snapToGrid w:val="0"/>
                <w:kern w:val="21"/>
                <w:szCs w:val="21"/>
                <w:vertAlign w:val="subscript"/>
              </w:rPr>
              <w:t>5</w:t>
            </w:r>
          </w:p>
        </w:tc>
        <w:tc>
          <w:tcPr>
            <w:tcW w:w="170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276"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559" w:type="dxa"/>
            <w:vAlign w:val="center"/>
          </w:tcPr>
          <w:p>
            <w:pPr>
              <w:pStyle w:val="40"/>
              <w:snapToGrid w:val="0"/>
              <w:spacing w:line="240" w:lineRule="auto"/>
              <w:rPr>
                <w:rFonts w:ascii="Times New Roman"/>
                <w:kern w:val="21"/>
              </w:rPr>
            </w:pPr>
            <w:r>
              <w:rPr>
                <w:rFonts w:hint="eastAsia" w:ascii="Times New Roman" w:hAnsi="Times New Roman"/>
              </w:rPr>
              <w:t>0.</w:t>
            </w:r>
            <w:r>
              <w:rPr>
                <w:rFonts w:hint="eastAsia" w:ascii="Times New Roman" w:hAnsi="Times New Roman"/>
                <w:lang w:val="en-US" w:eastAsia="zh-CN"/>
              </w:rPr>
              <w:t>015</w:t>
            </w:r>
            <w:r>
              <w:rPr>
                <w:rFonts w:hint="eastAsia" w:ascii="Times New Roman" w:hAnsi="Times New Roman"/>
              </w:rPr>
              <w:t>t/a</w:t>
            </w:r>
          </w:p>
        </w:tc>
        <w:tc>
          <w:tcPr>
            <w:tcW w:w="176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641" w:type="dxa"/>
            <w:vAlign w:val="center"/>
          </w:tcPr>
          <w:p>
            <w:pPr>
              <w:pStyle w:val="40"/>
              <w:snapToGrid w:val="0"/>
              <w:spacing w:line="240" w:lineRule="auto"/>
              <w:rPr>
                <w:rFonts w:ascii="Times New Roman"/>
                <w:kern w:val="21"/>
              </w:rPr>
            </w:pPr>
            <w:r>
              <w:rPr>
                <w:rFonts w:hint="eastAsia" w:ascii="Times New Roman" w:hAnsi="Times New Roman"/>
              </w:rPr>
              <w:t>0.</w:t>
            </w:r>
            <w:r>
              <w:rPr>
                <w:rFonts w:hint="eastAsia" w:ascii="Times New Roman" w:hAnsi="Times New Roman"/>
                <w:lang w:val="en-US" w:eastAsia="zh-CN"/>
              </w:rPr>
              <w:t>015</w:t>
            </w:r>
            <w:r>
              <w:rPr>
                <w:rFonts w:hint="eastAsia" w:ascii="Times New Roman" w:hAnsi="Times New Roman"/>
              </w:rPr>
              <w:t>t/a</w:t>
            </w:r>
          </w:p>
        </w:tc>
        <w:tc>
          <w:tcPr>
            <w:tcW w:w="1358" w:type="dxa"/>
            <w:vAlign w:val="center"/>
          </w:tcPr>
          <w:p>
            <w:pPr>
              <w:pStyle w:val="40"/>
              <w:snapToGrid w:val="0"/>
              <w:spacing w:line="240" w:lineRule="auto"/>
              <w:rPr>
                <w:rFonts w:ascii="Times New Roman"/>
                <w:kern w:val="21"/>
              </w:rPr>
            </w:pPr>
            <w:r>
              <w:rPr>
                <w:rFonts w:hint="eastAsia" w:ascii="Times New Roman" w:hAnsi="Times New Roman"/>
                <w:lang w:val="en-US" w:eastAsia="zh-CN"/>
              </w:rPr>
              <w:t>+</w:t>
            </w:r>
            <w:r>
              <w:rPr>
                <w:rFonts w:hint="eastAsia" w:ascii="Times New Roman" w:hAnsi="Times New Roman"/>
              </w:rPr>
              <w:t>0.</w:t>
            </w:r>
            <w:r>
              <w:rPr>
                <w:rFonts w:hint="eastAsia" w:ascii="Times New Roman" w:hAnsi="Times New Roman"/>
                <w:lang w:val="en-US" w:eastAsia="zh-CN"/>
              </w:rPr>
              <w:t>038</w:t>
            </w:r>
            <w:r>
              <w:rPr>
                <w:rFonts w:hint="eastAsia" w:ascii="Times New Roman" w:hAnsi="Times New Roma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68" w:type="dxa"/>
            <w:vMerge w:val="continue"/>
            <w:vAlign w:val="center"/>
          </w:tcPr>
          <w:p>
            <w:pPr>
              <w:pStyle w:val="54"/>
              <w:spacing w:beforeLines="0" w:afterLines="0" w:line="240" w:lineRule="auto"/>
              <w:rPr>
                <w:rFonts w:ascii="Times New Roman"/>
                <w:snapToGrid w:val="0"/>
                <w:kern w:val="21"/>
                <w:szCs w:val="21"/>
              </w:rPr>
            </w:pPr>
          </w:p>
        </w:tc>
        <w:tc>
          <w:tcPr>
            <w:tcW w:w="1495"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SS</w:t>
            </w:r>
          </w:p>
        </w:tc>
        <w:tc>
          <w:tcPr>
            <w:tcW w:w="170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276"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559" w:type="dxa"/>
            <w:vAlign w:val="center"/>
          </w:tcPr>
          <w:p>
            <w:pPr>
              <w:pStyle w:val="40"/>
              <w:snapToGrid w:val="0"/>
              <w:spacing w:line="240" w:lineRule="auto"/>
              <w:rPr>
                <w:rFonts w:ascii="Times New Roman"/>
                <w:kern w:val="21"/>
              </w:rPr>
            </w:pPr>
            <w:r>
              <w:rPr>
                <w:rFonts w:hint="eastAsia" w:ascii="Times New Roman" w:hAnsi="Times New Roman"/>
              </w:rPr>
              <w:t>0.</w:t>
            </w:r>
            <w:r>
              <w:rPr>
                <w:rFonts w:hint="eastAsia" w:ascii="Times New Roman" w:hAnsi="Times New Roman"/>
                <w:lang w:val="en-US" w:eastAsia="zh-CN"/>
              </w:rPr>
              <w:t>038</w:t>
            </w:r>
            <w:r>
              <w:rPr>
                <w:rFonts w:hint="eastAsia" w:ascii="Times New Roman" w:hAnsi="Times New Roman"/>
              </w:rPr>
              <w:t>t/a</w:t>
            </w:r>
          </w:p>
        </w:tc>
        <w:tc>
          <w:tcPr>
            <w:tcW w:w="176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641" w:type="dxa"/>
            <w:vAlign w:val="center"/>
          </w:tcPr>
          <w:p>
            <w:pPr>
              <w:pStyle w:val="40"/>
              <w:snapToGrid w:val="0"/>
              <w:spacing w:line="240" w:lineRule="auto"/>
              <w:rPr>
                <w:rFonts w:ascii="Times New Roman"/>
                <w:kern w:val="21"/>
              </w:rPr>
            </w:pPr>
            <w:r>
              <w:rPr>
                <w:rFonts w:hint="eastAsia" w:ascii="Times New Roman" w:hAnsi="Times New Roman"/>
              </w:rPr>
              <w:t>0.</w:t>
            </w:r>
            <w:r>
              <w:rPr>
                <w:rFonts w:hint="eastAsia" w:ascii="Times New Roman" w:hAnsi="Times New Roman"/>
                <w:lang w:val="en-US" w:eastAsia="zh-CN"/>
              </w:rPr>
              <w:t>038</w:t>
            </w:r>
            <w:r>
              <w:rPr>
                <w:rFonts w:hint="eastAsia" w:ascii="Times New Roman" w:hAnsi="Times New Roman"/>
              </w:rPr>
              <w:t>t/a</w:t>
            </w:r>
          </w:p>
        </w:tc>
        <w:tc>
          <w:tcPr>
            <w:tcW w:w="1358" w:type="dxa"/>
            <w:vAlign w:val="center"/>
          </w:tcPr>
          <w:p>
            <w:pPr>
              <w:pStyle w:val="40"/>
              <w:snapToGrid w:val="0"/>
              <w:spacing w:line="240" w:lineRule="auto"/>
              <w:rPr>
                <w:rFonts w:ascii="Times New Roman"/>
                <w:kern w:val="21"/>
              </w:rPr>
            </w:pPr>
            <w:r>
              <w:rPr>
                <w:rFonts w:hint="eastAsia" w:ascii="Times New Roman" w:hAnsi="Times New Roman"/>
                <w:lang w:val="en-US" w:eastAsia="zh-CN"/>
              </w:rPr>
              <w:t>+</w:t>
            </w:r>
            <w:r>
              <w:rPr>
                <w:rFonts w:hint="eastAsia" w:ascii="Times New Roman" w:hAnsi="Times New Roman"/>
              </w:rPr>
              <w:t>0.</w:t>
            </w:r>
            <w:r>
              <w:rPr>
                <w:rFonts w:hint="eastAsia" w:ascii="Times New Roman" w:hAnsi="Times New Roman"/>
                <w:lang w:val="en-US" w:eastAsia="zh-CN"/>
              </w:rPr>
              <w:t>018</w:t>
            </w:r>
            <w:r>
              <w:rPr>
                <w:rFonts w:hint="eastAsia" w:ascii="Times New Roman" w:hAnsi="Times New Roma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68" w:type="dxa"/>
            <w:vMerge w:val="continue"/>
            <w:vAlign w:val="center"/>
          </w:tcPr>
          <w:p>
            <w:pPr>
              <w:pStyle w:val="54"/>
              <w:spacing w:beforeLines="0" w:afterLines="0" w:line="240" w:lineRule="auto"/>
              <w:rPr>
                <w:rFonts w:ascii="Times New Roman"/>
                <w:snapToGrid w:val="0"/>
                <w:kern w:val="21"/>
                <w:szCs w:val="21"/>
              </w:rPr>
            </w:pPr>
          </w:p>
        </w:tc>
        <w:tc>
          <w:tcPr>
            <w:tcW w:w="1495"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动植物油</w:t>
            </w:r>
          </w:p>
        </w:tc>
        <w:tc>
          <w:tcPr>
            <w:tcW w:w="170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276"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559" w:type="dxa"/>
            <w:vAlign w:val="center"/>
          </w:tcPr>
          <w:p>
            <w:pPr>
              <w:pStyle w:val="40"/>
              <w:snapToGrid w:val="0"/>
              <w:spacing w:line="240" w:lineRule="auto"/>
              <w:rPr>
                <w:rFonts w:ascii="Times New Roman" w:hAnsi="Times New Roman"/>
              </w:rPr>
            </w:pPr>
            <w:r>
              <w:rPr>
                <w:rFonts w:hint="eastAsia" w:ascii="Times New Roman" w:hAnsi="Times New Roman"/>
              </w:rPr>
              <w:t>0.</w:t>
            </w:r>
            <w:r>
              <w:rPr>
                <w:rFonts w:hint="eastAsia" w:ascii="Times New Roman" w:hAnsi="Times New Roman"/>
                <w:lang w:val="en-US" w:eastAsia="zh-CN"/>
              </w:rPr>
              <w:t>018</w:t>
            </w:r>
            <w:r>
              <w:rPr>
                <w:rFonts w:hint="eastAsia" w:ascii="Times New Roman" w:hAnsi="Times New Roman"/>
              </w:rPr>
              <w:t>t/a</w:t>
            </w:r>
          </w:p>
        </w:tc>
        <w:tc>
          <w:tcPr>
            <w:tcW w:w="176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641" w:type="dxa"/>
            <w:vAlign w:val="center"/>
          </w:tcPr>
          <w:p>
            <w:pPr>
              <w:pStyle w:val="40"/>
              <w:snapToGrid w:val="0"/>
              <w:spacing w:line="240" w:lineRule="auto"/>
              <w:rPr>
                <w:rFonts w:ascii="Times New Roman" w:hAnsi="Times New Roman"/>
              </w:rPr>
            </w:pPr>
            <w:r>
              <w:rPr>
                <w:rFonts w:hint="eastAsia" w:ascii="Times New Roman" w:hAnsi="Times New Roman"/>
              </w:rPr>
              <w:t>0.</w:t>
            </w:r>
            <w:r>
              <w:rPr>
                <w:rFonts w:hint="eastAsia" w:ascii="Times New Roman" w:hAnsi="Times New Roman"/>
                <w:lang w:val="en-US" w:eastAsia="zh-CN"/>
              </w:rPr>
              <w:t>018</w:t>
            </w:r>
            <w:r>
              <w:rPr>
                <w:rFonts w:hint="eastAsia" w:ascii="Times New Roman" w:hAnsi="Times New Roman"/>
              </w:rPr>
              <w:t>t/a</w:t>
            </w:r>
          </w:p>
        </w:tc>
        <w:tc>
          <w:tcPr>
            <w:tcW w:w="1358" w:type="dxa"/>
            <w:vAlign w:val="center"/>
          </w:tcPr>
          <w:p>
            <w:pPr>
              <w:pStyle w:val="40"/>
              <w:snapToGrid w:val="0"/>
              <w:spacing w:line="240" w:lineRule="auto"/>
              <w:rPr>
                <w:rFonts w:ascii="Times New Roman" w:hAnsi="Times New Roman"/>
              </w:rPr>
            </w:pPr>
            <w:r>
              <w:rPr>
                <w:rFonts w:hint="eastAsia" w:ascii="Times New Roman" w:hAnsi="Times New Roman"/>
                <w:lang w:val="en-US" w:eastAsia="zh-CN"/>
              </w:rPr>
              <w:t>+</w:t>
            </w:r>
            <w:r>
              <w:rPr>
                <w:rFonts w:hint="eastAsia" w:ascii="Times New Roman" w:hAnsi="Times New Roman"/>
              </w:rPr>
              <w:t>0.0</w:t>
            </w:r>
            <w:r>
              <w:rPr>
                <w:rFonts w:hint="eastAsia" w:ascii="Times New Roman" w:hAnsi="Times New Roman"/>
                <w:lang w:val="en-US" w:eastAsia="zh-CN"/>
              </w:rPr>
              <w:t>03</w:t>
            </w:r>
            <w:r>
              <w:rPr>
                <w:rFonts w:hint="eastAsia" w:ascii="Times New Roman" w:hAnsi="Times New Roma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68" w:type="dxa"/>
            <w:vMerge w:val="continue"/>
            <w:vAlign w:val="center"/>
          </w:tcPr>
          <w:p>
            <w:pPr>
              <w:pStyle w:val="54"/>
              <w:spacing w:beforeLines="0" w:afterLines="0" w:line="240" w:lineRule="auto"/>
              <w:rPr>
                <w:rFonts w:ascii="Times New Roman"/>
                <w:snapToGrid w:val="0"/>
                <w:kern w:val="21"/>
                <w:szCs w:val="21"/>
              </w:rPr>
            </w:pPr>
          </w:p>
        </w:tc>
        <w:tc>
          <w:tcPr>
            <w:tcW w:w="1495"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石油类</w:t>
            </w:r>
          </w:p>
        </w:tc>
        <w:tc>
          <w:tcPr>
            <w:tcW w:w="170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276"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559" w:type="dxa"/>
            <w:vAlign w:val="center"/>
          </w:tcPr>
          <w:p>
            <w:pPr>
              <w:pStyle w:val="40"/>
              <w:snapToGrid w:val="0"/>
              <w:spacing w:line="240" w:lineRule="auto"/>
              <w:rPr>
                <w:rFonts w:ascii="Times New Roman" w:hAnsi="Times New Roman"/>
              </w:rPr>
            </w:pPr>
            <w:r>
              <w:rPr>
                <w:rFonts w:hint="eastAsia" w:ascii="Times New Roman" w:hAnsi="Times New Roman"/>
              </w:rPr>
              <w:t>0.0</w:t>
            </w:r>
            <w:r>
              <w:rPr>
                <w:rFonts w:hint="eastAsia" w:ascii="Times New Roman" w:hAnsi="Times New Roman"/>
                <w:lang w:val="en-US" w:eastAsia="zh-CN"/>
              </w:rPr>
              <w:t>03</w:t>
            </w:r>
            <w:r>
              <w:rPr>
                <w:rFonts w:hint="eastAsia" w:ascii="Times New Roman" w:hAnsi="Times New Roman"/>
              </w:rPr>
              <w:t>t/a</w:t>
            </w:r>
          </w:p>
        </w:tc>
        <w:tc>
          <w:tcPr>
            <w:tcW w:w="176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641" w:type="dxa"/>
            <w:vAlign w:val="center"/>
          </w:tcPr>
          <w:p>
            <w:pPr>
              <w:pStyle w:val="40"/>
              <w:snapToGrid w:val="0"/>
              <w:spacing w:line="240" w:lineRule="auto"/>
              <w:rPr>
                <w:rFonts w:ascii="Times New Roman" w:hAnsi="Times New Roman"/>
              </w:rPr>
            </w:pPr>
            <w:r>
              <w:rPr>
                <w:rFonts w:hint="eastAsia" w:ascii="Times New Roman" w:hAnsi="Times New Roman"/>
              </w:rPr>
              <w:t>0.0</w:t>
            </w:r>
            <w:r>
              <w:rPr>
                <w:rFonts w:hint="eastAsia" w:ascii="Times New Roman" w:hAnsi="Times New Roman"/>
                <w:lang w:val="en-US" w:eastAsia="zh-CN"/>
              </w:rPr>
              <w:t>03</w:t>
            </w:r>
            <w:r>
              <w:rPr>
                <w:rFonts w:hint="eastAsia" w:ascii="Times New Roman" w:hAnsi="Times New Roman"/>
              </w:rPr>
              <w:t>t/a</w:t>
            </w:r>
          </w:p>
        </w:tc>
        <w:tc>
          <w:tcPr>
            <w:tcW w:w="1358" w:type="dxa"/>
            <w:vAlign w:val="center"/>
          </w:tcPr>
          <w:p>
            <w:pPr>
              <w:pStyle w:val="40"/>
              <w:snapToGrid w:val="0"/>
              <w:spacing w:line="240" w:lineRule="auto"/>
              <w:rPr>
                <w:rFonts w:ascii="Times New Roman" w:hAnsi="Times New Roman"/>
              </w:rPr>
            </w:pPr>
            <w:r>
              <w:rPr>
                <w:rFonts w:hint="eastAsia" w:ascii="Times New Roman" w:hAnsi="Times New Roman"/>
                <w:lang w:val="en-US" w:eastAsia="zh-CN"/>
              </w:rPr>
              <w:t>+</w:t>
            </w:r>
            <w:r>
              <w:rPr>
                <w:rFonts w:hint="eastAsia" w:ascii="Times New Roman" w:hAnsi="Times New Roman"/>
              </w:rPr>
              <w:t>0.</w:t>
            </w:r>
            <w:r>
              <w:rPr>
                <w:rFonts w:hint="eastAsia" w:ascii="Times New Roman" w:hAnsi="Times New Roman"/>
                <w:lang w:val="en-US" w:eastAsia="zh-CN"/>
              </w:rPr>
              <w:t>063</w:t>
            </w:r>
            <w:r>
              <w:rPr>
                <w:rFonts w:hint="eastAsia" w:ascii="Times New Roman" w:hAnsi="Times New Roma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68"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一般工业</w:t>
            </w:r>
          </w:p>
          <w:p>
            <w:pPr>
              <w:pStyle w:val="54"/>
              <w:spacing w:beforeLines="0" w:afterLines="0" w:line="240" w:lineRule="auto"/>
              <w:rPr>
                <w:rFonts w:ascii="Times New Roman"/>
                <w:snapToGrid w:val="0"/>
                <w:kern w:val="21"/>
                <w:szCs w:val="21"/>
              </w:rPr>
            </w:pPr>
            <w:r>
              <w:rPr>
                <w:rFonts w:ascii="Times New Roman"/>
                <w:snapToGrid w:val="0"/>
                <w:kern w:val="21"/>
                <w:szCs w:val="21"/>
              </w:rPr>
              <w:t>固体废物</w:t>
            </w:r>
          </w:p>
        </w:tc>
        <w:tc>
          <w:tcPr>
            <w:tcW w:w="1495"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废包装袋</w:t>
            </w:r>
          </w:p>
        </w:tc>
        <w:tc>
          <w:tcPr>
            <w:tcW w:w="170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276"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70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559"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lang w:val="en-US" w:eastAsia="zh-CN"/>
              </w:rPr>
              <w:t>0.1</w:t>
            </w:r>
            <w:r>
              <w:rPr>
                <w:rFonts w:hint="eastAsia" w:ascii="Times New Roman"/>
                <w:szCs w:val="21"/>
              </w:rPr>
              <w:t>t/a</w:t>
            </w:r>
          </w:p>
        </w:tc>
        <w:tc>
          <w:tcPr>
            <w:tcW w:w="176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64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lang w:val="en-US" w:eastAsia="zh-CN"/>
              </w:rPr>
              <w:t>0.1</w:t>
            </w:r>
            <w:r>
              <w:rPr>
                <w:rFonts w:hint="eastAsia" w:ascii="Times New Roman"/>
                <w:szCs w:val="21"/>
              </w:rPr>
              <w:t>t/a</w:t>
            </w:r>
          </w:p>
        </w:tc>
        <w:tc>
          <w:tcPr>
            <w:tcW w:w="1358"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w:t>
            </w:r>
            <w:r>
              <w:rPr>
                <w:rFonts w:hint="eastAsia" w:ascii="Times New Roman"/>
                <w:snapToGrid w:val="0"/>
                <w:kern w:val="21"/>
                <w:szCs w:val="21"/>
                <w:lang w:val="en-US" w:eastAsia="zh-CN"/>
              </w:rPr>
              <w:t>0.1</w:t>
            </w:r>
            <w:r>
              <w:rPr>
                <w:rFonts w:hint="eastAsia" w:ascii="Times New Roman"/>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68" w:type="dxa"/>
            <w:vMerge w:val="restart"/>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危险废物</w:t>
            </w:r>
          </w:p>
        </w:tc>
        <w:tc>
          <w:tcPr>
            <w:tcW w:w="1495"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废机油</w:t>
            </w:r>
          </w:p>
        </w:tc>
        <w:tc>
          <w:tcPr>
            <w:tcW w:w="170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276"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559"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0.1t/a</w:t>
            </w:r>
          </w:p>
        </w:tc>
        <w:tc>
          <w:tcPr>
            <w:tcW w:w="176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64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0.1t/a</w:t>
            </w:r>
          </w:p>
        </w:tc>
        <w:tc>
          <w:tcPr>
            <w:tcW w:w="1358"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68" w:type="dxa"/>
            <w:vMerge w:val="continue"/>
            <w:vAlign w:val="center"/>
          </w:tcPr>
          <w:p>
            <w:pPr>
              <w:pStyle w:val="54"/>
              <w:spacing w:beforeLines="0" w:afterLines="0" w:line="240" w:lineRule="auto"/>
              <w:rPr>
                <w:rFonts w:ascii="Times New Roman"/>
                <w:snapToGrid w:val="0"/>
                <w:kern w:val="21"/>
                <w:szCs w:val="21"/>
              </w:rPr>
            </w:pPr>
          </w:p>
        </w:tc>
        <w:tc>
          <w:tcPr>
            <w:tcW w:w="1495"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浮油渣</w:t>
            </w:r>
          </w:p>
        </w:tc>
        <w:tc>
          <w:tcPr>
            <w:tcW w:w="170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276"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559"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0.2t/a</w:t>
            </w:r>
          </w:p>
        </w:tc>
        <w:tc>
          <w:tcPr>
            <w:tcW w:w="176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64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0.2t/a</w:t>
            </w:r>
          </w:p>
        </w:tc>
        <w:tc>
          <w:tcPr>
            <w:tcW w:w="1358"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68" w:type="dxa"/>
            <w:vMerge w:val="continue"/>
            <w:vAlign w:val="center"/>
          </w:tcPr>
          <w:p>
            <w:pPr>
              <w:pStyle w:val="54"/>
              <w:spacing w:beforeLines="0" w:afterLines="0" w:line="240" w:lineRule="auto"/>
              <w:rPr>
                <w:rFonts w:ascii="Times New Roman"/>
                <w:snapToGrid w:val="0"/>
                <w:kern w:val="21"/>
                <w:szCs w:val="21"/>
              </w:rPr>
            </w:pPr>
          </w:p>
        </w:tc>
        <w:tc>
          <w:tcPr>
            <w:tcW w:w="1495"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油泥</w:t>
            </w:r>
          </w:p>
        </w:tc>
        <w:tc>
          <w:tcPr>
            <w:tcW w:w="170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276"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54"/>
              <w:spacing w:beforeLines="0" w:afterLines="0" w:line="240" w:lineRule="auto"/>
              <w:rPr>
                <w:rFonts w:ascii="Times New Roman"/>
                <w:snapToGrid w:val="0"/>
                <w:kern w:val="21"/>
                <w:szCs w:val="21"/>
              </w:rPr>
            </w:pPr>
            <w:r>
              <w:rPr>
                <w:rFonts w:ascii="Times New Roman"/>
                <w:snapToGrid w:val="0"/>
                <w:kern w:val="21"/>
                <w:szCs w:val="21"/>
              </w:rPr>
              <w:t>0</w:t>
            </w:r>
          </w:p>
        </w:tc>
        <w:tc>
          <w:tcPr>
            <w:tcW w:w="1559"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0.1t/a</w:t>
            </w:r>
          </w:p>
        </w:tc>
        <w:tc>
          <w:tcPr>
            <w:tcW w:w="176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w:t>
            </w:r>
          </w:p>
        </w:tc>
        <w:tc>
          <w:tcPr>
            <w:tcW w:w="1641"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0.1t/a</w:t>
            </w:r>
          </w:p>
        </w:tc>
        <w:tc>
          <w:tcPr>
            <w:tcW w:w="1358" w:type="dxa"/>
            <w:vAlign w:val="center"/>
          </w:tcPr>
          <w:p>
            <w:pPr>
              <w:pStyle w:val="54"/>
              <w:spacing w:beforeLines="0" w:afterLines="0" w:line="240" w:lineRule="auto"/>
              <w:rPr>
                <w:rFonts w:ascii="Times New Roman"/>
                <w:snapToGrid w:val="0"/>
                <w:kern w:val="21"/>
                <w:szCs w:val="21"/>
              </w:rPr>
            </w:pPr>
            <w:r>
              <w:rPr>
                <w:rFonts w:hint="eastAsia" w:ascii="Times New Roman"/>
                <w:snapToGrid w:val="0"/>
                <w:kern w:val="21"/>
                <w:szCs w:val="21"/>
              </w:rPr>
              <w:t>+0.1t/a</w:t>
            </w:r>
          </w:p>
        </w:tc>
      </w:tr>
    </w:tbl>
    <w:p>
      <w:pPr>
        <w:pStyle w:val="54"/>
        <w:spacing w:before="192" w:beforeLines="80" w:after="24"/>
        <w:jc w:val="left"/>
        <w:rPr>
          <w:rFonts w:hAnsi="宋体"/>
          <w:snapToGrid w:val="0"/>
          <w:spacing w:val="-6"/>
          <w:kern w:val="21"/>
          <w:szCs w:val="21"/>
        </w:rPr>
      </w:pPr>
      <w:r>
        <w:rPr>
          <w:rFonts w:hAnsi="宋体"/>
          <w:snapToGrid w:val="0"/>
          <w:kern w:val="21"/>
          <w:szCs w:val="21"/>
        </w:rPr>
        <w:t>注：</w:t>
      </w:r>
      <w:r>
        <w:rPr>
          <w:rFonts w:hAnsi="宋体"/>
          <w:snapToGrid w:val="0"/>
          <w:spacing w:val="-16"/>
          <w:kern w:val="21"/>
          <w:szCs w:val="21"/>
        </w:rPr>
        <w:fldChar w:fldCharType="begin"/>
      </w:r>
      <w:r>
        <w:rPr>
          <w:rFonts w:hAnsi="宋体"/>
          <w:snapToGrid w:val="0"/>
          <w:spacing w:val="-16"/>
          <w:kern w:val="21"/>
          <w:szCs w:val="21"/>
        </w:rPr>
        <w:instrText xml:space="preserve"> = 6 \* GB3 \* MERGEFORMAT </w:instrText>
      </w:r>
      <w:r>
        <w:rPr>
          <w:rFonts w:hAnsi="宋体"/>
          <w:snapToGrid w:val="0"/>
          <w:spacing w:val="-16"/>
          <w:kern w:val="21"/>
          <w:szCs w:val="21"/>
        </w:rPr>
        <w:fldChar w:fldCharType="separate"/>
      </w:r>
      <w:r>
        <w:rPr>
          <w:rFonts w:hint="eastAsia" w:hAnsi="宋体"/>
          <w:szCs w:val="21"/>
        </w:rPr>
        <w:t>⑥</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1 \* GB3 \* MERGEFORMAT </w:instrText>
      </w:r>
      <w:r>
        <w:rPr>
          <w:rFonts w:hAnsi="宋体"/>
          <w:snapToGrid w:val="0"/>
          <w:spacing w:val="-6"/>
          <w:kern w:val="21"/>
          <w:szCs w:val="21"/>
        </w:rPr>
        <w:fldChar w:fldCharType="separate"/>
      </w:r>
      <w:r>
        <w:rPr>
          <w:rFonts w:hint="eastAsia" w:hAnsi="宋体"/>
          <w:szCs w:val="21"/>
        </w:rPr>
        <w:t>①</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3 \* GB3 \* MERGEFORMAT </w:instrText>
      </w:r>
      <w:r>
        <w:rPr>
          <w:rFonts w:hAnsi="宋体"/>
          <w:snapToGrid w:val="0"/>
          <w:spacing w:val="-6"/>
          <w:kern w:val="21"/>
          <w:szCs w:val="21"/>
        </w:rPr>
        <w:fldChar w:fldCharType="separate"/>
      </w:r>
      <w:r>
        <w:rPr>
          <w:rFonts w:hint="eastAsia" w:hAnsi="宋体"/>
          <w:szCs w:val="21"/>
        </w:rPr>
        <w:t>③</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4 \* GB3 \* MERGEFORMAT </w:instrText>
      </w:r>
      <w:r>
        <w:rPr>
          <w:rFonts w:hAnsi="宋体"/>
          <w:snapToGrid w:val="0"/>
          <w:spacing w:val="-6"/>
          <w:kern w:val="21"/>
          <w:szCs w:val="21"/>
        </w:rPr>
        <w:fldChar w:fldCharType="separate"/>
      </w:r>
      <w:r>
        <w:rPr>
          <w:rFonts w:hint="eastAsia" w:hAnsi="宋体"/>
          <w:szCs w:val="21"/>
        </w:rPr>
        <w:t>④</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16"/>
          <w:kern w:val="21"/>
          <w:szCs w:val="21"/>
        </w:rPr>
        <w:fldChar w:fldCharType="begin"/>
      </w:r>
      <w:r>
        <w:rPr>
          <w:rFonts w:hAnsi="宋体"/>
          <w:snapToGrid w:val="0"/>
          <w:spacing w:val="-16"/>
          <w:kern w:val="21"/>
          <w:szCs w:val="21"/>
        </w:rPr>
        <w:instrText xml:space="preserve"> = 5 \* GB3 \* MERGEFORMAT </w:instrText>
      </w:r>
      <w:r>
        <w:rPr>
          <w:rFonts w:hAnsi="宋体"/>
          <w:snapToGrid w:val="0"/>
          <w:spacing w:val="-16"/>
          <w:kern w:val="21"/>
          <w:szCs w:val="21"/>
        </w:rPr>
        <w:fldChar w:fldCharType="separate"/>
      </w:r>
      <w:r>
        <w:rPr>
          <w:rFonts w:hint="eastAsia" w:hAnsi="宋体"/>
          <w:szCs w:val="21"/>
        </w:rPr>
        <w:t>⑤</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7 \* GB3 \* MERGEFORMAT </w:instrText>
      </w:r>
      <w:r>
        <w:rPr>
          <w:rFonts w:hAnsi="宋体"/>
          <w:snapToGrid w:val="0"/>
          <w:spacing w:val="-6"/>
          <w:kern w:val="21"/>
          <w:szCs w:val="21"/>
        </w:rPr>
        <w:fldChar w:fldCharType="separate"/>
      </w:r>
      <w:r>
        <w:rPr>
          <w:rFonts w:hint="eastAsia" w:hAnsi="宋体"/>
          <w:szCs w:val="21"/>
        </w:rPr>
        <w:t>⑦</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16"/>
          <w:kern w:val="21"/>
          <w:szCs w:val="21"/>
        </w:rPr>
        <w:fldChar w:fldCharType="begin"/>
      </w:r>
      <w:r>
        <w:rPr>
          <w:rFonts w:hAnsi="宋体"/>
          <w:snapToGrid w:val="0"/>
          <w:spacing w:val="-16"/>
          <w:kern w:val="21"/>
          <w:szCs w:val="21"/>
        </w:rPr>
        <w:instrText xml:space="preserve"> = 6 \* GB3 \* MERGEFORMAT </w:instrText>
      </w:r>
      <w:r>
        <w:rPr>
          <w:rFonts w:hAnsi="宋体"/>
          <w:snapToGrid w:val="0"/>
          <w:spacing w:val="-16"/>
          <w:kern w:val="21"/>
          <w:szCs w:val="21"/>
        </w:rPr>
        <w:fldChar w:fldCharType="separate"/>
      </w:r>
      <w:r>
        <w:rPr>
          <w:rFonts w:hint="eastAsia" w:hAnsi="宋体"/>
          <w:szCs w:val="21"/>
        </w:rPr>
        <w:t>⑥</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1 \* GB3 \* MERGEFORMAT </w:instrText>
      </w:r>
      <w:r>
        <w:rPr>
          <w:rFonts w:hAnsi="宋体"/>
          <w:snapToGrid w:val="0"/>
          <w:spacing w:val="-6"/>
          <w:kern w:val="21"/>
          <w:szCs w:val="21"/>
        </w:rPr>
        <w:fldChar w:fldCharType="separate"/>
      </w:r>
      <w:r>
        <w:rPr>
          <w:rFonts w:hint="eastAsia" w:hAnsi="宋体"/>
          <w:szCs w:val="21"/>
        </w:rPr>
        <w:t>①</w:t>
      </w:r>
      <w:r>
        <w:rPr>
          <w:rFonts w:hAnsi="宋体"/>
          <w:snapToGrid w:val="0"/>
          <w:spacing w:val="-6"/>
          <w:kern w:val="21"/>
          <w:szCs w:val="21"/>
        </w:rPr>
        <w:fldChar w:fldCharType="end"/>
      </w:r>
    </w:p>
    <w:p>
      <w:pPr>
        <w:sectPr>
          <w:footerReference r:id="rId6"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adjustRightInd w:val="0"/>
        <w:snapToGrid w:val="0"/>
        <w:spacing w:line="288" w:lineRule="auto"/>
        <w:ind w:left="3245" w:leftChars="513" w:hanging="2168" w:hangingChars="600"/>
        <w:rPr>
          <w:rFonts w:ascii="仿宋_GB2312" w:eastAsia="仿宋_GB2312"/>
          <w:b/>
          <w:bCs/>
          <w:sz w:val="36"/>
          <w:szCs w:val="36"/>
        </w:rPr>
      </w:pPr>
    </w:p>
    <w:p>
      <w:pPr>
        <w:adjustRightInd w:val="0"/>
        <w:snapToGrid w:val="0"/>
        <w:spacing w:line="288" w:lineRule="auto"/>
        <w:ind w:left="3245" w:leftChars="513" w:hanging="2168" w:hangingChars="600"/>
        <w:rPr>
          <w:rFonts w:ascii="仿宋_GB2312" w:eastAsia="仿宋_GB2312"/>
          <w:b/>
          <w:bCs/>
          <w:sz w:val="36"/>
          <w:szCs w:val="36"/>
        </w:rPr>
      </w:pPr>
    </w:p>
    <w:p>
      <w:pPr>
        <w:adjustRightInd w:val="0"/>
        <w:snapToGrid w:val="0"/>
        <w:spacing w:line="288" w:lineRule="auto"/>
        <w:ind w:left="3245" w:leftChars="513" w:hanging="2168" w:hangingChars="600"/>
        <w:rPr>
          <w:rFonts w:ascii="仿宋_GB2312" w:eastAsia="仿宋_GB2312"/>
          <w:b/>
          <w:bCs/>
          <w:sz w:val="36"/>
          <w:szCs w:val="36"/>
        </w:rPr>
      </w:pPr>
    </w:p>
    <w:p>
      <w:pPr>
        <w:adjustRightInd w:val="0"/>
        <w:snapToGrid w:val="0"/>
        <w:spacing w:line="360" w:lineRule="auto"/>
        <w:jc w:val="center"/>
        <w:rPr>
          <w:rFonts w:ascii="仿宋_GB2312" w:eastAsia="仿宋_GB2312"/>
          <w:b/>
          <w:bCs/>
          <w:sz w:val="36"/>
          <w:szCs w:val="36"/>
        </w:rPr>
      </w:pPr>
      <w:r>
        <w:rPr>
          <w:rFonts w:hint="eastAsia" w:ascii="仿宋_GB2312" w:eastAsia="仿宋_GB2312"/>
          <w:b/>
          <w:bCs/>
          <w:sz w:val="36"/>
          <w:szCs w:val="36"/>
        </w:rPr>
        <w:t>现场混装多孔粒状铵油炸药生产系统及危险品储存库区搬迁改造项目环境风险专项评价</w:t>
      </w:r>
    </w:p>
    <w:p>
      <w:pPr>
        <w:adjustRightInd w:val="0"/>
        <w:snapToGrid w:val="0"/>
        <w:spacing w:line="288" w:lineRule="auto"/>
        <w:ind w:firstLine="1040"/>
        <w:rPr>
          <w:rFonts w:ascii="仿宋_GB2312" w:eastAsia="仿宋_GB2312"/>
          <w:b/>
          <w:bCs/>
          <w:sz w:val="36"/>
          <w:szCs w:val="36"/>
        </w:rPr>
      </w:pPr>
    </w:p>
    <w:p>
      <w:pPr>
        <w:adjustRightInd w:val="0"/>
        <w:snapToGrid w:val="0"/>
        <w:spacing w:line="288" w:lineRule="auto"/>
        <w:ind w:firstLine="1040"/>
        <w:rPr>
          <w:rFonts w:ascii="仿宋_GB2312" w:eastAsia="仿宋_GB2312"/>
          <w:b/>
          <w:bCs/>
          <w:sz w:val="36"/>
          <w:szCs w:val="36"/>
        </w:rPr>
      </w:pPr>
    </w:p>
    <w:p>
      <w:pPr>
        <w:adjustRightInd w:val="0"/>
        <w:snapToGrid w:val="0"/>
        <w:spacing w:line="288" w:lineRule="auto"/>
        <w:ind w:firstLine="1040"/>
        <w:rPr>
          <w:rFonts w:ascii="仿宋_GB2312" w:eastAsia="仿宋_GB2312"/>
          <w:b/>
          <w:bCs/>
          <w:sz w:val="36"/>
          <w:szCs w:val="36"/>
        </w:rPr>
      </w:pPr>
    </w:p>
    <w:p>
      <w:pPr>
        <w:adjustRightInd w:val="0"/>
        <w:snapToGrid w:val="0"/>
        <w:spacing w:line="288" w:lineRule="auto"/>
        <w:ind w:firstLine="1040"/>
        <w:rPr>
          <w:rFonts w:ascii="仿宋_GB2312" w:eastAsia="仿宋_GB2312"/>
          <w:b/>
          <w:bCs/>
          <w:sz w:val="36"/>
          <w:szCs w:val="36"/>
        </w:rPr>
      </w:pPr>
    </w:p>
    <w:p>
      <w:pPr>
        <w:adjustRightInd w:val="0"/>
        <w:snapToGrid w:val="0"/>
        <w:spacing w:line="288" w:lineRule="auto"/>
        <w:ind w:firstLine="1040"/>
        <w:rPr>
          <w:rFonts w:ascii="仿宋_GB2312" w:eastAsia="仿宋_GB2312"/>
          <w:b/>
          <w:bCs/>
          <w:sz w:val="36"/>
          <w:szCs w:val="36"/>
        </w:rPr>
      </w:pPr>
    </w:p>
    <w:p>
      <w:pPr>
        <w:adjustRightInd w:val="0"/>
        <w:snapToGrid w:val="0"/>
        <w:spacing w:line="288" w:lineRule="auto"/>
        <w:ind w:firstLine="1040"/>
        <w:rPr>
          <w:rFonts w:ascii="仿宋_GB2312" w:eastAsia="仿宋_GB2312"/>
          <w:b/>
          <w:bCs/>
          <w:sz w:val="36"/>
          <w:szCs w:val="36"/>
        </w:rPr>
      </w:pPr>
    </w:p>
    <w:p>
      <w:pPr>
        <w:adjustRightInd w:val="0"/>
        <w:snapToGrid w:val="0"/>
        <w:spacing w:line="288" w:lineRule="auto"/>
        <w:ind w:firstLine="1040"/>
        <w:rPr>
          <w:rFonts w:ascii="仿宋_GB2312" w:eastAsia="仿宋_GB2312"/>
          <w:b/>
          <w:bCs/>
          <w:sz w:val="36"/>
          <w:szCs w:val="36"/>
        </w:rPr>
      </w:pPr>
    </w:p>
    <w:p>
      <w:pPr>
        <w:adjustRightInd w:val="0"/>
        <w:snapToGrid w:val="0"/>
        <w:spacing w:line="288" w:lineRule="auto"/>
        <w:ind w:firstLine="1040"/>
        <w:rPr>
          <w:rFonts w:ascii="仿宋_GB2312" w:eastAsia="仿宋_GB2312"/>
          <w:b/>
          <w:bCs/>
          <w:sz w:val="36"/>
          <w:szCs w:val="36"/>
        </w:rPr>
      </w:pPr>
    </w:p>
    <w:p>
      <w:pPr>
        <w:adjustRightInd w:val="0"/>
        <w:snapToGrid w:val="0"/>
        <w:spacing w:line="288" w:lineRule="auto"/>
        <w:ind w:firstLine="1040"/>
        <w:rPr>
          <w:rFonts w:ascii="仿宋_GB2312" w:eastAsia="仿宋_GB2312"/>
          <w:b/>
          <w:bCs/>
          <w:sz w:val="36"/>
          <w:szCs w:val="36"/>
        </w:rPr>
      </w:pPr>
    </w:p>
    <w:p>
      <w:pPr>
        <w:adjustRightInd w:val="0"/>
        <w:snapToGrid w:val="0"/>
        <w:spacing w:line="288" w:lineRule="auto"/>
        <w:ind w:firstLine="1040"/>
        <w:rPr>
          <w:rFonts w:ascii="仿宋_GB2312" w:eastAsia="仿宋_GB2312"/>
          <w:b/>
          <w:bCs/>
          <w:sz w:val="36"/>
          <w:szCs w:val="36"/>
        </w:rPr>
      </w:pPr>
    </w:p>
    <w:p>
      <w:pPr>
        <w:adjustRightInd w:val="0"/>
        <w:snapToGrid w:val="0"/>
        <w:spacing w:line="288" w:lineRule="auto"/>
        <w:ind w:firstLine="1040"/>
        <w:rPr>
          <w:rFonts w:ascii="仿宋_GB2312" w:eastAsia="仿宋_GB2312"/>
          <w:b/>
          <w:bCs/>
          <w:sz w:val="36"/>
          <w:szCs w:val="36"/>
        </w:rPr>
      </w:pPr>
    </w:p>
    <w:p>
      <w:pPr>
        <w:adjustRightInd w:val="0"/>
        <w:snapToGrid w:val="0"/>
        <w:spacing w:line="288" w:lineRule="auto"/>
        <w:ind w:firstLine="1040"/>
        <w:rPr>
          <w:rFonts w:ascii="仿宋_GB2312" w:eastAsia="仿宋_GB2312"/>
          <w:b/>
          <w:bCs/>
          <w:sz w:val="36"/>
          <w:szCs w:val="36"/>
        </w:rPr>
      </w:pPr>
    </w:p>
    <w:p>
      <w:pPr>
        <w:adjustRightInd w:val="0"/>
        <w:snapToGrid w:val="0"/>
        <w:spacing w:line="288" w:lineRule="auto"/>
        <w:rPr>
          <w:rFonts w:ascii="仿宋_GB2312" w:eastAsia="仿宋_GB2312"/>
          <w:b/>
          <w:bCs/>
          <w:sz w:val="36"/>
          <w:szCs w:val="36"/>
        </w:rPr>
      </w:pPr>
    </w:p>
    <w:p>
      <w:pPr>
        <w:adjustRightInd w:val="0"/>
        <w:snapToGrid w:val="0"/>
        <w:spacing w:line="288" w:lineRule="auto"/>
        <w:rPr>
          <w:rFonts w:ascii="仿宋_GB2312" w:eastAsia="仿宋_GB2312"/>
          <w:b/>
          <w:bCs/>
          <w:sz w:val="36"/>
          <w:szCs w:val="36"/>
        </w:rPr>
      </w:pPr>
    </w:p>
    <w:p>
      <w:pPr>
        <w:adjustRightInd w:val="0"/>
        <w:snapToGrid w:val="0"/>
        <w:spacing w:line="288" w:lineRule="auto"/>
        <w:ind w:firstLine="321" w:firstLineChars="100"/>
        <w:rPr>
          <w:rFonts w:ascii="仿宋_GB2312" w:eastAsia="仿宋_GB2312"/>
          <w:b/>
          <w:bCs/>
          <w:sz w:val="36"/>
          <w:szCs w:val="36"/>
        </w:rPr>
      </w:pPr>
      <w:r>
        <w:rPr>
          <w:rFonts w:hint="eastAsia" w:ascii="仿宋_GB2312" w:eastAsia="仿宋_GB2312"/>
          <w:b/>
          <w:bCs/>
          <w:sz w:val="32"/>
          <w:szCs w:val="32"/>
        </w:rPr>
        <w:t>建设单位：新疆天宝混装炸药制造有限公司吉木萨尔分公司</w:t>
      </w:r>
      <w:r>
        <w:rPr>
          <w:rFonts w:hint="eastAsia" w:ascii="仿宋_GB2312" w:eastAsia="仿宋_GB2312"/>
          <w:b/>
          <w:bCs/>
          <w:sz w:val="36"/>
          <w:szCs w:val="36"/>
        </w:rPr>
        <w:t xml:space="preserve">                  </w:t>
      </w:r>
    </w:p>
    <w:p>
      <w:pPr>
        <w:adjustRightInd w:val="0"/>
        <w:snapToGrid w:val="0"/>
        <w:spacing w:line="480" w:lineRule="exact"/>
        <w:ind w:firstLine="1606" w:firstLineChars="500"/>
        <w:rPr>
          <w:rFonts w:ascii="仿宋_GB2312" w:eastAsia="仿宋_GB2312"/>
          <w:b/>
          <w:bCs/>
          <w:sz w:val="32"/>
          <w:szCs w:val="32"/>
        </w:rPr>
      </w:pPr>
    </w:p>
    <w:p>
      <w:pPr>
        <w:adjustRightInd w:val="0"/>
        <w:snapToGrid w:val="0"/>
        <w:spacing w:line="480" w:lineRule="exact"/>
        <w:ind w:firstLine="1606" w:firstLineChars="500"/>
        <w:rPr>
          <w:rFonts w:ascii="仿宋_GB2312" w:eastAsia="仿宋_GB2312"/>
          <w:sz w:val="28"/>
          <w:szCs w:val="28"/>
        </w:rPr>
        <w:sectPr>
          <w:footerReference r:id="rId7" w:type="default"/>
          <w:pgSz w:w="11906" w:h="16838"/>
          <w:pgMar w:top="1134" w:right="1134" w:bottom="1701" w:left="1701"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仿宋_GB2312" w:eastAsia="仿宋_GB2312"/>
          <w:b/>
          <w:bCs/>
          <w:sz w:val="32"/>
          <w:szCs w:val="32"/>
        </w:rPr>
        <w:t xml:space="preserve">编制日期： </w:t>
      </w:r>
      <w:r>
        <w:rPr>
          <w:rFonts w:ascii="仿宋_GB2312" w:eastAsia="仿宋_GB2312"/>
          <w:b/>
          <w:bCs/>
          <w:sz w:val="32"/>
          <w:szCs w:val="32"/>
        </w:rPr>
        <w:t xml:space="preserve"> </w:t>
      </w:r>
      <w:r>
        <w:rPr>
          <w:rFonts w:hint="eastAsia" w:ascii="仿宋_GB2312" w:eastAsia="仿宋_GB2312"/>
          <w:b/>
          <w:bCs/>
          <w:sz w:val="32"/>
          <w:szCs w:val="32"/>
        </w:rPr>
        <w:t>2022年</w:t>
      </w:r>
      <w:r>
        <w:rPr>
          <w:rFonts w:hint="eastAsia" w:ascii="仿宋_GB2312" w:eastAsia="仿宋_GB2312"/>
          <w:b/>
          <w:bCs/>
          <w:sz w:val="32"/>
          <w:szCs w:val="32"/>
          <w:lang w:val="en-US" w:eastAsia="zh-CN"/>
        </w:rPr>
        <w:t>4</w:t>
      </w:r>
      <w:r>
        <w:rPr>
          <w:rFonts w:hint="eastAsia" w:ascii="仿宋_GB2312" w:eastAsia="仿宋_GB2312"/>
          <w:b/>
          <w:bCs/>
          <w:sz w:val="32"/>
          <w:szCs w:val="32"/>
        </w:rPr>
        <w:t>月</w:t>
      </w:r>
      <w:r>
        <w:rPr>
          <w:rFonts w:ascii="仿宋_GB2312" w:eastAsia="仿宋_GB2312"/>
          <w:b/>
          <w:bCs/>
          <w:sz w:val="32"/>
          <w:szCs w:val="32"/>
        </w:rPr>
        <w:t xml:space="preserve"> </w:t>
      </w:r>
      <w:r>
        <w:rPr>
          <w:rFonts w:ascii="仿宋_GB2312" w:eastAsia="仿宋_GB2312"/>
          <w:sz w:val="28"/>
          <w:szCs w:val="28"/>
        </w:rPr>
        <w:t xml:space="preserve">  </w:t>
      </w:r>
    </w:p>
    <w:p>
      <w:pPr>
        <w:widowControl/>
        <w:spacing w:line="520" w:lineRule="exact"/>
        <w:ind w:firstLine="480" w:firstLineChars="200"/>
        <w:rPr>
          <w:kern w:val="0"/>
          <w:sz w:val="24"/>
          <w:lang w:bidi="ar"/>
        </w:rPr>
      </w:pPr>
      <w:r>
        <w:rPr>
          <w:kern w:val="0"/>
          <w:sz w:val="24"/>
          <w:lang w:bidi="ar"/>
        </w:rPr>
        <w:t>环境风险评价的目的是分析和预测建设项目存在的潜在危险、有害因素，建设项目建设和运行期间可能发生的突发性事件或事故</w:t>
      </w:r>
      <w:r>
        <w:rPr>
          <w:rFonts w:hint="eastAsia"/>
          <w:kern w:val="0"/>
          <w:sz w:val="24"/>
          <w:lang w:bidi="ar"/>
        </w:rPr>
        <w:t>（</w:t>
      </w:r>
      <w:r>
        <w:rPr>
          <w:kern w:val="0"/>
          <w:sz w:val="24"/>
          <w:lang w:bidi="ar"/>
        </w:rPr>
        <w:t>一般不包括人为破坏及自然灾害</w:t>
      </w:r>
      <w:r>
        <w:rPr>
          <w:rFonts w:hint="eastAsia"/>
          <w:kern w:val="0"/>
          <w:sz w:val="24"/>
          <w:lang w:bidi="ar"/>
        </w:rPr>
        <w:t>）</w:t>
      </w:r>
      <w:r>
        <w:rPr>
          <w:kern w:val="0"/>
          <w:sz w:val="24"/>
          <w:lang w:bidi="ar"/>
        </w:rPr>
        <w:t>，引起有毒有害和易燃易爆等物质泄漏，所造成的人身安全与环境影响和损害程度，提出合理可行的防范、应急与减缓措施，以使建设项目事故率、损失和环境影响达到可接受水平。环境风险评价应把事故引起厂</w:t>
      </w:r>
      <w:r>
        <w:rPr>
          <w:rFonts w:hint="eastAsia"/>
          <w:kern w:val="0"/>
          <w:sz w:val="24"/>
          <w:lang w:bidi="ar"/>
        </w:rPr>
        <w:t>（</w:t>
      </w:r>
      <w:r>
        <w:rPr>
          <w:kern w:val="0"/>
          <w:sz w:val="24"/>
          <w:lang w:bidi="ar"/>
        </w:rPr>
        <w:t>场</w:t>
      </w:r>
      <w:r>
        <w:rPr>
          <w:rFonts w:hint="eastAsia"/>
          <w:kern w:val="0"/>
          <w:sz w:val="24"/>
          <w:lang w:bidi="ar"/>
        </w:rPr>
        <w:t>）</w:t>
      </w:r>
      <w:r>
        <w:rPr>
          <w:kern w:val="0"/>
          <w:sz w:val="24"/>
          <w:lang w:bidi="ar"/>
        </w:rPr>
        <w:t>界外人群的伤害、环境质量的恶化及对生态系统影响的预测和防护作为评价工作重点。</w:t>
      </w:r>
    </w:p>
    <w:p>
      <w:pPr>
        <w:widowControl/>
        <w:spacing w:line="520" w:lineRule="exact"/>
        <w:ind w:firstLine="480" w:firstLineChars="200"/>
        <w:rPr>
          <w:kern w:val="0"/>
          <w:sz w:val="24"/>
          <w:lang w:bidi="ar"/>
        </w:rPr>
      </w:pPr>
      <w:r>
        <w:rPr>
          <w:kern w:val="0"/>
          <w:sz w:val="24"/>
          <w:lang w:bidi="ar"/>
        </w:rPr>
        <w:t>本次评价遵照《关于进一步加强环境影响评价管理防范环境风险的通知》</w:t>
      </w:r>
      <w:r>
        <w:rPr>
          <w:rFonts w:hint="eastAsia"/>
          <w:kern w:val="0"/>
          <w:sz w:val="24"/>
          <w:lang w:bidi="ar"/>
        </w:rPr>
        <w:t>（</w:t>
      </w:r>
      <w:r>
        <w:rPr>
          <w:kern w:val="0"/>
          <w:sz w:val="24"/>
          <w:lang w:bidi="ar"/>
        </w:rPr>
        <w:t>环发</w:t>
      </w:r>
      <w:r>
        <w:rPr>
          <w:rFonts w:hint="eastAsia" w:ascii="微软雅黑" w:hAnsi="微软雅黑" w:eastAsia="微软雅黑" w:cs="微软雅黑"/>
          <w:sz w:val="24"/>
        </w:rPr>
        <w:t>〔</w:t>
      </w:r>
      <w:r>
        <w:rPr>
          <w:sz w:val="24"/>
        </w:rPr>
        <w:t>20</w:t>
      </w:r>
      <w:r>
        <w:rPr>
          <w:rFonts w:hint="eastAsia"/>
          <w:sz w:val="24"/>
        </w:rPr>
        <w:t>12</w:t>
      </w:r>
      <w:r>
        <w:rPr>
          <w:rFonts w:hint="eastAsia" w:ascii="微软雅黑" w:hAnsi="微软雅黑" w:eastAsia="微软雅黑" w:cs="微软雅黑"/>
          <w:sz w:val="24"/>
        </w:rPr>
        <w:t>〕</w:t>
      </w:r>
      <w:r>
        <w:rPr>
          <w:kern w:val="0"/>
          <w:sz w:val="24"/>
          <w:lang w:bidi="ar"/>
        </w:rPr>
        <w:t>77号</w:t>
      </w:r>
      <w:r>
        <w:rPr>
          <w:rFonts w:hint="eastAsia"/>
          <w:kern w:val="0"/>
          <w:sz w:val="24"/>
          <w:lang w:bidi="ar"/>
        </w:rPr>
        <w:t>）</w:t>
      </w:r>
      <w:r>
        <w:rPr>
          <w:kern w:val="0"/>
          <w:sz w:val="24"/>
          <w:lang w:bidi="ar"/>
        </w:rPr>
        <w:t>和《关于切实加强风险防范严格环境影响评价管理的通知》</w:t>
      </w:r>
      <w:r>
        <w:rPr>
          <w:rFonts w:hint="eastAsia"/>
          <w:kern w:val="0"/>
          <w:sz w:val="24"/>
          <w:lang w:bidi="ar"/>
        </w:rPr>
        <w:t>（</w:t>
      </w:r>
      <w:r>
        <w:rPr>
          <w:kern w:val="0"/>
          <w:sz w:val="24"/>
          <w:lang w:bidi="ar"/>
        </w:rPr>
        <w:t>环发</w:t>
      </w:r>
      <w:r>
        <w:rPr>
          <w:rFonts w:hint="eastAsia" w:ascii="微软雅黑" w:hAnsi="微软雅黑" w:eastAsia="微软雅黑" w:cs="微软雅黑"/>
          <w:sz w:val="24"/>
        </w:rPr>
        <w:t>〔</w:t>
      </w:r>
      <w:r>
        <w:rPr>
          <w:sz w:val="24"/>
        </w:rPr>
        <w:t>20</w:t>
      </w:r>
      <w:r>
        <w:rPr>
          <w:rFonts w:hint="eastAsia"/>
          <w:sz w:val="24"/>
        </w:rPr>
        <w:t>12</w:t>
      </w:r>
      <w:r>
        <w:rPr>
          <w:rFonts w:hint="eastAsia" w:ascii="微软雅黑" w:hAnsi="微软雅黑" w:eastAsia="微软雅黑" w:cs="微软雅黑"/>
          <w:sz w:val="24"/>
        </w:rPr>
        <w:t>〕</w:t>
      </w:r>
      <w:r>
        <w:rPr>
          <w:kern w:val="0"/>
          <w:sz w:val="24"/>
          <w:lang w:bidi="ar"/>
        </w:rPr>
        <w:t>98号</w:t>
      </w:r>
      <w:r>
        <w:rPr>
          <w:rFonts w:hint="eastAsia"/>
          <w:kern w:val="0"/>
          <w:sz w:val="24"/>
          <w:lang w:bidi="ar"/>
        </w:rPr>
        <w:t>）</w:t>
      </w:r>
      <w:r>
        <w:rPr>
          <w:kern w:val="0"/>
          <w:sz w:val="24"/>
          <w:lang w:bidi="ar"/>
        </w:rPr>
        <w:t>精神，以《建设项目环境风险评价技术导则》</w:t>
      </w:r>
      <w:r>
        <w:rPr>
          <w:rFonts w:hint="eastAsia"/>
          <w:kern w:val="0"/>
          <w:sz w:val="24"/>
          <w:lang w:bidi="ar"/>
        </w:rPr>
        <w:t>（</w:t>
      </w:r>
      <w:r>
        <w:rPr>
          <w:kern w:val="0"/>
          <w:sz w:val="24"/>
          <w:lang w:bidi="ar"/>
        </w:rPr>
        <w:t>HJ169-2018</w:t>
      </w:r>
      <w:r>
        <w:rPr>
          <w:rFonts w:hint="eastAsia"/>
          <w:kern w:val="0"/>
          <w:sz w:val="24"/>
          <w:lang w:bidi="ar"/>
        </w:rPr>
        <w:t>）</w:t>
      </w:r>
      <w:r>
        <w:rPr>
          <w:kern w:val="0"/>
          <w:sz w:val="24"/>
          <w:lang w:bidi="ar"/>
        </w:rPr>
        <w:t>为指导</w:t>
      </w:r>
      <w:r>
        <w:rPr>
          <w:rFonts w:hint="eastAsia"/>
          <w:kern w:val="0"/>
          <w:sz w:val="24"/>
          <w:lang w:bidi="ar"/>
        </w:rPr>
        <w:t>，</w:t>
      </w:r>
      <w:r>
        <w:rPr>
          <w:kern w:val="0"/>
          <w:sz w:val="24"/>
          <w:lang w:bidi="ar"/>
        </w:rPr>
        <w:t>通过对拟建项目进行风险识别和风险事故情形分析</w:t>
      </w:r>
      <w:r>
        <w:rPr>
          <w:rFonts w:hint="eastAsia"/>
          <w:kern w:val="0"/>
          <w:sz w:val="24"/>
          <w:lang w:bidi="ar"/>
        </w:rPr>
        <w:t>，</w:t>
      </w:r>
      <w:r>
        <w:rPr>
          <w:kern w:val="0"/>
          <w:sz w:val="24"/>
          <w:lang w:bidi="ar"/>
        </w:rPr>
        <w:t>进行风险预测与评价，提出减缓风险的措施和建议，为环境管理提供资料和依据，达到降低危险、减少危害的目的。</w:t>
      </w:r>
    </w:p>
    <w:p>
      <w:pPr>
        <w:widowControl/>
        <w:numPr>
          <w:ilvl w:val="0"/>
          <w:numId w:val="16"/>
        </w:numPr>
        <w:spacing w:line="520" w:lineRule="exact"/>
        <w:ind w:firstLine="482"/>
        <w:rPr>
          <w:b/>
          <w:bCs/>
          <w:kern w:val="0"/>
          <w:sz w:val="24"/>
          <w:lang w:bidi="ar"/>
        </w:rPr>
      </w:pPr>
      <w:r>
        <w:rPr>
          <w:rFonts w:hint="eastAsia"/>
          <w:b/>
          <w:bCs/>
          <w:kern w:val="0"/>
          <w:sz w:val="24"/>
          <w:lang w:bidi="ar"/>
        </w:rPr>
        <w:t>评价依据</w:t>
      </w:r>
    </w:p>
    <w:p>
      <w:pPr>
        <w:pStyle w:val="10"/>
        <w:spacing w:line="520" w:lineRule="exact"/>
        <w:rPr>
          <w:rFonts w:eastAsia="宋体"/>
          <w:b/>
          <w:bCs/>
          <w:kern w:val="0"/>
          <w:sz w:val="24"/>
          <w:szCs w:val="24"/>
          <w:lang w:bidi="ar"/>
        </w:rPr>
      </w:pPr>
      <w:r>
        <w:rPr>
          <w:rFonts w:hint="eastAsia" w:eastAsia="宋体"/>
          <w:b/>
          <w:bCs/>
          <w:kern w:val="0"/>
          <w:sz w:val="24"/>
          <w:szCs w:val="24"/>
          <w:lang w:bidi="ar"/>
        </w:rPr>
        <w:t>1.1风险调查</w:t>
      </w:r>
    </w:p>
    <w:p>
      <w:pPr>
        <w:widowControl/>
        <w:spacing w:line="520" w:lineRule="exact"/>
        <w:ind w:firstLine="480" w:firstLineChars="200"/>
        <w:rPr>
          <w:kern w:val="0"/>
          <w:sz w:val="24"/>
          <w:lang w:bidi="ar"/>
        </w:rPr>
      </w:pPr>
      <w:r>
        <w:rPr>
          <w:kern w:val="0"/>
          <w:sz w:val="24"/>
          <w:lang w:bidi="ar"/>
        </w:rPr>
        <w:t>根据《建设项目环境风险评价技术导则》（HJ169-2018）</w:t>
      </w:r>
      <w:r>
        <w:rPr>
          <w:rFonts w:hint="eastAsia"/>
          <w:kern w:val="0"/>
          <w:sz w:val="24"/>
          <w:lang w:eastAsia="zh-CN" w:bidi="ar"/>
        </w:rPr>
        <w:t>、《</w:t>
      </w:r>
      <w:r>
        <w:rPr>
          <w:rFonts w:hint="eastAsia"/>
          <w:kern w:val="0"/>
          <w:sz w:val="24"/>
          <w:lang w:val="en-US" w:eastAsia="zh-CN" w:bidi="ar"/>
        </w:rPr>
        <w:t>危险化学品重大危险源辨识</w:t>
      </w:r>
      <w:r>
        <w:rPr>
          <w:rFonts w:hint="eastAsia"/>
          <w:kern w:val="0"/>
          <w:sz w:val="24"/>
          <w:lang w:eastAsia="zh-CN" w:bidi="ar"/>
        </w:rPr>
        <w:t>》（</w:t>
      </w:r>
      <w:r>
        <w:rPr>
          <w:rFonts w:hint="eastAsia"/>
          <w:kern w:val="0"/>
          <w:sz w:val="24"/>
          <w:lang w:val="en-US" w:eastAsia="zh-CN" w:bidi="ar"/>
        </w:rPr>
        <w:t>GB18218-2018</w:t>
      </w:r>
      <w:r>
        <w:rPr>
          <w:rFonts w:hint="eastAsia"/>
          <w:kern w:val="0"/>
          <w:sz w:val="24"/>
          <w:lang w:eastAsia="zh-CN" w:bidi="ar"/>
        </w:rPr>
        <w:t>）</w:t>
      </w:r>
      <w:r>
        <w:rPr>
          <w:kern w:val="0"/>
          <w:sz w:val="24"/>
          <w:lang w:bidi="ar"/>
        </w:rPr>
        <w:t>及本项目所涉及到的原辅材料筛选项目区存在的危险物质，危险物质、分布单元及全厂最大存在量统计如下表：</w:t>
      </w:r>
    </w:p>
    <w:p>
      <w:pPr>
        <w:widowControl/>
        <w:ind w:firstLine="480" w:firstLineChars="200"/>
        <w:jc w:val="center"/>
        <w:rPr>
          <w:rFonts w:eastAsia="黑体"/>
          <w:sz w:val="24"/>
        </w:rPr>
      </w:pPr>
      <w:r>
        <w:rPr>
          <w:rFonts w:eastAsia="黑体"/>
          <w:sz w:val="24"/>
        </w:rPr>
        <w:t>表</w:t>
      </w:r>
      <w:r>
        <w:rPr>
          <w:rFonts w:hint="eastAsia" w:eastAsia="黑体"/>
          <w:sz w:val="24"/>
        </w:rPr>
        <w:t>1</w:t>
      </w:r>
      <w:r>
        <w:rPr>
          <w:rFonts w:eastAsia="黑体"/>
          <w:sz w:val="24"/>
        </w:rPr>
        <w:t xml:space="preserve">  全厂危险物质及存在单元</w:t>
      </w:r>
    </w:p>
    <w:tbl>
      <w:tblPr>
        <w:tblStyle w:val="30"/>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31"/>
        <w:gridCol w:w="1337"/>
        <w:gridCol w:w="1428"/>
        <w:gridCol w:w="2269"/>
        <w:gridCol w:w="301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7" w:hRule="atLeast"/>
          <w:tblHeader/>
        </w:trPr>
        <w:tc>
          <w:tcPr>
            <w:tcW w:w="663" w:type="pct"/>
            <w:tcBorders>
              <w:tl2br w:val="nil"/>
              <w:tr2bl w:val="nil"/>
            </w:tcBorders>
            <w:vAlign w:val="center"/>
          </w:tcPr>
          <w:p>
            <w:pPr>
              <w:pStyle w:val="58"/>
            </w:pPr>
            <w:r>
              <w:t>危险物质名称</w:t>
            </w:r>
          </w:p>
        </w:tc>
        <w:tc>
          <w:tcPr>
            <w:tcW w:w="720" w:type="pct"/>
            <w:tcBorders>
              <w:tl2br w:val="nil"/>
              <w:tr2bl w:val="nil"/>
            </w:tcBorders>
            <w:vAlign w:val="center"/>
          </w:tcPr>
          <w:p>
            <w:pPr>
              <w:pStyle w:val="58"/>
            </w:pPr>
            <w:r>
              <w:t>CAS号</w:t>
            </w:r>
          </w:p>
        </w:tc>
        <w:tc>
          <w:tcPr>
            <w:tcW w:w="769" w:type="pct"/>
            <w:tcBorders>
              <w:tl2br w:val="nil"/>
              <w:tr2bl w:val="nil"/>
            </w:tcBorders>
            <w:vAlign w:val="center"/>
          </w:tcPr>
          <w:p>
            <w:pPr>
              <w:pStyle w:val="58"/>
            </w:pPr>
            <w:r>
              <w:t>存在单元</w:t>
            </w:r>
          </w:p>
        </w:tc>
        <w:tc>
          <w:tcPr>
            <w:tcW w:w="1222" w:type="pct"/>
            <w:tcBorders>
              <w:tl2br w:val="nil"/>
              <w:tr2bl w:val="nil"/>
            </w:tcBorders>
            <w:vAlign w:val="center"/>
          </w:tcPr>
          <w:p>
            <w:pPr>
              <w:pStyle w:val="58"/>
            </w:pPr>
            <w:r>
              <w:t>储存设施及参数</w:t>
            </w:r>
          </w:p>
        </w:tc>
        <w:tc>
          <w:tcPr>
            <w:tcW w:w="1624" w:type="pct"/>
            <w:tcBorders>
              <w:tl2br w:val="nil"/>
              <w:tr2bl w:val="nil"/>
            </w:tcBorders>
            <w:vAlign w:val="center"/>
          </w:tcPr>
          <w:p>
            <w:pPr>
              <w:pStyle w:val="58"/>
            </w:pPr>
            <w:r>
              <w:t>最大存在量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63" w:type="pct"/>
            <w:tcBorders>
              <w:tl2br w:val="nil"/>
              <w:tr2bl w:val="nil"/>
            </w:tcBorders>
            <w:vAlign w:val="center"/>
          </w:tcPr>
          <w:p>
            <w:pPr>
              <w:pStyle w:val="58"/>
            </w:pPr>
            <w:r>
              <w:rPr>
                <w:rFonts w:hint="eastAsia"/>
              </w:rPr>
              <w:t>硝酸铵</w:t>
            </w:r>
          </w:p>
        </w:tc>
        <w:tc>
          <w:tcPr>
            <w:tcW w:w="720" w:type="pct"/>
            <w:tcBorders>
              <w:tl2br w:val="nil"/>
              <w:tr2bl w:val="nil"/>
            </w:tcBorders>
            <w:vAlign w:val="center"/>
          </w:tcPr>
          <w:p>
            <w:pPr>
              <w:pStyle w:val="58"/>
            </w:pPr>
            <w:r>
              <w:rPr>
                <w:rFonts w:hint="eastAsia"/>
              </w:rPr>
              <w:t>6484-52-2</w:t>
            </w:r>
          </w:p>
        </w:tc>
        <w:tc>
          <w:tcPr>
            <w:tcW w:w="769" w:type="pct"/>
            <w:tcBorders>
              <w:tl2br w:val="nil"/>
              <w:tr2bl w:val="nil"/>
            </w:tcBorders>
            <w:vAlign w:val="center"/>
          </w:tcPr>
          <w:p>
            <w:pPr>
              <w:pStyle w:val="58"/>
            </w:pPr>
            <w:r>
              <w:rPr>
                <w:rFonts w:hint="eastAsia"/>
              </w:rPr>
              <w:t>硝酸铵库</w:t>
            </w:r>
          </w:p>
        </w:tc>
        <w:tc>
          <w:tcPr>
            <w:tcW w:w="1222" w:type="pct"/>
            <w:tcBorders>
              <w:tl2br w:val="nil"/>
              <w:tr2bl w:val="nil"/>
            </w:tcBorders>
            <w:vAlign w:val="center"/>
          </w:tcPr>
          <w:p>
            <w:pPr>
              <w:pStyle w:val="58"/>
              <w:rPr>
                <w:vertAlign w:val="superscript"/>
              </w:rPr>
            </w:pPr>
            <w:r>
              <w:rPr>
                <w:rFonts w:hint="eastAsia"/>
              </w:rPr>
              <w:t>硝酸铵库</w:t>
            </w:r>
          </w:p>
        </w:tc>
        <w:tc>
          <w:tcPr>
            <w:tcW w:w="1624" w:type="pct"/>
            <w:tcBorders>
              <w:tl2br w:val="nil"/>
              <w:tr2bl w:val="nil"/>
            </w:tcBorders>
            <w:vAlign w:val="center"/>
          </w:tcPr>
          <w:p>
            <w:pPr>
              <w:pStyle w:val="58"/>
            </w:pPr>
            <w:r>
              <w:rPr>
                <w:rFonts w:hint="eastAsia"/>
              </w:rPr>
              <w:t>600t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1" w:hRule="atLeast"/>
        </w:trPr>
        <w:tc>
          <w:tcPr>
            <w:tcW w:w="663" w:type="pct"/>
            <w:tcBorders>
              <w:tl2br w:val="nil"/>
              <w:tr2bl w:val="nil"/>
            </w:tcBorders>
            <w:vAlign w:val="center"/>
          </w:tcPr>
          <w:p>
            <w:pPr>
              <w:pStyle w:val="58"/>
            </w:pPr>
            <w:r>
              <w:rPr>
                <w:rFonts w:hint="eastAsia"/>
              </w:rPr>
              <w:t>柴油</w:t>
            </w:r>
          </w:p>
        </w:tc>
        <w:tc>
          <w:tcPr>
            <w:tcW w:w="720" w:type="pct"/>
            <w:tcBorders>
              <w:tl2br w:val="nil"/>
              <w:tr2bl w:val="nil"/>
            </w:tcBorders>
            <w:vAlign w:val="center"/>
          </w:tcPr>
          <w:p>
            <w:pPr>
              <w:pStyle w:val="58"/>
            </w:pPr>
            <w:r>
              <w:rPr>
                <w:rFonts w:hint="eastAsia"/>
              </w:rPr>
              <w:t>/</w:t>
            </w:r>
          </w:p>
        </w:tc>
        <w:tc>
          <w:tcPr>
            <w:tcW w:w="769" w:type="pct"/>
            <w:tcBorders>
              <w:tl2br w:val="nil"/>
              <w:tr2bl w:val="nil"/>
            </w:tcBorders>
            <w:vAlign w:val="center"/>
          </w:tcPr>
          <w:p>
            <w:pPr>
              <w:pStyle w:val="58"/>
            </w:pPr>
            <w:r>
              <w:rPr>
                <w:rFonts w:hint="eastAsia"/>
              </w:rPr>
              <w:t>柴油储罐</w:t>
            </w:r>
          </w:p>
        </w:tc>
        <w:tc>
          <w:tcPr>
            <w:tcW w:w="1222" w:type="pct"/>
            <w:tcBorders>
              <w:tl2br w:val="nil"/>
              <w:tr2bl w:val="nil"/>
            </w:tcBorders>
            <w:vAlign w:val="center"/>
          </w:tcPr>
          <w:p>
            <w:pPr>
              <w:pStyle w:val="58"/>
            </w:pPr>
            <w:r>
              <w:rPr>
                <w:rFonts w:hint="eastAsia"/>
              </w:rPr>
              <w:t>柴油储罐</w:t>
            </w:r>
            <w:r>
              <w:t>：</w:t>
            </w:r>
            <w:r>
              <w:rPr>
                <w:rFonts w:hint="eastAsia"/>
              </w:rPr>
              <w:t>50</w:t>
            </w:r>
            <w:r>
              <w:t>m</w:t>
            </w:r>
            <w:r>
              <w:rPr>
                <w:vertAlign w:val="superscript"/>
              </w:rPr>
              <w:t>3</w:t>
            </w:r>
          </w:p>
        </w:tc>
        <w:tc>
          <w:tcPr>
            <w:tcW w:w="1624" w:type="pct"/>
            <w:tcBorders>
              <w:tl2br w:val="nil"/>
              <w:tr2bl w:val="nil"/>
            </w:tcBorders>
            <w:vAlign w:val="center"/>
          </w:tcPr>
          <w:p>
            <w:pPr>
              <w:pStyle w:val="58"/>
            </w:pPr>
            <w:r>
              <w:rPr>
                <w:rFonts w:hint="eastAsia"/>
              </w:rPr>
              <w:t>42.5t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1" w:hRule="atLeast"/>
        </w:trPr>
        <w:tc>
          <w:tcPr>
            <w:tcW w:w="663" w:type="pct"/>
            <w:tcBorders>
              <w:tl2br w:val="nil"/>
              <w:tr2bl w:val="nil"/>
            </w:tcBorders>
            <w:vAlign w:val="center"/>
          </w:tcPr>
          <w:p>
            <w:pPr>
              <w:pStyle w:val="58"/>
              <w:rPr>
                <w:rFonts w:hint="eastAsia" w:eastAsia="宋体"/>
                <w:lang w:val="en-US" w:eastAsia="zh-CN"/>
              </w:rPr>
            </w:pPr>
            <w:r>
              <w:rPr>
                <w:rFonts w:hint="eastAsia"/>
                <w:lang w:val="en-US" w:eastAsia="zh-CN"/>
              </w:rPr>
              <w:t>电子雷管</w:t>
            </w:r>
          </w:p>
        </w:tc>
        <w:tc>
          <w:tcPr>
            <w:tcW w:w="720" w:type="pct"/>
            <w:tcBorders>
              <w:tl2br w:val="nil"/>
              <w:tr2bl w:val="nil"/>
            </w:tcBorders>
            <w:vAlign w:val="center"/>
          </w:tcPr>
          <w:p>
            <w:pPr>
              <w:pStyle w:val="58"/>
              <w:rPr>
                <w:rFonts w:hint="eastAsia" w:eastAsia="宋体"/>
                <w:lang w:val="en-US" w:eastAsia="zh-CN"/>
              </w:rPr>
            </w:pPr>
            <w:r>
              <w:rPr>
                <w:rFonts w:hint="eastAsia"/>
                <w:lang w:val="en-US" w:eastAsia="zh-CN"/>
              </w:rPr>
              <w:t>/</w:t>
            </w:r>
          </w:p>
        </w:tc>
        <w:tc>
          <w:tcPr>
            <w:tcW w:w="769" w:type="pct"/>
            <w:tcBorders>
              <w:tl2br w:val="nil"/>
              <w:tr2bl w:val="nil"/>
            </w:tcBorders>
            <w:vAlign w:val="center"/>
          </w:tcPr>
          <w:p>
            <w:pPr>
              <w:pStyle w:val="58"/>
              <w:rPr>
                <w:rFonts w:hint="default" w:eastAsia="宋体"/>
                <w:lang w:val="en-US" w:eastAsia="zh-CN"/>
              </w:rPr>
            </w:pPr>
            <w:r>
              <w:rPr>
                <w:rFonts w:hint="eastAsia"/>
                <w:lang w:val="en-US" w:eastAsia="zh-CN"/>
              </w:rPr>
              <w:t>工业雷管库</w:t>
            </w:r>
          </w:p>
        </w:tc>
        <w:tc>
          <w:tcPr>
            <w:tcW w:w="1222" w:type="pct"/>
            <w:tcBorders>
              <w:tl2br w:val="nil"/>
              <w:tr2bl w:val="nil"/>
            </w:tcBorders>
            <w:vAlign w:val="center"/>
          </w:tcPr>
          <w:p>
            <w:pPr>
              <w:pStyle w:val="58"/>
              <w:rPr>
                <w:rFonts w:hint="default" w:eastAsia="宋体"/>
                <w:lang w:val="en-US" w:eastAsia="zh-CN"/>
              </w:rPr>
            </w:pPr>
            <w:r>
              <w:rPr>
                <w:rFonts w:hint="eastAsia"/>
                <w:lang w:val="en-US" w:eastAsia="zh-CN"/>
              </w:rPr>
              <w:t>工业雷管库：10000发（0.01t）</w:t>
            </w:r>
          </w:p>
        </w:tc>
        <w:tc>
          <w:tcPr>
            <w:tcW w:w="1624" w:type="pct"/>
            <w:tcBorders>
              <w:tl2br w:val="nil"/>
              <w:tr2bl w:val="nil"/>
            </w:tcBorders>
            <w:vAlign w:val="center"/>
          </w:tcPr>
          <w:p>
            <w:pPr>
              <w:pStyle w:val="58"/>
              <w:rPr>
                <w:rFonts w:hint="default" w:eastAsia="宋体"/>
                <w:lang w:val="en-US" w:eastAsia="zh-CN"/>
              </w:rPr>
            </w:pPr>
            <w:r>
              <w:rPr>
                <w:rFonts w:hint="eastAsia"/>
                <w:lang w:val="en-US" w:eastAsia="zh-CN"/>
              </w:rPr>
              <w:t>0.01t</w:t>
            </w:r>
          </w:p>
        </w:tc>
      </w:tr>
    </w:tbl>
    <w:p>
      <w:pPr>
        <w:pStyle w:val="10"/>
        <w:spacing w:line="520" w:lineRule="exact"/>
        <w:rPr>
          <w:rFonts w:eastAsia="宋体"/>
          <w:b/>
          <w:bCs/>
          <w:kern w:val="0"/>
          <w:sz w:val="24"/>
          <w:szCs w:val="24"/>
          <w:lang w:bidi="ar"/>
        </w:rPr>
      </w:pPr>
      <w:r>
        <w:rPr>
          <w:rFonts w:hint="eastAsia" w:eastAsia="宋体"/>
          <w:b/>
          <w:bCs/>
          <w:kern w:val="0"/>
          <w:sz w:val="24"/>
          <w:szCs w:val="24"/>
          <w:lang w:bidi="ar"/>
        </w:rPr>
        <w:t>1.2</w:t>
      </w:r>
      <w:r>
        <w:rPr>
          <w:rFonts w:eastAsia="宋体"/>
          <w:b/>
          <w:bCs/>
          <w:kern w:val="0"/>
          <w:sz w:val="24"/>
          <w:szCs w:val="24"/>
          <w:lang w:bidi="ar"/>
        </w:rPr>
        <w:t>环境风险潜势初判</w:t>
      </w:r>
    </w:p>
    <w:p>
      <w:pPr>
        <w:widowControl/>
        <w:spacing w:line="520" w:lineRule="exact"/>
        <w:ind w:firstLine="480" w:firstLineChars="200"/>
        <w:rPr>
          <w:kern w:val="0"/>
          <w:sz w:val="24"/>
          <w:lang w:bidi="ar"/>
        </w:rPr>
      </w:pPr>
      <w:r>
        <w:rPr>
          <w:rFonts w:hint="eastAsia"/>
          <w:kern w:val="0"/>
          <w:sz w:val="24"/>
          <w:lang w:bidi="ar"/>
        </w:rPr>
        <w:t>1.2.1</w:t>
      </w:r>
      <w:r>
        <w:rPr>
          <w:kern w:val="0"/>
          <w:sz w:val="24"/>
          <w:lang w:bidi="ar"/>
        </w:rPr>
        <w:t>危险物质及工艺系统危险性（P）的确定</w:t>
      </w:r>
    </w:p>
    <w:p>
      <w:pPr>
        <w:widowControl/>
        <w:spacing w:line="520" w:lineRule="exact"/>
        <w:ind w:firstLine="480" w:firstLineChars="200"/>
        <w:rPr>
          <w:kern w:val="0"/>
          <w:sz w:val="24"/>
          <w:lang w:bidi="ar"/>
        </w:rPr>
      </w:pPr>
      <w:r>
        <w:rPr>
          <w:kern w:val="0"/>
          <w:sz w:val="24"/>
          <w:lang w:bidi="ar"/>
        </w:rPr>
        <w:t>危险物质及工艺系统危险性（P）应根据危险物质数量与临界量的比值（Q）及所属行业及生产工艺特点（M）确定。</w:t>
      </w:r>
    </w:p>
    <w:p>
      <w:pPr>
        <w:widowControl/>
        <w:spacing w:line="520" w:lineRule="exact"/>
        <w:ind w:firstLine="480" w:firstLineChars="200"/>
        <w:rPr>
          <w:kern w:val="0"/>
          <w:sz w:val="24"/>
          <w:lang w:bidi="ar"/>
        </w:rPr>
      </w:pPr>
      <w:r>
        <w:rPr>
          <w:rFonts w:hint="eastAsia"/>
          <w:kern w:val="0"/>
          <w:sz w:val="24"/>
          <w:lang w:bidi="ar"/>
        </w:rPr>
        <w:t>（1）</w:t>
      </w:r>
      <w:r>
        <w:rPr>
          <w:kern w:val="0"/>
          <w:sz w:val="24"/>
          <w:lang w:bidi="ar"/>
        </w:rPr>
        <w:t>Q值的确定</w:t>
      </w:r>
    </w:p>
    <w:p>
      <w:pPr>
        <w:widowControl/>
        <w:spacing w:line="520" w:lineRule="exact"/>
        <w:ind w:firstLine="480" w:firstLineChars="200"/>
        <w:rPr>
          <w:kern w:val="0"/>
          <w:sz w:val="24"/>
          <w:lang w:bidi="ar"/>
        </w:rPr>
      </w:pPr>
      <w:r>
        <w:rPr>
          <w:kern w:val="0"/>
          <w:sz w:val="24"/>
          <w:lang w:bidi="ar"/>
        </w:rPr>
        <w:t>根据《建设项目环境风险评价技术导则》（HJ/T169-2018）附录C，计算危险物质在厂界内最在存在量与其临界量的比值Q，按下式进行计算：</w:t>
      </w:r>
    </w:p>
    <w:p>
      <w:pPr>
        <w:pStyle w:val="39"/>
        <w:ind w:firstLine="420"/>
        <w:jc w:val="center"/>
        <w:textAlignment w:val="center"/>
      </w:pPr>
      <w:r>
        <w:rPr>
          <w:position w:val="-30"/>
        </w:rPr>
        <w:object>
          <v:shape id="_x0000_i1031" o:spt="75" type="#_x0000_t75" style="height:33.75pt;width:101.25pt;" o:ole="t" filled="f" o:preferrelative="t" stroked="f" coordsize="21600,21600">
            <v:path/>
            <v:fill on="f" focussize="0,0"/>
            <v:stroke on="f" joinstyle="miter"/>
            <v:imagedata r:id="rId38" o:title=""/>
            <o:lock v:ext="edit" aspectratio="t"/>
            <w10:wrap type="none"/>
            <w10:anchorlock/>
          </v:shape>
          <o:OLEObject Type="Embed" ProgID="Equation.3" ShapeID="_x0000_i1031" DrawAspect="Content" ObjectID="_1468075732" r:id="rId37">
            <o:LockedField>false</o:LockedField>
          </o:OLEObject>
        </w:object>
      </w:r>
    </w:p>
    <w:p>
      <w:pPr>
        <w:pStyle w:val="39"/>
        <w:spacing w:line="520" w:lineRule="exact"/>
        <w:ind w:firstLine="480"/>
        <w:jc w:val="both"/>
        <w:rPr>
          <w:sz w:val="24"/>
        </w:rPr>
      </w:pPr>
      <w:r>
        <w:rPr>
          <w:sz w:val="24"/>
        </w:rPr>
        <w:t>式中：</w:t>
      </w:r>
    </w:p>
    <w:p>
      <w:pPr>
        <w:pStyle w:val="39"/>
        <w:spacing w:line="520" w:lineRule="exact"/>
        <w:ind w:firstLine="960" w:firstLineChars="400"/>
        <w:jc w:val="both"/>
        <w:rPr>
          <w:sz w:val="24"/>
        </w:rPr>
      </w:pPr>
      <w:r>
        <w:rPr>
          <w:sz w:val="24"/>
        </w:rPr>
        <w:t>q</w:t>
      </w:r>
      <w:r>
        <w:rPr>
          <w:sz w:val="24"/>
          <w:vertAlign w:val="subscript"/>
        </w:rPr>
        <w:t>1</w:t>
      </w:r>
      <w:r>
        <w:rPr>
          <w:sz w:val="24"/>
        </w:rPr>
        <w:t>，q</w:t>
      </w:r>
      <w:r>
        <w:rPr>
          <w:sz w:val="24"/>
          <w:vertAlign w:val="subscript"/>
        </w:rPr>
        <w:t>2</w:t>
      </w:r>
      <w:r>
        <w:rPr>
          <w:sz w:val="24"/>
        </w:rPr>
        <w:t>，...，q</w:t>
      </w:r>
      <w:r>
        <w:rPr>
          <w:sz w:val="24"/>
          <w:vertAlign w:val="subscript"/>
        </w:rPr>
        <w:t>n</w:t>
      </w:r>
      <w:r>
        <w:rPr>
          <w:sz w:val="24"/>
        </w:rPr>
        <w:t>——每种危险物质的最大存在量，t；</w:t>
      </w:r>
    </w:p>
    <w:p>
      <w:pPr>
        <w:pStyle w:val="39"/>
        <w:spacing w:line="520" w:lineRule="exact"/>
        <w:ind w:firstLine="960" w:firstLineChars="400"/>
        <w:jc w:val="both"/>
        <w:rPr>
          <w:sz w:val="24"/>
        </w:rPr>
      </w:pPr>
      <w:r>
        <w:rPr>
          <w:sz w:val="24"/>
        </w:rPr>
        <w:t>Q</w:t>
      </w:r>
      <w:r>
        <w:rPr>
          <w:sz w:val="24"/>
          <w:vertAlign w:val="subscript"/>
        </w:rPr>
        <w:t>1</w:t>
      </w:r>
      <w:r>
        <w:rPr>
          <w:sz w:val="24"/>
        </w:rPr>
        <w:t>，Q</w:t>
      </w:r>
      <w:r>
        <w:rPr>
          <w:sz w:val="24"/>
          <w:vertAlign w:val="subscript"/>
        </w:rPr>
        <w:t>2</w:t>
      </w:r>
      <w:r>
        <w:rPr>
          <w:sz w:val="24"/>
        </w:rPr>
        <w:t>，...，Q</w:t>
      </w:r>
      <w:r>
        <w:rPr>
          <w:sz w:val="24"/>
          <w:vertAlign w:val="subscript"/>
        </w:rPr>
        <w:t>n</w:t>
      </w:r>
      <w:r>
        <w:rPr>
          <w:sz w:val="24"/>
        </w:rPr>
        <w:t>——每种危险物质的临界量，t。</w:t>
      </w:r>
    </w:p>
    <w:p>
      <w:pPr>
        <w:pStyle w:val="39"/>
        <w:spacing w:line="520" w:lineRule="exact"/>
        <w:ind w:firstLine="960" w:firstLineChars="400"/>
        <w:jc w:val="both"/>
        <w:rPr>
          <w:sz w:val="24"/>
        </w:rPr>
      </w:pPr>
      <w:r>
        <w:rPr>
          <w:sz w:val="24"/>
        </w:rPr>
        <w:t>当Q&lt;1时，该项目环境风险潜势为Ⅰ。</w:t>
      </w:r>
    </w:p>
    <w:p>
      <w:pPr>
        <w:pStyle w:val="39"/>
        <w:spacing w:line="520" w:lineRule="exact"/>
        <w:ind w:firstLine="960" w:firstLineChars="400"/>
        <w:jc w:val="both"/>
        <w:rPr>
          <w:sz w:val="24"/>
        </w:rPr>
      </w:pPr>
      <w:r>
        <w:rPr>
          <w:sz w:val="24"/>
        </w:rPr>
        <w:t>当Q≥1时，将Q值划分为：a.1≤Q&lt;10；b.10≤Q&lt;100；c.Q≥100。</w:t>
      </w:r>
    </w:p>
    <w:p>
      <w:pPr>
        <w:pStyle w:val="39"/>
        <w:spacing w:line="520" w:lineRule="exact"/>
        <w:ind w:firstLine="480"/>
        <w:jc w:val="both"/>
        <w:rPr>
          <w:sz w:val="24"/>
          <w:highlight w:val="yellow"/>
        </w:rPr>
      </w:pPr>
      <w:r>
        <w:rPr>
          <w:sz w:val="24"/>
        </w:rPr>
        <w:t>本项目Q值确定见下表：</w:t>
      </w:r>
    </w:p>
    <w:p>
      <w:pPr>
        <w:widowControl/>
        <w:ind w:firstLine="480" w:firstLineChars="200"/>
        <w:jc w:val="center"/>
        <w:rPr>
          <w:rFonts w:eastAsia="黑体"/>
          <w:sz w:val="24"/>
        </w:rPr>
      </w:pPr>
      <w:r>
        <w:rPr>
          <w:rFonts w:eastAsia="黑体"/>
          <w:sz w:val="24"/>
        </w:rPr>
        <w:t>表</w:t>
      </w:r>
      <w:r>
        <w:rPr>
          <w:rFonts w:hint="eastAsia" w:eastAsia="黑体"/>
          <w:sz w:val="24"/>
        </w:rPr>
        <w:t>2</w:t>
      </w:r>
      <w:r>
        <w:rPr>
          <w:rFonts w:eastAsia="黑体"/>
          <w:sz w:val="24"/>
        </w:rPr>
        <w:t xml:space="preserve">  本项目Q值确定表</w:t>
      </w:r>
    </w:p>
    <w:tbl>
      <w:tblPr>
        <w:tblStyle w:val="30"/>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856"/>
        <w:gridCol w:w="1947"/>
        <w:gridCol w:w="1920"/>
        <w:gridCol w:w="1504"/>
        <w:gridCol w:w="205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trPr>
        <w:tc>
          <w:tcPr>
            <w:tcW w:w="1000" w:type="pct"/>
            <w:tcBorders>
              <w:tl2br w:val="nil"/>
              <w:tr2bl w:val="nil"/>
            </w:tcBorders>
            <w:vAlign w:val="center"/>
          </w:tcPr>
          <w:p>
            <w:pPr>
              <w:pStyle w:val="58"/>
            </w:pPr>
            <w:r>
              <w:t>危险物质名称</w:t>
            </w:r>
          </w:p>
        </w:tc>
        <w:tc>
          <w:tcPr>
            <w:tcW w:w="1049" w:type="pct"/>
            <w:tcBorders>
              <w:tl2br w:val="nil"/>
              <w:tr2bl w:val="nil"/>
            </w:tcBorders>
            <w:vAlign w:val="center"/>
          </w:tcPr>
          <w:p>
            <w:pPr>
              <w:pStyle w:val="58"/>
            </w:pPr>
            <w:r>
              <w:t>CAS号</w:t>
            </w:r>
          </w:p>
        </w:tc>
        <w:tc>
          <w:tcPr>
            <w:tcW w:w="1034" w:type="pct"/>
            <w:tcBorders>
              <w:tl2br w:val="nil"/>
              <w:tr2bl w:val="nil"/>
            </w:tcBorders>
            <w:vAlign w:val="center"/>
          </w:tcPr>
          <w:p>
            <w:pPr>
              <w:pStyle w:val="58"/>
            </w:pPr>
            <w:r>
              <w:t>最大存在总量qn/t</w:t>
            </w:r>
          </w:p>
        </w:tc>
        <w:tc>
          <w:tcPr>
            <w:tcW w:w="809" w:type="pct"/>
            <w:tcBorders>
              <w:tl2br w:val="nil"/>
              <w:tr2bl w:val="nil"/>
            </w:tcBorders>
            <w:vAlign w:val="center"/>
          </w:tcPr>
          <w:p>
            <w:pPr>
              <w:pStyle w:val="58"/>
            </w:pPr>
            <w:r>
              <w:t>临界量Qn/t</w:t>
            </w:r>
          </w:p>
        </w:tc>
        <w:tc>
          <w:tcPr>
            <w:tcW w:w="1106" w:type="pct"/>
            <w:tcBorders>
              <w:tl2br w:val="nil"/>
              <w:tr2bl w:val="nil"/>
            </w:tcBorders>
            <w:vAlign w:val="center"/>
          </w:tcPr>
          <w:p>
            <w:pPr>
              <w:pStyle w:val="58"/>
            </w:pPr>
            <w:r>
              <w:t>该种危险物质Q值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7" w:hRule="atLeast"/>
        </w:trPr>
        <w:tc>
          <w:tcPr>
            <w:tcW w:w="1000" w:type="pct"/>
            <w:tcBorders>
              <w:tl2br w:val="nil"/>
              <w:tr2bl w:val="nil"/>
            </w:tcBorders>
            <w:vAlign w:val="center"/>
          </w:tcPr>
          <w:p>
            <w:pPr>
              <w:pStyle w:val="58"/>
            </w:pPr>
            <w:r>
              <w:rPr>
                <w:rFonts w:hint="eastAsia"/>
              </w:rPr>
              <w:t>硝酸铵</w:t>
            </w:r>
          </w:p>
        </w:tc>
        <w:tc>
          <w:tcPr>
            <w:tcW w:w="1049" w:type="pct"/>
            <w:tcBorders>
              <w:tl2br w:val="nil"/>
              <w:tr2bl w:val="nil"/>
            </w:tcBorders>
            <w:vAlign w:val="center"/>
          </w:tcPr>
          <w:p>
            <w:pPr>
              <w:pStyle w:val="58"/>
            </w:pPr>
            <w:r>
              <w:rPr>
                <w:rFonts w:hint="eastAsia"/>
              </w:rPr>
              <w:t>6484-52-2</w:t>
            </w:r>
          </w:p>
        </w:tc>
        <w:tc>
          <w:tcPr>
            <w:tcW w:w="1034" w:type="pct"/>
            <w:tcBorders>
              <w:tl2br w:val="nil"/>
              <w:tr2bl w:val="nil"/>
            </w:tcBorders>
            <w:vAlign w:val="center"/>
          </w:tcPr>
          <w:p>
            <w:pPr>
              <w:pStyle w:val="58"/>
            </w:pPr>
            <w:r>
              <w:rPr>
                <w:rFonts w:hint="eastAsia"/>
              </w:rPr>
              <w:t>600</w:t>
            </w:r>
          </w:p>
        </w:tc>
        <w:tc>
          <w:tcPr>
            <w:tcW w:w="809" w:type="pct"/>
            <w:tcBorders>
              <w:tl2br w:val="nil"/>
              <w:tr2bl w:val="nil"/>
            </w:tcBorders>
            <w:vAlign w:val="center"/>
          </w:tcPr>
          <w:p>
            <w:pPr>
              <w:pStyle w:val="58"/>
            </w:pPr>
            <w:r>
              <w:rPr>
                <w:rFonts w:hint="eastAsia"/>
              </w:rPr>
              <w:t>50</w:t>
            </w:r>
          </w:p>
        </w:tc>
        <w:tc>
          <w:tcPr>
            <w:tcW w:w="1106" w:type="pct"/>
            <w:tcBorders>
              <w:tl2br w:val="nil"/>
              <w:tr2bl w:val="nil"/>
            </w:tcBorders>
            <w:vAlign w:val="center"/>
          </w:tcPr>
          <w:p>
            <w:pPr>
              <w:pStyle w:val="58"/>
            </w:pPr>
            <w:r>
              <w:rPr>
                <w:rFonts w:hint="eastAsia"/>
              </w:rPr>
              <w:t>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00" w:type="pct"/>
            <w:tcBorders>
              <w:tl2br w:val="nil"/>
              <w:tr2bl w:val="nil"/>
            </w:tcBorders>
            <w:vAlign w:val="center"/>
          </w:tcPr>
          <w:p>
            <w:pPr>
              <w:pStyle w:val="58"/>
            </w:pPr>
            <w:r>
              <w:rPr>
                <w:rFonts w:hint="eastAsia"/>
              </w:rPr>
              <w:t>柴油</w:t>
            </w:r>
          </w:p>
        </w:tc>
        <w:tc>
          <w:tcPr>
            <w:tcW w:w="1049" w:type="pct"/>
            <w:tcBorders>
              <w:tl2br w:val="nil"/>
              <w:tr2bl w:val="nil"/>
            </w:tcBorders>
            <w:vAlign w:val="center"/>
          </w:tcPr>
          <w:p>
            <w:pPr>
              <w:pStyle w:val="58"/>
            </w:pPr>
            <w:r>
              <w:rPr>
                <w:rFonts w:hint="eastAsia"/>
              </w:rPr>
              <w:t>/</w:t>
            </w:r>
          </w:p>
        </w:tc>
        <w:tc>
          <w:tcPr>
            <w:tcW w:w="1034" w:type="pct"/>
            <w:tcBorders>
              <w:tl2br w:val="nil"/>
              <w:tr2bl w:val="nil"/>
            </w:tcBorders>
            <w:vAlign w:val="center"/>
          </w:tcPr>
          <w:p>
            <w:pPr>
              <w:pStyle w:val="58"/>
            </w:pPr>
            <w:r>
              <w:rPr>
                <w:rFonts w:hint="eastAsia"/>
              </w:rPr>
              <w:t>42.5</w:t>
            </w:r>
          </w:p>
        </w:tc>
        <w:tc>
          <w:tcPr>
            <w:tcW w:w="809" w:type="pct"/>
            <w:tcBorders>
              <w:tl2br w:val="nil"/>
              <w:tr2bl w:val="nil"/>
            </w:tcBorders>
            <w:vAlign w:val="center"/>
          </w:tcPr>
          <w:p>
            <w:pPr>
              <w:pStyle w:val="58"/>
            </w:pPr>
            <w:r>
              <w:rPr>
                <w:rFonts w:hint="eastAsia"/>
              </w:rPr>
              <w:t>2500</w:t>
            </w:r>
          </w:p>
        </w:tc>
        <w:tc>
          <w:tcPr>
            <w:tcW w:w="1106" w:type="pct"/>
            <w:tcBorders>
              <w:tl2br w:val="nil"/>
              <w:tr2bl w:val="nil"/>
            </w:tcBorders>
            <w:vAlign w:val="center"/>
          </w:tcPr>
          <w:p>
            <w:pPr>
              <w:pStyle w:val="58"/>
            </w:pPr>
            <w:r>
              <w:rPr>
                <w:rFonts w:hint="eastAsia"/>
              </w:rPr>
              <w:t>0.017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00" w:type="pct"/>
            <w:tcBorders>
              <w:tl2br w:val="nil"/>
              <w:tr2bl w:val="nil"/>
            </w:tcBorders>
            <w:vAlign w:val="center"/>
          </w:tcPr>
          <w:p>
            <w:pPr>
              <w:pStyle w:val="58"/>
              <w:rPr>
                <w:rFonts w:hint="default" w:eastAsia="宋体"/>
                <w:lang w:val="en-US" w:eastAsia="zh-CN"/>
              </w:rPr>
            </w:pPr>
            <w:r>
              <w:rPr>
                <w:rFonts w:hint="eastAsia"/>
                <w:lang w:val="en-US" w:eastAsia="zh-CN"/>
              </w:rPr>
              <w:t>电子雷管</w:t>
            </w:r>
          </w:p>
        </w:tc>
        <w:tc>
          <w:tcPr>
            <w:tcW w:w="1049" w:type="pct"/>
            <w:tcBorders>
              <w:tl2br w:val="nil"/>
              <w:tr2bl w:val="nil"/>
            </w:tcBorders>
            <w:vAlign w:val="center"/>
          </w:tcPr>
          <w:p>
            <w:pPr>
              <w:pStyle w:val="58"/>
              <w:rPr>
                <w:rFonts w:hint="eastAsia" w:eastAsia="宋体"/>
                <w:lang w:val="en-US" w:eastAsia="zh-CN"/>
              </w:rPr>
            </w:pPr>
            <w:r>
              <w:rPr>
                <w:rFonts w:hint="eastAsia"/>
                <w:lang w:val="en-US" w:eastAsia="zh-CN"/>
              </w:rPr>
              <w:t>/</w:t>
            </w:r>
          </w:p>
        </w:tc>
        <w:tc>
          <w:tcPr>
            <w:tcW w:w="1034" w:type="pct"/>
            <w:tcBorders>
              <w:tl2br w:val="nil"/>
              <w:tr2bl w:val="nil"/>
            </w:tcBorders>
            <w:vAlign w:val="center"/>
          </w:tcPr>
          <w:p>
            <w:pPr>
              <w:pStyle w:val="58"/>
              <w:rPr>
                <w:rFonts w:hint="default" w:eastAsia="宋体"/>
                <w:lang w:val="en-US" w:eastAsia="zh-CN"/>
              </w:rPr>
            </w:pPr>
            <w:r>
              <w:rPr>
                <w:rFonts w:hint="eastAsia"/>
                <w:lang w:val="en-US" w:eastAsia="zh-CN"/>
              </w:rPr>
              <w:t>0.01</w:t>
            </w:r>
          </w:p>
        </w:tc>
        <w:tc>
          <w:tcPr>
            <w:tcW w:w="809" w:type="pct"/>
            <w:tcBorders>
              <w:tl2br w:val="nil"/>
              <w:tr2bl w:val="nil"/>
            </w:tcBorders>
            <w:vAlign w:val="center"/>
          </w:tcPr>
          <w:p>
            <w:pPr>
              <w:pStyle w:val="58"/>
              <w:rPr>
                <w:rFonts w:hint="eastAsia" w:eastAsia="宋体"/>
                <w:lang w:val="en-US" w:eastAsia="zh-CN"/>
              </w:rPr>
            </w:pPr>
            <w:r>
              <w:rPr>
                <w:rFonts w:hint="eastAsia"/>
                <w:lang w:val="en-US" w:eastAsia="zh-CN"/>
              </w:rPr>
              <w:t>1</w:t>
            </w:r>
          </w:p>
        </w:tc>
        <w:tc>
          <w:tcPr>
            <w:tcW w:w="1106" w:type="pct"/>
            <w:tcBorders>
              <w:tl2br w:val="nil"/>
              <w:tr2bl w:val="nil"/>
            </w:tcBorders>
            <w:vAlign w:val="center"/>
          </w:tcPr>
          <w:p>
            <w:pPr>
              <w:pStyle w:val="58"/>
              <w:rPr>
                <w:rFonts w:hint="default" w:eastAsia="宋体"/>
                <w:lang w:val="en-US" w:eastAsia="zh-CN"/>
              </w:rPr>
            </w:pPr>
            <w:r>
              <w:rPr>
                <w:rFonts w:hint="eastAsia"/>
                <w:lang w:val="en-US" w:eastAsia="zh-CN"/>
              </w:rPr>
              <w:t>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893" w:type="pct"/>
            <w:gridSpan w:val="4"/>
            <w:tcBorders>
              <w:tl2br w:val="nil"/>
              <w:tr2bl w:val="nil"/>
            </w:tcBorders>
            <w:vAlign w:val="center"/>
          </w:tcPr>
          <w:p>
            <w:pPr>
              <w:pStyle w:val="58"/>
            </w:pPr>
            <w:r>
              <w:t>本项目Q值</w:t>
            </w:r>
          </w:p>
        </w:tc>
        <w:tc>
          <w:tcPr>
            <w:tcW w:w="1106" w:type="pct"/>
            <w:tcBorders>
              <w:tl2br w:val="nil"/>
              <w:tr2bl w:val="nil"/>
            </w:tcBorders>
            <w:vAlign w:val="center"/>
          </w:tcPr>
          <w:p>
            <w:pPr>
              <w:pStyle w:val="58"/>
            </w:pPr>
            <w:r>
              <w:rPr>
                <w:rFonts w:hint="eastAsia"/>
              </w:rPr>
              <w:t>12.0</w:t>
            </w:r>
            <w:r>
              <w:rPr>
                <w:rFonts w:hint="eastAsia"/>
                <w:lang w:val="en-US" w:eastAsia="zh-CN"/>
              </w:rPr>
              <w:t>2</w:t>
            </w:r>
            <w:r>
              <w:rPr>
                <w:rFonts w:hint="eastAsia"/>
              </w:rPr>
              <w:t>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893" w:type="pct"/>
            <w:gridSpan w:val="4"/>
            <w:tcBorders>
              <w:tl2br w:val="nil"/>
              <w:tr2bl w:val="nil"/>
            </w:tcBorders>
            <w:vAlign w:val="center"/>
          </w:tcPr>
          <w:p>
            <w:pPr>
              <w:pStyle w:val="58"/>
            </w:pPr>
            <w:r>
              <w:t>本项目Q值划分</w:t>
            </w:r>
          </w:p>
        </w:tc>
        <w:tc>
          <w:tcPr>
            <w:tcW w:w="1106" w:type="pct"/>
            <w:tcBorders>
              <w:tl2br w:val="nil"/>
              <w:tr2bl w:val="nil"/>
            </w:tcBorders>
            <w:vAlign w:val="center"/>
          </w:tcPr>
          <w:p>
            <w:pPr>
              <w:pStyle w:val="58"/>
            </w:pPr>
            <w:r>
              <w:t>1</w:t>
            </w:r>
            <w:r>
              <w:rPr>
                <w:rFonts w:hint="eastAsia"/>
              </w:rPr>
              <w:t>0</w:t>
            </w:r>
            <w:r>
              <w:t>≤Q&lt;10</w:t>
            </w:r>
            <w:r>
              <w:rPr>
                <w:rFonts w:hint="eastAsia"/>
              </w:rPr>
              <w:t>0</w:t>
            </w:r>
          </w:p>
        </w:tc>
      </w:tr>
    </w:tbl>
    <w:p>
      <w:pPr>
        <w:widowControl/>
        <w:spacing w:line="520" w:lineRule="exact"/>
        <w:ind w:firstLine="480" w:firstLineChars="200"/>
        <w:rPr>
          <w:kern w:val="0"/>
          <w:sz w:val="24"/>
          <w:lang w:bidi="ar"/>
        </w:rPr>
      </w:pPr>
      <w:r>
        <w:rPr>
          <w:rFonts w:hint="eastAsia"/>
          <w:kern w:val="0"/>
          <w:sz w:val="24"/>
          <w:lang w:bidi="ar"/>
        </w:rPr>
        <w:t>（2）</w:t>
      </w:r>
      <w:r>
        <w:rPr>
          <w:kern w:val="0"/>
          <w:sz w:val="24"/>
          <w:lang w:bidi="ar"/>
        </w:rPr>
        <w:t>M值的确定</w:t>
      </w:r>
    </w:p>
    <w:p>
      <w:pPr>
        <w:widowControl/>
        <w:spacing w:line="520" w:lineRule="exact"/>
        <w:ind w:firstLine="480" w:firstLineChars="200"/>
        <w:rPr>
          <w:kern w:val="0"/>
          <w:sz w:val="24"/>
          <w:lang w:bidi="ar"/>
        </w:rPr>
      </w:pPr>
      <w:r>
        <w:rPr>
          <w:kern w:val="0"/>
          <w:sz w:val="24"/>
          <w:lang w:bidi="ar"/>
        </w:rPr>
        <w:t>根据《建设项目环境风险评价技术导则》（HJ 169-2018）附录C，本项目行业为</w:t>
      </w:r>
      <w:r>
        <w:rPr>
          <w:rFonts w:hint="eastAsia"/>
          <w:kern w:val="0"/>
          <w:sz w:val="24"/>
          <w:lang w:eastAsia="zh-CN" w:bidi="ar"/>
        </w:rPr>
        <w:t>“</w:t>
      </w:r>
      <w:r>
        <w:rPr>
          <w:kern w:val="0"/>
          <w:sz w:val="24"/>
          <w:lang w:bidi="ar"/>
        </w:rPr>
        <w:t>石化、化工、医药、轻工、化纤、有色冶炼等</w:t>
      </w:r>
      <w:r>
        <w:rPr>
          <w:rFonts w:hint="eastAsia"/>
          <w:kern w:val="0"/>
          <w:sz w:val="24"/>
          <w:lang w:eastAsia="zh-CN" w:bidi="ar"/>
        </w:rPr>
        <w:t>”</w:t>
      </w:r>
      <w:r>
        <w:rPr>
          <w:kern w:val="0"/>
          <w:sz w:val="24"/>
          <w:lang w:bidi="ar"/>
        </w:rPr>
        <w:t>，</w:t>
      </w:r>
      <w:r>
        <w:rPr>
          <w:rFonts w:hint="eastAsia"/>
          <w:kern w:val="0"/>
          <w:sz w:val="24"/>
          <w:lang w:val="en-US" w:eastAsia="zh-CN" w:bidi="ar"/>
        </w:rPr>
        <w:t>评估依据为“危险物质贮存罐区”，本项目建设一座50m</w:t>
      </w:r>
      <w:r>
        <w:rPr>
          <w:rFonts w:hint="eastAsia"/>
          <w:kern w:val="0"/>
          <w:sz w:val="24"/>
          <w:vertAlign w:val="superscript"/>
          <w:lang w:val="en-US" w:eastAsia="zh-CN" w:bidi="ar"/>
        </w:rPr>
        <w:t>3</w:t>
      </w:r>
      <w:r>
        <w:rPr>
          <w:rFonts w:hint="eastAsia"/>
          <w:kern w:val="0"/>
          <w:sz w:val="24"/>
          <w:vertAlign w:val="baseline"/>
          <w:lang w:val="en-US" w:eastAsia="zh-CN" w:bidi="ar"/>
        </w:rPr>
        <w:t>柴油储罐，</w:t>
      </w:r>
      <w:r>
        <w:rPr>
          <w:kern w:val="0"/>
          <w:sz w:val="24"/>
          <w:lang w:bidi="ar"/>
        </w:rPr>
        <w:t>分值为</w:t>
      </w:r>
      <w:r>
        <w:rPr>
          <w:rFonts w:hint="eastAsia"/>
          <w:kern w:val="0"/>
          <w:sz w:val="24"/>
          <w:lang w:bidi="ar"/>
        </w:rPr>
        <w:t>5</w:t>
      </w:r>
      <w:r>
        <w:rPr>
          <w:kern w:val="0"/>
          <w:sz w:val="24"/>
          <w:lang w:bidi="ar"/>
        </w:rPr>
        <w:t>分，则项目M</w:t>
      </w:r>
      <w:r>
        <w:rPr>
          <w:rFonts w:hint="eastAsia"/>
          <w:kern w:val="0"/>
          <w:sz w:val="24"/>
          <w:lang w:bidi="ar"/>
        </w:rPr>
        <w:t>=5</w:t>
      </w:r>
      <w:r>
        <w:rPr>
          <w:kern w:val="0"/>
          <w:sz w:val="24"/>
          <w:lang w:bidi="ar"/>
        </w:rPr>
        <w:t>，根据划分依据，属于M</w:t>
      </w:r>
      <w:r>
        <w:rPr>
          <w:rFonts w:hint="eastAsia"/>
          <w:kern w:val="0"/>
          <w:sz w:val="24"/>
          <w:lang w:bidi="ar"/>
        </w:rPr>
        <w:t>4</w:t>
      </w:r>
      <w:r>
        <w:rPr>
          <w:kern w:val="0"/>
          <w:sz w:val="24"/>
          <w:lang w:bidi="ar"/>
        </w:rPr>
        <w:t>。本项目M值确定见下表：</w:t>
      </w:r>
    </w:p>
    <w:p>
      <w:pPr>
        <w:widowControl/>
        <w:ind w:firstLine="480" w:firstLineChars="200"/>
        <w:jc w:val="center"/>
        <w:rPr>
          <w:rFonts w:eastAsia="黑体"/>
          <w:sz w:val="24"/>
        </w:rPr>
      </w:pPr>
      <w:r>
        <w:rPr>
          <w:rFonts w:eastAsia="黑体"/>
          <w:sz w:val="24"/>
        </w:rPr>
        <w:t>表</w:t>
      </w:r>
      <w:r>
        <w:rPr>
          <w:rFonts w:hint="eastAsia" w:eastAsia="黑体"/>
          <w:sz w:val="24"/>
        </w:rPr>
        <w:t xml:space="preserve">3  </w:t>
      </w:r>
      <w:r>
        <w:rPr>
          <w:rFonts w:eastAsia="黑体"/>
          <w:sz w:val="24"/>
        </w:rPr>
        <w:t>本项目M值确定表</w:t>
      </w:r>
    </w:p>
    <w:tbl>
      <w:tblPr>
        <w:tblStyle w:val="30"/>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086"/>
        <w:gridCol w:w="2770"/>
        <w:gridCol w:w="342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7" w:hRule="atLeast"/>
          <w:tblHeader/>
        </w:trPr>
        <w:tc>
          <w:tcPr>
            <w:tcW w:w="1662" w:type="pct"/>
            <w:tcBorders>
              <w:tl2br w:val="nil"/>
              <w:tr2bl w:val="nil"/>
            </w:tcBorders>
            <w:vAlign w:val="center"/>
          </w:tcPr>
          <w:p>
            <w:pPr>
              <w:pStyle w:val="58"/>
            </w:pPr>
            <w:r>
              <w:t>工艺单元名称</w:t>
            </w:r>
          </w:p>
        </w:tc>
        <w:tc>
          <w:tcPr>
            <w:tcW w:w="1492" w:type="pct"/>
            <w:tcBorders>
              <w:tl2br w:val="nil"/>
              <w:tr2bl w:val="nil"/>
            </w:tcBorders>
            <w:vAlign w:val="center"/>
          </w:tcPr>
          <w:p>
            <w:pPr>
              <w:pStyle w:val="58"/>
            </w:pPr>
            <w:r>
              <w:t>数量/套</w:t>
            </w:r>
          </w:p>
        </w:tc>
        <w:tc>
          <w:tcPr>
            <w:tcW w:w="1844" w:type="pct"/>
            <w:tcBorders>
              <w:tl2br w:val="nil"/>
              <w:tr2bl w:val="nil"/>
            </w:tcBorders>
            <w:vAlign w:val="center"/>
          </w:tcPr>
          <w:p>
            <w:pPr>
              <w:pStyle w:val="58"/>
            </w:pPr>
            <w:r>
              <w:t>M分值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2" w:type="pct"/>
            <w:tcBorders>
              <w:tl2br w:val="nil"/>
              <w:tr2bl w:val="nil"/>
            </w:tcBorders>
            <w:vAlign w:val="center"/>
          </w:tcPr>
          <w:p>
            <w:pPr>
              <w:pStyle w:val="58"/>
            </w:pPr>
            <w:r>
              <w:rPr>
                <w:rFonts w:hint="eastAsia"/>
              </w:rPr>
              <w:t>柴油储罐</w:t>
            </w:r>
          </w:p>
        </w:tc>
        <w:tc>
          <w:tcPr>
            <w:tcW w:w="1492" w:type="pct"/>
            <w:tcBorders>
              <w:tl2br w:val="nil"/>
              <w:tr2bl w:val="nil"/>
            </w:tcBorders>
            <w:vAlign w:val="center"/>
          </w:tcPr>
          <w:p>
            <w:pPr>
              <w:pStyle w:val="58"/>
            </w:pPr>
            <w:r>
              <w:t>1</w:t>
            </w:r>
          </w:p>
        </w:tc>
        <w:tc>
          <w:tcPr>
            <w:tcW w:w="1844" w:type="pct"/>
            <w:tcBorders>
              <w:tl2br w:val="nil"/>
              <w:tr2bl w:val="nil"/>
            </w:tcBorders>
            <w:vAlign w:val="center"/>
          </w:tcPr>
          <w:p>
            <w:pPr>
              <w:pStyle w:val="58"/>
            </w:pPr>
            <w: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2" w:type="pct"/>
            <w:tcBorders>
              <w:tl2br w:val="nil"/>
              <w:tr2bl w:val="nil"/>
            </w:tcBorders>
            <w:vAlign w:val="center"/>
          </w:tcPr>
          <w:p>
            <w:pPr>
              <w:pStyle w:val="58"/>
            </w:pPr>
            <w:r>
              <w:t>本项目M值Σ</w:t>
            </w:r>
          </w:p>
        </w:tc>
        <w:tc>
          <w:tcPr>
            <w:tcW w:w="1492" w:type="pct"/>
            <w:tcBorders>
              <w:tl2br w:val="nil"/>
              <w:tr2bl w:val="nil"/>
            </w:tcBorders>
            <w:vAlign w:val="center"/>
          </w:tcPr>
          <w:p>
            <w:pPr>
              <w:pStyle w:val="58"/>
            </w:pPr>
          </w:p>
        </w:tc>
        <w:tc>
          <w:tcPr>
            <w:tcW w:w="1844" w:type="pct"/>
            <w:tcBorders>
              <w:tl2br w:val="nil"/>
              <w:tr2bl w:val="nil"/>
            </w:tcBorders>
            <w:vAlign w:val="center"/>
          </w:tcPr>
          <w:p>
            <w:pPr>
              <w:pStyle w:val="58"/>
            </w:pPr>
            <w:r>
              <w:rPr>
                <w:rFonts w:hint="eastAsia"/>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2" w:type="pct"/>
            <w:tcBorders>
              <w:tl2br w:val="nil"/>
              <w:tr2bl w:val="nil"/>
            </w:tcBorders>
            <w:vAlign w:val="center"/>
          </w:tcPr>
          <w:p>
            <w:pPr>
              <w:pStyle w:val="58"/>
            </w:pPr>
            <w:r>
              <w:t>M值划分</w:t>
            </w:r>
          </w:p>
        </w:tc>
        <w:tc>
          <w:tcPr>
            <w:tcW w:w="1492" w:type="pct"/>
            <w:tcBorders>
              <w:tl2br w:val="nil"/>
              <w:tr2bl w:val="nil"/>
            </w:tcBorders>
            <w:vAlign w:val="center"/>
          </w:tcPr>
          <w:p>
            <w:pPr>
              <w:pStyle w:val="58"/>
            </w:pPr>
          </w:p>
        </w:tc>
        <w:tc>
          <w:tcPr>
            <w:tcW w:w="1844" w:type="pct"/>
            <w:tcBorders>
              <w:tl2br w:val="nil"/>
              <w:tr2bl w:val="nil"/>
            </w:tcBorders>
            <w:vAlign w:val="center"/>
          </w:tcPr>
          <w:p>
            <w:pPr>
              <w:pStyle w:val="58"/>
            </w:pPr>
            <w:r>
              <w:t>M</w:t>
            </w:r>
            <w:r>
              <w:rPr>
                <w:rFonts w:hint="eastAsia"/>
              </w:rPr>
              <w:t>4</w:t>
            </w:r>
          </w:p>
        </w:tc>
      </w:tr>
    </w:tbl>
    <w:p>
      <w:pPr>
        <w:widowControl/>
        <w:spacing w:line="520" w:lineRule="exact"/>
        <w:ind w:firstLine="480" w:firstLineChars="200"/>
        <w:rPr>
          <w:kern w:val="0"/>
          <w:sz w:val="24"/>
          <w:lang w:bidi="ar"/>
        </w:rPr>
      </w:pPr>
      <w:r>
        <w:rPr>
          <w:rFonts w:hint="eastAsia"/>
          <w:kern w:val="0"/>
          <w:sz w:val="24"/>
          <w:lang w:bidi="ar"/>
        </w:rPr>
        <w:t>（3）</w:t>
      </w:r>
      <w:r>
        <w:rPr>
          <w:kern w:val="0"/>
          <w:sz w:val="24"/>
          <w:lang w:bidi="ar"/>
        </w:rPr>
        <w:t>P的确定</w:t>
      </w:r>
    </w:p>
    <w:p>
      <w:pPr>
        <w:widowControl/>
        <w:spacing w:line="520" w:lineRule="exact"/>
        <w:ind w:firstLine="480" w:firstLineChars="200"/>
        <w:rPr>
          <w:kern w:val="0"/>
          <w:sz w:val="24"/>
          <w:lang w:bidi="ar"/>
        </w:rPr>
      </w:pPr>
      <w:r>
        <w:rPr>
          <w:kern w:val="0"/>
          <w:sz w:val="24"/>
          <w:lang w:bidi="ar"/>
        </w:rPr>
        <w:t>根据危险物质数量与临界量比值（Q）和行业及生产工艺（M），按照下表确定危险物质及工艺系统危险性等级（P），分别以极高危害（P1）、高度危害（P2）、中度危害（P3）、轻度危害（P4）表示，则本项目属于P</w:t>
      </w:r>
      <w:r>
        <w:rPr>
          <w:rFonts w:hint="eastAsia"/>
          <w:kern w:val="0"/>
          <w:sz w:val="24"/>
          <w:lang w:bidi="ar"/>
        </w:rPr>
        <w:t>4，轻度危害</w:t>
      </w:r>
      <w:r>
        <w:rPr>
          <w:kern w:val="0"/>
          <w:sz w:val="24"/>
          <w:lang w:bidi="ar"/>
        </w:rPr>
        <w:t>。P等级判定如下表：</w:t>
      </w:r>
    </w:p>
    <w:p>
      <w:pPr>
        <w:widowControl/>
        <w:ind w:firstLine="480" w:firstLineChars="200"/>
        <w:jc w:val="center"/>
        <w:rPr>
          <w:rFonts w:eastAsia="黑体"/>
          <w:sz w:val="24"/>
        </w:rPr>
      </w:pPr>
      <w:r>
        <w:rPr>
          <w:rFonts w:eastAsia="黑体"/>
          <w:sz w:val="24"/>
        </w:rPr>
        <w:t>表</w:t>
      </w:r>
      <w:r>
        <w:rPr>
          <w:rFonts w:hint="eastAsia" w:eastAsia="黑体"/>
          <w:sz w:val="24"/>
        </w:rPr>
        <w:t xml:space="preserve">4 </w:t>
      </w:r>
      <w:r>
        <w:rPr>
          <w:rFonts w:eastAsia="黑体"/>
          <w:sz w:val="24"/>
        </w:rPr>
        <w:t xml:space="preserve">  危险物质及工艺系统危险性（P）等级判断</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991"/>
        <w:gridCol w:w="1751"/>
        <w:gridCol w:w="1859"/>
        <w:gridCol w:w="1799"/>
        <w:gridCol w:w="188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072" w:type="pct"/>
            <w:vMerge w:val="restart"/>
            <w:tcBorders>
              <w:tl2br w:val="nil"/>
              <w:tr2bl w:val="nil"/>
            </w:tcBorders>
            <w:vAlign w:val="center"/>
          </w:tcPr>
          <w:p>
            <w:pPr>
              <w:pStyle w:val="58"/>
            </w:pPr>
            <w:r>
              <w:t>危险物质数量与临界量比值（Q）</w:t>
            </w:r>
          </w:p>
        </w:tc>
        <w:tc>
          <w:tcPr>
            <w:tcW w:w="3927" w:type="pct"/>
            <w:gridSpan w:val="4"/>
            <w:tcBorders>
              <w:tl2br w:val="nil"/>
              <w:tr2bl w:val="nil"/>
            </w:tcBorders>
            <w:vAlign w:val="center"/>
          </w:tcPr>
          <w:p>
            <w:pPr>
              <w:pStyle w:val="58"/>
            </w:pPr>
            <w:r>
              <w:t>行业及生产工艺（M）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072" w:type="pct"/>
            <w:vMerge w:val="continue"/>
            <w:tcBorders>
              <w:tl2br w:val="nil"/>
              <w:tr2bl w:val="nil"/>
            </w:tcBorders>
            <w:vAlign w:val="center"/>
          </w:tcPr>
          <w:p>
            <w:pPr>
              <w:pStyle w:val="58"/>
            </w:pPr>
          </w:p>
        </w:tc>
        <w:tc>
          <w:tcPr>
            <w:tcW w:w="943" w:type="pct"/>
            <w:tcBorders>
              <w:tl2br w:val="nil"/>
              <w:tr2bl w:val="nil"/>
            </w:tcBorders>
            <w:vAlign w:val="center"/>
          </w:tcPr>
          <w:p>
            <w:pPr>
              <w:pStyle w:val="58"/>
            </w:pPr>
            <w:r>
              <w:t>M1</w:t>
            </w:r>
          </w:p>
        </w:tc>
        <w:tc>
          <w:tcPr>
            <w:tcW w:w="1001" w:type="pct"/>
            <w:tcBorders>
              <w:tl2br w:val="nil"/>
              <w:tr2bl w:val="nil"/>
            </w:tcBorders>
            <w:vAlign w:val="center"/>
          </w:tcPr>
          <w:p>
            <w:pPr>
              <w:pStyle w:val="58"/>
            </w:pPr>
            <w:r>
              <w:t>M2</w:t>
            </w:r>
          </w:p>
        </w:tc>
        <w:tc>
          <w:tcPr>
            <w:tcW w:w="969" w:type="pct"/>
            <w:tcBorders>
              <w:tl2br w:val="nil"/>
              <w:tr2bl w:val="nil"/>
            </w:tcBorders>
            <w:vAlign w:val="center"/>
          </w:tcPr>
          <w:p>
            <w:pPr>
              <w:pStyle w:val="58"/>
            </w:pPr>
            <w:r>
              <w:t>M3</w:t>
            </w:r>
          </w:p>
        </w:tc>
        <w:tc>
          <w:tcPr>
            <w:tcW w:w="1014" w:type="pct"/>
            <w:tcBorders>
              <w:tl2br w:val="nil"/>
              <w:tr2bl w:val="nil"/>
            </w:tcBorders>
            <w:vAlign w:val="center"/>
          </w:tcPr>
          <w:p>
            <w:pPr>
              <w:pStyle w:val="58"/>
            </w:pPr>
            <w:r>
              <w:t>M4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72" w:type="pct"/>
            <w:tcBorders>
              <w:tl2br w:val="nil"/>
              <w:tr2bl w:val="nil"/>
            </w:tcBorders>
            <w:vAlign w:val="center"/>
          </w:tcPr>
          <w:p>
            <w:pPr>
              <w:pStyle w:val="58"/>
            </w:pPr>
            <w:r>
              <w:t>Q≥100</w:t>
            </w:r>
          </w:p>
        </w:tc>
        <w:tc>
          <w:tcPr>
            <w:tcW w:w="943" w:type="pct"/>
            <w:tcBorders>
              <w:tl2br w:val="nil"/>
              <w:tr2bl w:val="nil"/>
            </w:tcBorders>
            <w:vAlign w:val="center"/>
          </w:tcPr>
          <w:p>
            <w:pPr>
              <w:pStyle w:val="58"/>
            </w:pPr>
            <w:r>
              <w:t>P1</w:t>
            </w:r>
          </w:p>
        </w:tc>
        <w:tc>
          <w:tcPr>
            <w:tcW w:w="1001" w:type="pct"/>
            <w:tcBorders>
              <w:tl2br w:val="nil"/>
              <w:tr2bl w:val="nil"/>
            </w:tcBorders>
            <w:vAlign w:val="center"/>
          </w:tcPr>
          <w:p>
            <w:pPr>
              <w:pStyle w:val="58"/>
            </w:pPr>
            <w:r>
              <w:t>P1</w:t>
            </w:r>
          </w:p>
        </w:tc>
        <w:tc>
          <w:tcPr>
            <w:tcW w:w="969" w:type="pct"/>
            <w:tcBorders>
              <w:tl2br w:val="nil"/>
              <w:tr2bl w:val="nil"/>
            </w:tcBorders>
            <w:vAlign w:val="center"/>
          </w:tcPr>
          <w:p>
            <w:pPr>
              <w:pStyle w:val="58"/>
            </w:pPr>
            <w:r>
              <w:t>P2</w:t>
            </w:r>
          </w:p>
        </w:tc>
        <w:tc>
          <w:tcPr>
            <w:tcW w:w="1014" w:type="pct"/>
            <w:tcBorders>
              <w:tl2br w:val="nil"/>
              <w:tr2bl w:val="nil"/>
            </w:tcBorders>
            <w:vAlign w:val="center"/>
          </w:tcPr>
          <w:p>
            <w:pPr>
              <w:pStyle w:val="58"/>
            </w:pPr>
            <w:r>
              <w:t>P3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72" w:type="pct"/>
            <w:tcBorders>
              <w:tl2br w:val="nil"/>
              <w:tr2bl w:val="nil"/>
            </w:tcBorders>
            <w:vAlign w:val="center"/>
          </w:tcPr>
          <w:p>
            <w:pPr>
              <w:pStyle w:val="58"/>
            </w:pPr>
            <w:r>
              <w:t>10≤Q&lt;100</w:t>
            </w:r>
          </w:p>
        </w:tc>
        <w:tc>
          <w:tcPr>
            <w:tcW w:w="943" w:type="pct"/>
            <w:tcBorders>
              <w:tl2br w:val="nil"/>
              <w:tr2bl w:val="nil"/>
            </w:tcBorders>
            <w:vAlign w:val="center"/>
          </w:tcPr>
          <w:p>
            <w:pPr>
              <w:pStyle w:val="58"/>
            </w:pPr>
            <w:r>
              <w:t>P1</w:t>
            </w:r>
          </w:p>
        </w:tc>
        <w:tc>
          <w:tcPr>
            <w:tcW w:w="1001" w:type="pct"/>
            <w:tcBorders>
              <w:tl2br w:val="nil"/>
              <w:tr2bl w:val="nil"/>
            </w:tcBorders>
            <w:vAlign w:val="center"/>
          </w:tcPr>
          <w:p>
            <w:pPr>
              <w:pStyle w:val="58"/>
            </w:pPr>
            <w:r>
              <w:t>P2</w:t>
            </w:r>
          </w:p>
        </w:tc>
        <w:tc>
          <w:tcPr>
            <w:tcW w:w="969" w:type="pct"/>
            <w:tcBorders>
              <w:tl2br w:val="nil"/>
              <w:tr2bl w:val="nil"/>
            </w:tcBorders>
            <w:vAlign w:val="center"/>
          </w:tcPr>
          <w:p>
            <w:pPr>
              <w:pStyle w:val="58"/>
            </w:pPr>
            <w:r>
              <w:t>P3</w:t>
            </w:r>
          </w:p>
        </w:tc>
        <w:tc>
          <w:tcPr>
            <w:tcW w:w="1014" w:type="pct"/>
            <w:tcBorders>
              <w:tl2br w:val="nil"/>
              <w:tr2bl w:val="nil"/>
            </w:tcBorders>
            <w:vAlign w:val="center"/>
          </w:tcPr>
          <w:p>
            <w:pPr>
              <w:pStyle w:val="58"/>
            </w:pPr>
            <w:r>
              <w:t>P4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72" w:type="pct"/>
            <w:tcBorders>
              <w:tl2br w:val="nil"/>
              <w:tr2bl w:val="nil"/>
            </w:tcBorders>
            <w:vAlign w:val="center"/>
          </w:tcPr>
          <w:p>
            <w:pPr>
              <w:pStyle w:val="58"/>
            </w:pPr>
            <w:r>
              <w:t>1≤Q&lt;10</w:t>
            </w:r>
          </w:p>
        </w:tc>
        <w:tc>
          <w:tcPr>
            <w:tcW w:w="943" w:type="pct"/>
            <w:tcBorders>
              <w:tl2br w:val="nil"/>
              <w:tr2bl w:val="nil"/>
            </w:tcBorders>
            <w:vAlign w:val="center"/>
          </w:tcPr>
          <w:p>
            <w:pPr>
              <w:pStyle w:val="58"/>
            </w:pPr>
            <w:r>
              <w:t>P2</w:t>
            </w:r>
          </w:p>
        </w:tc>
        <w:tc>
          <w:tcPr>
            <w:tcW w:w="1001" w:type="pct"/>
            <w:tcBorders>
              <w:tl2br w:val="nil"/>
              <w:tr2bl w:val="nil"/>
            </w:tcBorders>
            <w:vAlign w:val="center"/>
          </w:tcPr>
          <w:p>
            <w:pPr>
              <w:pStyle w:val="58"/>
            </w:pPr>
            <w:r>
              <w:t>P3</w:t>
            </w:r>
          </w:p>
        </w:tc>
        <w:tc>
          <w:tcPr>
            <w:tcW w:w="969" w:type="pct"/>
            <w:tcBorders>
              <w:tl2br w:val="nil"/>
              <w:tr2bl w:val="nil"/>
            </w:tcBorders>
            <w:vAlign w:val="center"/>
          </w:tcPr>
          <w:p>
            <w:pPr>
              <w:pStyle w:val="58"/>
            </w:pPr>
            <w:r>
              <w:t>P4</w:t>
            </w:r>
          </w:p>
        </w:tc>
        <w:tc>
          <w:tcPr>
            <w:tcW w:w="1014" w:type="pct"/>
            <w:tcBorders>
              <w:tl2br w:val="nil"/>
              <w:tr2bl w:val="nil"/>
            </w:tcBorders>
            <w:vAlign w:val="center"/>
          </w:tcPr>
          <w:p>
            <w:pPr>
              <w:pStyle w:val="58"/>
            </w:pPr>
            <w:r>
              <w:t>P4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985" w:type="pct"/>
            <w:gridSpan w:val="4"/>
            <w:tcBorders>
              <w:tl2br w:val="nil"/>
              <w:tr2bl w:val="nil"/>
            </w:tcBorders>
            <w:vAlign w:val="center"/>
          </w:tcPr>
          <w:p>
            <w:pPr>
              <w:pStyle w:val="58"/>
            </w:pPr>
            <w:r>
              <w:t>本项目P值等级判定</w:t>
            </w:r>
          </w:p>
        </w:tc>
        <w:tc>
          <w:tcPr>
            <w:tcW w:w="1014" w:type="pct"/>
            <w:tcBorders>
              <w:tl2br w:val="nil"/>
              <w:tr2bl w:val="nil"/>
            </w:tcBorders>
            <w:vAlign w:val="center"/>
          </w:tcPr>
          <w:p>
            <w:pPr>
              <w:pStyle w:val="58"/>
            </w:pPr>
            <w:r>
              <w:t>P</w:t>
            </w:r>
            <w:r>
              <w:rPr>
                <w:rFonts w:hint="eastAsia"/>
              </w:rPr>
              <w:t>4</w:t>
            </w:r>
          </w:p>
        </w:tc>
      </w:tr>
    </w:tbl>
    <w:p>
      <w:pPr>
        <w:widowControl/>
        <w:spacing w:line="520" w:lineRule="exact"/>
        <w:ind w:firstLine="480" w:firstLineChars="200"/>
        <w:rPr>
          <w:kern w:val="0"/>
          <w:sz w:val="24"/>
          <w:lang w:bidi="ar"/>
        </w:rPr>
      </w:pPr>
      <w:r>
        <w:rPr>
          <w:rFonts w:hint="eastAsia"/>
          <w:kern w:val="0"/>
          <w:sz w:val="24"/>
          <w:lang w:bidi="ar"/>
        </w:rPr>
        <w:t>1.2.2</w:t>
      </w:r>
      <w:r>
        <w:rPr>
          <w:kern w:val="0"/>
          <w:sz w:val="24"/>
          <w:lang w:bidi="ar"/>
        </w:rPr>
        <w:t>环境敏感程度（E）的确定</w:t>
      </w:r>
    </w:p>
    <w:p>
      <w:pPr>
        <w:widowControl/>
        <w:spacing w:line="520" w:lineRule="exact"/>
        <w:ind w:firstLine="480" w:firstLineChars="200"/>
        <w:rPr>
          <w:kern w:val="0"/>
          <w:sz w:val="24"/>
          <w:lang w:bidi="ar"/>
        </w:rPr>
      </w:pPr>
      <w:r>
        <w:rPr>
          <w:kern w:val="0"/>
          <w:sz w:val="24"/>
          <w:lang w:bidi="ar"/>
        </w:rPr>
        <w:t>根据《建设项目环境风险评价技术导则》（HJ 169-2018）附录D，本项目敏感程度E确定如下：</w:t>
      </w:r>
    </w:p>
    <w:p>
      <w:pPr>
        <w:widowControl/>
        <w:spacing w:line="520" w:lineRule="exact"/>
        <w:ind w:firstLine="480" w:firstLineChars="200"/>
        <w:rPr>
          <w:kern w:val="0"/>
          <w:sz w:val="24"/>
          <w:lang w:bidi="ar"/>
        </w:rPr>
      </w:pPr>
      <w:r>
        <w:rPr>
          <w:rFonts w:hint="eastAsia"/>
          <w:kern w:val="0"/>
          <w:sz w:val="24"/>
          <w:lang w:bidi="ar"/>
        </w:rPr>
        <w:t>（1）</w:t>
      </w:r>
      <w:r>
        <w:rPr>
          <w:kern w:val="0"/>
          <w:sz w:val="24"/>
          <w:lang w:bidi="ar"/>
        </w:rPr>
        <w:t>大气环境</w:t>
      </w:r>
    </w:p>
    <w:p>
      <w:pPr>
        <w:widowControl/>
        <w:spacing w:line="520" w:lineRule="exact"/>
        <w:ind w:firstLine="480" w:firstLineChars="200"/>
        <w:rPr>
          <w:kern w:val="0"/>
          <w:sz w:val="24"/>
          <w:lang w:bidi="ar"/>
        </w:rPr>
      </w:pPr>
      <w:r>
        <w:rPr>
          <w:kern w:val="0"/>
          <w:sz w:val="24"/>
          <w:lang w:bidi="ar"/>
        </w:rPr>
        <w:t>本项目周边500m范围内</w:t>
      </w:r>
      <w:r>
        <w:rPr>
          <w:rFonts w:hint="eastAsia"/>
          <w:kern w:val="0"/>
          <w:sz w:val="24"/>
          <w:lang w:bidi="ar"/>
        </w:rPr>
        <w:t>无</w:t>
      </w:r>
      <w:r>
        <w:rPr>
          <w:kern w:val="0"/>
          <w:sz w:val="24"/>
          <w:lang w:bidi="ar"/>
        </w:rPr>
        <w:t>居住区、医疗卫生、文化教育、科研和行政办公区，周边5km范围内人口总数小于10000人，大气环境敏感程度为“环境低度敏感区（E3）”。</w:t>
      </w:r>
    </w:p>
    <w:p>
      <w:pPr>
        <w:widowControl/>
        <w:ind w:firstLine="480" w:firstLineChars="200"/>
        <w:jc w:val="center"/>
        <w:rPr>
          <w:rFonts w:eastAsia="黑体"/>
          <w:sz w:val="24"/>
        </w:rPr>
      </w:pPr>
      <w:r>
        <w:rPr>
          <w:rFonts w:eastAsia="黑体"/>
          <w:sz w:val="24"/>
        </w:rPr>
        <w:t>表</w:t>
      </w:r>
      <w:r>
        <w:rPr>
          <w:rFonts w:hint="eastAsia" w:eastAsia="黑体"/>
          <w:sz w:val="24"/>
        </w:rPr>
        <w:t>5</w:t>
      </w:r>
      <w:r>
        <w:rPr>
          <w:rFonts w:eastAsia="黑体"/>
          <w:sz w:val="24"/>
        </w:rPr>
        <w:t xml:space="preserve">  大气环境敏感程度分级</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18"/>
        <w:gridCol w:w="796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710" w:type="pct"/>
            <w:tcBorders>
              <w:tl2br w:val="nil"/>
              <w:tr2bl w:val="nil"/>
            </w:tcBorders>
            <w:vAlign w:val="center"/>
          </w:tcPr>
          <w:p>
            <w:pPr>
              <w:pStyle w:val="58"/>
            </w:pPr>
            <w:r>
              <w:t>分级</w:t>
            </w:r>
          </w:p>
        </w:tc>
        <w:tc>
          <w:tcPr>
            <w:tcW w:w="4289" w:type="pct"/>
            <w:tcBorders>
              <w:tl2br w:val="nil"/>
              <w:tr2bl w:val="nil"/>
            </w:tcBorders>
            <w:vAlign w:val="center"/>
          </w:tcPr>
          <w:p>
            <w:pPr>
              <w:pStyle w:val="58"/>
            </w:pPr>
            <w:r>
              <w:t>大气环境敏感性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710" w:type="pct"/>
            <w:tcBorders>
              <w:tl2br w:val="nil"/>
              <w:tr2bl w:val="nil"/>
            </w:tcBorders>
            <w:vAlign w:val="center"/>
          </w:tcPr>
          <w:p>
            <w:pPr>
              <w:pStyle w:val="58"/>
            </w:pPr>
            <w:r>
              <w:t>E1</w:t>
            </w:r>
          </w:p>
        </w:tc>
        <w:tc>
          <w:tcPr>
            <w:tcW w:w="4289" w:type="pct"/>
            <w:tcBorders>
              <w:tl2br w:val="nil"/>
              <w:tr2bl w:val="nil"/>
            </w:tcBorders>
            <w:vAlign w:val="center"/>
          </w:tcPr>
          <w:p>
            <w:pPr>
              <w:pStyle w:val="58"/>
              <w:jc w:val="left"/>
            </w:pPr>
            <w: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710" w:type="pct"/>
            <w:tcBorders>
              <w:tl2br w:val="nil"/>
              <w:tr2bl w:val="nil"/>
            </w:tcBorders>
            <w:vAlign w:val="center"/>
          </w:tcPr>
          <w:p>
            <w:pPr>
              <w:pStyle w:val="58"/>
            </w:pPr>
            <w:r>
              <w:t>E2</w:t>
            </w:r>
          </w:p>
        </w:tc>
        <w:tc>
          <w:tcPr>
            <w:tcW w:w="4289" w:type="pct"/>
            <w:tcBorders>
              <w:tl2br w:val="nil"/>
              <w:tr2bl w:val="nil"/>
            </w:tcBorders>
            <w:vAlign w:val="center"/>
          </w:tcPr>
          <w:p>
            <w:pPr>
              <w:pStyle w:val="58"/>
              <w:jc w:val="left"/>
            </w:pPr>
            <w: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710" w:type="pct"/>
            <w:tcBorders>
              <w:tl2br w:val="nil"/>
              <w:tr2bl w:val="nil"/>
            </w:tcBorders>
            <w:vAlign w:val="center"/>
          </w:tcPr>
          <w:p>
            <w:pPr>
              <w:pStyle w:val="58"/>
            </w:pPr>
            <w:r>
              <w:t>E3</w:t>
            </w:r>
          </w:p>
        </w:tc>
        <w:tc>
          <w:tcPr>
            <w:tcW w:w="4289" w:type="pct"/>
            <w:tcBorders>
              <w:tl2br w:val="nil"/>
              <w:tr2bl w:val="nil"/>
            </w:tcBorders>
            <w:vAlign w:val="center"/>
          </w:tcPr>
          <w:p>
            <w:pPr>
              <w:pStyle w:val="58"/>
              <w:jc w:val="left"/>
            </w:pPr>
            <w:r>
              <w:t>周边5km范围内居住区、医疗卫生、文化教育、科研、行政办公等机构人口总数小于1万人：或周边500m范围内人口总数小于500人：油气、化学品输送管线管段周边200m范围内，每千米管段人口数小于100人</w:t>
            </w:r>
          </w:p>
        </w:tc>
      </w:tr>
    </w:tbl>
    <w:p>
      <w:pPr>
        <w:pStyle w:val="39"/>
        <w:spacing w:line="520" w:lineRule="exact"/>
        <w:ind w:firstLine="480"/>
        <w:jc w:val="both"/>
        <w:rPr>
          <w:sz w:val="24"/>
        </w:rPr>
      </w:pPr>
      <w:r>
        <w:rPr>
          <w:rFonts w:hint="eastAsia"/>
          <w:sz w:val="24"/>
        </w:rPr>
        <w:t>（2）</w:t>
      </w:r>
      <w:r>
        <w:rPr>
          <w:sz w:val="24"/>
        </w:rPr>
        <w:t>地表水</w:t>
      </w:r>
    </w:p>
    <w:p>
      <w:pPr>
        <w:pStyle w:val="39"/>
        <w:spacing w:line="520" w:lineRule="exact"/>
        <w:ind w:firstLine="480"/>
        <w:jc w:val="both"/>
        <w:rPr>
          <w:sz w:val="24"/>
        </w:rPr>
      </w:pPr>
      <w:r>
        <w:rPr>
          <w:sz w:val="24"/>
        </w:rPr>
        <w:t>本项目</w:t>
      </w:r>
      <w:r>
        <w:rPr>
          <w:rFonts w:hint="eastAsia"/>
          <w:sz w:val="24"/>
        </w:rPr>
        <w:t>废水经隔油沉淀池处理后排入</w:t>
      </w:r>
      <w:r>
        <w:rPr>
          <w:rFonts w:hint="eastAsia"/>
          <w:sz w:val="24"/>
          <w:lang w:val="en-US" w:eastAsia="zh-CN"/>
        </w:rPr>
        <w:t>地埋式一体化污水处理设施</w:t>
      </w:r>
      <w:r>
        <w:rPr>
          <w:sz w:val="24"/>
        </w:rPr>
        <w:t>，</w:t>
      </w:r>
      <w:r>
        <w:rPr>
          <w:rFonts w:hint="eastAsia"/>
          <w:sz w:val="24"/>
          <w:lang w:val="en-US" w:eastAsia="zh-CN"/>
        </w:rPr>
        <w:t>经处理后用于厂区绿化</w:t>
      </w:r>
      <w:r>
        <w:rPr>
          <w:sz w:val="24"/>
        </w:rPr>
        <w:t>风险评价不考虑地表水影响。</w:t>
      </w:r>
    </w:p>
    <w:p>
      <w:pPr>
        <w:pStyle w:val="39"/>
        <w:spacing w:line="520" w:lineRule="exact"/>
        <w:ind w:firstLine="480"/>
        <w:jc w:val="both"/>
        <w:rPr>
          <w:sz w:val="24"/>
        </w:rPr>
      </w:pPr>
      <w:r>
        <w:rPr>
          <w:rFonts w:hint="eastAsia"/>
          <w:sz w:val="24"/>
        </w:rPr>
        <w:t>（3）</w:t>
      </w:r>
      <w:r>
        <w:rPr>
          <w:sz w:val="24"/>
        </w:rPr>
        <w:t>地下水</w:t>
      </w:r>
    </w:p>
    <w:p>
      <w:pPr>
        <w:pStyle w:val="39"/>
        <w:spacing w:line="520" w:lineRule="exact"/>
        <w:ind w:firstLine="480"/>
        <w:jc w:val="both"/>
        <w:rPr>
          <w:sz w:val="24"/>
        </w:rPr>
      </w:pPr>
      <w:r>
        <w:rPr>
          <w:sz w:val="24"/>
        </w:rPr>
        <w:t>本项目位于</w:t>
      </w:r>
      <w:r>
        <w:rPr>
          <w:rFonts w:hint="eastAsia"/>
          <w:sz w:val="24"/>
        </w:rPr>
        <w:t>吉木萨尔县庆阳湖乡水溪沟</w:t>
      </w:r>
      <w:r>
        <w:rPr>
          <w:sz w:val="24"/>
        </w:rPr>
        <w:t>，不属于集中式饮用水水源准保护区及以外的补给径流区，地下水敏感性分区判定为“不敏感G3”。本项目场地及所处区域非含水层厚度大于1.0m，垂直入渗系数：10</w:t>
      </w:r>
      <w:r>
        <w:rPr>
          <w:sz w:val="24"/>
          <w:vertAlign w:val="superscript"/>
        </w:rPr>
        <w:t>-5</w:t>
      </w:r>
      <w:r>
        <w:rPr>
          <w:sz w:val="24"/>
        </w:rPr>
        <w:t>≤K&lt;10</w:t>
      </w:r>
      <w:r>
        <w:rPr>
          <w:sz w:val="24"/>
          <w:vertAlign w:val="superscript"/>
        </w:rPr>
        <w:t>-4</w:t>
      </w:r>
      <w:r>
        <w:rPr>
          <w:sz w:val="24"/>
        </w:rPr>
        <w:t>，包气带防污性能分级为D2，本项目地下水环境敏感程度分级为“环境低度敏感区</w:t>
      </w:r>
      <w:r>
        <w:rPr>
          <w:sz w:val="24"/>
          <w:lang w:bidi="ar"/>
        </w:rPr>
        <w:t>（E3）”。</w:t>
      </w:r>
    </w:p>
    <w:p>
      <w:pPr>
        <w:widowControl/>
        <w:ind w:firstLine="480" w:firstLineChars="200"/>
        <w:jc w:val="center"/>
        <w:rPr>
          <w:rFonts w:eastAsia="黑体"/>
          <w:sz w:val="24"/>
        </w:rPr>
      </w:pPr>
      <w:r>
        <w:rPr>
          <w:rFonts w:eastAsia="黑体"/>
          <w:sz w:val="24"/>
        </w:rPr>
        <w:t>表</w:t>
      </w:r>
      <w:r>
        <w:rPr>
          <w:rFonts w:hint="eastAsia" w:eastAsia="黑体"/>
          <w:sz w:val="24"/>
        </w:rPr>
        <w:t>6</w:t>
      </w:r>
      <w:r>
        <w:rPr>
          <w:rFonts w:eastAsia="黑体"/>
          <w:sz w:val="24"/>
        </w:rPr>
        <w:t xml:space="preserve">  地下水敏感程度分级</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319"/>
        <w:gridCol w:w="2321"/>
        <w:gridCol w:w="2321"/>
        <w:gridCol w:w="232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249" w:type="pct"/>
            <w:vMerge w:val="restart"/>
            <w:tcBorders>
              <w:tl2br w:val="nil"/>
              <w:tr2bl w:val="nil"/>
            </w:tcBorders>
            <w:vAlign w:val="center"/>
          </w:tcPr>
          <w:p>
            <w:pPr>
              <w:pStyle w:val="58"/>
            </w:pPr>
            <w:r>
              <w:t>包气带防污性能</w:t>
            </w:r>
          </w:p>
        </w:tc>
        <w:tc>
          <w:tcPr>
            <w:tcW w:w="3750" w:type="pct"/>
            <w:gridSpan w:val="3"/>
            <w:tcBorders>
              <w:tl2br w:val="nil"/>
              <w:tr2bl w:val="nil"/>
            </w:tcBorders>
            <w:vAlign w:val="center"/>
          </w:tcPr>
          <w:p>
            <w:pPr>
              <w:pStyle w:val="58"/>
            </w:pPr>
            <w:r>
              <w:t>地下水功能敏感性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9" w:type="pct"/>
            <w:vMerge w:val="continue"/>
            <w:tcBorders>
              <w:tl2br w:val="nil"/>
              <w:tr2bl w:val="nil"/>
            </w:tcBorders>
            <w:vAlign w:val="center"/>
          </w:tcPr>
          <w:p>
            <w:pPr>
              <w:pStyle w:val="58"/>
            </w:pPr>
          </w:p>
        </w:tc>
        <w:tc>
          <w:tcPr>
            <w:tcW w:w="1250" w:type="pct"/>
            <w:tcBorders>
              <w:tl2br w:val="nil"/>
              <w:tr2bl w:val="nil"/>
            </w:tcBorders>
            <w:vAlign w:val="center"/>
          </w:tcPr>
          <w:p>
            <w:pPr>
              <w:pStyle w:val="58"/>
            </w:pPr>
            <w:r>
              <w:t>G1</w:t>
            </w:r>
          </w:p>
        </w:tc>
        <w:tc>
          <w:tcPr>
            <w:tcW w:w="1250" w:type="pct"/>
            <w:tcBorders>
              <w:tl2br w:val="nil"/>
              <w:tr2bl w:val="nil"/>
            </w:tcBorders>
            <w:vAlign w:val="center"/>
          </w:tcPr>
          <w:p>
            <w:pPr>
              <w:pStyle w:val="58"/>
            </w:pPr>
            <w:r>
              <w:t>G2</w:t>
            </w:r>
          </w:p>
        </w:tc>
        <w:tc>
          <w:tcPr>
            <w:tcW w:w="1250" w:type="pct"/>
            <w:tcBorders>
              <w:tl2br w:val="nil"/>
              <w:tr2bl w:val="nil"/>
            </w:tcBorders>
            <w:vAlign w:val="center"/>
          </w:tcPr>
          <w:p>
            <w:pPr>
              <w:pStyle w:val="58"/>
            </w:pPr>
            <w:r>
              <w:t>G3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9" w:type="pct"/>
            <w:tcBorders>
              <w:tl2br w:val="nil"/>
              <w:tr2bl w:val="nil"/>
            </w:tcBorders>
            <w:vAlign w:val="center"/>
          </w:tcPr>
          <w:p>
            <w:pPr>
              <w:pStyle w:val="58"/>
            </w:pPr>
            <w:r>
              <w:t>D1</w:t>
            </w:r>
          </w:p>
        </w:tc>
        <w:tc>
          <w:tcPr>
            <w:tcW w:w="1250" w:type="pct"/>
            <w:tcBorders>
              <w:tl2br w:val="nil"/>
              <w:tr2bl w:val="nil"/>
            </w:tcBorders>
            <w:vAlign w:val="center"/>
          </w:tcPr>
          <w:p>
            <w:pPr>
              <w:pStyle w:val="58"/>
            </w:pPr>
            <w:r>
              <w:t>E1</w:t>
            </w:r>
          </w:p>
        </w:tc>
        <w:tc>
          <w:tcPr>
            <w:tcW w:w="1250" w:type="pct"/>
            <w:tcBorders>
              <w:tl2br w:val="nil"/>
              <w:tr2bl w:val="nil"/>
            </w:tcBorders>
            <w:vAlign w:val="center"/>
          </w:tcPr>
          <w:p>
            <w:pPr>
              <w:pStyle w:val="58"/>
            </w:pPr>
            <w:r>
              <w:t>E1</w:t>
            </w:r>
          </w:p>
        </w:tc>
        <w:tc>
          <w:tcPr>
            <w:tcW w:w="1250" w:type="pct"/>
            <w:tcBorders>
              <w:tl2br w:val="nil"/>
              <w:tr2bl w:val="nil"/>
            </w:tcBorders>
            <w:vAlign w:val="center"/>
          </w:tcPr>
          <w:p>
            <w:pPr>
              <w:pStyle w:val="58"/>
            </w:pPr>
            <w:r>
              <w:t>E2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9" w:type="pct"/>
            <w:tcBorders>
              <w:tl2br w:val="nil"/>
              <w:tr2bl w:val="nil"/>
            </w:tcBorders>
            <w:vAlign w:val="center"/>
          </w:tcPr>
          <w:p>
            <w:pPr>
              <w:pStyle w:val="58"/>
            </w:pPr>
            <w:r>
              <w:t>D2</w:t>
            </w:r>
          </w:p>
        </w:tc>
        <w:tc>
          <w:tcPr>
            <w:tcW w:w="1250" w:type="pct"/>
            <w:tcBorders>
              <w:tl2br w:val="nil"/>
              <w:tr2bl w:val="nil"/>
            </w:tcBorders>
            <w:vAlign w:val="center"/>
          </w:tcPr>
          <w:p>
            <w:pPr>
              <w:pStyle w:val="58"/>
            </w:pPr>
            <w:r>
              <w:t>E1</w:t>
            </w:r>
          </w:p>
        </w:tc>
        <w:tc>
          <w:tcPr>
            <w:tcW w:w="1250" w:type="pct"/>
            <w:tcBorders>
              <w:tl2br w:val="nil"/>
              <w:tr2bl w:val="nil"/>
            </w:tcBorders>
            <w:vAlign w:val="center"/>
          </w:tcPr>
          <w:p>
            <w:pPr>
              <w:pStyle w:val="58"/>
            </w:pPr>
            <w:r>
              <w:t>E2</w:t>
            </w:r>
          </w:p>
        </w:tc>
        <w:tc>
          <w:tcPr>
            <w:tcW w:w="1250" w:type="pct"/>
            <w:tcBorders>
              <w:tl2br w:val="nil"/>
              <w:tr2bl w:val="nil"/>
            </w:tcBorders>
            <w:vAlign w:val="center"/>
          </w:tcPr>
          <w:p>
            <w:pPr>
              <w:pStyle w:val="58"/>
            </w:pPr>
            <w:r>
              <w:t>E3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9" w:type="pct"/>
            <w:tcBorders>
              <w:tl2br w:val="nil"/>
              <w:tr2bl w:val="nil"/>
            </w:tcBorders>
            <w:vAlign w:val="center"/>
          </w:tcPr>
          <w:p>
            <w:pPr>
              <w:pStyle w:val="58"/>
            </w:pPr>
            <w:r>
              <w:t>D3</w:t>
            </w:r>
          </w:p>
        </w:tc>
        <w:tc>
          <w:tcPr>
            <w:tcW w:w="1250" w:type="pct"/>
            <w:tcBorders>
              <w:tl2br w:val="nil"/>
              <w:tr2bl w:val="nil"/>
            </w:tcBorders>
            <w:vAlign w:val="center"/>
          </w:tcPr>
          <w:p>
            <w:pPr>
              <w:pStyle w:val="58"/>
            </w:pPr>
            <w:r>
              <w:t>E2</w:t>
            </w:r>
          </w:p>
        </w:tc>
        <w:tc>
          <w:tcPr>
            <w:tcW w:w="1250" w:type="pct"/>
            <w:tcBorders>
              <w:tl2br w:val="nil"/>
              <w:tr2bl w:val="nil"/>
            </w:tcBorders>
            <w:vAlign w:val="center"/>
          </w:tcPr>
          <w:p>
            <w:pPr>
              <w:pStyle w:val="58"/>
            </w:pPr>
            <w:r>
              <w:t>E3</w:t>
            </w:r>
          </w:p>
        </w:tc>
        <w:tc>
          <w:tcPr>
            <w:tcW w:w="1250" w:type="pct"/>
            <w:tcBorders>
              <w:tl2br w:val="nil"/>
              <w:tr2bl w:val="nil"/>
            </w:tcBorders>
            <w:vAlign w:val="center"/>
          </w:tcPr>
          <w:p>
            <w:pPr>
              <w:pStyle w:val="58"/>
            </w:pPr>
            <w:r>
              <w:t>E3</w:t>
            </w:r>
          </w:p>
        </w:tc>
      </w:tr>
    </w:tbl>
    <w:p>
      <w:pPr>
        <w:widowControl/>
        <w:ind w:firstLine="480" w:firstLineChars="200"/>
        <w:jc w:val="center"/>
        <w:rPr>
          <w:rFonts w:eastAsia="黑体"/>
          <w:sz w:val="24"/>
        </w:rPr>
      </w:pPr>
      <w:r>
        <w:rPr>
          <w:rFonts w:eastAsia="黑体"/>
          <w:sz w:val="24"/>
        </w:rPr>
        <w:t>表</w:t>
      </w:r>
      <w:r>
        <w:rPr>
          <w:rFonts w:hint="eastAsia" w:eastAsia="黑体"/>
          <w:sz w:val="24"/>
        </w:rPr>
        <w:t>7</w:t>
      </w:r>
      <w:r>
        <w:rPr>
          <w:rFonts w:eastAsia="黑体"/>
          <w:sz w:val="24"/>
        </w:rPr>
        <w:t xml:space="preserve">  地下水功能敏感性分区</w:t>
      </w:r>
    </w:p>
    <w:tbl>
      <w:tblPr>
        <w:tblStyle w:val="29"/>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76"/>
        <w:gridCol w:w="790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741" w:type="pct"/>
            <w:tcBorders>
              <w:tl2br w:val="nil"/>
              <w:tr2bl w:val="nil"/>
            </w:tcBorders>
            <w:vAlign w:val="center"/>
          </w:tcPr>
          <w:p>
            <w:pPr>
              <w:pStyle w:val="58"/>
            </w:pPr>
            <w:r>
              <w:t>敏感性</w:t>
            </w:r>
          </w:p>
        </w:tc>
        <w:tc>
          <w:tcPr>
            <w:tcW w:w="4258" w:type="pct"/>
            <w:tcBorders>
              <w:tl2br w:val="nil"/>
              <w:tr2bl w:val="nil"/>
            </w:tcBorders>
            <w:vAlign w:val="center"/>
          </w:tcPr>
          <w:p>
            <w:pPr>
              <w:pStyle w:val="58"/>
              <w:jc w:val="left"/>
            </w:pPr>
            <w:r>
              <w:t>地下水环境敏感特性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1" w:type="pct"/>
            <w:tcBorders>
              <w:tl2br w:val="nil"/>
              <w:tr2bl w:val="nil"/>
            </w:tcBorders>
            <w:vAlign w:val="center"/>
          </w:tcPr>
          <w:p>
            <w:pPr>
              <w:pStyle w:val="58"/>
            </w:pPr>
            <w:r>
              <w:t>敏感G1</w:t>
            </w:r>
          </w:p>
        </w:tc>
        <w:tc>
          <w:tcPr>
            <w:tcW w:w="4258" w:type="pct"/>
            <w:tcBorders>
              <w:tl2br w:val="nil"/>
              <w:tr2bl w:val="nil"/>
            </w:tcBorders>
            <w:vAlign w:val="center"/>
          </w:tcPr>
          <w:p>
            <w:pPr>
              <w:pStyle w:val="58"/>
              <w:jc w:val="left"/>
            </w:pPr>
            <w: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1" w:type="pct"/>
            <w:tcBorders>
              <w:tl2br w:val="nil"/>
              <w:tr2bl w:val="nil"/>
            </w:tcBorders>
            <w:vAlign w:val="center"/>
          </w:tcPr>
          <w:p>
            <w:pPr>
              <w:pStyle w:val="58"/>
            </w:pPr>
            <w:r>
              <w:t>较敏感G2</w:t>
            </w:r>
          </w:p>
        </w:tc>
        <w:tc>
          <w:tcPr>
            <w:tcW w:w="4258" w:type="pct"/>
            <w:tcBorders>
              <w:tl2br w:val="nil"/>
              <w:tr2bl w:val="nil"/>
            </w:tcBorders>
            <w:vAlign w:val="center"/>
          </w:tcPr>
          <w:p>
            <w:pPr>
              <w:pStyle w:val="58"/>
              <w:jc w:val="left"/>
            </w:pPr>
            <w: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1" w:type="pct"/>
            <w:tcBorders>
              <w:tl2br w:val="nil"/>
              <w:tr2bl w:val="nil"/>
            </w:tcBorders>
            <w:vAlign w:val="center"/>
          </w:tcPr>
          <w:p>
            <w:pPr>
              <w:pStyle w:val="58"/>
            </w:pPr>
            <w:r>
              <w:t>不敏感G3</w:t>
            </w:r>
          </w:p>
        </w:tc>
        <w:tc>
          <w:tcPr>
            <w:tcW w:w="4258" w:type="pct"/>
            <w:tcBorders>
              <w:tl2br w:val="nil"/>
              <w:tr2bl w:val="nil"/>
            </w:tcBorders>
            <w:vAlign w:val="center"/>
          </w:tcPr>
          <w:p>
            <w:pPr>
              <w:pStyle w:val="58"/>
              <w:jc w:val="left"/>
            </w:pPr>
            <w:r>
              <w:t>上述地区之外的其它地区。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00" w:type="pct"/>
            <w:gridSpan w:val="2"/>
            <w:tcBorders>
              <w:tl2br w:val="nil"/>
              <w:tr2bl w:val="nil"/>
            </w:tcBorders>
            <w:vAlign w:val="center"/>
          </w:tcPr>
          <w:p>
            <w:pPr>
              <w:pStyle w:val="58"/>
              <w:jc w:val="left"/>
            </w:pPr>
            <w:r>
              <w:t>a“环境敏感区”是指《建设项目环境影响评价分类管理名录》中所界定的涉及地下水的环境敏感区。</w:t>
            </w:r>
          </w:p>
        </w:tc>
      </w:tr>
    </w:tbl>
    <w:p>
      <w:pPr>
        <w:widowControl/>
        <w:spacing w:before="156" w:beforeLines="50"/>
        <w:ind w:firstLine="480" w:firstLineChars="200"/>
        <w:jc w:val="center"/>
        <w:rPr>
          <w:rFonts w:eastAsia="黑体"/>
          <w:sz w:val="24"/>
        </w:rPr>
      </w:pPr>
      <w:r>
        <w:rPr>
          <w:rFonts w:eastAsia="黑体"/>
          <w:sz w:val="24"/>
        </w:rPr>
        <w:t>表</w:t>
      </w:r>
      <w:r>
        <w:rPr>
          <w:rFonts w:hint="eastAsia" w:eastAsia="黑体"/>
          <w:sz w:val="24"/>
        </w:rPr>
        <w:t>8</w:t>
      </w:r>
      <w:r>
        <w:rPr>
          <w:rFonts w:eastAsia="黑体"/>
          <w:sz w:val="24"/>
        </w:rPr>
        <w:t xml:space="preserve">  包气带防污性能分级</w:t>
      </w:r>
    </w:p>
    <w:tbl>
      <w:tblPr>
        <w:tblStyle w:val="29"/>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76"/>
        <w:gridCol w:w="790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741" w:type="pct"/>
            <w:tcBorders>
              <w:tl2br w:val="nil"/>
              <w:tr2bl w:val="nil"/>
            </w:tcBorders>
            <w:vAlign w:val="center"/>
          </w:tcPr>
          <w:p>
            <w:pPr>
              <w:pStyle w:val="58"/>
            </w:pPr>
            <w:r>
              <w:t>分级</w:t>
            </w:r>
          </w:p>
        </w:tc>
        <w:tc>
          <w:tcPr>
            <w:tcW w:w="4258" w:type="pct"/>
            <w:tcBorders>
              <w:tl2br w:val="nil"/>
              <w:tr2bl w:val="nil"/>
            </w:tcBorders>
            <w:vAlign w:val="center"/>
          </w:tcPr>
          <w:p>
            <w:pPr>
              <w:pStyle w:val="58"/>
              <w:jc w:val="left"/>
            </w:pPr>
            <w:r>
              <w:t>包气带岩土的渗透性能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1" w:type="pct"/>
            <w:tcBorders>
              <w:tl2br w:val="nil"/>
              <w:tr2bl w:val="nil"/>
            </w:tcBorders>
            <w:vAlign w:val="center"/>
          </w:tcPr>
          <w:p>
            <w:pPr>
              <w:pStyle w:val="58"/>
            </w:pPr>
            <w:r>
              <w:t>D3</w:t>
            </w:r>
          </w:p>
        </w:tc>
        <w:tc>
          <w:tcPr>
            <w:tcW w:w="4258" w:type="pct"/>
            <w:tcBorders>
              <w:tl2br w:val="nil"/>
              <w:tr2bl w:val="nil"/>
            </w:tcBorders>
            <w:vAlign w:val="center"/>
          </w:tcPr>
          <w:p>
            <w:pPr>
              <w:pStyle w:val="58"/>
              <w:jc w:val="left"/>
            </w:pPr>
            <w:r>
              <w:t>Mb≥1.0m，K≤1.0×10</w:t>
            </w:r>
            <w:r>
              <w:rPr>
                <w:vertAlign w:val="superscript"/>
              </w:rPr>
              <w:t>-6</w:t>
            </w:r>
            <w:r>
              <w:t>cm/s，且分布连续、稳定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1" w:type="pct"/>
            <w:tcBorders>
              <w:tl2br w:val="nil"/>
              <w:tr2bl w:val="nil"/>
            </w:tcBorders>
            <w:vAlign w:val="center"/>
          </w:tcPr>
          <w:p>
            <w:pPr>
              <w:pStyle w:val="58"/>
            </w:pPr>
            <w:r>
              <w:t>D2</w:t>
            </w:r>
          </w:p>
        </w:tc>
        <w:tc>
          <w:tcPr>
            <w:tcW w:w="4258" w:type="pct"/>
            <w:tcBorders>
              <w:tl2br w:val="nil"/>
              <w:tr2bl w:val="nil"/>
            </w:tcBorders>
            <w:vAlign w:val="center"/>
          </w:tcPr>
          <w:p>
            <w:pPr>
              <w:pStyle w:val="58"/>
              <w:jc w:val="left"/>
            </w:pPr>
            <w:r>
              <w:t>0.5m≤Mb&lt;1.0m，K≤1.0×10</w:t>
            </w:r>
            <w:r>
              <w:rPr>
                <w:vertAlign w:val="superscript"/>
              </w:rPr>
              <w:t>-6</w:t>
            </w:r>
            <w:r>
              <w:t>cm/s，且分布连续、稳定</w:t>
            </w:r>
          </w:p>
          <w:p>
            <w:pPr>
              <w:pStyle w:val="58"/>
              <w:jc w:val="left"/>
            </w:pPr>
            <w:r>
              <w:t>Mb≥1.0m，1.0×10</w:t>
            </w:r>
            <w:r>
              <w:rPr>
                <w:vertAlign w:val="superscript"/>
              </w:rPr>
              <w:t>-6</w:t>
            </w:r>
            <w:r>
              <w:t>cm/s&lt;K≤1.0×10</w:t>
            </w:r>
            <w:r>
              <w:rPr>
                <w:vertAlign w:val="superscript"/>
              </w:rPr>
              <w:t>-4</w:t>
            </w:r>
            <w:r>
              <w:t>cm/s，且分布连续、稳定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1" w:type="pct"/>
            <w:tcBorders>
              <w:tl2br w:val="nil"/>
              <w:tr2bl w:val="nil"/>
            </w:tcBorders>
            <w:vAlign w:val="center"/>
          </w:tcPr>
          <w:p>
            <w:pPr>
              <w:pStyle w:val="58"/>
            </w:pPr>
            <w:r>
              <w:t>D1</w:t>
            </w:r>
          </w:p>
        </w:tc>
        <w:tc>
          <w:tcPr>
            <w:tcW w:w="4258" w:type="pct"/>
            <w:tcBorders>
              <w:tl2br w:val="nil"/>
              <w:tr2bl w:val="nil"/>
            </w:tcBorders>
            <w:vAlign w:val="center"/>
          </w:tcPr>
          <w:p>
            <w:pPr>
              <w:pStyle w:val="58"/>
              <w:jc w:val="left"/>
            </w:pPr>
            <w:r>
              <w:t>岩（土）层不满足上述“D2”和“D3”条件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00" w:type="pct"/>
            <w:gridSpan w:val="2"/>
            <w:tcBorders>
              <w:tl2br w:val="nil"/>
              <w:tr2bl w:val="nil"/>
            </w:tcBorders>
            <w:vAlign w:val="center"/>
          </w:tcPr>
          <w:p>
            <w:pPr>
              <w:pStyle w:val="58"/>
              <w:jc w:val="left"/>
            </w:pPr>
            <w:r>
              <w:t>Mb：岩土层单层厚度。K：渗透系数。</w:t>
            </w:r>
          </w:p>
        </w:tc>
      </w:tr>
    </w:tbl>
    <w:p>
      <w:pPr>
        <w:pStyle w:val="39"/>
        <w:spacing w:line="520" w:lineRule="exact"/>
        <w:ind w:firstLine="480"/>
        <w:jc w:val="both"/>
        <w:rPr>
          <w:sz w:val="24"/>
        </w:rPr>
      </w:pPr>
      <w:r>
        <w:rPr>
          <w:rFonts w:hint="eastAsia"/>
          <w:sz w:val="24"/>
        </w:rPr>
        <w:t>3.3</w:t>
      </w:r>
      <w:r>
        <w:rPr>
          <w:sz w:val="24"/>
        </w:rPr>
        <w:t>风险潜势判断</w:t>
      </w:r>
    </w:p>
    <w:p>
      <w:pPr>
        <w:pStyle w:val="39"/>
        <w:spacing w:line="520" w:lineRule="exact"/>
        <w:ind w:firstLine="480"/>
        <w:jc w:val="both"/>
        <w:rPr>
          <w:sz w:val="24"/>
        </w:rPr>
      </w:pPr>
      <w:r>
        <w:rPr>
          <w:sz w:val="24"/>
        </w:rPr>
        <w:t>本项目大气和地下水环境敏感程度均为E3，工艺危险性程度为P</w:t>
      </w:r>
      <w:r>
        <w:rPr>
          <w:rFonts w:hint="eastAsia"/>
          <w:sz w:val="24"/>
        </w:rPr>
        <w:t>4</w:t>
      </w:r>
      <w:r>
        <w:rPr>
          <w:sz w:val="24"/>
        </w:rPr>
        <w:t>，环境风险潜势划分依据见下表：</w:t>
      </w:r>
    </w:p>
    <w:p>
      <w:pPr>
        <w:widowControl/>
        <w:spacing w:before="156" w:beforeLines="50"/>
        <w:ind w:firstLine="480" w:firstLineChars="200"/>
        <w:jc w:val="center"/>
        <w:rPr>
          <w:rFonts w:eastAsia="黑体"/>
          <w:sz w:val="24"/>
        </w:rPr>
      </w:pPr>
      <w:r>
        <w:rPr>
          <w:rFonts w:eastAsia="黑体"/>
          <w:sz w:val="24"/>
        </w:rPr>
        <w:t>表</w:t>
      </w:r>
      <w:r>
        <w:rPr>
          <w:rFonts w:hint="eastAsia" w:eastAsia="黑体"/>
          <w:sz w:val="24"/>
        </w:rPr>
        <w:t xml:space="preserve">9 </w:t>
      </w:r>
      <w:r>
        <w:rPr>
          <w:rFonts w:eastAsia="黑体"/>
          <w:sz w:val="24"/>
        </w:rPr>
        <w:t xml:space="preserve"> 建设项目环境风险潜势划分</w:t>
      </w:r>
    </w:p>
    <w:tbl>
      <w:tblPr>
        <w:tblStyle w:val="29"/>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557"/>
        <w:gridCol w:w="1749"/>
        <w:gridCol w:w="1688"/>
        <w:gridCol w:w="1671"/>
        <w:gridCol w:w="162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blHeader/>
          <w:jc w:val="center"/>
        </w:trPr>
        <w:tc>
          <w:tcPr>
            <w:tcW w:w="1377" w:type="pct"/>
            <w:vMerge w:val="restart"/>
            <w:tcBorders>
              <w:tl2br w:val="nil"/>
              <w:tr2bl w:val="nil"/>
            </w:tcBorders>
            <w:vAlign w:val="center"/>
          </w:tcPr>
          <w:p>
            <w:pPr>
              <w:pStyle w:val="58"/>
              <w:jc w:val="left"/>
            </w:pPr>
            <w:r>
              <w:t>环境敏感程度（E）</w:t>
            </w:r>
          </w:p>
        </w:tc>
        <w:tc>
          <w:tcPr>
            <w:tcW w:w="3622" w:type="pct"/>
            <w:gridSpan w:val="4"/>
            <w:tcBorders>
              <w:tl2br w:val="nil"/>
              <w:tr2bl w:val="nil"/>
            </w:tcBorders>
            <w:vAlign w:val="center"/>
          </w:tcPr>
          <w:p>
            <w:pPr>
              <w:pStyle w:val="58"/>
            </w:pPr>
            <w:r>
              <w:t>危险物质及工艺系统危害性（P）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blHeader/>
          <w:jc w:val="center"/>
        </w:trPr>
        <w:tc>
          <w:tcPr>
            <w:tcW w:w="1377" w:type="pct"/>
            <w:vMerge w:val="continue"/>
            <w:tcBorders>
              <w:tl2br w:val="nil"/>
              <w:tr2bl w:val="nil"/>
            </w:tcBorders>
            <w:vAlign w:val="center"/>
          </w:tcPr>
          <w:p>
            <w:pPr>
              <w:pStyle w:val="58"/>
              <w:jc w:val="left"/>
            </w:pPr>
          </w:p>
        </w:tc>
        <w:tc>
          <w:tcPr>
            <w:tcW w:w="942" w:type="pct"/>
            <w:tcBorders>
              <w:tl2br w:val="nil"/>
              <w:tr2bl w:val="nil"/>
            </w:tcBorders>
            <w:vAlign w:val="center"/>
          </w:tcPr>
          <w:p>
            <w:pPr>
              <w:pStyle w:val="58"/>
            </w:pPr>
            <w:r>
              <w:t>极度危害（P1）</w:t>
            </w:r>
          </w:p>
        </w:tc>
        <w:tc>
          <w:tcPr>
            <w:tcW w:w="909" w:type="pct"/>
            <w:tcBorders>
              <w:tl2br w:val="nil"/>
              <w:tr2bl w:val="nil"/>
            </w:tcBorders>
            <w:vAlign w:val="center"/>
          </w:tcPr>
          <w:p>
            <w:pPr>
              <w:pStyle w:val="58"/>
            </w:pPr>
            <w:r>
              <w:t>高度危害（P2）</w:t>
            </w:r>
          </w:p>
        </w:tc>
        <w:tc>
          <w:tcPr>
            <w:tcW w:w="900" w:type="pct"/>
            <w:tcBorders>
              <w:tl2br w:val="nil"/>
              <w:tr2bl w:val="nil"/>
            </w:tcBorders>
            <w:vAlign w:val="center"/>
          </w:tcPr>
          <w:p>
            <w:pPr>
              <w:pStyle w:val="58"/>
            </w:pPr>
            <w:r>
              <w:t>中度危害（P3）</w:t>
            </w:r>
          </w:p>
        </w:tc>
        <w:tc>
          <w:tcPr>
            <w:tcW w:w="868" w:type="pct"/>
            <w:tcBorders>
              <w:tl2br w:val="nil"/>
              <w:tr2bl w:val="nil"/>
            </w:tcBorders>
            <w:vAlign w:val="center"/>
          </w:tcPr>
          <w:p>
            <w:pPr>
              <w:pStyle w:val="58"/>
            </w:pPr>
            <w:r>
              <w:t>轻度危害（P4）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377" w:type="pct"/>
            <w:tcBorders>
              <w:tl2br w:val="nil"/>
              <w:tr2bl w:val="nil"/>
            </w:tcBorders>
            <w:vAlign w:val="center"/>
          </w:tcPr>
          <w:p>
            <w:pPr>
              <w:pStyle w:val="58"/>
              <w:jc w:val="left"/>
            </w:pPr>
            <w:r>
              <w:t>环境高度敏感区（E1）</w:t>
            </w:r>
          </w:p>
        </w:tc>
        <w:tc>
          <w:tcPr>
            <w:tcW w:w="942" w:type="pct"/>
            <w:tcBorders>
              <w:tl2br w:val="nil"/>
              <w:tr2bl w:val="nil"/>
            </w:tcBorders>
            <w:vAlign w:val="center"/>
          </w:tcPr>
          <w:p>
            <w:pPr>
              <w:pStyle w:val="58"/>
            </w:pPr>
            <w:r>
              <w:t>Ⅳ+</w:t>
            </w:r>
          </w:p>
        </w:tc>
        <w:tc>
          <w:tcPr>
            <w:tcW w:w="909" w:type="pct"/>
            <w:tcBorders>
              <w:tl2br w:val="nil"/>
              <w:tr2bl w:val="nil"/>
            </w:tcBorders>
            <w:vAlign w:val="center"/>
          </w:tcPr>
          <w:p>
            <w:pPr>
              <w:pStyle w:val="58"/>
            </w:pPr>
            <w:r>
              <w:t>Ⅳ</w:t>
            </w:r>
          </w:p>
        </w:tc>
        <w:tc>
          <w:tcPr>
            <w:tcW w:w="900" w:type="pct"/>
            <w:tcBorders>
              <w:tl2br w:val="nil"/>
              <w:tr2bl w:val="nil"/>
            </w:tcBorders>
            <w:vAlign w:val="center"/>
          </w:tcPr>
          <w:p>
            <w:pPr>
              <w:pStyle w:val="58"/>
            </w:pPr>
            <w:r>
              <w:t>Ⅲ</w:t>
            </w:r>
          </w:p>
        </w:tc>
        <w:tc>
          <w:tcPr>
            <w:tcW w:w="868" w:type="pct"/>
            <w:tcBorders>
              <w:tl2br w:val="nil"/>
              <w:tr2bl w:val="nil"/>
            </w:tcBorders>
            <w:vAlign w:val="center"/>
          </w:tcPr>
          <w:p>
            <w:pPr>
              <w:pStyle w:val="58"/>
            </w:pPr>
            <w:r>
              <w:t>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1377" w:type="pct"/>
            <w:tcBorders>
              <w:tl2br w:val="nil"/>
              <w:tr2bl w:val="nil"/>
            </w:tcBorders>
            <w:vAlign w:val="center"/>
          </w:tcPr>
          <w:p>
            <w:pPr>
              <w:pStyle w:val="58"/>
              <w:jc w:val="left"/>
            </w:pPr>
            <w:r>
              <w:t>环境中度敏感区（E2）</w:t>
            </w:r>
          </w:p>
        </w:tc>
        <w:tc>
          <w:tcPr>
            <w:tcW w:w="942" w:type="pct"/>
            <w:tcBorders>
              <w:tl2br w:val="nil"/>
              <w:tr2bl w:val="nil"/>
            </w:tcBorders>
            <w:vAlign w:val="center"/>
          </w:tcPr>
          <w:p>
            <w:pPr>
              <w:pStyle w:val="58"/>
            </w:pPr>
            <w:r>
              <w:t>Ⅳ</w:t>
            </w:r>
          </w:p>
        </w:tc>
        <w:tc>
          <w:tcPr>
            <w:tcW w:w="909" w:type="pct"/>
            <w:tcBorders>
              <w:tl2br w:val="nil"/>
              <w:tr2bl w:val="nil"/>
            </w:tcBorders>
            <w:vAlign w:val="center"/>
          </w:tcPr>
          <w:p>
            <w:pPr>
              <w:pStyle w:val="58"/>
            </w:pPr>
            <w:r>
              <w:t>Ⅲ</w:t>
            </w:r>
          </w:p>
        </w:tc>
        <w:tc>
          <w:tcPr>
            <w:tcW w:w="900" w:type="pct"/>
            <w:tcBorders>
              <w:tl2br w:val="nil"/>
              <w:tr2bl w:val="nil"/>
            </w:tcBorders>
            <w:vAlign w:val="center"/>
          </w:tcPr>
          <w:p>
            <w:pPr>
              <w:pStyle w:val="58"/>
            </w:pPr>
            <w:r>
              <w:t>Ⅲ</w:t>
            </w:r>
          </w:p>
        </w:tc>
        <w:tc>
          <w:tcPr>
            <w:tcW w:w="868" w:type="pct"/>
            <w:tcBorders>
              <w:tl2br w:val="nil"/>
              <w:tr2bl w:val="nil"/>
            </w:tcBorders>
            <w:vAlign w:val="center"/>
          </w:tcPr>
          <w:p>
            <w:pPr>
              <w:pStyle w:val="58"/>
            </w:pPr>
            <w:r>
              <w:t>Ⅱ</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377" w:type="pct"/>
            <w:tcBorders>
              <w:tl2br w:val="nil"/>
              <w:tr2bl w:val="nil"/>
            </w:tcBorders>
            <w:vAlign w:val="center"/>
          </w:tcPr>
          <w:p>
            <w:pPr>
              <w:pStyle w:val="58"/>
              <w:jc w:val="left"/>
            </w:pPr>
            <w:r>
              <w:t>环境低度敏感区（E3）</w:t>
            </w:r>
          </w:p>
        </w:tc>
        <w:tc>
          <w:tcPr>
            <w:tcW w:w="942" w:type="pct"/>
            <w:tcBorders>
              <w:tl2br w:val="nil"/>
              <w:tr2bl w:val="nil"/>
            </w:tcBorders>
            <w:vAlign w:val="center"/>
          </w:tcPr>
          <w:p>
            <w:pPr>
              <w:pStyle w:val="58"/>
            </w:pPr>
            <w:r>
              <w:t>Ⅲ</w:t>
            </w:r>
          </w:p>
        </w:tc>
        <w:tc>
          <w:tcPr>
            <w:tcW w:w="909" w:type="pct"/>
            <w:tcBorders>
              <w:tl2br w:val="nil"/>
              <w:tr2bl w:val="nil"/>
            </w:tcBorders>
            <w:vAlign w:val="center"/>
          </w:tcPr>
          <w:p>
            <w:pPr>
              <w:pStyle w:val="58"/>
            </w:pPr>
            <w:r>
              <w:t>Ⅲ</w:t>
            </w:r>
          </w:p>
        </w:tc>
        <w:tc>
          <w:tcPr>
            <w:tcW w:w="900" w:type="pct"/>
            <w:tcBorders>
              <w:tl2br w:val="nil"/>
              <w:tr2bl w:val="nil"/>
            </w:tcBorders>
            <w:vAlign w:val="center"/>
          </w:tcPr>
          <w:p>
            <w:pPr>
              <w:pStyle w:val="58"/>
            </w:pPr>
            <w:r>
              <w:t>Ⅱ</w:t>
            </w:r>
          </w:p>
        </w:tc>
        <w:tc>
          <w:tcPr>
            <w:tcW w:w="868" w:type="pct"/>
            <w:tcBorders>
              <w:tl2br w:val="nil"/>
              <w:tr2bl w:val="nil"/>
            </w:tcBorders>
            <w:vAlign w:val="center"/>
          </w:tcPr>
          <w:p>
            <w:pPr>
              <w:pStyle w:val="58"/>
            </w:pPr>
            <w:r>
              <w:t>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000" w:type="pct"/>
            <w:gridSpan w:val="5"/>
            <w:tcBorders>
              <w:tl2br w:val="nil"/>
              <w:tr2bl w:val="nil"/>
            </w:tcBorders>
            <w:vAlign w:val="center"/>
          </w:tcPr>
          <w:p>
            <w:pPr>
              <w:pStyle w:val="58"/>
              <w:jc w:val="left"/>
            </w:pPr>
            <w:r>
              <w:t>注：Ⅳ+为极高环境风险。</w:t>
            </w:r>
          </w:p>
        </w:tc>
      </w:tr>
    </w:tbl>
    <w:p>
      <w:pPr>
        <w:widowControl/>
        <w:spacing w:line="520" w:lineRule="exact"/>
        <w:ind w:firstLine="482" w:firstLineChars="200"/>
        <w:rPr>
          <w:b/>
          <w:bCs/>
          <w:kern w:val="0"/>
          <w:sz w:val="24"/>
          <w:lang w:bidi="ar"/>
        </w:rPr>
      </w:pPr>
      <w:r>
        <w:rPr>
          <w:rFonts w:hint="eastAsia"/>
          <w:b/>
          <w:bCs/>
          <w:kern w:val="0"/>
          <w:sz w:val="24"/>
          <w:lang w:bidi="ar"/>
        </w:rPr>
        <w:t>1.3</w:t>
      </w:r>
      <w:r>
        <w:rPr>
          <w:b/>
          <w:bCs/>
          <w:kern w:val="0"/>
          <w:sz w:val="24"/>
          <w:lang w:bidi="ar"/>
        </w:rPr>
        <w:t>风险评价等级</w:t>
      </w:r>
    </w:p>
    <w:p>
      <w:pPr>
        <w:pStyle w:val="39"/>
        <w:spacing w:line="520" w:lineRule="exact"/>
        <w:ind w:firstLine="480"/>
        <w:jc w:val="both"/>
        <w:rPr>
          <w:sz w:val="24"/>
        </w:rPr>
      </w:pPr>
      <w:r>
        <w:rPr>
          <w:sz w:val="24"/>
        </w:rPr>
        <w:t>根据《建设项目环境风险评价技术导则》（HJ/T169-2018），环境风险等级判定结果见下表：</w:t>
      </w:r>
    </w:p>
    <w:p>
      <w:pPr>
        <w:widowControl/>
        <w:spacing w:before="156" w:beforeLines="50"/>
        <w:ind w:firstLine="480" w:firstLineChars="200"/>
        <w:jc w:val="center"/>
        <w:rPr>
          <w:rFonts w:eastAsia="黑体"/>
          <w:sz w:val="24"/>
        </w:rPr>
      </w:pPr>
      <w:r>
        <w:rPr>
          <w:rFonts w:eastAsia="黑体"/>
          <w:sz w:val="24"/>
        </w:rPr>
        <w:t>表</w:t>
      </w:r>
      <w:r>
        <w:rPr>
          <w:rFonts w:hint="eastAsia" w:eastAsia="黑体"/>
          <w:sz w:val="24"/>
        </w:rPr>
        <w:t>10</w:t>
      </w:r>
      <w:r>
        <w:rPr>
          <w:rFonts w:eastAsia="黑体"/>
          <w:sz w:val="24"/>
        </w:rPr>
        <w:t xml:space="preserve">  环境风险评价工作等级划分表</w:t>
      </w:r>
    </w:p>
    <w:tbl>
      <w:tblPr>
        <w:tblStyle w:val="29"/>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944"/>
        <w:gridCol w:w="1626"/>
        <w:gridCol w:w="1946"/>
        <w:gridCol w:w="1946"/>
        <w:gridCol w:w="182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47" w:type="pct"/>
            <w:tcBorders>
              <w:tl2br w:val="nil"/>
              <w:tr2bl w:val="nil"/>
            </w:tcBorders>
            <w:vAlign w:val="center"/>
          </w:tcPr>
          <w:p>
            <w:pPr>
              <w:pStyle w:val="58"/>
            </w:pPr>
            <w:r>
              <w:t>环境风险潜势</w:t>
            </w:r>
          </w:p>
        </w:tc>
        <w:tc>
          <w:tcPr>
            <w:tcW w:w="876" w:type="pct"/>
            <w:tcBorders>
              <w:tl2br w:val="nil"/>
              <w:tr2bl w:val="nil"/>
            </w:tcBorders>
            <w:vAlign w:val="center"/>
          </w:tcPr>
          <w:p>
            <w:pPr>
              <w:pStyle w:val="58"/>
            </w:pPr>
            <w:r>
              <w:t>IV、IV+</w:t>
            </w:r>
          </w:p>
        </w:tc>
        <w:tc>
          <w:tcPr>
            <w:tcW w:w="1048" w:type="pct"/>
            <w:tcBorders>
              <w:tl2br w:val="nil"/>
              <w:tr2bl w:val="nil"/>
            </w:tcBorders>
            <w:vAlign w:val="center"/>
          </w:tcPr>
          <w:p>
            <w:pPr>
              <w:pStyle w:val="58"/>
            </w:pPr>
            <w:r>
              <w:t>III</w:t>
            </w:r>
          </w:p>
        </w:tc>
        <w:tc>
          <w:tcPr>
            <w:tcW w:w="1048" w:type="pct"/>
            <w:tcBorders>
              <w:tl2br w:val="nil"/>
              <w:tr2bl w:val="nil"/>
            </w:tcBorders>
            <w:vAlign w:val="center"/>
          </w:tcPr>
          <w:p>
            <w:pPr>
              <w:pStyle w:val="58"/>
            </w:pPr>
            <w:r>
              <w:t>Ⅱ</w:t>
            </w:r>
          </w:p>
        </w:tc>
        <w:tc>
          <w:tcPr>
            <w:tcW w:w="980" w:type="pct"/>
            <w:tcBorders>
              <w:tl2br w:val="nil"/>
              <w:tr2bl w:val="nil"/>
            </w:tcBorders>
            <w:vAlign w:val="center"/>
          </w:tcPr>
          <w:p>
            <w:pPr>
              <w:pStyle w:val="58"/>
            </w:pPr>
            <w:r>
              <w:t>I</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47" w:type="pct"/>
            <w:tcBorders>
              <w:tl2br w:val="nil"/>
              <w:tr2bl w:val="nil"/>
            </w:tcBorders>
            <w:vAlign w:val="center"/>
          </w:tcPr>
          <w:p>
            <w:pPr>
              <w:pStyle w:val="58"/>
            </w:pPr>
            <w:r>
              <w:t>评价工作等级</w:t>
            </w:r>
          </w:p>
        </w:tc>
        <w:tc>
          <w:tcPr>
            <w:tcW w:w="876" w:type="pct"/>
            <w:tcBorders>
              <w:tl2br w:val="nil"/>
              <w:tr2bl w:val="nil"/>
            </w:tcBorders>
            <w:vAlign w:val="center"/>
          </w:tcPr>
          <w:p>
            <w:pPr>
              <w:pStyle w:val="58"/>
            </w:pPr>
            <w:r>
              <w:t>一</w:t>
            </w:r>
          </w:p>
        </w:tc>
        <w:tc>
          <w:tcPr>
            <w:tcW w:w="1048" w:type="pct"/>
            <w:tcBorders>
              <w:tl2br w:val="nil"/>
              <w:tr2bl w:val="nil"/>
            </w:tcBorders>
            <w:vAlign w:val="center"/>
          </w:tcPr>
          <w:p>
            <w:pPr>
              <w:pStyle w:val="58"/>
            </w:pPr>
            <w:r>
              <w:t>二</w:t>
            </w:r>
          </w:p>
        </w:tc>
        <w:tc>
          <w:tcPr>
            <w:tcW w:w="1048" w:type="pct"/>
            <w:tcBorders>
              <w:tl2br w:val="nil"/>
              <w:tr2bl w:val="nil"/>
            </w:tcBorders>
            <w:vAlign w:val="center"/>
          </w:tcPr>
          <w:p>
            <w:pPr>
              <w:pStyle w:val="58"/>
            </w:pPr>
            <w:r>
              <w:t>三</w:t>
            </w:r>
          </w:p>
        </w:tc>
        <w:tc>
          <w:tcPr>
            <w:tcW w:w="980" w:type="pct"/>
            <w:tcBorders>
              <w:tl2br w:val="nil"/>
              <w:tr2bl w:val="nil"/>
            </w:tcBorders>
            <w:vAlign w:val="center"/>
          </w:tcPr>
          <w:p>
            <w:pPr>
              <w:pStyle w:val="58"/>
            </w:pPr>
            <w:r>
              <w:t>简单分析</w:t>
            </w:r>
            <w:r>
              <w:rPr>
                <w:vertAlign w:val="superscript"/>
              </w:rPr>
              <w: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923" w:type="pct"/>
            <w:gridSpan w:val="2"/>
            <w:tcBorders>
              <w:tl2br w:val="nil"/>
              <w:tr2bl w:val="nil"/>
            </w:tcBorders>
            <w:vAlign w:val="center"/>
          </w:tcPr>
          <w:p>
            <w:pPr>
              <w:pStyle w:val="58"/>
            </w:pPr>
            <w:r>
              <w:t>本项目</w:t>
            </w:r>
          </w:p>
        </w:tc>
        <w:tc>
          <w:tcPr>
            <w:tcW w:w="3076" w:type="pct"/>
            <w:gridSpan w:val="3"/>
            <w:tcBorders>
              <w:tl2br w:val="nil"/>
              <w:tr2bl w:val="nil"/>
            </w:tcBorders>
            <w:vAlign w:val="center"/>
          </w:tcPr>
          <w:p>
            <w:pPr>
              <w:pStyle w:val="58"/>
            </w:pPr>
            <w:r>
              <w:rPr>
                <w:rFonts w:hint="eastAsia"/>
              </w:rPr>
              <w:t>简单分析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000" w:type="pct"/>
            <w:gridSpan w:val="5"/>
            <w:tcBorders>
              <w:tl2br w:val="nil"/>
              <w:tr2bl w:val="nil"/>
            </w:tcBorders>
            <w:vAlign w:val="center"/>
          </w:tcPr>
          <w:p>
            <w:pPr>
              <w:pStyle w:val="58"/>
              <w:jc w:val="left"/>
            </w:pPr>
            <w:r>
              <w:t>a是相对于详细评价工作内容而言，在描述危险物质、环境影响途径、环境危险后果、风险防范措施等方面给出定性的说明。</w:t>
            </w:r>
          </w:p>
        </w:tc>
      </w:tr>
    </w:tbl>
    <w:p>
      <w:pPr>
        <w:widowControl/>
        <w:numPr>
          <w:ilvl w:val="0"/>
          <w:numId w:val="16"/>
        </w:numPr>
        <w:spacing w:line="520" w:lineRule="exact"/>
        <w:ind w:firstLine="482"/>
        <w:rPr>
          <w:b/>
          <w:bCs/>
          <w:kern w:val="0"/>
          <w:sz w:val="24"/>
          <w:lang w:bidi="ar"/>
        </w:rPr>
      </w:pPr>
      <w:r>
        <w:rPr>
          <w:b/>
          <w:bCs/>
          <w:kern w:val="0"/>
          <w:sz w:val="24"/>
          <w:lang w:bidi="ar"/>
        </w:rPr>
        <w:t>环境敏感目标调查</w:t>
      </w:r>
    </w:p>
    <w:p>
      <w:pPr>
        <w:widowControl/>
        <w:spacing w:line="520" w:lineRule="exact"/>
        <w:ind w:firstLine="480" w:firstLineChars="200"/>
        <w:rPr>
          <w:kern w:val="0"/>
          <w:sz w:val="24"/>
          <w:lang w:bidi="ar"/>
        </w:rPr>
      </w:pPr>
      <w:r>
        <w:rPr>
          <w:kern w:val="0"/>
          <w:sz w:val="24"/>
          <w:lang w:bidi="ar"/>
        </w:rPr>
        <w:t>根据《建设项目环境影响评价分类管理名录》（</w:t>
      </w:r>
      <w:r>
        <w:rPr>
          <w:rFonts w:hint="eastAsia"/>
          <w:kern w:val="0"/>
          <w:sz w:val="24"/>
          <w:lang w:bidi="ar"/>
        </w:rPr>
        <w:t>2021版</w:t>
      </w:r>
      <w:r>
        <w:rPr>
          <w:kern w:val="0"/>
          <w:sz w:val="24"/>
          <w:lang w:bidi="ar"/>
        </w:rPr>
        <w:t>）有关环境敏感区的特征描述，结合环境风险评价区域范围的环境特征，</w:t>
      </w:r>
      <w:r>
        <w:rPr>
          <w:rFonts w:hint="eastAsia"/>
          <w:kern w:val="0"/>
          <w:sz w:val="24"/>
          <w:lang w:bidi="ar"/>
        </w:rPr>
        <w:t>项目区位于吉木萨尔县庆阳湖乡水溪沟，无环境敏感目标。</w:t>
      </w:r>
    </w:p>
    <w:p>
      <w:pPr>
        <w:widowControl/>
        <w:numPr>
          <w:ilvl w:val="0"/>
          <w:numId w:val="16"/>
        </w:numPr>
        <w:spacing w:line="520" w:lineRule="exact"/>
        <w:ind w:firstLine="482"/>
        <w:rPr>
          <w:b/>
          <w:bCs/>
          <w:kern w:val="0"/>
          <w:sz w:val="24"/>
          <w:lang w:bidi="ar"/>
        </w:rPr>
      </w:pPr>
      <w:r>
        <w:rPr>
          <w:rFonts w:hint="eastAsia"/>
          <w:b/>
          <w:bCs/>
          <w:kern w:val="0"/>
          <w:sz w:val="24"/>
          <w:lang w:bidi="ar"/>
        </w:rPr>
        <w:t>风险识别</w:t>
      </w:r>
    </w:p>
    <w:p>
      <w:pPr>
        <w:pStyle w:val="39"/>
        <w:spacing w:line="520" w:lineRule="exact"/>
        <w:ind w:firstLine="480"/>
        <w:jc w:val="both"/>
        <w:rPr>
          <w:sz w:val="24"/>
        </w:rPr>
      </w:pPr>
      <w:r>
        <w:rPr>
          <w:sz w:val="24"/>
        </w:rPr>
        <w:t>本次风险识别范围包括生产设施风险识别、生产过程所涉及的物质风险识别和危险转移途径识别。</w:t>
      </w:r>
    </w:p>
    <w:p>
      <w:pPr>
        <w:pStyle w:val="39"/>
        <w:spacing w:line="520" w:lineRule="exact"/>
        <w:ind w:firstLine="482"/>
        <w:jc w:val="both"/>
        <w:rPr>
          <w:b/>
          <w:bCs/>
          <w:sz w:val="24"/>
        </w:rPr>
      </w:pPr>
      <w:r>
        <w:rPr>
          <w:rFonts w:hint="eastAsia"/>
          <w:b/>
          <w:bCs/>
          <w:sz w:val="24"/>
        </w:rPr>
        <w:t>3.1</w:t>
      </w:r>
      <w:r>
        <w:rPr>
          <w:b/>
          <w:bCs/>
          <w:sz w:val="24"/>
        </w:rPr>
        <w:t>危险物质识别</w:t>
      </w:r>
    </w:p>
    <w:p>
      <w:pPr>
        <w:pStyle w:val="39"/>
        <w:spacing w:line="520" w:lineRule="exact"/>
        <w:ind w:firstLine="480"/>
        <w:jc w:val="both"/>
        <w:rPr>
          <w:sz w:val="24"/>
        </w:rPr>
      </w:pPr>
      <w:r>
        <w:rPr>
          <w:sz w:val="24"/>
        </w:rPr>
        <w:t>根据《建设项目环境风险评价技术导则》（HJ169-</w:t>
      </w:r>
      <w:r>
        <w:rPr>
          <w:rFonts w:hint="eastAsia"/>
          <w:sz w:val="24"/>
          <w:lang w:val="en-US" w:eastAsia="zh-CN"/>
        </w:rPr>
        <w:t>2018</w:t>
      </w:r>
      <w:r>
        <w:rPr>
          <w:sz w:val="24"/>
        </w:rPr>
        <w:t>）、《危险化学品重大危险源辨识》（GB18218-20</w:t>
      </w:r>
      <w:r>
        <w:rPr>
          <w:rFonts w:hint="eastAsia"/>
          <w:sz w:val="24"/>
        </w:rPr>
        <w:t>1</w:t>
      </w:r>
      <w:r>
        <w:rPr>
          <w:rFonts w:hint="eastAsia"/>
          <w:sz w:val="24"/>
          <w:lang w:val="en-US" w:eastAsia="zh-CN"/>
        </w:rPr>
        <w:t>8</w:t>
      </w:r>
      <w:r>
        <w:rPr>
          <w:sz w:val="24"/>
        </w:rPr>
        <w:t>）和《危险化学品目录》（</w:t>
      </w:r>
      <w:r>
        <w:rPr>
          <w:rFonts w:hint="eastAsia"/>
          <w:sz w:val="24"/>
          <w:lang w:val="en-US" w:eastAsia="zh-CN"/>
        </w:rPr>
        <w:t>2021</w:t>
      </w:r>
      <w:r>
        <w:rPr>
          <w:rFonts w:hint="eastAsia"/>
          <w:sz w:val="24"/>
        </w:rPr>
        <w:t>版</w:t>
      </w:r>
      <w:r>
        <w:rPr>
          <w:sz w:val="24"/>
        </w:rPr>
        <w:t>）判断，本项目运营期涉及的主要危险物质为</w:t>
      </w:r>
      <w:r>
        <w:rPr>
          <w:rFonts w:hint="eastAsia"/>
          <w:sz w:val="24"/>
        </w:rPr>
        <w:t>硝酸铵、柴油</w:t>
      </w:r>
      <w:r>
        <w:rPr>
          <w:sz w:val="24"/>
        </w:rPr>
        <w:t>。各危险物质性质及危险特性</w:t>
      </w:r>
      <w:r>
        <w:rPr>
          <w:rFonts w:hint="eastAsia"/>
          <w:sz w:val="24"/>
        </w:rPr>
        <w:t>见表11~12。</w:t>
      </w:r>
    </w:p>
    <w:p>
      <w:pPr>
        <w:pStyle w:val="60"/>
        <w:spacing w:line="240" w:lineRule="auto"/>
        <w:ind w:firstLine="480"/>
        <w:jc w:val="center"/>
        <w:rPr>
          <w:rFonts w:hAnsi="Times New Roman" w:eastAsia="黑体"/>
          <w:b w:val="0"/>
          <w:bCs w:val="0"/>
          <w:color w:val="auto"/>
          <w:szCs w:val="24"/>
        </w:rPr>
      </w:pPr>
      <w:r>
        <w:rPr>
          <w:rFonts w:hAnsi="Times New Roman" w:eastAsia="黑体"/>
          <w:b w:val="0"/>
          <w:bCs w:val="0"/>
          <w:color w:val="auto"/>
          <w:szCs w:val="24"/>
        </w:rPr>
        <w:t>表</w:t>
      </w:r>
      <w:r>
        <w:rPr>
          <w:rFonts w:hint="eastAsia" w:hAnsi="Times New Roman" w:eastAsia="黑体"/>
          <w:b w:val="0"/>
          <w:bCs w:val="0"/>
          <w:color w:val="auto"/>
          <w:szCs w:val="24"/>
        </w:rPr>
        <w:t>11</w:t>
      </w:r>
      <w:r>
        <w:rPr>
          <w:rFonts w:hAnsi="Times New Roman" w:eastAsia="黑体"/>
          <w:b w:val="0"/>
          <w:bCs w:val="0"/>
          <w:color w:val="auto"/>
          <w:szCs w:val="24"/>
        </w:rPr>
        <w:t xml:space="preserve">  硝酸铵</w:t>
      </w:r>
      <w:r>
        <w:rPr>
          <w:rFonts w:hint="eastAsia" w:hAnsi="Times New Roman" w:eastAsia="黑体"/>
          <w:b w:val="0"/>
          <w:bCs w:val="0"/>
          <w:color w:val="auto"/>
          <w:szCs w:val="24"/>
        </w:rPr>
        <w:t>溶液特性分析</w:t>
      </w:r>
      <w:r>
        <w:rPr>
          <w:rFonts w:hAnsi="Times New Roman" w:eastAsia="黑体"/>
          <w:b w:val="0"/>
          <w:bCs w:val="0"/>
          <w:color w:val="auto"/>
          <w:szCs w:val="24"/>
        </w:rPr>
        <w:t>表</w:t>
      </w:r>
    </w:p>
    <w:tbl>
      <w:tblPr>
        <w:tblStyle w:val="29"/>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8"/>
        <w:gridCol w:w="85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9" w:type="pct"/>
            <w:vAlign w:val="center"/>
          </w:tcPr>
          <w:p>
            <w:pPr>
              <w:widowControl/>
              <w:jc w:val="center"/>
              <w:rPr>
                <w:kern w:val="0"/>
                <w:szCs w:val="21"/>
              </w:rPr>
            </w:pPr>
            <w:r>
              <w:rPr>
                <w:kern w:val="0"/>
                <w:szCs w:val="21"/>
              </w:rPr>
              <w:t>标识</w:t>
            </w:r>
          </w:p>
        </w:tc>
        <w:tc>
          <w:tcPr>
            <w:tcW w:w="4580" w:type="pct"/>
          </w:tcPr>
          <w:p>
            <w:pPr>
              <w:widowControl/>
              <w:jc w:val="left"/>
              <w:rPr>
                <w:kern w:val="0"/>
                <w:szCs w:val="21"/>
              </w:rPr>
            </w:pPr>
            <w:r>
              <w:rPr>
                <w:kern w:val="0"/>
                <w:szCs w:val="21"/>
              </w:rPr>
              <w:t>中文名：硝酸铵</w:t>
            </w:r>
            <w:r>
              <w:rPr>
                <w:rFonts w:hint="eastAsia"/>
                <w:kern w:val="0"/>
                <w:szCs w:val="21"/>
              </w:rPr>
              <w:t>，液体</w:t>
            </w:r>
            <w:r>
              <w:rPr>
                <w:kern w:val="0"/>
                <w:szCs w:val="21"/>
              </w:rPr>
              <w:t xml:space="preserve">  英文名：Ammonium  nitrate</w:t>
            </w:r>
            <w:r>
              <w:rPr>
                <w:rFonts w:hint="eastAsia"/>
                <w:kern w:val="0"/>
                <w:szCs w:val="21"/>
              </w:rPr>
              <w:t>，liquid</w:t>
            </w:r>
            <w:r>
              <w:rPr>
                <w:kern w:val="0"/>
                <w:szCs w:val="21"/>
              </w:rPr>
              <w:t xml:space="preserve">   分子式：NH</w:t>
            </w:r>
            <w:r>
              <w:rPr>
                <w:kern w:val="0"/>
                <w:szCs w:val="21"/>
                <w:vertAlign w:val="subscript"/>
              </w:rPr>
              <w:t>4</w:t>
            </w:r>
            <w:r>
              <w:rPr>
                <w:kern w:val="0"/>
                <w:szCs w:val="21"/>
              </w:rPr>
              <w:t>NO</w:t>
            </w:r>
            <w:r>
              <w:rPr>
                <w:kern w:val="0"/>
                <w:szCs w:val="21"/>
                <w:vertAlign w:val="subscript"/>
              </w:rPr>
              <w:t>3</w:t>
            </w:r>
          </w:p>
          <w:p>
            <w:pPr>
              <w:widowControl/>
              <w:jc w:val="left"/>
              <w:rPr>
                <w:kern w:val="0"/>
                <w:szCs w:val="21"/>
              </w:rPr>
            </w:pPr>
            <w:r>
              <w:rPr>
                <w:kern w:val="0"/>
                <w:szCs w:val="21"/>
              </w:rPr>
              <w:t>分子量：80.05     危规号：51069                 UN编号：</w:t>
            </w:r>
            <w:r>
              <w:rPr>
                <w:rFonts w:hint="eastAsia"/>
                <w:kern w:val="0"/>
                <w:szCs w:val="21"/>
              </w:rPr>
              <w:t>2426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9" w:type="pct"/>
            <w:vAlign w:val="center"/>
          </w:tcPr>
          <w:p>
            <w:pPr>
              <w:widowControl/>
              <w:jc w:val="center"/>
              <w:rPr>
                <w:kern w:val="0"/>
                <w:szCs w:val="21"/>
              </w:rPr>
            </w:pPr>
            <w:r>
              <w:rPr>
                <w:kern w:val="0"/>
                <w:szCs w:val="21"/>
              </w:rPr>
              <w:t>理化特性</w:t>
            </w:r>
          </w:p>
        </w:tc>
        <w:tc>
          <w:tcPr>
            <w:tcW w:w="4580" w:type="pct"/>
          </w:tcPr>
          <w:p>
            <w:pPr>
              <w:widowControl/>
              <w:rPr>
                <w:kern w:val="0"/>
                <w:szCs w:val="21"/>
              </w:rPr>
            </w:pPr>
            <w:r>
              <w:rPr>
                <w:kern w:val="0"/>
                <w:szCs w:val="21"/>
              </w:rPr>
              <w:t>含硝酸铵不超过93</w:t>
            </w:r>
            <w:r>
              <w:rPr>
                <w:rFonts w:hint="eastAsia"/>
                <w:kern w:val="0"/>
                <w:szCs w:val="21"/>
              </w:rPr>
              <w:t>%</w:t>
            </w:r>
            <w:r>
              <w:rPr>
                <w:kern w:val="0"/>
                <w:szCs w:val="21"/>
              </w:rPr>
              <w:t>和可燃物（包括以碳计算的有机物）不超过0.2</w:t>
            </w:r>
            <w:r>
              <w:rPr>
                <w:rFonts w:hint="eastAsia"/>
                <w:kern w:val="0"/>
                <w:szCs w:val="21"/>
              </w:rPr>
              <w:t>%</w:t>
            </w:r>
            <w:r>
              <w:rPr>
                <w:kern w:val="0"/>
                <w:szCs w:val="21"/>
              </w:rPr>
              <w:t>，无其他添加物，含水至少7</w:t>
            </w:r>
            <w:r>
              <w:rPr>
                <w:rFonts w:hint="eastAsia"/>
                <w:kern w:val="0"/>
                <w:szCs w:val="21"/>
              </w:rPr>
              <w:t>%</w:t>
            </w:r>
            <w:r>
              <w:rPr>
                <w:kern w:val="0"/>
                <w:szCs w:val="21"/>
              </w:rPr>
              <w:t>，氯离子最大含量不得超过0.02</w:t>
            </w:r>
            <w:r>
              <w:rPr>
                <w:rFonts w:hint="eastAsia"/>
                <w:kern w:val="0"/>
                <w:szCs w:val="21"/>
              </w:rPr>
              <w:t>%</w:t>
            </w:r>
            <w:r>
              <w:rPr>
                <w:kern w:val="0"/>
                <w:szCs w:val="21"/>
              </w:rPr>
              <w:t>的热水溶液。</w:t>
            </w:r>
          </w:p>
          <w:p>
            <w:pPr>
              <w:widowControl/>
              <w:rPr>
                <w:kern w:val="0"/>
                <w:szCs w:val="21"/>
              </w:rPr>
            </w:pPr>
            <w:r>
              <w:rPr>
                <w:kern w:val="0"/>
                <w:szCs w:val="21"/>
              </w:rPr>
              <w:t>熔点：169.6℃；分解温度：210℃；相对密度：1.72</w:t>
            </w:r>
          </w:p>
          <w:p>
            <w:pPr>
              <w:widowControl/>
              <w:rPr>
                <w:kern w:val="0"/>
                <w:szCs w:val="21"/>
              </w:rPr>
            </w:pPr>
            <w:r>
              <w:rPr>
                <w:kern w:val="0"/>
                <w:szCs w:val="21"/>
              </w:rPr>
              <w:t>主要用途：用于炸药的氧化剂等。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4" w:hRule="atLeast"/>
          <w:jc w:val="center"/>
        </w:trPr>
        <w:tc>
          <w:tcPr>
            <w:tcW w:w="419" w:type="pct"/>
            <w:vAlign w:val="center"/>
          </w:tcPr>
          <w:p>
            <w:pPr>
              <w:widowControl/>
              <w:jc w:val="center"/>
              <w:rPr>
                <w:kern w:val="0"/>
                <w:szCs w:val="21"/>
              </w:rPr>
            </w:pPr>
            <w:r>
              <w:rPr>
                <w:kern w:val="0"/>
                <w:szCs w:val="21"/>
              </w:rPr>
              <w:t>危险特性</w:t>
            </w:r>
          </w:p>
        </w:tc>
        <w:tc>
          <w:tcPr>
            <w:tcW w:w="4580" w:type="pct"/>
          </w:tcPr>
          <w:p>
            <w:pPr>
              <w:widowControl/>
              <w:rPr>
                <w:kern w:val="0"/>
                <w:szCs w:val="21"/>
              </w:rPr>
            </w:pPr>
            <w:r>
              <w:rPr>
                <w:kern w:val="0"/>
                <w:szCs w:val="21"/>
              </w:rPr>
              <w:t>强氧化剂。遇可燃物着火时，能助长火势。与可燃物粉末混合能发生激烈反应而爆炸。受强烈震动也会引爆。剧烈加热时可发生爆炸。与还原剂、有机物、易燃物如硫、磷或金属粉末等混合可形成爆炸性混合物。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9" w:type="pct"/>
            <w:vAlign w:val="center"/>
          </w:tcPr>
          <w:p>
            <w:pPr>
              <w:widowControl/>
              <w:jc w:val="center"/>
              <w:rPr>
                <w:kern w:val="0"/>
                <w:szCs w:val="21"/>
              </w:rPr>
            </w:pPr>
            <w:r>
              <w:rPr>
                <w:kern w:val="0"/>
                <w:szCs w:val="21"/>
              </w:rPr>
              <w:t>毒性</w:t>
            </w:r>
          </w:p>
          <w:p>
            <w:pPr>
              <w:widowControl/>
              <w:jc w:val="center"/>
              <w:rPr>
                <w:kern w:val="0"/>
                <w:szCs w:val="21"/>
              </w:rPr>
            </w:pPr>
            <w:r>
              <w:rPr>
                <w:kern w:val="0"/>
                <w:szCs w:val="21"/>
              </w:rPr>
              <w:t>危害</w:t>
            </w:r>
          </w:p>
        </w:tc>
        <w:tc>
          <w:tcPr>
            <w:tcW w:w="4580" w:type="pct"/>
          </w:tcPr>
          <w:p>
            <w:pPr>
              <w:widowControl/>
              <w:rPr>
                <w:kern w:val="0"/>
                <w:szCs w:val="21"/>
              </w:rPr>
            </w:pPr>
            <w:r>
              <w:rPr>
                <w:kern w:val="0"/>
                <w:szCs w:val="21"/>
              </w:rPr>
              <w:t>侵入途径：吸入、食入、经皮吸收。</w:t>
            </w:r>
          </w:p>
          <w:p>
            <w:pPr>
              <w:widowControl/>
              <w:rPr>
                <w:kern w:val="0"/>
                <w:szCs w:val="21"/>
              </w:rPr>
            </w:pPr>
            <w:r>
              <w:rPr>
                <w:kern w:val="0"/>
                <w:szCs w:val="21"/>
              </w:rPr>
              <w:t>对呼吸道、眼及皮肤有刺激性。接触后可引起恶心、呕吐、头痛、虚弱、无力和虚脱等。</w:t>
            </w:r>
          </w:p>
          <w:p>
            <w:pPr>
              <w:widowControl/>
              <w:rPr>
                <w:kern w:val="0"/>
                <w:szCs w:val="21"/>
              </w:rPr>
            </w:pPr>
            <w:r>
              <w:rPr>
                <w:kern w:val="0"/>
                <w:szCs w:val="21"/>
              </w:rPr>
              <w:t>大量接触可引起高铁血红蛋白血症，影响血液的携氧能力，出现紫绀、头痛、头晕、虚脱，甚至死亡。口服引起剧烈腹痛、呕吐、血便、休克、全身抽搐、昏迷，甚至死亡。</w:t>
            </w:r>
          </w:p>
        </w:tc>
      </w:tr>
    </w:tbl>
    <w:p>
      <w:pPr>
        <w:adjustRightInd w:val="0"/>
        <w:snapToGrid w:val="0"/>
        <w:jc w:val="center"/>
        <w:rPr>
          <w:rFonts w:eastAsia="黑体"/>
          <w:bCs/>
          <w:sz w:val="24"/>
          <w:szCs w:val="32"/>
        </w:rPr>
      </w:pPr>
      <w:r>
        <w:rPr>
          <w:rFonts w:eastAsia="黑体"/>
          <w:bCs/>
          <w:sz w:val="24"/>
          <w:szCs w:val="32"/>
        </w:rPr>
        <w:t>表</w:t>
      </w:r>
      <w:r>
        <w:rPr>
          <w:rFonts w:hint="eastAsia" w:eastAsia="黑体"/>
          <w:bCs/>
          <w:sz w:val="24"/>
          <w:szCs w:val="32"/>
        </w:rPr>
        <w:t xml:space="preserve">12 </w:t>
      </w:r>
      <w:r>
        <w:rPr>
          <w:rFonts w:eastAsia="黑体"/>
          <w:bCs/>
          <w:sz w:val="24"/>
          <w:szCs w:val="32"/>
        </w:rPr>
        <w:t xml:space="preserve"> 柴油的理化性质和危险特性</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12"/>
        <w:gridCol w:w="3228"/>
        <w:gridCol w:w="1622"/>
        <w:gridCol w:w="28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4"/>
            <w:vAlign w:val="center"/>
          </w:tcPr>
          <w:p>
            <w:pPr>
              <w:jc w:val="center"/>
              <w:rPr>
                <w:bCs/>
                <w:szCs w:val="21"/>
              </w:rPr>
            </w:pPr>
            <w:r>
              <w:rPr>
                <w:bCs/>
                <w:szCs w:val="21"/>
              </w:rPr>
              <w:t>危险性概述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68" w:type="pct"/>
            <w:vAlign w:val="center"/>
          </w:tcPr>
          <w:p>
            <w:pPr>
              <w:jc w:val="center"/>
              <w:rPr>
                <w:szCs w:val="21"/>
              </w:rPr>
            </w:pPr>
            <w:r>
              <w:rPr>
                <w:szCs w:val="21"/>
              </w:rPr>
              <w:t>中文名称</w:t>
            </w:r>
          </w:p>
        </w:tc>
        <w:tc>
          <w:tcPr>
            <w:tcW w:w="1738" w:type="pct"/>
            <w:vAlign w:val="center"/>
          </w:tcPr>
          <w:p>
            <w:pPr>
              <w:jc w:val="center"/>
              <w:rPr>
                <w:szCs w:val="21"/>
              </w:rPr>
            </w:pPr>
            <w:r>
              <w:rPr>
                <w:rFonts w:hint="eastAsia"/>
                <w:szCs w:val="21"/>
              </w:rPr>
              <w:t>柴油</w:t>
            </w:r>
          </w:p>
        </w:tc>
        <w:tc>
          <w:tcPr>
            <w:tcW w:w="873" w:type="pct"/>
            <w:vAlign w:val="center"/>
          </w:tcPr>
          <w:p>
            <w:pPr>
              <w:jc w:val="center"/>
              <w:rPr>
                <w:szCs w:val="21"/>
              </w:rPr>
            </w:pPr>
            <w:r>
              <w:rPr>
                <w:szCs w:val="21"/>
              </w:rPr>
              <w:t>英文名称</w:t>
            </w:r>
          </w:p>
        </w:tc>
        <w:tc>
          <w:tcPr>
            <w:tcW w:w="1521" w:type="pct"/>
            <w:vAlign w:val="center"/>
          </w:tcPr>
          <w:p>
            <w:pPr>
              <w:jc w:val="center"/>
              <w:rPr>
                <w:szCs w:val="21"/>
              </w:rPr>
            </w:pPr>
            <w:r>
              <w:rPr>
                <w:rFonts w:hint="eastAsia"/>
                <w:szCs w:val="21"/>
              </w:rPr>
              <w:t>Dieseloil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68" w:type="pct"/>
            <w:vAlign w:val="center"/>
          </w:tcPr>
          <w:p>
            <w:pPr>
              <w:jc w:val="center"/>
              <w:rPr>
                <w:szCs w:val="21"/>
              </w:rPr>
            </w:pPr>
            <w:r>
              <w:rPr>
                <w:szCs w:val="21"/>
              </w:rPr>
              <w:t>分子式</w:t>
            </w:r>
          </w:p>
        </w:tc>
        <w:tc>
          <w:tcPr>
            <w:tcW w:w="1738" w:type="pct"/>
            <w:vAlign w:val="center"/>
          </w:tcPr>
          <w:p>
            <w:pPr>
              <w:jc w:val="center"/>
              <w:rPr>
                <w:szCs w:val="21"/>
              </w:rPr>
            </w:pPr>
            <w:r>
              <w:rPr>
                <w:szCs w:val="21"/>
              </w:rPr>
              <w:t>混合物</w:t>
            </w:r>
          </w:p>
        </w:tc>
        <w:tc>
          <w:tcPr>
            <w:tcW w:w="873" w:type="pct"/>
            <w:vAlign w:val="center"/>
          </w:tcPr>
          <w:p>
            <w:pPr>
              <w:jc w:val="center"/>
              <w:rPr>
                <w:szCs w:val="21"/>
              </w:rPr>
            </w:pPr>
            <w:r>
              <w:rPr>
                <w:szCs w:val="21"/>
              </w:rPr>
              <w:t>外观与性质</w:t>
            </w:r>
          </w:p>
        </w:tc>
        <w:tc>
          <w:tcPr>
            <w:tcW w:w="1521" w:type="pct"/>
            <w:vAlign w:val="center"/>
          </w:tcPr>
          <w:p>
            <w:pPr>
              <w:jc w:val="center"/>
              <w:rPr>
                <w:szCs w:val="21"/>
              </w:rPr>
            </w:pPr>
            <w:r>
              <w:rPr>
                <w:rFonts w:hint="eastAsia"/>
                <w:szCs w:val="21"/>
              </w:rPr>
              <w:t>稍有粘稠性的棕色液体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68" w:type="pct"/>
            <w:vAlign w:val="center"/>
          </w:tcPr>
          <w:p>
            <w:pPr>
              <w:spacing w:line="280" w:lineRule="exact"/>
              <w:jc w:val="center"/>
              <w:rPr>
                <w:szCs w:val="21"/>
              </w:rPr>
            </w:pPr>
            <w:r>
              <w:rPr>
                <w:rFonts w:hint="eastAsia"/>
                <w:szCs w:val="21"/>
              </w:rPr>
              <w:t>熔点</w:t>
            </w:r>
            <w:r>
              <w:rPr>
                <w:szCs w:val="21"/>
              </w:rPr>
              <w:t>（℃）</w:t>
            </w:r>
          </w:p>
        </w:tc>
        <w:tc>
          <w:tcPr>
            <w:tcW w:w="1738" w:type="pct"/>
            <w:vAlign w:val="center"/>
          </w:tcPr>
          <w:p>
            <w:pPr>
              <w:spacing w:line="280" w:lineRule="exact"/>
              <w:jc w:val="center"/>
              <w:rPr>
                <w:szCs w:val="21"/>
              </w:rPr>
            </w:pPr>
            <w:r>
              <w:rPr>
                <w:rFonts w:hint="eastAsia"/>
                <w:szCs w:val="21"/>
              </w:rPr>
              <w:t>-18</w:t>
            </w:r>
          </w:p>
        </w:tc>
        <w:tc>
          <w:tcPr>
            <w:tcW w:w="873" w:type="pct"/>
            <w:vAlign w:val="center"/>
          </w:tcPr>
          <w:p>
            <w:pPr>
              <w:spacing w:line="280" w:lineRule="exact"/>
              <w:jc w:val="center"/>
              <w:rPr>
                <w:szCs w:val="21"/>
              </w:rPr>
            </w:pPr>
            <w:r>
              <w:rPr>
                <w:szCs w:val="21"/>
              </w:rPr>
              <w:t>沸点（℃）</w:t>
            </w:r>
          </w:p>
        </w:tc>
        <w:tc>
          <w:tcPr>
            <w:tcW w:w="1521" w:type="pct"/>
            <w:vAlign w:val="center"/>
          </w:tcPr>
          <w:p>
            <w:pPr>
              <w:spacing w:line="280" w:lineRule="exact"/>
              <w:jc w:val="center"/>
              <w:rPr>
                <w:szCs w:val="21"/>
              </w:rPr>
            </w:pPr>
            <w:r>
              <w:rPr>
                <w:rFonts w:hint="eastAsia"/>
                <w:szCs w:val="21"/>
              </w:rPr>
              <w:t>282-338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68" w:type="pct"/>
            <w:vAlign w:val="center"/>
          </w:tcPr>
          <w:p>
            <w:pPr>
              <w:jc w:val="center"/>
              <w:rPr>
                <w:szCs w:val="21"/>
              </w:rPr>
            </w:pPr>
            <w:r>
              <w:rPr>
                <w:szCs w:val="21"/>
              </w:rPr>
              <w:t>密度</w:t>
            </w:r>
          </w:p>
        </w:tc>
        <w:tc>
          <w:tcPr>
            <w:tcW w:w="1738" w:type="pct"/>
            <w:vAlign w:val="center"/>
          </w:tcPr>
          <w:p>
            <w:pPr>
              <w:jc w:val="center"/>
              <w:rPr>
                <w:szCs w:val="21"/>
              </w:rPr>
            </w:pPr>
            <w:r>
              <w:rPr>
                <w:szCs w:val="21"/>
              </w:rPr>
              <w:t>相对密度（水＝1）</w:t>
            </w:r>
            <w:r>
              <w:rPr>
                <w:rFonts w:hint="eastAsia"/>
                <w:szCs w:val="21"/>
              </w:rPr>
              <w:t>0.87-0.9</w:t>
            </w:r>
          </w:p>
        </w:tc>
        <w:tc>
          <w:tcPr>
            <w:tcW w:w="873" w:type="pct"/>
            <w:vAlign w:val="center"/>
          </w:tcPr>
          <w:p>
            <w:pPr>
              <w:jc w:val="center"/>
              <w:rPr>
                <w:szCs w:val="21"/>
              </w:rPr>
            </w:pPr>
            <w:r>
              <w:rPr>
                <w:szCs w:val="21"/>
              </w:rPr>
              <w:t>稳定性</w:t>
            </w:r>
          </w:p>
        </w:tc>
        <w:tc>
          <w:tcPr>
            <w:tcW w:w="1521" w:type="pct"/>
            <w:vAlign w:val="center"/>
          </w:tcPr>
          <w:p>
            <w:pPr>
              <w:jc w:val="center"/>
              <w:rPr>
                <w:szCs w:val="21"/>
              </w:rPr>
            </w:pPr>
            <w:r>
              <w:rPr>
                <w:szCs w:val="21"/>
              </w:rPr>
              <w:t>稳定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68" w:type="pct"/>
            <w:vAlign w:val="center"/>
          </w:tcPr>
          <w:p>
            <w:pPr>
              <w:jc w:val="center"/>
              <w:rPr>
                <w:szCs w:val="21"/>
              </w:rPr>
            </w:pPr>
            <w:r>
              <w:rPr>
                <w:szCs w:val="21"/>
              </w:rPr>
              <w:t>溶解性</w:t>
            </w:r>
          </w:p>
        </w:tc>
        <w:tc>
          <w:tcPr>
            <w:tcW w:w="4132" w:type="pct"/>
            <w:gridSpan w:val="3"/>
            <w:vAlign w:val="center"/>
          </w:tcPr>
          <w:p>
            <w:pPr>
              <w:jc w:val="center"/>
              <w:rPr>
                <w:szCs w:val="21"/>
              </w:rPr>
            </w:pP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68" w:type="pct"/>
            <w:vAlign w:val="center"/>
          </w:tcPr>
          <w:p>
            <w:pPr>
              <w:jc w:val="center"/>
              <w:rPr>
                <w:szCs w:val="21"/>
              </w:rPr>
            </w:pPr>
            <w:r>
              <w:rPr>
                <w:szCs w:val="21"/>
              </w:rPr>
              <w:t>主要用途</w:t>
            </w:r>
          </w:p>
        </w:tc>
        <w:tc>
          <w:tcPr>
            <w:tcW w:w="4132" w:type="pct"/>
            <w:gridSpan w:val="3"/>
            <w:vAlign w:val="center"/>
          </w:tcPr>
          <w:p>
            <w:pPr>
              <w:jc w:val="center"/>
              <w:rPr>
                <w:szCs w:val="21"/>
              </w:rPr>
            </w:pPr>
            <w:r>
              <w:rPr>
                <w:rFonts w:hint="eastAsia"/>
                <w:szCs w:val="21"/>
              </w:rPr>
              <w:t>用作柴油机的燃料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68" w:type="pct"/>
            <w:vAlign w:val="center"/>
          </w:tcPr>
          <w:p>
            <w:pPr>
              <w:jc w:val="center"/>
              <w:rPr>
                <w:szCs w:val="21"/>
              </w:rPr>
            </w:pPr>
            <w:r>
              <w:rPr>
                <w:szCs w:val="21"/>
              </w:rPr>
              <w:t>侵入途径</w:t>
            </w:r>
          </w:p>
        </w:tc>
        <w:tc>
          <w:tcPr>
            <w:tcW w:w="4132" w:type="pct"/>
            <w:gridSpan w:val="3"/>
            <w:vAlign w:val="center"/>
          </w:tcPr>
          <w:p>
            <w:pPr>
              <w:jc w:val="center"/>
              <w:rPr>
                <w:szCs w:val="21"/>
              </w:rPr>
            </w:pPr>
            <w:r>
              <w:rPr>
                <w:szCs w:val="21"/>
              </w:rPr>
              <w:t>吸入、食入、经皮肤吸收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68" w:type="pct"/>
            <w:vAlign w:val="center"/>
          </w:tcPr>
          <w:p>
            <w:pPr>
              <w:jc w:val="center"/>
              <w:rPr>
                <w:szCs w:val="21"/>
              </w:rPr>
            </w:pPr>
            <w:r>
              <w:rPr>
                <w:szCs w:val="21"/>
              </w:rPr>
              <w:t>健康危害</w:t>
            </w:r>
          </w:p>
        </w:tc>
        <w:tc>
          <w:tcPr>
            <w:tcW w:w="4132" w:type="pct"/>
            <w:gridSpan w:val="3"/>
            <w:vAlign w:val="center"/>
          </w:tcPr>
          <w:p>
            <w:pPr>
              <w:pStyle w:val="26"/>
              <w:tabs>
                <w:tab w:val="clear" w:pos="5580"/>
              </w:tabs>
              <w:spacing w:line="240" w:lineRule="auto"/>
              <w:jc w:val="center"/>
              <w:rPr>
                <w:rFonts w:ascii="Times New Roman" w:hAnsi="Times New Roman"/>
                <w:spacing w:val="0"/>
                <w:szCs w:val="21"/>
              </w:rPr>
            </w:pPr>
            <w:r>
              <w:rPr>
                <w:rFonts w:hint="eastAsia" w:ascii="Times New Roman" w:hAnsi="Times New Roman"/>
                <w:spacing w:val="0"/>
                <w:szCs w:val="21"/>
              </w:rPr>
              <w:t>皮肤接触可为主要吸收途径，可致急性肾脏损害。柴油可引起接</w:t>
            </w:r>
          </w:p>
          <w:p>
            <w:pPr>
              <w:pStyle w:val="26"/>
              <w:tabs>
                <w:tab w:val="clear" w:pos="5580"/>
              </w:tabs>
              <w:spacing w:line="240" w:lineRule="auto"/>
              <w:jc w:val="center"/>
              <w:rPr>
                <w:rFonts w:ascii="Times New Roman" w:hAnsi="Times New Roman"/>
                <w:spacing w:val="0"/>
                <w:szCs w:val="21"/>
              </w:rPr>
            </w:pPr>
            <w:r>
              <w:rPr>
                <w:rFonts w:hint="eastAsia" w:ascii="Times New Roman" w:hAnsi="Times New Roman"/>
                <w:spacing w:val="0"/>
                <w:szCs w:val="21"/>
              </w:rPr>
              <w:t>触性皮炎、油性痤疮。吸入其雾滴或液体呛入可引起吸入性肺炎。能经胎盘进入胎儿血中。柴油废气可引起眼、鼻刺激症状，头晕及头痛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68" w:type="pct"/>
            <w:vAlign w:val="center"/>
          </w:tcPr>
          <w:p>
            <w:pPr>
              <w:jc w:val="center"/>
              <w:rPr>
                <w:szCs w:val="21"/>
              </w:rPr>
            </w:pPr>
            <w:r>
              <w:rPr>
                <w:szCs w:val="21"/>
              </w:rPr>
              <w:t>毒性</w:t>
            </w:r>
          </w:p>
        </w:tc>
        <w:tc>
          <w:tcPr>
            <w:tcW w:w="4132" w:type="pct"/>
            <w:gridSpan w:val="3"/>
            <w:vAlign w:val="center"/>
          </w:tcPr>
          <w:p>
            <w:pPr>
              <w:jc w:val="center"/>
              <w:rPr>
                <w:szCs w:val="21"/>
              </w:rPr>
            </w:pP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68" w:type="pct"/>
            <w:vAlign w:val="center"/>
          </w:tcPr>
          <w:p>
            <w:pPr>
              <w:jc w:val="center"/>
              <w:rPr>
                <w:szCs w:val="21"/>
              </w:rPr>
            </w:pPr>
            <w:r>
              <w:rPr>
                <w:szCs w:val="21"/>
              </w:rPr>
              <w:t>危险特性</w:t>
            </w:r>
          </w:p>
        </w:tc>
        <w:tc>
          <w:tcPr>
            <w:tcW w:w="4132" w:type="pct"/>
            <w:gridSpan w:val="3"/>
            <w:vAlign w:val="center"/>
          </w:tcPr>
          <w:p>
            <w:pPr>
              <w:jc w:val="center"/>
              <w:rPr>
                <w:szCs w:val="21"/>
              </w:rPr>
            </w:pP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68" w:type="pct"/>
            <w:vAlign w:val="center"/>
          </w:tcPr>
          <w:p>
            <w:pPr>
              <w:jc w:val="center"/>
              <w:rPr>
                <w:szCs w:val="21"/>
              </w:rPr>
            </w:pPr>
            <w:r>
              <w:rPr>
                <w:rFonts w:hint="eastAsia"/>
                <w:szCs w:val="21"/>
              </w:rPr>
              <w:t>有害燃烧物</w:t>
            </w:r>
          </w:p>
        </w:tc>
        <w:tc>
          <w:tcPr>
            <w:tcW w:w="4132" w:type="pct"/>
            <w:gridSpan w:val="3"/>
            <w:vAlign w:val="center"/>
          </w:tcPr>
          <w:p>
            <w:pPr>
              <w:jc w:val="center"/>
              <w:rPr>
                <w:szCs w:val="21"/>
              </w:rPr>
            </w:pPr>
            <w:r>
              <w:rPr>
                <w:szCs w:val="21"/>
              </w:rPr>
              <w:t>一氧化碳、二氧化碳</w:t>
            </w:r>
          </w:p>
        </w:tc>
      </w:tr>
    </w:tbl>
    <w:p>
      <w:pPr>
        <w:pStyle w:val="39"/>
        <w:spacing w:line="520" w:lineRule="exact"/>
        <w:ind w:firstLine="482"/>
        <w:jc w:val="both"/>
        <w:rPr>
          <w:b/>
          <w:bCs/>
          <w:sz w:val="24"/>
        </w:rPr>
      </w:pPr>
      <w:r>
        <w:rPr>
          <w:rFonts w:hint="eastAsia"/>
          <w:b/>
          <w:bCs/>
          <w:sz w:val="24"/>
        </w:rPr>
        <w:t>3.2生产系统危险识别</w:t>
      </w:r>
    </w:p>
    <w:p>
      <w:pPr>
        <w:pStyle w:val="39"/>
        <w:spacing w:line="520" w:lineRule="exact"/>
        <w:ind w:firstLine="480"/>
        <w:jc w:val="both"/>
        <w:rPr>
          <w:sz w:val="24"/>
        </w:rPr>
      </w:pPr>
      <w:r>
        <w:rPr>
          <w:rFonts w:hint="eastAsia"/>
          <w:sz w:val="24"/>
        </w:rPr>
        <w:t>本项目存在危险因素见表13。</w:t>
      </w:r>
    </w:p>
    <w:p>
      <w:pPr>
        <w:widowControl/>
        <w:spacing w:before="156" w:beforeLines="50"/>
        <w:ind w:firstLine="480" w:firstLineChars="200"/>
        <w:jc w:val="center"/>
        <w:rPr>
          <w:rFonts w:eastAsia="黑体"/>
          <w:sz w:val="24"/>
        </w:rPr>
      </w:pPr>
      <w:r>
        <w:rPr>
          <w:rFonts w:hint="eastAsia" w:eastAsia="黑体"/>
          <w:sz w:val="24"/>
        </w:rPr>
        <w:t>表13  现场混装炸药生产过程火灾、爆炸危险因素分析</w:t>
      </w:r>
    </w:p>
    <w:tbl>
      <w:tblPr>
        <w:tblStyle w:val="30"/>
        <w:tblW w:w="500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21"/>
        <w:gridCol w:w="917"/>
        <w:gridCol w:w="2108"/>
        <w:gridCol w:w="4506"/>
        <w:gridCol w:w="11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334" w:type="pct"/>
            <w:tcBorders>
              <w:tl2br w:val="nil"/>
              <w:tr2bl w:val="nil"/>
            </w:tcBorders>
            <w:vAlign w:val="center"/>
          </w:tcPr>
          <w:p>
            <w:pPr>
              <w:keepNext w:val="0"/>
              <w:keepLines w:val="0"/>
              <w:pageBreakBefore w:val="0"/>
              <w:widowControl/>
              <w:kinsoku/>
              <w:wordWrap/>
              <w:overflowPunct/>
              <w:topLinePunct w:val="0"/>
              <w:bidi w:val="0"/>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lang w:bidi="ar"/>
              </w:rPr>
              <w:t>序</w:t>
            </w:r>
          </w:p>
          <w:p>
            <w:pPr>
              <w:keepNext w:val="0"/>
              <w:keepLines w:val="0"/>
              <w:pageBreakBefore w:val="0"/>
              <w:widowControl/>
              <w:kinsoku/>
              <w:wordWrap/>
              <w:overflowPunct/>
              <w:topLinePunct w:val="0"/>
              <w:bidi w:val="0"/>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lang w:bidi="ar"/>
              </w:rPr>
              <w:t>号</w:t>
            </w:r>
          </w:p>
        </w:tc>
        <w:tc>
          <w:tcPr>
            <w:tcW w:w="493" w:type="pct"/>
            <w:tcBorders>
              <w:tl2br w:val="nil"/>
              <w:tr2bl w:val="nil"/>
            </w:tcBorders>
            <w:vAlign w:val="center"/>
          </w:tcPr>
          <w:p>
            <w:pPr>
              <w:keepNext w:val="0"/>
              <w:keepLines w:val="0"/>
              <w:pageBreakBefore w:val="0"/>
              <w:widowControl/>
              <w:kinsoku/>
              <w:wordWrap/>
              <w:overflowPunct/>
              <w:topLinePunct w:val="0"/>
              <w:bidi w:val="0"/>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lang w:bidi="ar"/>
              </w:rPr>
              <w:t>工序</w:t>
            </w:r>
          </w:p>
          <w:p>
            <w:pPr>
              <w:keepNext w:val="0"/>
              <w:keepLines w:val="0"/>
              <w:pageBreakBefore w:val="0"/>
              <w:widowControl/>
              <w:kinsoku/>
              <w:wordWrap/>
              <w:overflowPunct/>
              <w:topLinePunct w:val="0"/>
              <w:bidi w:val="0"/>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lang w:bidi="ar"/>
              </w:rPr>
              <w:t>名称</w:t>
            </w:r>
          </w:p>
        </w:tc>
        <w:tc>
          <w:tcPr>
            <w:tcW w:w="1133" w:type="pct"/>
            <w:tcBorders>
              <w:tl2br w:val="nil"/>
              <w:tr2bl w:val="nil"/>
            </w:tcBorders>
            <w:vAlign w:val="center"/>
          </w:tcPr>
          <w:p>
            <w:pPr>
              <w:keepNext w:val="0"/>
              <w:keepLines w:val="0"/>
              <w:pageBreakBefore w:val="0"/>
              <w:widowControl/>
              <w:kinsoku/>
              <w:wordWrap/>
              <w:overflowPunct/>
              <w:topLinePunct w:val="0"/>
              <w:bidi w:val="0"/>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lang w:bidi="ar"/>
              </w:rPr>
              <w:t>作业内容</w:t>
            </w:r>
          </w:p>
        </w:tc>
        <w:tc>
          <w:tcPr>
            <w:tcW w:w="2422" w:type="pct"/>
            <w:tcBorders>
              <w:tl2br w:val="nil"/>
              <w:tr2bl w:val="nil"/>
            </w:tcBorders>
            <w:vAlign w:val="center"/>
          </w:tcPr>
          <w:p>
            <w:pPr>
              <w:keepNext w:val="0"/>
              <w:keepLines w:val="0"/>
              <w:pageBreakBefore w:val="0"/>
              <w:widowControl/>
              <w:kinsoku/>
              <w:wordWrap/>
              <w:overflowPunct/>
              <w:topLinePunct w:val="0"/>
              <w:bidi w:val="0"/>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lang w:bidi="ar"/>
              </w:rPr>
              <w:t>实际存在和潜在的危险因素</w:t>
            </w:r>
          </w:p>
        </w:tc>
        <w:tc>
          <w:tcPr>
            <w:tcW w:w="616" w:type="pct"/>
            <w:tcBorders>
              <w:tl2br w:val="nil"/>
              <w:tr2bl w:val="nil"/>
            </w:tcBorders>
            <w:vAlign w:val="center"/>
          </w:tcPr>
          <w:p>
            <w:pPr>
              <w:keepNext w:val="0"/>
              <w:keepLines w:val="0"/>
              <w:pageBreakBefore w:val="0"/>
              <w:widowControl/>
              <w:kinsoku/>
              <w:wordWrap/>
              <w:overflowPunct/>
              <w:topLinePunct w:val="0"/>
              <w:bidi w:val="0"/>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lang w:bidi="ar"/>
              </w:rPr>
              <w:t>潜在</w:t>
            </w:r>
          </w:p>
          <w:p>
            <w:pPr>
              <w:keepNext w:val="0"/>
              <w:keepLines w:val="0"/>
              <w:pageBreakBefore w:val="0"/>
              <w:widowControl/>
              <w:kinsoku/>
              <w:wordWrap/>
              <w:overflowPunct/>
              <w:topLinePunct w:val="0"/>
              <w:bidi w:val="0"/>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lang w:bidi="ar"/>
              </w:rPr>
              <w:t>后果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334" w:type="pct"/>
            <w:tcBorders>
              <w:tl2br w:val="nil"/>
              <w:tr2bl w:val="nil"/>
            </w:tcBorders>
            <w:vAlign w:val="center"/>
          </w:tcPr>
          <w:p>
            <w:pPr>
              <w:pStyle w:val="39"/>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493" w:type="pct"/>
            <w:tcBorders>
              <w:tl2br w:val="nil"/>
              <w:tr2bl w:val="nil"/>
            </w:tcBorders>
            <w:vAlign w:val="center"/>
          </w:tcPr>
          <w:p>
            <w:pPr>
              <w:keepNext w:val="0"/>
              <w:keepLines w:val="0"/>
              <w:pageBreakBefore w:val="0"/>
              <w:widowControl/>
              <w:kinsoku/>
              <w:wordWrap/>
              <w:overflowPunct/>
              <w:topLinePunct w:val="0"/>
              <w:bidi w:val="0"/>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lang w:bidi="ar"/>
              </w:rPr>
              <w:t>上料及储存</w:t>
            </w:r>
          </w:p>
        </w:tc>
        <w:tc>
          <w:tcPr>
            <w:tcW w:w="1133" w:type="pct"/>
            <w:tcBorders>
              <w:tl2br w:val="nil"/>
              <w:tr2bl w:val="nil"/>
            </w:tcBorders>
            <w:vAlign w:val="center"/>
          </w:tcPr>
          <w:p>
            <w:pPr>
              <w:keepNext w:val="0"/>
              <w:keepLines w:val="0"/>
              <w:pageBreakBefore w:val="0"/>
              <w:widowControl/>
              <w:kinsoku/>
              <w:wordWrap/>
              <w:overflowPunct/>
              <w:topLinePunct w:val="0"/>
              <w:bidi w:val="0"/>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lang w:bidi="ar"/>
              </w:rPr>
              <w:t>硝酸铵通过计量加入混装车，硝酸铵库储存</w:t>
            </w:r>
          </w:p>
        </w:tc>
        <w:tc>
          <w:tcPr>
            <w:tcW w:w="2422" w:type="pct"/>
            <w:tcBorders>
              <w:tl2br w:val="nil"/>
              <w:tr2bl w:val="nil"/>
            </w:tcBorders>
            <w:vAlign w:val="center"/>
          </w:tcPr>
          <w:p>
            <w:pPr>
              <w:keepNext w:val="0"/>
              <w:keepLines w:val="0"/>
              <w:pageBreakBefore w:val="0"/>
              <w:widowControl/>
              <w:kinsoku/>
              <w:wordWrap/>
              <w:overflowPunct/>
              <w:topLinePunct w:val="0"/>
              <w:bidi w:val="0"/>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lang w:bidi="ar"/>
              </w:rPr>
              <w:t>将明火或其他易燃物质带入库房中；</w:t>
            </w:r>
          </w:p>
          <w:p>
            <w:pPr>
              <w:keepNext w:val="0"/>
              <w:keepLines w:val="0"/>
              <w:pageBreakBefore w:val="0"/>
              <w:widowControl/>
              <w:kinsoku/>
              <w:wordWrap/>
              <w:overflowPunct/>
              <w:topLinePunct w:val="0"/>
              <w:bidi w:val="0"/>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lang w:bidi="ar"/>
              </w:rPr>
              <w:t>巡视人员劳保穿戴不符合要求，违规操作；</w:t>
            </w:r>
          </w:p>
          <w:p>
            <w:pPr>
              <w:keepNext w:val="0"/>
              <w:keepLines w:val="0"/>
              <w:pageBreakBefore w:val="0"/>
              <w:widowControl/>
              <w:kinsoku/>
              <w:wordWrap/>
              <w:overflowPunct/>
              <w:topLinePunct w:val="0"/>
              <w:bidi w:val="0"/>
              <w:snapToGrid/>
              <w:spacing w:line="240" w:lineRule="auto"/>
              <w:jc w:val="left"/>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kern w:val="0"/>
                <w:sz w:val="21"/>
                <w:szCs w:val="21"/>
                <w:lang w:bidi="ar"/>
              </w:rPr>
              <w:t>自动控制系统和安全连锁装置失效</w:t>
            </w:r>
            <w:r>
              <w:rPr>
                <w:rFonts w:hint="default" w:ascii="Times New Roman" w:hAnsi="Times New Roman" w:eastAsia="宋体" w:cs="Times New Roman"/>
                <w:kern w:val="0"/>
                <w:sz w:val="21"/>
                <w:szCs w:val="21"/>
                <w:lang w:eastAsia="zh-CN" w:bidi="ar"/>
              </w:rPr>
              <w:t>；</w:t>
            </w:r>
          </w:p>
        </w:tc>
        <w:tc>
          <w:tcPr>
            <w:tcW w:w="616" w:type="pct"/>
            <w:tcBorders>
              <w:tl2br w:val="nil"/>
              <w:tr2bl w:val="nil"/>
            </w:tcBorders>
            <w:vAlign w:val="center"/>
          </w:tcPr>
          <w:p>
            <w:pPr>
              <w:pStyle w:val="39"/>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火灾</w:t>
            </w:r>
          </w:p>
          <w:p>
            <w:pPr>
              <w:pStyle w:val="39"/>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爆炸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2" w:hRule="atLeast"/>
        </w:trPr>
        <w:tc>
          <w:tcPr>
            <w:tcW w:w="334" w:type="pct"/>
            <w:tcBorders>
              <w:tl2br w:val="nil"/>
              <w:tr2bl w:val="nil"/>
            </w:tcBorders>
            <w:vAlign w:val="center"/>
          </w:tcPr>
          <w:p>
            <w:pPr>
              <w:pStyle w:val="39"/>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493" w:type="pct"/>
            <w:tcBorders>
              <w:tl2br w:val="nil"/>
              <w:tr2bl w:val="nil"/>
            </w:tcBorders>
            <w:vAlign w:val="center"/>
          </w:tcPr>
          <w:p>
            <w:pPr>
              <w:pStyle w:val="39"/>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柴油储存装卸</w:t>
            </w:r>
          </w:p>
        </w:tc>
        <w:tc>
          <w:tcPr>
            <w:tcW w:w="1133" w:type="pct"/>
            <w:tcBorders>
              <w:tl2br w:val="nil"/>
              <w:tr2bl w:val="nil"/>
            </w:tcBorders>
            <w:vAlign w:val="center"/>
          </w:tcPr>
          <w:p>
            <w:pPr>
              <w:keepNext w:val="0"/>
              <w:keepLines w:val="0"/>
              <w:pageBreakBefore w:val="0"/>
              <w:widowControl/>
              <w:kinsoku/>
              <w:wordWrap/>
              <w:overflowPunct/>
              <w:topLinePunct w:val="0"/>
              <w:bidi w:val="0"/>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柴油在储罐中贮存，通过加油机输送至混装车</w:t>
            </w:r>
          </w:p>
        </w:tc>
        <w:tc>
          <w:tcPr>
            <w:tcW w:w="2422" w:type="pct"/>
            <w:tcBorders>
              <w:tl2br w:val="nil"/>
              <w:tr2bl w:val="nil"/>
            </w:tcBorders>
            <w:vAlign w:val="center"/>
          </w:tcPr>
          <w:p>
            <w:pPr>
              <w:keepNext w:val="0"/>
              <w:keepLines w:val="0"/>
              <w:pageBreakBefore w:val="0"/>
              <w:widowControl/>
              <w:kinsoku/>
              <w:wordWrap/>
              <w:overflowPunct/>
              <w:topLinePunct w:val="0"/>
              <w:bidi w:val="0"/>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将明火或其他易燃物质带入柴油储罐区；</w:t>
            </w:r>
          </w:p>
          <w:p>
            <w:pPr>
              <w:pStyle w:val="2"/>
              <w:keepNext w:val="0"/>
              <w:keepLines w:val="0"/>
              <w:pageBreakBefore w:val="0"/>
              <w:kinsoku/>
              <w:wordWrap/>
              <w:overflowPunct/>
              <w:topLinePunct w:val="0"/>
              <w:bidi w:val="0"/>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生贮存设备可能因控制系统出现故障或操作与判断失误，导致物料外泄；</w:t>
            </w:r>
          </w:p>
        </w:tc>
        <w:tc>
          <w:tcPr>
            <w:tcW w:w="616" w:type="pct"/>
            <w:tcBorders>
              <w:tl2br w:val="nil"/>
              <w:tr2bl w:val="nil"/>
            </w:tcBorders>
            <w:vAlign w:val="center"/>
          </w:tcPr>
          <w:p>
            <w:pPr>
              <w:pStyle w:val="39"/>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火灾</w:t>
            </w:r>
          </w:p>
          <w:p>
            <w:pPr>
              <w:pStyle w:val="39"/>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泄漏</w:t>
            </w:r>
          </w:p>
          <w:p>
            <w:pPr>
              <w:pStyle w:val="39"/>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爆炸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2" w:hRule="atLeast"/>
        </w:trPr>
        <w:tc>
          <w:tcPr>
            <w:tcW w:w="334" w:type="pct"/>
            <w:tcBorders>
              <w:tl2br w:val="nil"/>
              <w:tr2bl w:val="nil"/>
            </w:tcBorders>
            <w:vAlign w:val="center"/>
          </w:tcPr>
          <w:p>
            <w:pPr>
              <w:pStyle w:val="39"/>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493" w:type="pct"/>
            <w:tcBorders>
              <w:tl2br w:val="nil"/>
              <w:tr2bl w:val="nil"/>
            </w:tcBorders>
            <w:vAlign w:val="center"/>
          </w:tcPr>
          <w:p>
            <w:pPr>
              <w:pStyle w:val="39"/>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雷管储存</w:t>
            </w:r>
          </w:p>
        </w:tc>
        <w:tc>
          <w:tcPr>
            <w:tcW w:w="1133" w:type="pct"/>
            <w:tcBorders>
              <w:tl2br w:val="nil"/>
              <w:tr2bl w:val="nil"/>
            </w:tcBorders>
            <w:vAlign w:val="center"/>
          </w:tcPr>
          <w:p>
            <w:pPr>
              <w:keepNext w:val="0"/>
              <w:keepLines w:val="0"/>
              <w:pageBreakBefore w:val="0"/>
              <w:widowControl/>
              <w:kinsoku/>
              <w:wordWrap/>
              <w:overflowPunct/>
              <w:topLinePunct w:val="0"/>
              <w:bidi w:val="0"/>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电子雷管拉运至工业雷管库储存</w:t>
            </w:r>
          </w:p>
        </w:tc>
        <w:tc>
          <w:tcPr>
            <w:tcW w:w="2422" w:type="pct"/>
            <w:tcBorders>
              <w:tl2br w:val="nil"/>
              <w:tr2bl w:val="nil"/>
            </w:tcBorders>
            <w:vAlign w:val="center"/>
          </w:tcPr>
          <w:p>
            <w:pPr>
              <w:pStyle w:val="2"/>
              <w:keepNext w:val="0"/>
              <w:keepLines w:val="0"/>
              <w:pageBreakBefore w:val="0"/>
              <w:kinsoku/>
              <w:wordWrap/>
              <w:overflowPunct/>
              <w:topLinePunct w:val="0"/>
              <w:bidi w:val="0"/>
              <w:snapToGrid/>
              <w:spacing w:line="240" w:lineRule="auto"/>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将明火或其他易燃物质带入</w:t>
            </w:r>
            <w:r>
              <w:rPr>
                <w:rFonts w:hint="default" w:ascii="Times New Roman" w:hAnsi="Times New Roman" w:eastAsia="宋体" w:cs="Times New Roman"/>
                <w:sz w:val="21"/>
                <w:szCs w:val="21"/>
                <w:lang w:val="en-US" w:eastAsia="zh-CN"/>
              </w:rPr>
              <w:t>雷管库</w:t>
            </w:r>
            <w:r>
              <w:rPr>
                <w:rFonts w:hint="default" w:ascii="Times New Roman" w:hAnsi="Times New Roman" w:eastAsia="宋体" w:cs="Times New Roman"/>
                <w:sz w:val="21"/>
                <w:szCs w:val="21"/>
              </w:rPr>
              <w:t>中；</w:t>
            </w:r>
          </w:p>
          <w:p>
            <w:pPr>
              <w:pStyle w:val="2"/>
              <w:keepNext w:val="0"/>
              <w:keepLines w:val="0"/>
              <w:pageBreakBefore w:val="0"/>
              <w:kinsoku/>
              <w:wordWrap/>
              <w:overflowPunct/>
              <w:topLinePunct w:val="0"/>
              <w:bidi w:val="0"/>
              <w:snapToGrid/>
              <w:spacing w:line="240" w:lineRule="auto"/>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巡视人员劳保穿戴不符合要求，违规操作</w:t>
            </w:r>
            <w:r>
              <w:rPr>
                <w:rFonts w:hint="default" w:ascii="Times New Roman" w:hAnsi="Times New Roman" w:eastAsia="宋体" w:cs="Times New Roman"/>
                <w:sz w:val="21"/>
                <w:szCs w:val="21"/>
                <w:lang w:eastAsia="zh-CN"/>
              </w:rPr>
              <w:t>。</w:t>
            </w:r>
          </w:p>
        </w:tc>
        <w:tc>
          <w:tcPr>
            <w:tcW w:w="616" w:type="pct"/>
            <w:tcBorders>
              <w:tl2br w:val="nil"/>
              <w:tr2bl w:val="nil"/>
            </w:tcBorders>
            <w:vAlign w:val="center"/>
          </w:tcPr>
          <w:p>
            <w:pPr>
              <w:pStyle w:val="39"/>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爆炸</w:t>
            </w:r>
          </w:p>
        </w:tc>
      </w:tr>
    </w:tbl>
    <w:p>
      <w:pPr>
        <w:pStyle w:val="10"/>
        <w:spacing w:line="520" w:lineRule="exact"/>
        <w:rPr>
          <w:rFonts w:eastAsia="宋体"/>
          <w:b/>
          <w:bCs/>
          <w:kern w:val="0"/>
          <w:sz w:val="24"/>
          <w:szCs w:val="24"/>
          <w:lang w:bidi="ar"/>
        </w:rPr>
      </w:pPr>
      <w:r>
        <w:rPr>
          <w:rFonts w:hint="eastAsia" w:eastAsia="宋体"/>
          <w:b/>
          <w:bCs/>
          <w:kern w:val="0"/>
          <w:sz w:val="24"/>
          <w:szCs w:val="24"/>
          <w:lang w:bidi="ar"/>
        </w:rPr>
        <w:t>3.3周边危险源调查</w:t>
      </w:r>
    </w:p>
    <w:p>
      <w:pPr>
        <w:widowControl/>
        <w:spacing w:line="520" w:lineRule="exact"/>
        <w:ind w:firstLine="480" w:firstLineChars="200"/>
        <w:rPr>
          <w:color w:val="0000FF"/>
          <w:kern w:val="0"/>
          <w:sz w:val="24"/>
          <w:lang w:bidi="ar"/>
        </w:rPr>
      </w:pPr>
      <w:r>
        <w:rPr>
          <w:rFonts w:hint="eastAsia"/>
          <w:kern w:val="0"/>
          <w:sz w:val="24"/>
          <w:lang w:bidi="ar"/>
        </w:rPr>
        <w:t>项目区周围均为空地和废弃房屋，不涉及危险源</w:t>
      </w:r>
      <w:r>
        <w:rPr>
          <w:rFonts w:hint="eastAsia"/>
          <w:sz w:val="24"/>
        </w:rPr>
        <w:t>。</w:t>
      </w:r>
    </w:p>
    <w:p>
      <w:pPr>
        <w:widowControl/>
        <w:numPr>
          <w:ilvl w:val="0"/>
          <w:numId w:val="16"/>
        </w:numPr>
        <w:spacing w:line="520" w:lineRule="exact"/>
        <w:ind w:firstLine="482"/>
        <w:rPr>
          <w:b/>
          <w:bCs/>
          <w:kern w:val="0"/>
          <w:sz w:val="24"/>
          <w:lang w:bidi="ar"/>
        </w:rPr>
      </w:pPr>
      <w:r>
        <w:rPr>
          <w:rFonts w:hint="eastAsia"/>
          <w:b/>
          <w:bCs/>
          <w:kern w:val="0"/>
          <w:sz w:val="24"/>
          <w:lang w:bidi="ar"/>
        </w:rPr>
        <w:t>环境风险分析</w:t>
      </w:r>
    </w:p>
    <w:p>
      <w:pPr>
        <w:pStyle w:val="39"/>
        <w:spacing w:line="520" w:lineRule="exact"/>
        <w:ind w:firstLine="480"/>
        <w:jc w:val="both"/>
        <w:rPr>
          <w:sz w:val="24"/>
        </w:rPr>
      </w:pPr>
      <w:r>
        <w:rPr>
          <w:rFonts w:hint="eastAsia"/>
          <w:sz w:val="24"/>
        </w:rPr>
        <w:t>根据物质、生产系统以及储运系统的危险性识别，本项目存在的环境风险类型主要为危险物质泄漏以及火灾爆炸引发的次生污染物排放。本项目环境风险类型见表14。</w:t>
      </w:r>
    </w:p>
    <w:p>
      <w:pPr>
        <w:widowControl/>
        <w:spacing w:before="156" w:beforeLines="50"/>
        <w:ind w:firstLine="480" w:firstLineChars="200"/>
        <w:jc w:val="center"/>
        <w:rPr>
          <w:rFonts w:eastAsia="黑体"/>
          <w:sz w:val="24"/>
        </w:rPr>
      </w:pPr>
      <w:r>
        <w:rPr>
          <w:rFonts w:hint="eastAsia" w:eastAsia="黑体"/>
          <w:sz w:val="24"/>
        </w:rPr>
        <w:t>表14  现场混装炸药生产过程火灾、爆炸危险因素分析</w:t>
      </w:r>
    </w:p>
    <w:tbl>
      <w:tblPr>
        <w:tblStyle w:val="30"/>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42"/>
        <w:gridCol w:w="1792"/>
        <w:gridCol w:w="1350"/>
        <w:gridCol w:w="1560"/>
        <w:gridCol w:w="1647"/>
        <w:gridCol w:w="19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7" w:type="pct"/>
            <w:tcBorders>
              <w:tl2br w:val="nil"/>
              <w:tr2bl w:val="nil"/>
            </w:tcBorders>
            <w:vAlign w:val="center"/>
          </w:tcPr>
          <w:p>
            <w:pPr>
              <w:pStyle w:val="39"/>
              <w:ind w:firstLine="0" w:firstLineChars="0"/>
              <w:jc w:val="center"/>
              <w:rPr>
                <w:szCs w:val="21"/>
              </w:rPr>
            </w:pPr>
            <w:r>
              <w:rPr>
                <w:rFonts w:hint="eastAsia"/>
                <w:szCs w:val="21"/>
              </w:rPr>
              <w:t>序号</w:t>
            </w:r>
          </w:p>
        </w:tc>
        <w:tc>
          <w:tcPr>
            <w:tcW w:w="965" w:type="pct"/>
            <w:tcBorders>
              <w:tl2br w:val="nil"/>
              <w:tr2bl w:val="nil"/>
            </w:tcBorders>
            <w:vAlign w:val="center"/>
          </w:tcPr>
          <w:p>
            <w:pPr>
              <w:pStyle w:val="39"/>
              <w:ind w:firstLine="0" w:firstLineChars="0"/>
              <w:jc w:val="center"/>
              <w:rPr>
                <w:szCs w:val="21"/>
              </w:rPr>
            </w:pPr>
            <w:r>
              <w:rPr>
                <w:rFonts w:hint="eastAsia"/>
                <w:szCs w:val="21"/>
              </w:rPr>
              <w:t>危险单元</w:t>
            </w:r>
          </w:p>
        </w:tc>
        <w:tc>
          <w:tcPr>
            <w:tcW w:w="727" w:type="pct"/>
            <w:tcBorders>
              <w:tl2br w:val="nil"/>
              <w:tr2bl w:val="nil"/>
            </w:tcBorders>
            <w:vAlign w:val="center"/>
          </w:tcPr>
          <w:p>
            <w:pPr>
              <w:pStyle w:val="39"/>
              <w:ind w:firstLine="0" w:firstLineChars="0"/>
              <w:jc w:val="center"/>
              <w:rPr>
                <w:szCs w:val="21"/>
              </w:rPr>
            </w:pPr>
            <w:r>
              <w:rPr>
                <w:rFonts w:hint="eastAsia"/>
                <w:szCs w:val="21"/>
              </w:rPr>
              <w:t>主要危险物质</w:t>
            </w:r>
          </w:p>
        </w:tc>
        <w:tc>
          <w:tcPr>
            <w:tcW w:w="840" w:type="pct"/>
            <w:tcBorders>
              <w:tl2br w:val="nil"/>
              <w:tr2bl w:val="nil"/>
            </w:tcBorders>
            <w:vAlign w:val="center"/>
          </w:tcPr>
          <w:p>
            <w:pPr>
              <w:pStyle w:val="39"/>
              <w:ind w:firstLine="0" w:firstLineChars="0"/>
              <w:jc w:val="center"/>
              <w:rPr>
                <w:szCs w:val="21"/>
              </w:rPr>
            </w:pPr>
            <w:r>
              <w:rPr>
                <w:rFonts w:hint="eastAsia"/>
                <w:szCs w:val="21"/>
              </w:rPr>
              <w:t>环境风险类型</w:t>
            </w:r>
          </w:p>
        </w:tc>
        <w:tc>
          <w:tcPr>
            <w:tcW w:w="887" w:type="pct"/>
            <w:tcBorders>
              <w:tl2br w:val="nil"/>
              <w:tr2bl w:val="nil"/>
            </w:tcBorders>
            <w:vAlign w:val="center"/>
          </w:tcPr>
          <w:p>
            <w:pPr>
              <w:pStyle w:val="39"/>
              <w:ind w:firstLine="0" w:firstLineChars="0"/>
              <w:jc w:val="center"/>
              <w:rPr>
                <w:szCs w:val="21"/>
              </w:rPr>
            </w:pPr>
            <w:r>
              <w:rPr>
                <w:rFonts w:hint="eastAsia"/>
                <w:szCs w:val="21"/>
              </w:rPr>
              <w:t>环境影响途径</w:t>
            </w:r>
          </w:p>
        </w:tc>
        <w:tc>
          <w:tcPr>
            <w:tcW w:w="1071" w:type="pct"/>
            <w:tcBorders>
              <w:tl2br w:val="nil"/>
              <w:tr2bl w:val="nil"/>
            </w:tcBorders>
            <w:vAlign w:val="center"/>
          </w:tcPr>
          <w:p>
            <w:pPr>
              <w:pStyle w:val="39"/>
              <w:ind w:firstLine="0" w:firstLineChars="0"/>
              <w:jc w:val="center"/>
              <w:rPr>
                <w:szCs w:val="21"/>
              </w:rPr>
            </w:pPr>
            <w:r>
              <w:rPr>
                <w:rFonts w:hint="eastAsia"/>
                <w:szCs w:val="21"/>
              </w:rPr>
              <w:t>可能受影响的环境敏感目标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7" w:type="pct"/>
            <w:tcBorders>
              <w:tl2br w:val="nil"/>
              <w:tr2bl w:val="nil"/>
            </w:tcBorders>
            <w:vAlign w:val="center"/>
          </w:tcPr>
          <w:p>
            <w:pPr>
              <w:pStyle w:val="39"/>
              <w:ind w:firstLine="0" w:firstLineChars="0"/>
              <w:jc w:val="center"/>
              <w:rPr>
                <w:szCs w:val="21"/>
              </w:rPr>
            </w:pPr>
            <w:r>
              <w:rPr>
                <w:rFonts w:hint="eastAsia"/>
                <w:szCs w:val="21"/>
              </w:rPr>
              <w:t>1</w:t>
            </w:r>
          </w:p>
        </w:tc>
        <w:tc>
          <w:tcPr>
            <w:tcW w:w="965" w:type="pct"/>
            <w:tcBorders>
              <w:tl2br w:val="nil"/>
              <w:tr2bl w:val="nil"/>
            </w:tcBorders>
            <w:vAlign w:val="center"/>
          </w:tcPr>
          <w:p>
            <w:pPr>
              <w:pStyle w:val="39"/>
              <w:ind w:firstLine="0" w:firstLineChars="0"/>
              <w:jc w:val="center"/>
              <w:rPr>
                <w:szCs w:val="21"/>
              </w:rPr>
            </w:pPr>
            <w:r>
              <w:rPr>
                <w:rFonts w:hint="eastAsia"/>
                <w:szCs w:val="21"/>
              </w:rPr>
              <w:t>硝酸铵库、上料车间</w:t>
            </w:r>
          </w:p>
        </w:tc>
        <w:tc>
          <w:tcPr>
            <w:tcW w:w="727" w:type="pct"/>
            <w:tcBorders>
              <w:tl2br w:val="nil"/>
              <w:tr2bl w:val="nil"/>
            </w:tcBorders>
            <w:vAlign w:val="center"/>
          </w:tcPr>
          <w:p>
            <w:pPr>
              <w:pStyle w:val="39"/>
              <w:ind w:firstLine="0" w:firstLineChars="0"/>
              <w:jc w:val="center"/>
              <w:rPr>
                <w:szCs w:val="21"/>
              </w:rPr>
            </w:pPr>
            <w:r>
              <w:rPr>
                <w:rFonts w:hint="eastAsia"/>
                <w:szCs w:val="21"/>
              </w:rPr>
              <w:t>硝酸铵</w:t>
            </w:r>
          </w:p>
        </w:tc>
        <w:tc>
          <w:tcPr>
            <w:tcW w:w="840" w:type="pct"/>
            <w:tcBorders>
              <w:tl2br w:val="nil"/>
              <w:tr2bl w:val="nil"/>
            </w:tcBorders>
            <w:vAlign w:val="center"/>
          </w:tcPr>
          <w:p>
            <w:pPr>
              <w:pStyle w:val="39"/>
              <w:ind w:firstLine="0" w:firstLineChars="0"/>
              <w:jc w:val="center"/>
              <w:rPr>
                <w:szCs w:val="21"/>
              </w:rPr>
            </w:pPr>
            <w:r>
              <w:rPr>
                <w:rFonts w:hint="eastAsia"/>
                <w:szCs w:val="21"/>
              </w:rPr>
              <w:t>火灾、爆炸</w:t>
            </w:r>
          </w:p>
        </w:tc>
        <w:tc>
          <w:tcPr>
            <w:tcW w:w="887" w:type="pct"/>
            <w:tcBorders>
              <w:tl2br w:val="nil"/>
              <w:tr2bl w:val="nil"/>
            </w:tcBorders>
            <w:vAlign w:val="center"/>
          </w:tcPr>
          <w:p>
            <w:pPr>
              <w:pStyle w:val="39"/>
              <w:ind w:firstLine="0" w:firstLineChars="0"/>
              <w:jc w:val="center"/>
              <w:rPr>
                <w:szCs w:val="21"/>
              </w:rPr>
            </w:pPr>
            <w:r>
              <w:rPr>
                <w:rFonts w:hint="eastAsia"/>
                <w:szCs w:val="21"/>
              </w:rPr>
              <w:t>环境空气</w:t>
            </w:r>
          </w:p>
        </w:tc>
        <w:tc>
          <w:tcPr>
            <w:tcW w:w="1071" w:type="pct"/>
            <w:tcBorders>
              <w:tl2br w:val="nil"/>
              <w:tr2bl w:val="nil"/>
            </w:tcBorders>
            <w:vAlign w:val="center"/>
          </w:tcPr>
          <w:p>
            <w:pPr>
              <w:pStyle w:val="39"/>
              <w:ind w:firstLine="420"/>
              <w:jc w:val="both"/>
              <w:rPr>
                <w:szCs w:val="21"/>
              </w:rPr>
            </w:pPr>
            <w:r>
              <w:rPr>
                <w:rFonts w:hint="eastAsia"/>
                <w:szCs w:val="21"/>
              </w:rPr>
              <w:t>周边居民点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7" w:type="pct"/>
            <w:tcBorders>
              <w:tl2br w:val="nil"/>
              <w:tr2bl w:val="nil"/>
            </w:tcBorders>
            <w:vAlign w:val="center"/>
          </w:tcPr>
          <w:p>
            <w:pPr>
              <w:pStyle w:val="39"/>
              <w:ind w:firstLine="0" w:firstLineChars="0"/>
              <w:jc w:val="center"/>
              <w:rPr>
                <w:szCs w:val="21"/>
              </w:rPr>
            </w:pPr>
            <w:r>
              <w:rPr>
                <w:rFonts w:hint="eastAsia"/>
                <w:szCs w:val="21"/>
              </w:rPr>
              <w:t>2</w:t>
            </w:r>
          </w:p>
        </w:tc>
        <w:tc>
          <w:tcPr>
            <w:tcW w:w="965" w:type="pct"/>
            <w:tcBorders>
              <w:tl2br w:val="nil"/>
              <w:tr2bl w:val="nil"/>
            </w:tcBorders>
            <w:vAlign w:val="center"/>
          </w:tcPr>
          <w:p>
            <w:pPr>
              <w:pStyle w:val="39"/>
              <w:ind w:firstLine="0" w:firstLineChars="0"/>
              <w:jc w:val="center"/>
              <w:rPr>
                <w:szCs w:val="21"/>
              </w:rPr>
            </w:pPr>
            <w:r>
              <w:rPr>
                <w:rFonts w:hint="eastAsia"/>
                <w:szCs w:val="21"/>
              </w:rPr>
              <w:t>柴油储罐</w:t>
            </w:r>
          </w:p>
        </w:tc>
        <w:tc>
          <w:tcPr>
            <w:tcW w:w="727" w:type="pct"/>
            <w:tcBorders>
              <w:tl2br w:val="nil"/>
              <w:tr2bl w:val="nil"/>
            </w:tcBorders>
            <w:vAlign w:val="center"/>
          </w:tcPr>
          <w:p>
            <w:pPr>
              <w:pStyle w:val="39"/>
              <w:ind w:firstLine="0" w:firstLineChars="0"/>
              <w:jc w:val="center"/>
              <w:rPr>
                <w:szCs w:val="21"/>
              </w:rPr>
            </w:pPr>
            <w:r>
              <w:rPr>
                <w:rFonts w:hint="eastAsia"/>
                <w:szCs w:val="21"/>
              </w:rPr>
              <w:t>柴油</w:t>
            </w:r>
          </w:p>
        </w:tc>
        <w:tc>
          <w:tcPr>
            <w:tcW w:w="840" w:type="pct"/>
            <w:tcBorders>
              <w:tl2br w:val="nil"/>
              <w:tr2bl w:val="nil"/>
            </w:tcBorders>
            <w:vAlign w:val="center"/>
          </w:tcPr>
          <w:p>
            <w:pPr>
              <w:pStyle w:val="39"/>
              <w:ind w:firstLine="0" w:firstLineChars="0"/>
              <w:jc w:val="center"/>
              <w:rPr>
                <w:szCs w:val="21"/>
              </w:rPr>
            </w:pPr>
            <w:r>
              <w:rPr>
                <w:rFonts w:hint="eastAsia"/>
                <w:szCs w:val="21"/>
              </w:rPr>
              <w:t>泄漏、火灾、爆炸</w:t>
            </w:r>
          </w:p>
        </w:tc>
        <w:tc>
          <w:tcPr>
            <w:tcW w:w="887" w:type="pct"/>
            <w:tcBorders>
              <w:tl2br w:val="nil"/>
              <w:tr2bl w:val="nil"/>
            </w:tcBorders>
            <w:vAlign w:val="center"/>
          </w:tcPr>
          <w:p>
            <w:pPr>
              <w:pStyle w:val="39"/>
              <w:ind w:firstLine="0" w:firstLineChars="0"/>
              <w:jc w:val="center"/>
              <w:rPr>
                <w:szCs w:val="21"/>
              </w:rPr>
            </w:pPr>
            <w:r>
              <w:rPr>
                <w:rFonts w:hint="eastAsia"/>
                <w:szCs w:val="21"/>
              </w:rPr>
              <w:t>环境空气、地下水、土壤</w:t>
            </w:r>
          </w:p>
        </w:tc>
        <w:tc>
          <w:tcPr>
            <w:tcW w:w="1071" w:type="pct"/>
            <w:tcBorders>
              <w:tl2br w:val="nil"/>
              <w:tr2bl w:val="nil"/>
            </w:tcBorders>
            <w:vAlign w:val="center"/>
          </w:tcPr>
          <w:p>
            <w:pPr>
              <w:pStyle w:val="39"/>
              <w:ind w:firstLine="0" w:firstLineChars="0"/>
              <w:jc w:val="center"/>
              <w:rPr>
                <w:szCs w:val="21"/>
              </w:rPr>
            </w:pPr>
            <w:r>
              <w:rPr>
                <w:rFonts w:hint="eastAsia"/>
                <w:szCs w:val="21"/>
              </w:rPr>
              <w:t>周边居民点、地下水、附近土壤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7" w:type="pct"/>
            <w:tcBorders>
              <w:tl2br w:val="nil"/>
              <w:tr2bl w:val="nil"/>
            </w:tcBorders>
            <w:vAlign w:val="center"/>
          </w:tcPr>
          <w:p>
            <w:pPr>
              <w:pStyle w:val="39"/>
              <w:ind w:firstLine="0" w:firstLineChars="0"/>
              <w:jc w:val="center"/>
              <w:rPr>
                <w:rFonts w:hint="eastAsia" w:eastAsia="宋体"/>
                <w:szCs w:val="21"/>
                <w:lang w:val="en-US" w:eastAsia="zh-CN"/>
              </w:rPr>
            </w:pPr>
            <w:r>
              <w:rPr>
                <w:rFonts w:hint="eastAsia"/>
                <w:szCs w:val="21"/>
                <w:lang w:val="en-US" w:eastAsia="zh-CN"/>
              </w:rPr>
              <w:t>3</w:t>
            </w:r>
          </w:p>
        </w:tc>
        <w:tc>
          <w:tcPr>
            <w:tcW w:w="965" w:type="pct"/>
            <w:tcBorders>
              <w:tl2br w:val="nil"/>
              <w:tr2bl w:val="nil"/>
            </w:tcBorders>
            <w:vAlign w:val="center"/>
          </w:tcPr>
          <w:p>
            <w:pPr>
              <w:pStyle w:val="39"/>
              <w:ind w:firstLine="0" w:firstLineChars="0"/>
              <w:jc w:val="center"/>
              <w:rPr>
                <w:rFonts w:hint="default" w:eastAsia="宋体"/>
                <w:szCs w:val="21"/>
                <w:lang w:val="en-US" w:eastAsia="zh-CN"/>
              </w:rPr>
            </w:pPr>
            <w:r>
              <w:rPr>
                <w:rFonts w:hint="eastAsia"/>
                <w:szCs w:val="21"/>
                <w:lang w:val="en-US" w:eastAsia="zh-CN"/>
              </w:rPr>
              <w:t>工业雷管库</w:t>
            </w:r>
          </w:p>
        </w:tc>
        <w:tc>
          <w:tcPr>
            <w:tcW w:w="727" w:type="pct"/>
            <w:tcBorders>
              <w:tl2br w:val="nil"/>
              <w:tr2bl w:val="nil"/>
            </w:tcBorders>
            <w:vAlign w:val="center"/>
          </w:tcPr>
          <w:p>
            <w:pPr>
              <w:pStyle w:val="39"/>
              <w:ind w:firstLine="0" w:firstLineChars="0"/>
              <w:jc w:val="center"/>
              <w:rPr>
                <w:rFonts w:hint="eastAsia" w:eastAsia="宋体"/>
                <w:szCs w:val="21"/>
                <w:lang w:val="en-US" w:eastAsia="zh-CN"/>
              </w:rPr>
            </w:pPr>
            <w:r>
              <w:rPr>
                <w:rFonts w:hint="eastAsia"/>
                <w:szCs w:val="21"/>
                <w:lang w:val="en-US" w:eastAsia="zh-CN"/>
              </w:rPr>
              <w:t>电子雷管</w:t>
            </w:r>
          </w:p>
        </w:tc>
        <w:tc>
          <w:tcPr>
            <w:tcW w:w="840" w:type="pct"/>
            <w:tcBorders>
              <w:tl2br w:val="nil"/>
              <w:tr2bl w:val="nil"/>
            </w:tcBorders>
            <w:vAlign w:val="center"/>
          </w:tcPr>
          <w:p>
            <w:pPr>
              <w:pStyle w:val="39"/>
              <w:ind w:firstLine="0" w:firstLineChars="0"/>
              <w:jc w:val="center"/>
              <w:rPr>
                <w:rFonts w:hint="eastAsia" w:eastAsia="宋体"/>
                <w:szCs w:val="21"/>
                <w:lang w:val="en-US" w:eastAsia="zh-CN"/>
              </w:rPr>
            </w:pPr>
            <w:r>
              <w:rPr>
                <w:rFonts w:hint="eastAsia"/>
                <w:szCs w:val="21"/>
                <w:lang w:val="en-US" w:eastAsia="zh-CN"/>
              </w:rPr>
              <w:t>火灾、爆炸</w:t>
            </w:r>
          </w:p>
        </w:tc>
        <w:tc>
          <w:tcPr>
            <w:tcW w:w="887" w:type="pct"/>
            <w:tcBorders>
              <w:tl2br w:val="nil"/>
              <w:tr2bl w:val="nil"/>
            </w:tcBorders>
            <w:vAlign w:val="center"/>
          </w:tcPr>
          <w:p>
            <w:pPr>
              <w:pStyle w:val="39"/>
              <w:ind w:firstLine="0" w:firstLineChars="0"/>
              <w:jc w:val="center"/>
              <w:rPr>
                <w:rFonts w:hint="eastAsia"/>
                <w:szCs w:val="21"/>
              </w:rPr>
            </w:pPr>
            <w:r>
              <w:rPr>
                <w:rFonts w:hint="eastAsia"/>
                <w:szCs w:val="21"/>
              </w:rPr>
              <w:t>环境空气</w:t>
            </w:r>
          </w:p>
        </w:tc>
        <w:tc>
          <w:tcPr>
            <w:tcW w:w="1071" w:type="pct"/>
            <w:tcBorders>
              <w:tl2br w:val="nil"/>
              <w:tr2bl w:val="nil"/>
            </w:tcBorders>
            <w:vAlign w:val="center"/>
          </w:tcPr>
          <w:p>
            <w:pPr>
              <w:pStyle w:val="39"/>
              <w:ind w:firstLine="0" w:firstLineChars="0"/>
              <w:jc w:val="center"/>
              <w:rPr>
                <w:rFonts w:hint="eastAsia"/>
                <w:szCs w:val="21"/>
              </w:rPr>
            </w:pPr>
            <w:r>
              <w:rPr>
                <w:rFonts w:hint="eastAsia"/>
                <w:szCs w:val="21"/>
              </w:rPr>
              <w:t>周边居民点</w:t>
            </w:r>
          </w:p>
        </w:tc>
      </w:tr>
    </w:tbl>
    <w:p>
      <w:pPr>
        <w:widowControl/>
        <w:numPr>
          <w:ilvl w:val="0"/>
          <w:numId w:val="16"/>
        </w:numPr>
        <w:spacing w:line="520" w:lineRule="exact"/>
        <w:ind w:firstLine="482"/>
        <w:rPr>
          <w:b/>
          <w:bCs/>
          <w:kern w:val="0"/>
          <w:sz w:val="24"/>
          <w:lang w:bidi="ar"/>
        </w:rPr>
      </w:pPr>
      <w:r>
        <w:rPr>
          <w:rFonts w:hint="eastAsia"/>
          <w:b/>
          <w:bCs/>
          <w:kern w:val="0"/>
          <w:sz w:val="24"/>
          <w:lang w:bidi="ar"/>
        </w:rPr>
        <w:t>环境风险防范措施及应急要求</w:t>
      </w:r>
    </w:p>
    <w:p>
      <w:pPr>
        <w:pStyle w:val="39"/>
        <w:spacing w:line="520" w:lineRule="exact"/>
        <w:ind w:firstLine="480"/>
        <w:jc w:val="both"/>
        <w:rPr>
          <w:sz w:val="24"/>
        </w:rPr>
      </w:pPr>
      <w:r>
        <w:rPr>
          <w:rFonts w:hint="eastAsia"/>
          <w:sz w:val="24"/>
        </w:rPr>
        <w:t>5.1运输过程风险防范措施</w:t>
      </w:r>
    </w:p>
    <w:p>
      <w:pPr>
        <w:pStyle w:val="39"/>
        <w:spacing w:line="520" w:lineRule="exact"/>
        <w:ind w:firstLine="480"/>
        <w:jc w:val="both"/>
        <w:rPr>
          <w:sz w:val="24"/>
        </w:rPr>
      </w:pPr>
      <w:r>
        <w:rPr>
          <w:rFonts w:hint="eastAsia"/>
          <w:sz w:val="24"/>
        </w:rPr>
        <w:t>（1）</w:t>
      </w:r>
      <w:r>
        <w:rPr>
          <w:sz w:val="24"/>
        </w:rPr>
        <w:t>严格按《危险化学品安全管理条例》的要求，加强对</w:t>
      </w:r>
      <w:r>
        <w:rPr>
          <w:rFonts w:hint="eastAsia"/>
          <w:sz w:val="24"/>
        </w:rPr>
        <w:t>厂区硝酸铵、柴油</w:t>
      </w:r>
      <w:r>
        <w:rPr>
          <w:rFonts w:hint="eastAsia"/>
          <w:sz w:val="24"/>
          <w:lang w:eastAsia="zh-CN"/>
        </w:rPr>
        <w:t>、</w:t>
      </w:r>
      <w:r>
        <w:rPr>
          <w:rFonts w:hint="eastAsia"/>
          <w:sz w:val="24"/>
          <w:lang w:val="en-US" w:eastAsia="zh-CN"/>
        </w:rPr>
        <w:t>电子雷管</w:t>
      </w:r>
      <w:r>
        <w:rPr>
          <w:rFonts w:hint="eastAsia"/>
          <w:sz w:val="24"/>
        </w:rPr>
        <w:t>等</w:t>
      </w:r>
      <w:r>
        <w:rPr>
          <w:sz w:val="24"/>
        </w:rPr>
        <w:t>危险化学品的管理</w:t>
      </w:r>
      <w:r>
        <w:rPr>
          <w:rFonts w:hint="eastAsia"/>
          <w:sz w:val="24"/>
        </w:rPr>
        <w:t>；</w:t>
      </w:r>
      <w:r>
        <w:rPr>
          <w:sz w:val="24"/>
        </w:rPr>
        <w:t>确定危险化学品安全操作规程，要求操作人员严格按照操作规程作业</w:t>
      </w:r>
      <w:r>
        <w:rPr>
          <w:rFonts w:hint="eastAsia"/>
          <w:sz w:val="24"/>
        </w:rPr>
        <w:t>；</w:t>
      </w:r>
      <w:r>
        <w:rPr>
          <w:sz w:val="24"/>
        </w:rPr>
        <w:t>对从事危险化学作业人员定期进行安全培训教育</w:t>
      </w:r>
      <w:r>
        <w:rPr>
          <w:rFonts w:hint="eastAsia"/>
          <w:sz w:val="24"/>
        </w:rPr>
        <w:t>；</w:t>
      </w:r>
      <w:r>
        <w:rPr>
          <w:sz w:val="24"/>
        </w:rPr>
        <w:t>经常性对危险化学品作业场所进行安全检查。</w:t>
      </w:r>
    </w:p>
    <w:p>
      <w:pPr>
        <w:pStyle w:val="39"/>
        <w:spacing w:line="520" w:lineRule="exact"/>
        <w:ind w:firstLine="480"/>
        <w:jc w:val="both"/>
        <w:rPr>
          <w:sz w:val="24"/>
        </w:rPr>
      </w:pPr>
      <w:r>
        <w:rPr>
          <w:rFonts w:hint="eastAsia"/>
          <w:sz w:val="24"/>
        </w:rPr>
        <w:t>（2）</w:t>
      </w:r>
      <w:r>
        <w:rPr>
          <w:sz w:val="24"/>
        </w:rPr>
        <w:t>采购危险化学品时，到已获得危险化学品经营许可证的企业进行采购，并要求供货商提供技术说明书及相关技术资料</w:t>
      </w:r>
      <w:r>
        <w:rPr>
          <w:rFonts w:hint="eastAsia"/>
          <w:sz w:val="24"/>
        </w:rPr>
        <w:t>；</w:t>
      </w:r>
      <w:r>
        <w:rPr>
          <w:sz w:val="24"/>
        </w:rPr>
        <w:t>采购人员进行专业培训并取证</w:t>
      </w:r>
      <w:r>
        <w:rPr>
          <w:rFonts w:hint="eastAsia"/>
          <w:sz w:val="24"/>
        </w:rPr>
        <w:t>；</w:t>
      </w:r>
      <w:r>
        <w:rPr>
          <w:sz w:val="24"/>
        </w:rPr>
        <w:t>危险化学品的包装物、容器有专业检测机构检验合格后才使用</w:t>
      </w:r>
      <w:r>
        <w:rPr>
          <w:rFonts w:hint="eastAsia"/>
          <w:sz w:val="24"/>
        </w:rPr>
        <w:t>；</w:t>
      </w:r>
      <w:r>
        <w:rPr>
          <w:sz w:val="24"/>
        </w:rPr>
        <w:t>从事危险化学品运输、押运人员，应经有关培训并取证后才能从事危险化学品运输、押运工作</w:t>
      </w:r>
      <w:r>
        <w:rPr>
          <w:rFonts w:hint="eastAsia"/>
          <w:sz w:val="24"/>
        </w:rPr>
        <w:t>；</w:t>
      </w:r>
      <w:r>
        <w:rPr>
          <w:sz w:val="24"/>
        </w:rPr>
        <w:t>运输危险化学品的车辆应悬挂危险化学品标志，不得在人口密集地停留</w:t>
      </w:r>
      <w:r>
        <w:rPr>
          <w:rFonts w:hint="eastAsia"/>
          <w:sz w:val="24"/>
        </w:rPr>
        <w:t>；</w:t>
      </w:r>
      <w:r>
        <w:rPr>
          <w:sz w:val="24"/>
        </w:rPr>
        <w:t>危险化学品的运输、押运人员，应配置合格的防护器材。</w:t>
      </w:r>
    </w:p>
    <w:p>
      <w:pPr>
        <w:pStyle w:val="39"/>
        <w:spacing w:line="520" w:lineRule="exact"/>
        <w:ind w:firstLine="480"/>
        <w:jc w:val="both"/>
        <w:rPr>
          <w:sz w:val="24"/>
        </w:rPr>
      </w:pPr>
      <w:r>
        <w:rPr>
          <w:rFonts w:hint="eastAsia"/>
          <w:sz w:val="24"/>
        </w:rPr>
        <w:t>（3）</w:t>
      </w:r>
      <w:r>
        <w:rPr>
          <w:sz w:val="24"/>
        </w:rPr>
        <w:t>化学品的运输应单独运输，不得与其有禁忌的物质混合运输，防止发生风险事故</w:t>
      </w:r>
      <w:r>
        <w:rPr>
          <w:rFonts w:hint="eastAsia"/>
          <w:sz w:val="24"/>
        </w:rPr>
        <w:t>；</w:t>
      </w:r>
      <w:r>
        <w:rPr>
          <w:sz w:val="24"/>
        </w:rPr>
        <w:t>运输过程中要确保包装容器密封，确保容器不泄漏、不倒塌、不坠落、不损坏。</w:t>
      </w:r>
    </w:p>
    <w:p>
      <w:pPr>
        <w:pStyle w:val="39"/>
        <w:spacing w:line="520" w:lineRule="exact"/>
        <w:ind w:firstLine="480"/>
        <w:jc w:val="both"/>
        <w:rPr>
          <w:sz w:val="24"/>
        </w:rPr>
      </w:pPr>
      <w:r>
        <w:rPr>
          <w:rFonts w:hint="eastAsia"/>
          <w:sz w:val="24"/>
        </w:rPr>
        <w:t>（4）</w:t>
      </w:r>
      <w:r>
        <w:rPr>
          <w:sz w:val="24"/>
        </w:rPr>
        <w:t>运输过程中应防曝晒、雨淋，防高温</w:t>
      </w:r>
      <w:r>
        <w:rPr>
          <w:rFonts w:hint="eastAsia"/>
          <w:sz w:val="24"/>
        </w:rPr>
        <w:t>；</w:t>
      </w:r>
      <w:r>
        <w:rPr>
          <w:sz w:val="24"/>
        </w:rPr>
        <w:t>行走路线应固定，勿在居民区和人口稠密区停留。</w:t>
      </w:r>
    </w:p>
    <w:p>
      <w:pPr>
        <w:pStyle w:val="39"/>
        <w:spacing w:line="520" w:lineRule="exact"/>
        <w:ind w:firstLine="480"/>
        <w:jc w:val="both"/>
        <w:rPr>
          <w:sz w:val="24"/>
        </w:rPr>
      </w:pPr>
      <w:r>
        <w:rPr>
          <w:rFonts w:hint="eastAsia"/>
          <w:sz w:val="24"/>
        </w:rPr>
        <w:t>（5）</w:t>
      </w:r>
      <w:r>
        <w:rPr>
          <w:sz w:val="24"/>
        </w:rPr>
        <w:t>运输车辆应具备防静电铰链、防火器材、防泄漏器材，可对运输过程中发生的风险事故进行应急处理。</w:t>
      </w:r>
    </w:p>
    <w:p>
      <w:pPr>
        <w:widowControl/>
        <w:spacing w:line="520" w:lineRule="exact"/>
        <w:ind w:firstLine="480" w:firstLineChars="200"/>
        <w:jc w:val="left"/>
      </w:pPr>
      <w:r>
        <w:rPr>
          <w:rFonts w:hint="eastAsia"/>
          <w:kern w:val="0"/>
          <w:sz w:val="24"/>
        </w:rPr>
        <w:t>（6）</w:t>
      </w:r>
      <w:r>
        <w:rPr>
          <w:kern w:val="0"/>
          <w:sz w:val="24"/>
        </w:rPr>
        <w:t>运送</w:t>
      </w:r>
      <w:r>
        <w:rPr>
          <w:rFonts w:hint="eastAsia"/>
          <w:kern w:val="0"/>
          <w:sz w:val="24"/>
        </w:rPr>
        <w:t>混装</w:t>
      </w:r>
      <w:r>
        <w:rPr>
          <w:kern w:val="0"/>
          <w:sz w:val="24"/>
        </w:rPr>
        <w:t>炸药的人员必须经过上岗培训，经定期考核通过后方能持证上岗。工作人员应熟悉事故应急设备的使用和维护，了解应急处理流程，一旦发生意外，在采取应急处理的同时，迅速报告公安、交通和环保等有关部门,必要时疏散群众，防止事态进一步扩大和恶化。</w:t>
      </w:r>
    </w:p>
    <w:p>
      <w:pPr>
        <w:pStyle w:val="39"/>
        <w:spacing w:line="520" w:lineRule="exact"/>
        <w:ind w:firstLine="480"/>
        <w:jc w:val="both"/>
        <w:rPr>
          <w:sz w:val="24"/>
        </w:rPr>
      </w:pPr>
      <w:r>
        <w:rPr>
          <w:rFonts w:hint="eastAsia"/>
          <w:sz w:val="24"/>
        </w:rPr>
        <w:t>5.2操作区风险防范措施</w:t>
      </w:r>
    </w:p>
    <w:p>
      <w:pPr>
        <w:widowControl/>
        <w:numPr>
          <w:ilvl w:val="0"/>
          <w:numId w:val="17"/>
        </w:numPr>
        <w:spacing w:line="520" w:lineRule="exact"/>
        <w:ind w:firstLine="480" w:firstLineChars="200"/>
        <w:rPr>
          <w:kern w:val="0"/>
          <w:sz w:val="24"/>
        </w:rPr>
      </w:pPr>
      <w:r>
        <w:rPr>
          <w:rFonts w:hint="eastAsia"/>
          <w:kern w:val="0"/>
          <w:sz w:val="24"/>
        </w:rPr>
        <w:t>各化学品必须根据各自的性质制定合理的操作规范、工作程序，并将</w:t>
      </w:r>
      <w:r>
        <w:rPr>
          <w:kern w:val="0"/>
          <w:sz w:val="24"/>
        </w:rPr>
        <w:t>操作规程张贴在对应工段的显眼位置，以便随时可查看。</w:t>
      </w:r>
      <w:r>
        <w:rPr>
          <w:rFonts w:hint="eastAsia"/>
          <w:kern w:val="0"/>
          <w:sz w:val="24"/>
        </w:rPr>
        <w:t xml:space="preserve"> </w:t>
      </w:r>
    </w:p>
    <w:p>
      <w:pPr>
        <w:widowControl/>
        <w:numPr>
          <w:ilvl w:val="0"/>
          <w:numId w:val="17"/>
        </w:numPr>
        <w:spacing w:line="520" w:lineRule="exact"/>
        <w:ind w:firstLine="480" w:firstLineChars="200"/>
        <w:rPr>
          <w:kern w:val="0"/>
          <w:sz w:val="24"/>
        </w:rPr>
      </w:pPr>
      <w:r>
        <w:rPr>
          <w:kern w:val="0"/>
          <w:sz w:val="24"/>
        </w:rPr>
        <w:t>根据各自的性质必须配备合理的防护措施，并对操作工人进行严格的培训，严格要求各操作工人佩戴防护措施，熟练掌握操作技巧和工艺，减少因人为失误造成的风险事故。</w:t>
      </w:r>
    </w:p>
    <w:p>
      <w:pPr>
        <w:widowControl/>
        <w:numPr>
          <w:ilvl w:val="0"/>
          <w:numId w:val="17"/>
        </w:numPr>
        <w:spacing w:line="520" w:lineRule="exact"/>
        <w:ind w:firstLine="480" w:firstLineChars="200"/>
        <w:rPr>
          <w:kern w:val="0"/>
          <w:sz w:val="24"/>
        </w:rPr>
      </w:pPr>
      <w:r>
        <w:rPr>
          <w:kern w:val="0"/>
          <w:sz w:val="24"/>
        </w:rPr>
        <w:t>根据各工段、各物质性质的不同，确定在各工段配备、放置合理的风险处理物资，风险处理物资必须在车间显眼处，并标示，以便随时可以启用。</w:t>
      </w:r>
    </w:p>
    <w:p>
      <w:pPr>
        <w:widowControl/>
        <w:numPr>
          <w:ilvl w:val="0"/>
          <w:numId w:val="17"/>
        </w:numPr>
        <w:spacing w:line="520" w:lineRule="exact"/>
        <w:ind w:firstLine="480" w:firstLineChars="200"/>
        <w:rPr>
          <w:kern w:val="0"/>
          <w:sz w:val="24"/>
        </w:rPr>
      </w:pPr>
      <w:r>
        <w:rPr>
          <w:kern w:val="0"/>
          <w:sz w:val="24"/>
        </w:rPr>
        <w:t xml:space="preserve">工房设置避雷装置以及视频监控设施。 </w:t>
      </w:r>
    </w:p>
    <w:p>
      <w:pPr>
        <w:pStyle w:val="39"/>
        <w:spacing w:line="520" w:lineRule="exact"/>
        <w:ind w:firstLine="480"/>
        <w:jc w:val="both"/>
        <w:rPr>
          <w:sz w:val="24"/>
        </w:rPr>
      </w:pPr>
      <w:r>
        <w:rPr>
          <w:rFonts w:hint="eastAsia"/>
          <w:sz w:val="24"/>
        </w:rPr>
        <w:t>5.3储存区的风险防范措施</w:t>
      </w:r>
    </w:p>
    <w:p>
      <w:pPr>
        <w:pStyle w:val="39"/>
        <w:numPr>
          <w:ilvl w:val="0"/>
          <w:numId w:val="18"/>
        </w:numPr>
        <w:spacing w:line="520" w:lineRule="exact"/>
        <w:ind w:firstLine="480"/>
        <w:jc w:val="both"/>
        <w:rPr>
          <w:sz w:val="24"/>
        </w:rPr>
      </w:pPr>
      <w:r>
        <w:rPr>
          <w:sz w:val="24"/>
        </w:rPr>
        <w:t>危险物质储存区应安置在专用区域，加强其作为危险区的标识</w:t>
      </w:r>
      <w:r>
        <w:rPr>
          <w:rFonts w:hint="eastAsia"/>
          <w:sz w:val="24"/>
        </w:rPr>
        <w:t>；</w:t>
      </w:r>
      <w:r>
        <w:rPr>
          <w:sz w:val="24"/>
        </w:rPr>
        <w:t>配备防火设施</w:t>
      </w:r>
      <w:r>
        <w:rPr>
          <w:rFonts w:hint="eastAsia"/>
          <w:sz w:val="24"/>
        </w:rPr>
        <w:t>；</w:t>
      </w:r>
      <w:r>
        <w:rPr>
          <w:sz w:val="24"/>
        </w:rPr>
        <w:t>对地面进行</w:t>
      </w:r>
      <w:r>
        <w:rPr>
          <w:rFonts w:hint="eastAsia"/>
          <w:sz w:val="24"/>
        </w:rPr>
        <w:t>分区</w:t>
      </w:r>
      <w:r>
        <w:rPr>
          <w:sz w:val="24"/>
        </w:rPr>
        <w:t>防渗处理，防止污染土壤</w:t>
      </w:r>
      <w:r>
        <w:rPr>
          <w:rFonts w:hint="eastAsia"/>
          <w:sz w:val="24"/>
        </w:rPr>
        <w:t>；</w:t>
      </w:r>
      <w:r>
        <w:rPr>
          <w:sz w:val="24"/>
        </w:rPr>
        <w:t>加强通风。</w:t>
      </w:r>
    </w:p>
    <w:p>
      <w:pPr>
        <w:pStyle w:val="39"/>
        <w:numPr>
          <w:ilvl w:val="0"/>
          <w:numId w:val="18"/>
        </w:numPr>
        <w:spacing w:line="520" w:lineRule="exact"/>
        <w:ind w:firstLine="480"/>
        <w:jc w:val="both"/>
        <w:rPr>
          <w:sz w:val="24"/>
        </w:rPr>
      </w:pPr>
      <w:r>
        <w:rPr>
          <w:sz w:val="24"/>
        </w:rPr>
        <w:t>危险品不得与禁忌物料混合存放，不可堆放木材及其他引火物。设置事故</w:t>
      </w:r>
      <w:r>
        <w:rPr>
          <w:rFonts w:hint="eastAsia"/>
          <w:sz w:val="24"/>
        </w:rPr>
        <w:t>应急</w:t>
      </w:r>
      <w:r>
        <w:rPr>
          <w:sz w:val="24"/>
        </w:rPr>
        <w:t>池用于爆炸事故发生及发生以后应急池。</w:t>
      </w:r>
    </w:p>
    <w:p>
      <w:pPr>
        <w:pStyle w:val="39"/>
        <w:spacing w:line="520" w:lineRule="exact"/>
        <w:ind w:firstLine="480"/>
        <w:jc w:val="both"/>
        <w:rPr>
          <w:sz w:val="24"/>
        </w:rPr>
      </w:pPr>
      <w:r>
        <w:rPr>
          <w:rFonts w:hint="eastAsia"/>
          <w:sz w:val="24"/>
        </w:rPr>
        <w:t>（3）</w:t>
      </w:r>
      <w:r>
        <w:rPr>
          <w:sz w:val="24"/>
        </w:rPr>
        <w:t>储存区应设置严格的安全防火措施，严禁吸烟和使用明火。合理安排储存区危险物品贮存量，防止一旦发生风险事故时有更多危险品泄漏。</w:t>
      </w:r>
    </w:p>
    <w:p>
      <w:pPr>
        <w:pStyle w:val="39"/>
        <w:spacing w:line="520" w:lineRule="exact"/>
        <w:ind w:firstLine="480"/>
        <w:jc w:val="both"/>
        <w:rPr>
          <w:sz w:val="24"/>
        </w:rPr>
      </w:pPr>
      <w:r>
        <w:rPr>
          <w:rFonts w:hint="eastAsia"/>
          <w:sz w:val="24"/>
        </w:rPr>
        <w:t>（4）</w:t>
      </w:r>
      <w:r>
        <w:rPr>
          <w:sz w:val="24"/>
        </w:rPr>
        <w:t>装卸、搬运危险品时应按照规定进行，做到轻装轻卸，严禁摔、碰、撞击、拖拉、倾斜和滚动</w:t>
      </w:r>
      <w:r>
        <w:rPr>
          <w:rFonts w:hint="eastAsia"/>
          <w:sz w:val="24"/>
        </w:rPr>
        <w:t>；</w:t>
      </w:r>
      <w:r>
        <w:rPr>
          <w:sz w:val="24"/>
        </w:rPr>
        <w:t>装卸易燃液体需穿防静电工作服，禁止穿带钉鞋，大桶不得在水泥地面滚动，不得使用产生火花的机具。</w:t>
      </w:r>
    </w:p>
    <w:p>
      <w:pPr>
        <w:pStyle w:val="39"/>
        <w:spacing w:line="520" w:lineRule="exact"/>
        <w:ind w:firstLine="480"/>
        <w:jc w:val="both"/>
        <w:rPr>
          <w:sz w:val="24"/>
        </w:rPr>
      </w:pPr>
      <w:r>
        <w:rPr>
          <w:rFonts w:hint="eastAsia"/>
          <w:sz w:val="24"/>
        </w:rPr>
        <w:t>5.4应急物资配制</w:t>
      </w:r>
    </w:p>
    <w:p>
      <w:pPr>
        <w:pStyle w:val="39"/>
        <w:spacing w:line="520" w:lineRule="exact"/>
        <w:ind w:firstLine="480"/>
        <w:jc w:val="both"/>
        <w:rPr>
          <w:sz w:val="24"/>
        </w:rPr>
      </w:pPr>
      <w:r>
        <w:rPr>
          <w:rFonts w:hint="eastAsia"/>
          <w:sz w:val="24"/>
        </w:rPr>
        <w:t>处置：雾状水、二氧化碳、干粉灭火器</w:t>
      </w:r>
    </w:p>
    <w:p>
      <w:pPr>
        <w:pStyle w:val="39"/>
        <w:spacing w:line="520" w:lineRule="exact"/>
        <w:ind w:firstLine="480"/>
        <w:jc w:val="both"/>
        <w:rPr>
          <w:sz w:val="24"/>
        </w:rPr>
      </w:pPr>
      <w:r>
        <w:rPr>
          <w:rFonts w:hint="eastAsia"/>
          <w:sz w:val="24"/>
        </w:rPr>
        <w:t>防护：自给正压式呼吸器，防静电服。</w:t>
      </w:r>
    </w:p>
    <w:p>
      <w:pPr>
        <w:pStyle w:val="39"/>
        <w:spacing w:line="520" w:lineRule="exact"/>
        <w:ind w:firstLine="480"/>
        <w:jc w:val="both"/>
        <w:rPr>
          <w:sz w:val="24"/>
        </w:rPr>
      </w:pPr>
      <w:r>
        <w:rPr>
          <w:rFonts w:hint="eastAsia"/>
          <w:sz w:val="24"/>
        </w:rPr>
        <w:t>5.5罐体泄漏风险防范措施</w:t>
      </w:r>
    </w:p>
    <w:p>
      <w:pPr>
        <w:pStyle w:val="39"/>
        <w:spacing w:line="520" w:lineRule="exact"/>
        <w:ind w:firstLine="480"/>
        <w:jc w:val="both"/>
        <w:rPr>
          <w:sz w:val="24"/>
        </w:rPr>
      </w:pPr>
      <w:r>
        <w:rPr>
          <w:sz w:val="24"/>
        </w:rPr>
        <w:t>切断</w:t>
      </w:r>
      <w:r>
        <w:rPr>
          <w:rFonts w:hint="eastAsia"/>
          <w:sz w:val="24"/>
        </w:rPr>
        <w:t>柴油</w:t>
      </w:r>
      <w:r>
        <w:rPr>
          <w:sz w:val="24"/>
        </w:rPr>
        <w:t>泄漏源。切断泄漏源应迅速撤离泄漏污染区人员至安全区域，切断电源，立即设置警戒线，严禁无关人员进入。尽可能关闭泄漏容器或管道的阀门</w:t>
      </w:r>
      <w:r>
        <w:rPr>
          <w:rFonts w:hint="eastAsia"/>
          <w:sz w:val="24"/>
        </w:rPr>
        <w:t>，</w:t>
      </w:r>
      <w:r>
        <w:rPr>
          <w:sz w:val="24"/>
        </w:rPr>
        <w:t>控制物料继续泄漏，防止泄漏物料进入下水道等限制性空间，在确保安全情况下修补堵漏。</w:t>
      </w:r>
    </w:p>
    <w:p>
      <w:pPr>
        <w:pStyle w:val="39"/>
        <w:spacing w:line="520" w:lineRule="exact"/>
        <w:ind w:firstLine="480"/>
        <w:jc w:val="both"/>
        <w:rPr>
          <w:sz w:val="24"/>
        </w:rPr>
      </w:pPr>
      <w:r>
        <w:rPr>
          <w:rFonts w:hint="eastAsia"/>
          <w:sz w:val="24"/>
        </w:rPr>
        <w:t>5.6柴油发生火灾风险防范措施</w:t>
      </w:r>
    </w:p>
    <w:p>
      <w:pPr>
        <w:pStyle w:val="39"/>
        <w:spacing w:line="520" w:lineRule="exact"/>
        <w:ind w:firstLine="480"/>
        <w:jc w:val="both"/>
        <w:rPr>
          <w:sz w:val="24"/>
        </w:rPr>
      </w:pPr>
      <w:r>
        <w:rPr>
          <w:rFonts w:hint="eastAsia"/>
          <w:sz w:val="24"/>
        </w:rPr>
        <w:t>柴油发生燃烧事故时立即切断电源，启动消防系统备用电源。应迅速撤离人员至厂区安全区域，设置警戒线，严禁无关人员进入。应急救援人员应佩戴自给式呼吸器，穿消防服，戴橡胶手套等安全防护设施。应急救援人员以2~3人为一个小组，以便互相照应，严禁单独行动，宜采用二氧化碳、干粉灭火器灭火。出现人员中毒时，使中毒人员迅速脱离现场至空气新鲜处，保持呼吸畅通，如呼吸困难或停止呼吸，及时就医。发生火灾爆炸时消防污水引入厂区事故应急池300m</w:t>
      </w:r>
      <w:r>
        <w:rPr>
          <w:rFonts w:hint="eastAsia"/>
          <w:sz w:val="24"/>
          <w:vertAlign w:val="superscript"/>
        </w:rPr>
        <w:t>3</w:t>
      </w:r>
      <w:r>
        <w:rPr>
          <w:rFonts w:hint="eastAsia"/>
          <w:sz w:val="24"/>
        </w:rPr>
        <w:t>。</w:t>
      </w:r>
    </w:p>
    <w:p>
      <w:pPr>
        <w:widowControl/>
        <w:numPr>
          <w:ilvl w:val="0"/>
          <w:numId w:val="16"/>
        </w:numPr>
        <w:spacing w:line="520" w:lineRule="exact"/>
        <w:ind w:firstLine="482"/>
        <w:rPr>
          <w:b/>
          <w:bCs/>
          <w:kern w:val="0"/>
          <w:sz w:val="24"/>
          <w:lang w:bidi="ar"/>
        </w:rPr>
      </w:pPr>
      <w:r>
        <w:rPr>
          <w:rFonts w:hint="eastAsia"/>
          <w:b/>
          <w:bCs/>
          <w:kern w:val="0"/>
          <w:sz w:val="24"/>
          <w:lang w:bidi="ar"/>
        </w:rPr>
        <w:t>突发环境事件应急预案</w:t>
      </w:r>
    </w:p>
    <w:p>
      <w:pPr>
        <w:pStyle w:val="39"/>
        <w:spacing w:line="520" w:lineRule="exact"/>
        <w:ind w:firstLine="480"/>
        <w:jc w:val="both"/>
        <w:rPr>
          <w:sz w:val="24"/>
        </w:rPr>
      </w:pPr>
      <w:r>
        <w:rPr>
          <w:rFonts w:hint="eastAsia"/>
          <w:sz w:val="24"/>
        </w:rPr>
        <w:t>风险应急预案主要是为了针对重大风险事故发生时所设定的紧急补救措施，避免更大的人员伤亡和财产损失，在突发的风险事故中，能够迅速准确地处理事故和控制事态发展，把损失降到最低限度。</w:t>
      </w:r>
    </w:p>
    <w:p>
      <w:pPr>
        <w:pStyle w:val="39"/>
        <w:spacing w:line="520" w:lineRule="exact"/>
        <w:ind w:firstLine="480"/>
        <w:jc w:val="both"/>
        <w:rPr>
          <w:sz w:val="24"/>
        </w:rPr>
      </w:pPr>
      <w:r>
        <w:rPr>
          <w:rFonts w:hint="eastAsia"/>
          <w:sz w:val="24"/>
        </w:rPr>
        <w:t>根据有关法律法规，坚持“预防为主”的指导思想兼有“统一指挥、行之有理、行之有效、行之迅速、将损失降到最低”的原则，企业在建设期间应设置急救指挥小组，并和当地有关事故应急救援部门建立正常的定期联系，根据《建设项目环境风险评价导则》（HJ169-2018）。</w:t>
      </w:r>
    </w:p>
    <w:p>
      <w:pPr>
        <w:pStyle w:val="39"/>
        <w:spacing w:line="520" w:lineRule="exact"/>
        <w:ind w:firstLine="480"/>
        <w:jc w:val="both"/>
        <w:rPr>
          <w:sz w:val="24"/>
        </w:rPr>
      </w:pPr>
      <w:r>
        <w:rPr>
          <w:rFonts w:hint="eastAsia"/>
          <w:sz w:val="24"/>
        </w:rPr>
        <w:t>（1）应急预案的编制</w:t>
      </w:r>
    </w:p>
    <w:p>
      <w:pPr>
        <w:pStyle w:val="39"/>
        <w:spacing w:line="520" w:lineRule="exact"/>
        <w:ind w:firstLine="480"/>
        <w:jc w:val="both"/>
        <w:rPr>
          <w:sz w:val="24"/>
        </w:rPr>
      </w:pPr>
      <w:r>
        <w:rPr>
          <w:rFonts w:hint="eastAsia"/>
          <w:sz w:val="24"/>
        </w:rPr>
        <w:t>A应当编制环境应急预案的企事业单位</w:t>
      </w:r>
    </w:p>
    <w:p>
      <w:pPr>
        <w:pStyle w:val="39"/>
        <w:spacing w:line="520" w:lineRule="exact"/>
        <w:ind w:firstLine="480"/>
        <w:jc w:val="both"/>
        <w:rPr>
          <w:sz w:val="24"/>
        </w:rPr>
      </w:pPr>
      <w:r>
        <w:rPr>
          <w:rFonts w:hint="eastAsia"/>
          <w:sz w:val="24"/>
        </w:rPr>
        <w:t>a可能发生突发环境事件的污染物排放企业，包括污水、生活垃圾集中处理设施的运营企业；</w:t>
      </w:r>
    </w:p>
    <w:p>
      <w:pPr>
        <w:pStyle w:val="39"/>
        <w:spacing w:line="520" w:lineRule="exact"/>
        <w:ind w:firstLine="480"/>
        <w:jc w:val="both"/>
        <w:rPr>
          <w:sz w:val="24"/>
        </w:rPr>
      </w:pPr>
      <w:r>
        <w:rPr>
          <w:rFonts w:hint="eastAsia"/>
          <w:sz w:val="24"/>
        </w:rPr>
        <w:t>b生产、储存、运输、使用危险化学品的企业；</w:t>
      </w:r>
    </w:p>
    <w:p>
      <w:pPr>
        <w:pStyle w:val="39"/>
        <w:spacing w:line="520" w:lineRule="exact"/>
        <w:ind w:firstLine="480"/>
        <w:jc w:val="both"/>
        <w:rPr>
          <w:sz w:val="24"/>
        </w:rPr>
      </w:pPr>
      <w:r>
        <w:rPr>
          <w:rFonts w:hint="eastAsia"/>
          <w:sz w:val="24"/>
        </w:rPr>
        <w:t>c产生、收集、贮存、运输、利用、处置危险废物的企业；</w:t>
      </w:r>
    </w:p>
    <w:p>
      <w:pPr>
        <w:pStyle w:val="39"/>
        <w:spacing w:line="520" w:lineRule="exact"/>
        <w:ind w:firstLine="480"/>
        <w:jc w:val="both"/>
        <w:rPr>
          <w:sz w:val="24"/>
        </w:rPr>
      </w:pPr>
      <w:r>
        <w:rPr>
          <w:rFonts w:hint="eastAsia"/>
          <w:sz w:val="24"/>
        </w:rPr>
        <w:t>d尾矿库企业，包括湿式堆存工业废渣库、电厂灰渣库企业；</w:t>
      </w:r>
    </w:p>
    <w:p>
      <w:pPr>
        <w:pStyle w:val="39"/>
        <w:spacing w:line="520" w:lineRule="exact"/>
        <w:ind w:firstLine="480"/>
        <w:jc w:val="both"/>
        <w:rPr>
          <w:sz w:val="24"/>
        </w:rPr>
      </w:pPr>
      <w:r>
        <w:rPr>
          <w:rFonts w:hint="eastAsia"/>
          <w:sz w:val="24"/>
        </w:rPr>
        <w:t>e其他应当纳入适用范围的企事业单位。</w:t>
      </w:r>
    </w:p>
    <w:p>
      <w:pPr>
        <w:pStyle w:val="39"/>
        <w:spacing w:line="520" w:lineRule="exact"/>
        <w:ind w:firstLine="480"/>
        <w:jc w:val="both"/>
        <w:rPr>
          <w:sz w:val="24"/>
        </w:rPr>
      </w:pPr>
      <w:r>
        <w:rPr>
          <w:rFonts w:hint="eastAsia"/>
          <w:sz w:val="24"/>
        </w:rPr>
        <w:t>鼓励其他企事业单位制定单独的环境应急预案，或在突发事件应急预案中制定环境应急预案专章，并备案。</w:t>
      </w:r>
    </w:p>
    <w:p>
      <w:pPr>
        <w:pStyle w:val="39"/>
        <w:spacing w:line="520" w:lineRule="exact"/>
        <w:ind w:firstLine="480"/>
        <w:jc w:val="both"/>
        <w:rPr>
          <w:sz w:val="24"/>
        </w:rPr>
      </w:pPr>
      <w:r>
        <w:rPr>
          <w:rFonts w:hint="eastAsia"/>
          <w:sz w:val="24"/>
        </w:rPr>
        <w:t>鼓励可能造成突发环境事件的工程建设、影视拍摄和文化体育等群众性集体活动主办企业，制定单独的环境应急预案，或在突发事件应急预案中制定环境应急预案专章，并备案。</w:t>
      </w:r>
    </w:p>
    <w:p>
      <w:pPr>
        <w:pStyle w:val="39"/>
        <w:spacing w:line="520" w:lineRule="exact"/>
        <w:ind w:firstLine="480"/>
        <w:jc w:val="both"/>
        <w:rPr>
          <w:sz w:val="24"/>
        </w:rPr>
      </w:pPr>
      <w:r>
        <w:rPr>
          <w:rFonts w:hint="eastAsia"/>
          <w:sz w:val="24"/>
        </w:rPr>
        <w:t>（2）环境应急预案的主要编制步骤</w:t>
      </w:r>
    </w:p>
    <w:p>
      <w:pPr>
        <w:pStyle w:val="39"/>
        <w:spacing w:line="520" w:lineRule="exact"/>
        <w:ind w:firstLine="480"/>
        <w:jc w:val="both"/>
        <w:rPr>
          <w:sz w:val="24"/>
        </w:rPr>
      </w:pPr>
      <w:r>
        <w:rPr>
          <w:rFonts w:hint="eastAsia"/>
          <w:sz w:val="24"/>
        </w:rPr>
        <w:t>企事业单位是制定环境应急预案的责任主体，根据应对突发环境事件的需要，开展环境应急预案制定工作，对环境应急预案内容的真实性和可操作性负责。其实也单位可以自行编制环境应急预案，也可以委托相关专业技术服务机构编制环境应急预案。委托相关专业技术服务机构编制的，企事业单位指定有关人员全程参加。</w:t>
      </w:r>
    </w:p>
    <w:p>
      <w:pPr>
        <w:pStyle w:val="39"/>
        <w:spacing w:line="520" w:lineRule="exact"/>
        <w:ind w:firstLine="480"/>
        <w:jc w:val="both"/>
        <w:rPr>
          <w:sz w:val="24"/>
        </w:rPr>
      </w:pPr>
      <w:r>
        <w:rPr>
          <w:rFonts w:hint="eastAsia"/>
          <w:sz w:val="24"/>
        </w:rPr>
        <w:t>（3）环境应急预案的主要编制内容</w:t>
      </w:r>
    </w:p>
    <w:p>
      <w:pPr>
        <w:pStyle w:val="39"/>
        <w:spacing w:line="520" w:lineRule="exact"/>
        <w:ind w:firstLine="480"/>
        <w:jc w:val="both"/>
        <w:rPr>
          <w:sz w:val="24"/>
        </w:rPr>
      </w:pPr>
      <w:r>
        <w:rPr>
          <w:rFonts w:hint="eastAsia"/>
          <w:sz w:val="24"/>
        </w:rPr>
        <w:t>环境应急预案体现自救互救、信息报告和先期处置特点，侧重明确现场组织指挥机制、应急队伍分工、信息报告、监测预警、不同情景下的对应流程和措施、应急资源保障等内容。</w:t>
      </w:r>
    </w:p>
    <w:p>
      <w:pPr>
        <w:pStyle w:val="39"/>
        <w:spacing w:line="520" w:lineRule="exact"/>
        <w:ind w:firstLine="480"/>
        <w:jc w:val="both"/>
        <w:rPr>
          <w:sz w:val="24"/>
        </w:rPr>
      </w:pPr>
      <w:r>
        <w:rPr>
          <w:rFonts w:hint="eastAsia"/>
          <w:sz w:val="24"/>
        </w:rPr>
        <w:t>（4）应急预案的评审</w:t>
      </w:r>
    </w:p>
    <w:p>
      <w:pPr>
        <w:pStyle w:val="39"/>
        <w:spacing w:line="520" w:lineRule="exact"/>
        <w:ind w:firstLine="480"/>
        <w:jc w:val="both"/>
        <w:rPr>
          <w:sz w:val="24"/>
        </w:rPr>
      </w:pPr>
      <w:r>
        <w:rPr>
          <w:rFonts w:hint="eastAsia"/>
          <w:sz w:val="24"/>
        </w:rPr>
        <w:t>企业组织专家和可能受影响的居民、单位代表对环境应急预案进行评审，开展演练进行检验。</w:t>
      </w:r>
    </w:p>
    <w:p>
      <w:pPr>
        <w:pStyle w:val="39"/>
        <w:spacing w:line="520" w:lineRule="exact"/>
        <w:ind w:firstLine="480"/>
        <w:jc w:val="both"/>
        <w:rPr>
          <w:sz w:val="24"/>
        </w:rPr>
      </w:pPr>
      <w:r>
        <w:rPr>
          <w:rFonts w:hint="eastAsia"/>
          <w:sz w:val="24"/>
        </w:rPr>
        <w:t>评审专家一般应包括环境应急预案涉及的相关政府管理部门人员、相关行业协会代表、具有相关领域经验的人员等。</w:t>
      </w:r>
    </w:p>
    <w:p>
      <w:pPr>
        <w:pStyle w:val="39"/>
        <w:spacing w:line="520" w:lineRule="exact"/>
        <w:ind w:firstLine="480"/>
        <w:jc w:val="both"/>
        <w:rPr>
          <w:sz w:val="24"/>
        </w:rPr>
      </w:pPr>
      <w:r>
        <w:rPr>
          <w:rFonts w:hint="eastAsia"/>
          <w:sz w:val="24"/>
        </w:rPr>
        <w:t>（5）环境应急预案的备案</w:t>
      </w:r>
    </w:p>
    <w:p>
      <w:pPr>
        <w:pStyle w:val="39"/>
        <w:spacing w:line="520" w:lineRule="exact"/>
        <w:ind w:firstLine="480"/>
        <w:jc w:val="both"/>
        <w:rPr>
          <w:sz w:val="24"/>
        </w:rPr>
      </w:pPr>
      <w:r>
        <w:rPr>
          <w:rFonts w:hint="eastAsia"/>
          <w:sz w:val="24"/>
        </w:rPr>
        <w:t>建设单位制定的环境应急预案或者修订的企事业单位环境应急预案，应当在建设项目投入生产或者使用前，按照有关规定，向建设项目所在地受理部门备案。</w:t>
      </w:r>
    </w:p>
    <w:p>
      <w:pPr>
        <w:pStyle w:val="39"/>
        <w:spacing w:line="520" w:lineRule="exact"/>
        <w:ind w:firstLine="480"/>
        <w:jc w:val="both"/>
        <w:rPr>
          <w:sz w:val="24"/>
        </w:rPr>
      </w:pPr>
      <w:r>
        <w:rPr>
          <w:rFonts w:hint="eastAsia"/>
          <w:sz w:val="24"/>
        </w:rPr>
        <w:t>建设单位试生产期间的环境应急预案，应当参照有关规定制定和备案。</w:t>
      </w:r>
    </w:p>
    <w:p>
      <w:pPr>
        <w:pStyle w:val="39"/>
        <w:spacing w:line="520" w:lineRule="exact"/>
        <w:ind w:firstLine="480"/>
        <w:jc w:val="both"/>
        <w:rPr>
          <w:sz w:val="24"/>
        </w:rPr>
      </w:pPr>
      <w:r>
        <w:rPr>
          <w:rFonts w:hint="eastAsia"/>
          <w:sz w:val="24"/>
        </w:rPr>
        <w:t>企事业单位环境应急预案应当在环境应急预案签署发布之日起20个工作日内，向其实也单位所在地县市生态环境局备案。县市生态环境局应当在备案之日起5个工作日内将较大和重大环境风险其实也单位的环境应急预案备案文件报送自治区生态环境厅。</w:t>
      </w:r>
    </w:p>
    <w:p>
      <w:pPr>
        <w:pStyle w:val="39"/>
        <w:spacing w:line="520" w:lineRule="exact"/>
        <w:ind w:firstLine="480"/>
        <w:jc w:val="both"/>
        <w:rPr>
          <w:sz w:val="24"/>
        </w:rPr>
      </w:pPr>
      <w:r>
        <w:rPr>
          <w:rFonts w:hint="eastAsia"/>
          <w:sz w:val="24"/>
        </w:rPr>
        <w:t>④应急预案的修订</w:t>
      </w:r>
    </w:p>
    <w:p>
      <w:pPr>
        <w:pStyle w:val="39"/>
        <w:spacing w:line="520" w:lineRule="exact"/>
        <w:ind w:firstLine="480"/>
        <w:jc w:val="both"/>
        <w:rPr>
          <w:sz w:val="24"/>
        </w:rPr>
      </w:pPr>
      <w:r>
        <w:rPr>
          <w:rFonts w:hint="eastAsia"/>
          <w:sz w:val="24"/>
        </w:rPr>
        <w:t>企事业单位结合环境应急预案实施情况，至少每三年对环境应急预案进行一次回顾性评估，并备案。</w:t>
      </w:r>
    </w:p>
    <w:p>
      <w:pPr>
        <w:pStyle w:val="39"/>
        <w:spacing w:line="520" w:lineRule="exact"/>
        <w:ind w:firstLine="480"/>
        <w:jc w:val="both"/>
        <w:rPr>
          <w:sz w:val="24"/>
        </w:rPr>
      </w:pPr>
      <w:r>
        <w:rPr>
          <w:rFonts w:hint="eastAsia"/>
          <w:sz w:val="24"/>
        </w:rPr>
        <w:t>⑤环境应急预案的监督</w:t>
      </w:r>
    </w:p>
    <w:p>
      <w:pPr>
        <w:pStyle w:val="39"/>
        <w:spacing w:line="520" w:lineRule="exact"/>
        <w:ind w:firstLine="480"/>
        <w:jc w:val="both"/>
        <w:rPr>
          <w:sz w:val="24"/>
        </w:rPr>
      </w:pPr>
      <w:r>
        <w:rPr>
          <w:rFonts w:hint="eastAsia"/>
          <w:sz w:val="24"/>
        </w:rPr>
        <w:t>各级环境保护主管部门应当及时将备案的环境应急预案汇总、整理、归档，建立环境应急预案数据库，并将其作为制定政府和部门环境应急预案的重要基础。</w:t>
      </w:r>
    </w:p>
    <w:p>
      <w:pPr>
        <w:widowControl/>
        <w:numPr>
          <w:ilvl w:val="0"/>
          <w:numId w:val="16"/>
        </w:numPr>
        <w:spacing w:line="520" w:lineRule="exact"/>
        <w:ind w:firstLine="482"/>
        <w:rPr>
          <w:b/>
          <w:bCs/>
          <w:kern w:val="0"/>
          <w:sz w:val="24"/>
          <w:lang w:bidi="ar"/>
        </w:rPr>
      </w:pPr>
      <w:r>
        <w:rPr>
          <w:rFonts w:hint="eastAsia"/>
          <w:b/>
          <w:bCs/>
          <w:kern w:val="0"/>
          <w:sz w:val="24"/>
          <w:lang w:bidi="ar"/>
        </w:rPr>
        <w:t>分析结论</w:t>
      </w:r>
    </w:p>
    <w:p>
      <w:pPr>
        <w:pStyle w:val="39"/>
        <w:spacing w:line="520" w:lineRule="exact"/>
        <w:ind w:firstLine="480"/>
        <w:jc w:val="both"/>
        <w:rPr>
          <w:sz w:val="24"/>
        </w:rPr>
      </w:pPr>
      <w:r>
        <w:rPr>
          <w:rFonts w:hint="eastAsia"/>
          <w:sz w:val="24"/>
        </w:rPr>
        <w:t>综合以上分析，本项目为乳化炸药生产项目，主要环境风险事故情形为柴油发生泄漏，在高温、高压、明火和有可能被氧化的物质存在下发生爆炸，导致次生污染物大量NO</w:t>
      </w:r>
      <w:r>
        <w:rPr>
          <w:rFonts w:hint="eastAsia"/>
          <w:sz w:val="24"/>
          <w:vertAlign w:val="subscript"/>
        </w:rPr>
        <w:t>2</w:t>
      </w:r>
      <w:r>
        <w:rPr>
          <w:rFonts w:hint="eastAsia"/>
          <w:sz w:val="24"/>
        </w:rPr>
        <w:t>气体瞬时排放可能对周围人群身体健康产生不利影响。硝酸铵储存过程中发生爆炸事故后处理过程中产生的消防事故水，厂区设置事故废水池，并在厂内设置截流明沟与消防废水收集池相连，消防事故水集中收集排入消防废水收集池中。为防范事故和减少危害本项目建立了风险防范措施和应急措施及预案，为生产和贮运系统一旦出现突发事故提供了可操作的应急指导方案，以利于减缓风险损害。因此，在严格落实本评价提出的环境风险防范措施、《初步设计》和《安全预评价报告》提出的各项安全对策措施的情况下，其环境影响可以接受。</w:t>
      </w:r>
    </w:p>
    <w:p>
      <w:pPr>
        <w:widowControl/>
        <w:spacing w:before="156" w:beforeLines="50"/>
        <w:ind w:firstLine="480" w:firstLineChars="200"/>
        <w:jc w:val="center"/>
        <w:rPr>
          <w:rFonts w:eastAsia="黑体"/>
          <w:sz w:val="24"/>
        </w:rPr>
      </w:pPr>
      <w:r>
        <w:rPr>
          <w:rFonts w:hint="eastAsia" w:eastAsia="黑体"/>
          <w:sz w:val="24"/>
        </w:rPr>
        <w:t>表15  建设项目环境风险简单分析内容表</w:t>
      </w:r>
    </w:p>
    <w:tbl>
      <w:tblPr>
        <w:tblStyle w:val="29"/>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47"/>
        <w:gridCol w:w="1563"/>
        <w:gridCol w:w="1576"/>
        <w:gridCol w:w="1192"/>
        <w:gridCol w:w="1346"/>
        <w:gridCol w:w="18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942" w:type="pct"/>
            <w:vAlign w:val="center"/>
          </w:tcPr>
          <w:p>
            <w:pPr>
              <w:jc w:val="center"/>
              <w:rPr>
                <w:szCs w:val="21"/>
              </w:rPr>
            </w:pPr>
            <w:r>
              <w:rPr>
                <w:szCs w:val="21"/>
              </w:rPr>
              <w:t>建设项目名称</w:t>
            </w:r>
          </w:p>
        </w:tc>
        <w:tc>
          <w:tcPr>
            <w:tcW w:w="4057" w:type="pct"/>
            <w:gridSpan w:val="5"/>
            <w:vAlign w:val="center"/>
          </w:tcPr>
          <w:p>
            <w:pPr>
              <w:rPr>
                <w:szCs w:val="21"/>
              </w:rPr>
            </w:pPr>
            <w:r>
              <w:rPr>
                <w:szCs w:val="21"/>
              </w:rPr>
              <w:t>现场混装多孔粒状铵油炸药生产系统及危险品储存库区搬迁改造项目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9" w:hRule="atLeast"/>
        </w:trPr>
        <w:tc>
          <w:tcPr>
            <w:tcW w:w="942" w:type="pct"/>
            <w:vAlign w:val="center"/>
          </w:tcPr>
          <w:p>
            <w:pPr>
              <w:jc w:val="center"/>
              <w:rPr>
                <w:szCs w:val="21"/>
              </w:rPr>
            </w:pPr>
            <w:r>
              <w:rPr>
                <w:szCs w:val="21"/>
              </w:rPr>
              <w:t>建设地点</w:t>
            </w:r>
          </w:p>
        </w:tc>
        <w:tc>
          <w:tcPr>
            <w:tcW w:w="842" w:type="pct"/>
            <w:vAlign w:val="center"/>
          </w:tcPr>
          <w:p>
            <w:pPr>
              <w:jc w:val="center"/>
              <w:rPr>
                <w:szCs w:val="21"/>
              </w:rPr>
            </w:pPr>
            <w:r>
              <w:rPr>
                <w:szCs w:val="21"/>
              </w:rPr>
              <w:t>新疆</w:t>
            </w:r>
            <w:r>
              <w:rPr>
                <w:rFonts w:hint="eastAsia"/>
                <w:szCs w:val="21"/>
              </w:rPr>
              <w:t>维吾尔</w:t>
            </w:r>
          </w:p>
          <w:p>
            <w:pPr>
              <w:jc w:val="center"/>
              <w:rPr>
                <w:szCs w:val="21"/>
              </w:rPr>
            </w:pPr>
            <w:r>
              <w:rPr>
                <w:rFonts w:hint="eastAsia"/>
                <w:szCs w:val="21"/>
              </w:rPr>
              <w:t>自治区</w:t>
            </w:r>
          </w:p>
        </w:tc>
        <w:tc>
          <w:tcPr>
            <w:tcW w:w="849" w:type="pct"/>
            <w:vAlign w:val="center"/>
          </w:tcPr>
          <w:p>
            <w:pPr>
              <w:jc w:val="center"/>
              <w:rPr>
                <w:szCs w:val="21"/>
              </w:rPr>
            </w:pPr>
            <w:r>
              <w:rPr>
                <w:rFonts w:hint="eastAsia"/>
                <w:szCs w:val="21"/>
              </w:rPr>
              <w:t>昌吉回族自治州</w:t>
            </w:r>
          </w:p>
        </w:tc>
        <w:tc>
          <w:tcPr>
            <w:tcW w:w="642" w:type="pct"/>
            <w:vAlign w:val="center"/>
          </w:tcPr>
          <w:p>
            <w:pPr>
              <w:rPr>
                <w:szCs w:val="21"/>
              </w:rPr>
            </w:pPr>
            <w:r>
              <w:rPr>
                <w:szCs w:val="21"/>
              </w:rPr>
              <w:t>（</w:t>
            </w:r>
            <w:r>
              <w:rPr>
                <w:rFonts w:hint="eastAsia"/>
                <w:szCs w:val="21"/>
              </w:rPr>
              <w:t>/</w:t>
            </w:r>
            <w:r>
              <w:rPr>
                <w:szCs w:val="21"/>
              </w:rPr>
              <w:t>）区</w:t>
            </w:r>
          </w:p>
        </w:tc>
        <w:tc>
          <w:tcPr>
            <w:tcW w:w="725" w:type="pct"/>
            <w:vAlign w:val="center"/>
          </w:tcPr>
          <w:p>
            <w:pPr>
              <w:rPr>
                <w:szCs w:val="21"/>
              </w:rPr>
            </w:pPr>
            <w:r>
              <w:rPr>
                <w:rFonts w:hint="eastAsia"/>
                <w:szCs w:val="21"/>
              </w:rPr>
              <w:t>吉木萨尔</w:t>
            </w:r>
            <w:r>
              <w:rPr>
                <w:szCs w:val="21"/>
              </w:rPr>
              <w:t>县</w:t>
            </w:r>
          </w:p>
        </w:tc>
        <w:tc>
          <w:tcPr>
            <w:tcW w:w="997" w:type="pct"/>
            <w:vAlign w:val="center"/>
          </w:tcPr>
          <w:p>
            <w:pPr>
              <w:rPr>
                <w:szCs w:val="21"/>
              </w:rPr>
            </w:pPr>
            <w:r>
              <w:rPr>
                <w:rFonts w:hint="eastAsia"/>
                <w:szCs w:val="21"/>
              </w:rPr>
              <w:t>庆阳湖乡水溪沟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942" w:type="pct"/>
            <w:vAlign w:val="center"/>
          </w:tcPr>
          <w:p>
            <w:pPr>
              <w:jc w:val="center"/>
              <w:rPr>
                <w:szCs w:val="21"/>
              </w:rPr>
            </w:pPr>
            <w:r>
              <w:rPr>
                <w:szCs w:val="21"/>
              </w:rPr>
              <w:t>地理坐标</w:t>
            </w:r>
          </w:p>
        </w:tc>
        <w:tc>
          <w:tcPr>
            <w:tcW w:w="842" w:type="pct"/>
            <w:vAlign w:val="center"/>
          </w:tcPr>
          <w:p>
            <w:pPr>
              <w:jc w:val="center"/>
              <w:rPr>
                <w:szCs w:val="21"/>
              </w:rPr>
            </w:pPr>
            <w:r>
              <w:rPr>
                <w:szCs w:val="21"/>
              </w:rPr>
              <w:t>经度</w:t>
            </w:r>
          </w:p>
        </w:tc>
        <w:tc>
          <w:tcPr>
            <w:tcW w:w="849" w:type="pct"/>
            <w:vAlign w:val="center"/>
          </w:tcPr>
          <w:p>
            <w:pPr>
              <w:jc w:val="center"/>
              <w:rPr>
                <w:szCs w:val="21"/>
              </w:rPr>
            </w:pPr>
            <w:r>
              <w:rPr>
                <w:szCs w:val="21"/>
              </w:rPr>
              <w:t>88°58′22.783″</w:t>
            </w:r>
          </w:p>
        </w:tc>
        <w:tc>
          <w:tcPr>
            <w:tcW w:w="642" w:type="pct"/>
            <w:vAlign w:val="center"/>
          </w:tcPr>
          <w:p>
            <w:pPr>
              <w:jc w:val="center"/>
              <w:rPr>
                <w:szCs w:val="21"/>
              </w:rPr>
            </w:pPr>
            <w:r>
              <w:rPr>
                <w:szCs w:val="21"/>
              </w:rPr>
              <w:t>纬度</w:t>
            </w:r>
          </w:p>
        </w:tc>
        <w:tc>
          <w:tcPr>
            <w:tcW w:w="1723" w:type="pct"/>
            <w:gridSpan w:val="2"/>
            <w:vAlign w:val="center"/>
          </w:tcPr>
          <w:p>
            <w:pPr>
              <w:jc w:val="center"/>
              <w:rPr>
                <w:szCs w:val="21"/>
              </w:rPr>
            </w:pPr>
            <w:r>
              <w:rPr>
                <w:szCs w:val="21"/>
              </w:rPr>
              <w:t>43°59′14.042″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942" w:type="pct"/>
            <w:vAlign w:val="center"/>
          </w:tcPr>
          <w:p>
            <w:pPr>
              <w:jc w:val="center"/>
              <w:rPr>
                <w:szCs w:val="21"/>
              </w:rPr>
            </w:pPr>
            <w:r>
              <w:rPr>
                <w:szCs w:val="21"/>
              </w:rPr>
              <w:t>主要危险物质及分布</w:t>
            </w:r>
          </w:p>
        </w:tc>
        <w:tc>
          <w:tcPr>
            <w:tcW w:w="4057" w:type="pct"/>
            <w:gridSpan w:val="5"/>
            <w:vAlign w:val="center"/>
          </w:tcPr>
          <w:p>
            <w:pPr>
              <w:rPr>
                <w:szCs w:val="21"/>
              </w:rPr>
            </w:pPr>
            <w:r>
              <w:rPr>
                <w:szCs w:val="21"/>
              </w:rPr>
              <w:t>硝酸铵</w:t>
            </w:r>
            <w:r>
              <w:rPr>
                <w:rFonts w:hint="eastAsia"/>
                <w:szCs w:val="21"/>
              </w:rPr>
              <w:t>、柴油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7" w:hRule="atLeast"/>
        </w:trPr>
        <w:tc>
          <w:tcPr>
            <w:tcW w:w="942" w:type="pct"/>
            <w:vAlign w:val="center"/>
          </w:tcPr>
          <w:p>
            <w:pPr>
              <w:jc w:val="center"/>
              <w:rPr>
                <w:szCs w:val="21"/>
              </w:rPr>
            </w:pPr>
            <w:r>
              <w:rPr>
                <w:szCs w:val="21"/>
              </w:rPr>
              <w:t>环境影响途径及危害后果（大气、地表水、地下水等）</w:t>
            </w:r>
          </w:p>
        </w:tc>
        <w:tc>
          <w:tcPr>
            <w:tcW w:w="4057" w:type="pct"/>
            <w:gridSpan w:val="5"/>
            <w:vAlign w:val="center"/>
          </w:tcPr>
          <w:p>
            <w:pPr>
              <w:rPr>
                <w:szCs w:val="21"/>
              </w:rPr>
            </w:pPr>
            <w:r>
              <w:rPr>
                <w:szCs w:val="21"/>
              </w:rPr>
              <w:t>（</w:t>
            </w:r>
            <w:r>
              <w:rPr>
                <w:rFonts w:hint="eastAsia"/>
                <w:szCs w:val="21"/>
              </w:rPr>
              <w:t>1</w:t>
            </w:r>
            <w:r>
              <w:rPr>
                <w:szCs w:val="21"/>
              </w:rPr>
              <w:t>）</w:t>
            </w:r>
            <w:r>
              <w:rPr>
                <w:rFonts w:hint="eastAsia"/>
                <w:szCs w:val="21"/>
              </w:rPr>
              <w:t>柴油</w:t>
            </w:r>
            <w:r>
              <w:rPr>
                <w:szCs w:val="21"/>
              </w:rPr>
              <w:t>泵送过程产生静电火花或其它火源作用；（</w:t>
            </w:r>
            <w:r>
              <w:rPr>
                <w:rFonts w:hint="eastAsia"/>
                <w:szCs w:val="21"/>
              </w:rPr>
              <w:t>2</w:t>
            </w:r>
            <w:r>
              <w:rPr>
                <w:szCs w:val="21"/>
              </w:rPr>
              <w:t>）加料过程混入禁忌性杂质给下一步生产造成隐患。（4）炸药混制过程，螺旋故障或混入机械杂质，局部长时间摩擦；（5）控制系统故障，断料，螺旋长时间断料空转、干磨。</w:t>
            </w:r>
            <w:r>
              <w:rPr>
                <w:rFonts w:hint="eastAsia"/>
                <w:szCs w:val="21"/>
              </w:rPr>
              <w:t>（6）柴油储罐发生破裂导致泄漏，影响地下水及土壤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1" w:hRule="atLeast"/>
        </w:trPr>
        <w:tc>
          <w:tcPr>
            <w:tcW w:w="942" w:type="pct"/>
            <w:vAlign w:val="center"/>
          </w:tcPr>
          <w:p>
            <w:pPr>
              <w:jc w:val="center"/>
              <w:rPr>
                <w:szCs w:val="21"/>
              </w:rPr>
            </w:pPr>
            <w:r>
              <w:rPr>
                <w:szCs w:val="21"/>
              </w:rPr>
              <w:t>风险防范措施</w:t>
            </w:r>
          </w:p>
          <w:p>
            <w:pPr>
              <w:jc w:val="center"/>
              <w:rPr>
                <w:szCs w:val="21"/>
              </w:rPr>
            </w:pPr>
            <w:r>
              <w:rPr>
                <w:szCs w:val="21"/>
              </w:rPr>
              <w:t>要求</w:t>
            </w:r>
          </w:p>
        </w:tc>
        <w:tc>
          <w:tcPr>
            <w:tcW w:w="4057" w:type="pct"/>
            <w:gridSpan w:val="5"/>
            <w:vAlign w:val="center"/>
          </w:tcPr>
          <w:p>
            <w:r>
              <w:t>（1）工段风险防范措施：危险品生产工艺设计在满足安全生产的前提下，采用了行之有效的隔离操作、自动控制和计算机管理等先进技术，并减少厂房存放药量和操作人员；</w:t>
            </w:r>
          </w:p>
          <w:p>
            <w:r>
              <w:t>（2）重大危险源管理措施：依据《民用爆破器材工程设计安全规范》（GB50089-2007）和《民用爆破器材企业安全管理规程》（WJ9049-2005）的要求，不相容的物质不得混贮或混运</w:t>
            </w:r>
          </w:p>
          <w:p>
            <w:r>
              <w:t>（3）严格按照规定控制各工、库房贮存量。</w:t>
            </w:r>
          </w:p>
          <w:p>
            <w:r>
              <w:t>（</w:t>
            </w:r>
            <w:r>
              <w:rPr>
                <w:rFonts w:hint="eastAsia"/>
              </w:rPr>
              <w:t>4</w:t>
            </w:r>
            <w:r>
              <w:t>）运输事故防范措施：严格执行《道路危险货物运输管理规定》及其他相关法律法规和安全操作规程；驾驶员、押运员持证上岗；出车前按规定对车辆进行检查（包括安全、消防设施），确认合格后，方可装运；装运严禁超载：严格按规定的时间、路线行驶。</w:t>
            </w:r>
          </w:p>
          <w:p>
            <w:r>
              <w:rPr>
                <w:rFonts w:hint="eastAsia"/>
              </w:rPr>
              <w:t>（5）罐体泄漏风险防范措施：</w:t>
            </w:r>
            <w:r>
              <w:t>切断</w:t>
            </w:r>
            <w:r>
              <w:rPr>
                <w:rFonts w:hint="eastAsia"/>
              </w:rPr>
              <w:t>柴油</w:t>
            </w:r>
            <w:r>
              <w:t>泄漏源。</w:t>
            </w:r>
          </w:p>
          <w:p>
            <w:r>
              <w:rPr>
                <w:rFonts w:hint="eastAsia"/>
              </w:rPr>
              <w:t>（6）油相物料发生火灾风险防范措施：油相材料发生燃烧事故时立即切断电源，启动消防系统备用电源。应迅速撤离人员至厂区安全区域，设置警戒线，严禁无关人员进入。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5000" w:type="pct"/>
            <w:gridSpan w:val="6"/>
          </w:tcPr>
          <w:p>
            <w:pPr>
              <w:rPr>
                <w:szCs w:val="21"/>
              </w:rPr>
            </w:pPr>
            <w:r>
              <w:rPr>
                <w:szCs w:val="21"/>
              </w:rPr>
              <w:t>填表说明（列出项目相关信息及评价说明）本项目具有潜在的事故风险，要从建设、生产、贮运等各方面积极采取防护措施，这是确保安全的根本。</w:t>
            </w:r>
          </w:p>
        </w:tc>
      </w:tr>
    </w:tbl>
    <w:p>
      <w:pPr>
        <w:pStyle w:val="28"/>
        <w:ind w:left="0" w:leftChars="0" w:firstLine="0" w:firstLineChars="0"/>
        <w:rPr>
          <w:b/>
          <w:bCs/>
          <w:sz w:val="28"/>
          <w:szCs w:val="28"/>
        </w:rPr>
        <w:sectPr>
          <w:pgSz w:w="11906" w:h="16838"/>
          <w:pgMar w:top="1134" w:right="1134" w:bottom="1701" w:left="1701" w:header="851" w:footer="992" w:gutter="0"/>
          <w:pgBorders>
            <w:top w:val="none" w:sz="0" w:space="0"/>
            <w:left w:val="none" w:sz="0" w:space="0"/>
            <w:bottom w:val="none" w:sz="0" w:space="0"/>
            <w:right w:val="none" w:sz="0" w:space="0"/>
          </w:pgBorders>
          <w:cols w:space="720" w:num="1"/>
          <w:docGrid w:type="lines" w:linePitch="312" w:charSpace="0"/>
        </w:sectPr>
      </w:pPr>
    </w:p>
    <w:p>
      <w:pPr>
        <w:pStyle w:val="28"/>
        <w:ind w:left="0" w:leftChars="0" w:firstLine="0" w:firstLineChars="0"/>
        <w:rPr>
          <w:b/>
          <w:bCs/>
          <w:sz w:val="28"/>
          <w:szCs w:val="28"/>
        </w:rPr>
      </w:pPr>
      <w:r>
        <w:rPr>
          <w:rFonts w:hint="eastAsia"/>
          <w:b/>
          <w:bCs/>
          <w:sz w:val="28"/>
          <w:szCs w:val="28"/>
        </w:rPr>
        <w:t>附件1  环评委托书</w:t>
      </w:r>
    </w:p>
    <w:p>
      <w:pPr>
        <w:jc w:val="center"/>
        <w:rPr>
          <w:b/>
          <w:sz w:val="44"/>
          <w:szCs w:val="44"/>
        </w:rPr>
      </w:pPr>
      <w:r>
        <w:rPr>
          <w:rFonts w:hint="eastAsia"/>
          <w:b/>
          <w:sz w:val="44"/>
          <w:szCs w:val="44"/>
        </w:rPr>
        <w:t>委托书</w:t>
      </w:r>
    </w:p>
    <w:p>
      <w:pPr>
        <w:jc w:val="center"/>
        <w:rPr>
          <w:b/>
          <w:sz w:val="44"/>
          <w:szCs w:val="44"/>
        </w:rPr>
      </w:pPr>
    </w:p>
    <w:p>
      <w:pPr>
        <w:rPr>
          <w:b/>
          <w:sz w:val="28"/>
          <w:szCs w:val="28"/>
        </w:rPr>
      </w:pPr>
    </w:p>
    <w:p>
      <w:pPr>
        <w:rPr>
          <w:b/>
          <w:sz w:val="32"/>
          <w:szCs w:val="32"/>
        </w:rPr>
      </w:pPr>
      <w:r>
        <w:rPr>
          <w:rFonts w:hint="eastAsia"/>
          <w:b/>
          <w:sz w:val="32"/>
          <w:szCs w:val="32"/>
        </w:rPr>
        <w:t>乌鲁木齐天之宇环保科技有限公司：</w:t>
      </w:r>
    </w:p>
    <w:p>
      <w:pPr>
        <w:rPr>
          <w:b/>
          <w:sz w:val="32"/>
          <w:szCs w:val="32"/>
        </w:rPr>
      </w:pPr>
    </w:p>
    <w:p>
      <w:pPr>
        <w:ind w:right="25" w:rightChars="12" w:firstLine="640" w:firstLineChars="200"/>
        <w:rPr>
          <w:b/>
          <w:snapToGrid w:val="0"/>
          <w:sz w:val="28"/>
          <w:szCs w:val="28"/>
          <w:u w:val="single"/>
        </w:rPr>
      </w:pPr>
      <w:r>
        <w:rPr>
          <w:rFonts w:hint="eastAsia"/>
          <w:sz w:val="32"/>
          <w:szCs w:val="32"/>
        </w:rPr>
        <w:t>根据《建设项目环境保护管理条例》以及《中华人民共和国环境影响评价法》的规定，特委托贵单位承担</w:t>
      </w:r>
      <w:r>
        <w:rPr>
          <w:rFonts w:hint="eastAsia"/>
          <w:b/>
          <w:bCs/>
          <w:sz w:val="32"/>
          <w:szCs w:val="32"/>
          <w:u w:val="single"/>
        </w:rPr>
        <w:t>现场混装多孔粒状铵油炸药生产系统及危险品储存库区搬迁改造项目</w:t>
      </w:r>
      <w:r>
        <w:rPr>
          <w:rFonts w:hint="eastAsia"/>
          <w:sz w:val="32"/>
          <w:szCs w:val="32"/>
        </w:rPr>
        <w:t>环境影响评价工作，编制环境影响报告表。</w:t>
      </w:r>
    </w:p>
    <w:p>
      <w:pPr>
        <w:ind w:firstLine="640" w:firstLineChars="200"/>
        <w:rPr>
          <w:sz w:val="32"/>
          <w:szCs w:val="32"/>
        </w:rPr>
      </w:pPr>
    </w:p>
    <w:p>
      <w:pPr>
        <w:ind w:firstLine="960" w:firstLineChars="300"/>
        <w:rPr>
          <w:sz w:val="32"/>
          <w:szCs w:val="32"/>
        </w:rPr>
      </w:pPr>
      <w:r>
        <w:rPr>
          <w:rFonts w:hint="eastAsia"/>
          <w:sz w:val="32"/>
          <w:szCs w:val="32"/>
        </w:rPr>
        <w:t>特此委托！</w:t>
      </w:r>
    </w:p>
    <w:p>
      <w:pPr>
        <w:ind w:firstLine="720" w:firstLineChars="225"/>
        <w:rPr>
          <w:sz w:val="32"/>
          <w:szCs w:val="32"/>
        </w:rPr>
      </w:pPr>
    </w:p>
    <w:p>
      <w:pPr>
        <w:ind w:firstLine="720" w:firstLineChars="225"/>
        <w:rPr>
          <w:sz w:val="32"/>
          <w:szCs w:val="32"/>
        </w:rPr>
      </w:pPr>
    </w:p>
    <w:p>
      <w:pPr>
        <w:ind w:firstLine="720" w:firstLineChars="225"/>
        <w:rPr>
          <w:sz w:val="32"/>
          <w:szCs w:val="32"/>
        </w:rPr>
      </w:pPr>
    </w:p>
    <w:p>
      <w:pPr>
        <w:ind w:firstLine="2480" w:firstLineChars="775"/>
        <w:jc w:val="right"/>
        <w:rPr>
          <w:sz w:val="32"/>
          <w:szCs w:val="32"/>
        </w:rPr>
      </w:pPr>
    </w:p>
    <w:p>
      <w:pPr>
        <w:ind w:firstLine="2480" w:firstLineChars="775"/>
        <w:jc w:val="right"/>
        <w:rPr>
          <w:sz w:val="32"/>
          <w:szCs w:val="32"/>
        </w:rPr>
      </w:pPr>
    </w:p>
    <w:p>
      <w:pPr>
        <w:ind w:right="206" w:firstLine="2240" w:firstLineChars="700"/>
      </w:pPr>
      <w:r>
        <w:rPr>
          <w:sz w:val="32"/>
          <w:szCs w:val="32"/>
        </w:rPr>
        <w:t>委托单位：</w:t>
      </w:r>
      <w:r>
        <w:rPr>
          <w:rFonts w:hint="eastAsia"/>
          <w:sz w:val="32"/>
          <w:szCs w:val="32"/>
        </w:rPr>
        <w:t>新疆天宝混装炸药制造有限公司</w:t>
      </w:r>
    </w:p>
    <w:p>
      <w:pPr>
        <w:ind w:right="206" w:firstLine="1440" w:firstLineChars="450"/>
        <w:jc w:val="center"/>
        <w:rPr>
          <w:sz w:val="32"/>
          <w:szCs w:val="32"/>
        </w:rPr>
        <w:sectPr>
          <w:footerReference r:id="rId8" w:type="default"/>
          <w:pgSz w:w="11906" w:h="16838"/>
          <w:pgMar w:top="1134" w:right="1134" w:bottom="1701" w:left="1701"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sz w:val="32"/>
          <w:szCs w:val="32"/>
        </w:rPr>
        <w:t xml:space="preserve">    </w:t>
      </w:r>
      <w:r>
        <w:rPr>
          <w:sz w:val="32"/>
          <w:szCs w:val="32"/>
        </w:rPr>
        <w:t>委托日期：20</w:t>
      </w:r>
      <w:r>
        <w:rPr>
          <w:rFonts w:hint="eastAsia"/>
          <w:sz w:val="32"/>
          <w:szCs w:val="32"/>
        </w:rPr>
        <w:t>22</w:t>
      </w:r>
      <w:r>
        <w:rPr>
          <w:sz w:val="32"/>
          <w:szCs w:val="32"/>
        </w:rPr>
        <w:t>年</w:t>
      </w:r>
      <w:r>
        <w:rPr>
          <w:rFonts w:hint="eastAsia"/>
          <w:sz w:val="32"/>
          <w:szCs w:val="32"/>
        </w:rPr>
        <w:t>3</w:t>
      </w:r>
      <w:r>
        <w:rPr>
          <w:sz w:val="32"/>
          <w:szCs w:val="32"/>
        </w:rPr>
        <w:t>月</w:t>
      </w:r>
    </w:p>
    <w:p>
      <w:pPr>
        <w:pStyle w:val="28"/>
        <w:ind w:left="0" w:leftChars="0" w:firstLine="0" w:firstLineChars="0"/>
        <w:rPr>
          <w:b/>
          <w:sz w:val="28"/>
          <w:szCs w:val="28"/>
        </w:rPr>
      </w:pPr>
      <w:r>
        <w:rPr>
          <w:rFonts w:hint="eastAsia"/>
          <w:b/>
          <w:bCs/>
          <w:sz w:val="28"/>
          <w:szCs w:val="28"/>
        </w:rPr>
        <w:t>附件2  投资项目登记备案证</w:t>
      </w:r>
    </w:p>
    <w:p>
      <w:r>
        <w:rPr>
          <w:sz w:val="24"/>
        </w:rPr>
        <w:drawing>
          <wp:inline distT="0" distB="0" distL="114300" distR="114300">
            <wp:extent cx="5266690" cy="7559040"/>
            <wp:effectExtent l="0" t="0" r="10160" b="3810"/>
            <wp:docPr id="12" name="图片 7" descr="8d1306778bfff02f53fd5933c7035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descr="8d1306778bfff02f53fd5933c7035b4"/>
                    <pic:cNvPicPr>
                      <a:picLocks noChangeAspect="1"/>
                    </pic:cNvPicPr>
                  </pic:nvPicPr>
                  <pic:blipFill>
                    <a:blip r:embed="rId39"/>
                    <a:stretch>
                      <a:fillRect/>
                    </a:stretch>
                  </pic:blipFill>
                  <pic:spPr>
                    <a:xfrm>
                      <a:off x="0" y="0"/>
                      <a:ext cx="5266690" cy="7559040"/>
                    </a:xfrm>
                    <a:prstGeom prst="rect">
                      <a:avLst/>
                    </a:prstGeom>
                    <a:noFill/>
                    <a:ln>
                      <a:noFill/>
                    </a:ln>
                  </pic:spPr>
                </pic:pic>
              </a:graphicData>
            </a:graphic>
          </wp:inline>
        </w:drawing>
      </w:r>
    </w:p>
    <w:p>
      <w:pPr>
        <w:pStyle w:val="28"/>
        <w:ind w:left="0" w:leftChars="0" w:firstLine="0" w:firstLineChars="0"/>
        <w:rPr>
          <w:b/>
          <w:bCs/>
          <w:sz w:val="28"/>
          <w:szCs w:val="28"/>
        </w:rPr>
      </w:pPr>
    </w:p>
    <w:p>
      <w:p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8"/>
        <w:spacing w:line="240" w:lineRule="auto"/>
        <w:ind w:left="0" w:leftChars="0" w:firstLine="0" w:firstLineChars="0"/>
        <w:rPr>
          <w:b/>
          <w:bCs/>
          <w:sz w:val="28"/>
          <w:szCs w:val="28"/>
        </w:rPr>
      </w:pPr>
      <w:r>
        <w:rPr>
          <w:rFonts w:hint="eastAsia"/>
          <w:b/>
          <w:bCs/>
          <w:sz w:val="28"/>
          <w:szCs w:val="28"/>
        </w:rPr>
        <w:t>附件3  民用爆炸物品生产许可证</w:t>
      </w:r>
    </w:p>
    <w:p>
      <w:pPr>
        <w:rPr>
          <w:b/>
          <w:bCs/>
          <w:sz w:val="28"/>
          <w:szCs w:val="28"/>
        </w:rPr>
      </w:pPr>
      <w:r>
        <w:rPr>
          <w:sz w:val="24"/>
        </w:rPr>
        <w:drawing>
          <wp:inline distT="0" distB="0" distL="114300" distR="114300">
            <wp:extent cx="5268595" cy="3723640"/>
            <wp:effectExtent l="0" t="0" r="8255" b="10160"/>
            <wp:docPr id="14" name="图片 8" descr="2020.2.24山东天宝化工生产许可证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descr="2020.2.24山东天宝化工生产许可证_08"/>
                    <pic:cNvPicPr>
                      <a:picLocks noChangeAspect="1"/>
                    </pic:cNvPicPr>
                  </pic:nvPicPr>
                  <pic:blipFill>
                    <a:blip r:embed="rId40"/>
                    <a:stretch>
                      <a:fillRect/>
                    </a:stretch>
                  </pic:blipFill>
                  <pic:spPr>
                    <a:xfrm>
                      <a:off x="0" y="0"/>
                      <a:ext cx="5268595" cy="3723640"/>
                    </a:xfrm>
                    <a:prstGeom prst="rect">
                      <a:avLst/>
                    </a:prstGeom>
                    <a:noFill/>
                    <a:ln>
                      <a:noFill/>
                    </a:ln>
                  </pic:spPr>
                </pic:pic>
              </a:graphicData>
            </a:graphic>
          </wp:inline>
        </w:drawing>
      </w:r>
    </w:p>
    <w:p>
      <w:pPr>
        <w:pStyle w:val="28"/>
        <w:spacing w:after="0" w:line="240" w:lineRule="auto"/>
        <w:ind w:left="0" w:leftChars="0" w:firstLine="0" w:firstLineChars="0"/>
      </w:pPr>
      <w:r>
        <w:drawing>
          <wp:inline distT="0" distB="0" distL="114300" distR="114300">
            <wp:extent cx="5268595" cy="3723640"/>
            <wp:effectExtent l="0" t="0" r="8255" b="10160"/>
            <wp:docPr id="15" name="图片 9" descr="2020.2.24山东天宝化工生产许可证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descr="2020.2.24山东天宝化工生产许可证_09"/>
                    <pic:cNvPicPr>
                      <a:picLocks noChangeAspect="1"/>
                    </pic:cNvPicPr>
                  </pic:nvPicPr>
                  <pic:blipFill>
                    <a:blip r:embed="rId41"/>
                    <a:stretch>
                      <a:fillRect/>
                    </a:stretch>
                  </pic:blipFill>
                  <pic:spPr>
                    <a:xfrm>
                      <a:off x="0" y="0"/>
                      <a:ext cx="5268595" cy="3723640"/>
                    </a:xfrm>
                    <a:prstGeom prst="rect">
                      <a:avLst/>
                    </a:prstGeom>
                    <a:noFill/>
                    <a:ln>
                      <a:noFill/>
                    </a:ln>
                  </pic:spPr>
                </pic:pic>
              </a:graphicData>
            </a:graphic>
          </wp:inline>
        </w:drawing>
      </w:r>
    </w:p>
    <w:p>
      <w:pPr>
        <w:rPr>
          <w:b/>
          <w:bCs/>
          <w:sz w:val="28"/>
          <w:szCs w:val="28"/>
        </w:rPr>
      </w:pPr>
    </w:p>
    <w:p>
      <w:pPr>
        <w:pStyle w:val="28"/>
        <w:ind w:firstLine="480"/>
        <w:sectPr>
          <w:pgSz w:w="11906" w:h="16838"/>
          <w:pgMar w:top="1701" w:right="1531" w:bottom="1701" w:left="1701" w:header="851" w:footer="851" w:gutter="0"/>
          <w:pgBorders>
            <w:top w:val="none" w:sz="0" w:space="0"/>
            <w:left w:val="none" w:sz="0" w:space="0"/>
            <w:bottom w:val="none" w:sz="0" w:space="0"/>
            <w:right w:val="none" w:sz="0" w:space="0"/>
          </w:pgBorders>
          <w:cols w:space="720" w:num="1"/>
          <w:docGrid w:linePitch="312" w:charSpace="0"/>
        </w:sectPr>
      </w:pPr>
    </w:p>
    <w:p>
      <w:pPr>
        <w:pStyle w:val="28"/>
        <w:spacing w:line="240" w:lineRule="auto"/>
        <w:ind w:left="0" w:leftChars="0" w:firstLine="0" w:firstLineChars="0"/>
        <w:rPr>
          <w:rFonts w:hint="default" w:eastAsia="宋体"/>
          <w:b/>
          <w:bCs/>
          <w:sz w:val="28"/>
          <w:szCs w:val="28"/>
          <w:lang w:val="en-US" w:eastAsia="zh-CN"/>
        </w:rPr>
      </w:pPr>
      <w:r>
        <w:rPr>
          <w:rFonts w:hint="eastAsia"/>
          <w:b/>
          <w:bCs/>
          <w:sz w:val="28"/>
          <w:szCs w:val="28"/>
        </w:rPr>
        <w:t xml:space="preserve">附件4  </w:t>
      </w:r>
      <w:r>
        <w:rPr>
          <w:rFonts w:hint="eastAsia"/>
          <w:b/>
          <w:bCs/>
          <w:sz w:val="28"/>
          <w:szCs w:val="28"/>
          <w:lang w:val="en-US" w:eastAsia="zh-CN"/>
        </w:rPr>
        <w:t>迁建前项目</w:t>
      </w:r>
      <w:r>
        <w:rPr>
          <w:rFonts w:hint="eastAsia"/>
          <w:b/>
          <w:bCs/>
          <w:sz w:val="28"/>
          <w:szCs w:val="28"/>
        </w:rPr>
        <w:t>批复</w:t>
      </w:r>
      <w:r>
        <w:rPr>
          <w:rFonts w:hint="eastAsia"/>
          <w:b/>
          <w:bCs/>
          <w:sz w:val="28"/>
          <w:szCs w:val="28"/>
          <w:lang w:val="en-US" w:eastAsia="zh-CN"/>
        </w:rPr>
        <w:t>及验收意见</w:t>
      </w:r>
    </w:p>
    <w:p>
      <w:pPr>
        <w:rPr>
          <w:rFonts w:hint="eastAsia" w:eastAsia="宋体"/>
          <w:lang w:eastAsia="zh-CN"/>
        </w:rPr>
        <w:sectPr>
          <w:pgSz w:w="11906" w:h="16838"/>
          <w:pgMar w:top="1701" w:right="1531" w:bottom="1701" w:left="170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5359400" cy="7438390"/>
            <wp:effectExtent l="0" t="0" r="12700" b="10160"/>
            <wp:docPr id="8" name="图片 3" descr="bab23a53d00f8beea953949073989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descr="bab23a53d00f8beea9539490739891c"/>
                    <pic:cNvPicPr>
                      <a:picLocks noChangeAspect="1"/>
                    </pic:cNvPicPr>
                  </pic:nvPicPr>
                  <pic:blipFill>
                    <a:blip r:embed="rId42"/>
                    <a:stretch>
                      <a:fillRect/>
                    </a:stretch>
                  </pic:blipFill>
                  <pic:spPr>
                    <a:xfrm>
                      <a:off x="0" y="0"/>
                      <a:ext cx="5359400" cy="7438390"/>
                    </a:xfrm>
                    <a:prstGeom prst="rect">
                      <a:avLst/>
                    </a:prstGeom>
                    <a:noFill/>
                    <a:ln>
                      <a:noFill/>
                    </a:ln>
                  </pic:spPr>
                </pic:pic>
              </a:graphicData>
            </a:graphic>
          </wp:inline>
        </w:drawing>
      </w:r>
      <w:r>
        <w:drawing>
          <wp:inline distT="0" distB="0" distL="114300" distR="114300">
            <wp:extent cx="5883910" cy="8166735"/>
            <wp:effectExtent l="0" t="0" r="2540" b="5715"/>
            <wp:docPr id="23" name="图片 4" descr="3ce33c13bb95901923c49b9a702d9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descr="3ce33c13bb95901923c49b9a702d9c4"/>
                    <pic:cNvPicPr>
                      <a:picLocks noChangeAspect="1"/>
                    </pic:cNvPicPr>
                  </pic:nvPicPr>
                  <pic:blipFill>
                    <a:blip r:embed="rId43"/>
                    <a:stretch>
                      <a:fillRect/>
                    </a:stretch>
                  </pic:blipFill>
                  <pic:spPr>
                    <a:xfrm>
                      <a:off x="0" y="0"/>
                      <a:ext cx="5883910" cy="8166735"/>
                    </a:xfrm>
                    <a:prstGeom prst="rect">
                      <a:avLst/>
                    </a:prstGeom>
                    <a:noFill/>
                    <a:ln>
                      <a:noFill/>
                    </a:ln>
                  </pic:spPr>
                </pic:pic>
              </a:graphicData>
            </a:graphic>
          </wp:inline>
        </w:drawing>
      </w:r>
      <w:r>
        <w:drawing>
          <wp:inline distT="0" distB="0" distL="114300" distR="114300">
            <wp:extent cx="5560060" cy="7716520"/>
            <wp:effectExtent l="0" t="0" r="2540" b="17780"/>
            <wp:docPr id="24" name="图片 5" descr="399917cff09c4e142f47c173163c6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descr="399917cff09c4e142f47c173163c60b"/>
                    <pic:cNvPicPr>
                      <a:picLocks noChangeAspect="1"/>
                    </pic:cNvPicPr>
                  </pic:nvPicPr>
                  <pic:blipFill>
                    <a:blip r:embed="rId44"/>
                    <a:stretch>
                      <a:fillRect/>
                    </a:stretch>
                  </pic:blipFill>
                  <pic:spPr>
                    <a:xfrm>
                      <a:off x="0" y="0"/>
                      <a:ext cx="5560060" cy="7716520"/>
                    </a:xfrm>
                    <a:prstGeom prst="rect">
                      <a:avLst/>
                    </a:prstGeom>
                    <a:noFill/>
                    <a:ln>
                      <a:noFill/>
                    </a:ln>
                  </pic:spPr>
                </pic:pic>
              </a:graphicData>
            </a:graphic>
          </wp:inline>
        </w:drawing>
      </w:r>
      <w:r>
        <w:drawing>
          <wp:inline distT="0" distB="0" distL="114300" distR="114300">
            <wp:extent cx="5733415" cy="7957820"/>
            <wp:effectExtent l="0" t="0" r="635" b="5080"/>
            <wp:docPr id="25" name="图片 6" descr="78ff929a92ddbc52e5a8de8b1b3c2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descr="78ff929a92ddbc52e5a8de8b1b3c2a5"/>
                    <pic:cNvPicPr>
                      <a:picLocks noChangeAspect="1"/>
                    </pic:cNvPicPr>
                  </pic:nvPicPr>
                  <pic:blipFill>
                    <a:blip r:embed="rId45"/>
                    <a:stretch>
                      <a:fillRect/>
                    </a:stretch>
                  </pic:blipFill>
                  <pic:spPr>
                    <a:xfrm>
                      <a:off x="0" y="0"/>
                      <a:ext cx="5733415" cy="7957820"/>
                    </a:xfrm>
                    <a:prstGeom prst="rect">
                      <a:avLst/>
                    </a:prstGeom>
                    <a:noFill/>
                    <a:ln>
                      <a:noFill/>
                    </a:ln>
                  </pic:spPr>
                </pic:pic>
              </a:graphicData>
            </a:graphic>
          </wp:inline>
        </w:drawing>
      </w:r>
      <w:r>
        <w:drawing>
          <wp:inline distT="0" distB="0" distL="114300" distR="114300">
            <wp:extent cx="5759450" cy="8242935"/>
            <wp:effectExtent l="0" t="0" r="12700" b="5715"/>
            <wp:docPr id="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pic:cNvPicPr>
                      <a:picLocks noChangeAspect="1"/>
                    </pic:cNvPicPr>
                  </pic:nvPicPr>
                  <pic:blipFill>
                    <a:blip r:embed="rId46"/>
                    <a:stretch>
                      <a:fillRect/>
                    </a:stretch>
                  </pic:blipFill>
                  <pic:spPr>
                    <a:xfrm>
                      <a:off x="0" y="0"/>
                      <a:ext cx="5759450" cy="8242935"/>
                    </a:xfrm>
                    <a:prstGeom prst="rect">
                      <a:avLst/>
                    </a:prstGeom>
                    <a:noFill/>
                    <a:ln>
                      <a:noFill/>
                    </a:ln>
                  </pic:spPr>
                </pic:pic>
              </a:graphicData>
            </a:graphic>
          </wp:inline>
        </w:drawing>
      </w:r>
      <w:r>
        <w:drawing>
          <wp:inline distT="0" distB="0" distL="114300" distR="114300">
            <wp:extent cx="5758180" cy="8244205"/>
            <wp:effectExtent l="0" t="0" r="13970" b="4445"/>
            <wp:docPr id="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
                    <pic:cNvPicPr>
                      <a:picLocks noChangeAspect="1"/>
                    </pic:cNvPicPr>
                  </pic:nvPicPr>
                  <pic:blipFill>
                    <a:blip r:embed="rId47"/>
                    <a:stretch>
                      <a:fillRect/>
                    </a:stretch>
                  </pic:blipFill>
                  <pic:spPr>
                    <a:xfrm>
                      <a:off x="0" y="0"/>
                      <a:ext cx="5758180" cy="8244205"/>
                    </a:xfrm>
                    <a:prstGeom prst="rect">
                      <a:avLst/>
                    </a:prstGeom>
                    <a:noFill/>
                    <a:ln>
                      <a:noFill/>
                    </a:ln>
                  </pic:spPr>
                </pic:pic>
              </a:graphicData>
            </a:graphic>
          </wp:inline>
        </w:drawing>
      </w:r>
      <w:r>
        <w:drawing>
          <wp:inline distT="0" distB="0" distL="114300" distR="114300">
            <wp:extent cx="5758180" cy="8244205"/>
            <wp:effectExtent l="0" t="0" r="13970" b="4445"/>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48"/>
                    <a:stretch>
                      <a:fillRect/>
                    </a:stretch>
                  </pic:blipFill>
                  <pic:spPr>
                    <a:xfrm>
                      <a:off x="0" y="0"/>
                      <a:ext cx="5758180" cy="8244205"/>
                    </a:xfrm>
                    <a:prstGeom prst="rect">
                      <a:avLst/>
                    </a:prstGeom>
                    <a:noFill/>
                    <a:ln>
                      <a:noFill/>
                    </a:ln>
                  </pic:spPr>
                </pic:pic>
              </a:graphicData>
            </a:graphic>
          </wp:inline>
        </w:drawing>
      </w:r>
      <w:r>
        <w:drawing>
          <wp:inline distT="0" distB="0" distL="114300" distR="114300">
            <wp:extent cx="5758180" cy="8244205"/>
            <wp:effectExtent l="0" t="0" r="13970" b="4445"/>
            <wp:docPr id="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
                    <pic:cNvPicPr>
                      <a:picLocks noChangeAspect="1"/>
                    </pic:cNvPicPr>
                  </pic:nvPicPr>
                  <pic:blipFill>
                    <a:blip r:embed="rId49"/>
                    <a:stretch>
                      <a:fillRect/>
                    </a:stretch>
                  </pic:blipFill>
                  <pic:spPr>
                    <a:xfrm>
                      <a:off x="0" y="0"/>
                      <a:ext cx="5758180" cy="8244205"/>
                    </a:xfrm>
                    <a:prstGeom prst="rect">
                      <a:avLst/>
                    </a:prstGeom>
                    <a:noFill/>
                    <a:ln>
                      <a:noFill/>
                    </a:ln>
                  </pic:spPr>
                </pic:pic>
              </a:graphicData>
            </a:graphic>
          </wp:inline>
        </w:drawing>
      </w:r>
      <w:r>
        <w:drawing>
          <wp:inline distT="0" distB="0" distL="114300" distR="114300">
            <wp:extent cx="5504815" cy="7847965"/>
            <wp:effectExtent l="0" t="0" r="635" b="635"/>
            <wp:docPr id="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9"/>
                    <pic:cNvPicPr>
                      <a:picLocks noChangeAspect="1"/>
                    </pic:cNvPicPr>
                  </pic:nvPicPr>
                  <pic:blipFill>
                    <a:blip r:embed="rId50"/>
                    <a:stretch>
                      <a:fillRect/>
                    </a:stretch>
                  </pic:blipFill>
                  <pic:spPr>
                    <a:xfrm>
                      <a:off x="0" y="0"/>
                      <a:ext cx="5504815" cy="7847965"/>
                    </a:xfrm>
                    <a:prstGeom prst="rect">
                      <a:avLst/>
                    </a:prstGeom>
                    <a:noFill/>
                    <a:ln>
                      <a:noFill/>
                    </a:ln>
                  </pic:spPr>
                </pic:pic>
              </a:graphicData>
            </a:graphic>
          </wp:inline>
        </w:drawing>
      </w:r>
      <w:r>
        <w:drawing>
          <wp:inline distT="0" distB="0" distL="114300" distR="114300">
            <wp:extent cx="5504815" cy="7726680"/>
            <wp:effectExtent l="0" t="0" r="635" b="7620"/>
            <wp:docPr id="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
                    <pic:cNvPicPr>
                      <a:picLocks noChangeAspect="1"/>
                    </pic:cNvPicPr>
                  </pic:nvPicPr>
                  <pic:blipFill>
                    <a:blip r:embed="rId51"/>
                    <a:stretch>
                      <a:fillRect/>
                    </a:stretch>
                  </pic:blipFill>
                  <pic:spPr>
                    <a:xfrm>
                      <a:off x="0" y="0"/>
                      <a:ext cx="5504815" cy="7726680"/>
                    </a:xfrm>
                    <a:prstGeom prst="rect">
                      <a:avLst/>
                    </a:prstGeom>
                    <a:noFill/>
                    <a:ln>
                      <a:noFill/>
                    </a:ln>
                  </pic:spPr>
                </pic:pic>
              </a:graphicData>
            </a:graphic>
          </wp:inline>
        </w:drawing>
      </w:r>
      <w:r>
        <w:drawing>
          <wp:inline distT="0" distB="0" distL="114300" distR="114300">
            <wp:extent cx="5502275" cy="7559675"/>
            <wp:effectExtent l="0" t="0" r="3175" b="3175"/>
            <wp:docPr id="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1"/>
                    <pic:cNvPicPr>
                      <a:picLocks noChangeAspect="1"/>
                    </pic:cNvPicPr>
                  </pic:nvPicPr>
                  <pic:blipFill>
                    <a:blip r:embed="rId52"/>
                    <a:stretch>
                      <a:fillRect/>
                    </a:stretch>
                  </pic:blipFill>
                  <pic:spPr>
                    <a:xfrm>
                      <a:off x="0" y="0"/>
                      <a:ext cx="5502275" cy="7559675"/>
                    </a:xfrm>
                    <a:prstGeom prst="rect">
                      <a:avLst/>
                    </a:prstGeom>
                    <a:noFill/>
                    <a:ln>
                      <a:noFill/>
                    </a:ln>
                  </pic:spPr>
                </pic:pic>
              </a:graphicData>
            </a:graphic>
          </wp:inline>
        </w:drawing>
      </w:r>
      <w:r>
        <w:drawing>
          <wp:inline distT="0" distB="0" distL="114300" distR="114300">
            <wp:extent cx="5507355" cy="6856730"/>
            <wp:effectExtent l="0" t="0" r="17145" b="1270"/>
            <wp:docPr id="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2"/>
                    <pic:cNvPicPr>
                      <a:picLocks noChangeAspect="1"/>
                    </pic:cNvPicPr>
                  </pic:nvPicPr>
                  <pic:blipFill>
                    <a:blip r:embed="rId53"/>
                    <a:stretch>
                      <a:fillRect/>
                    </a:stretch>
                  </pic:blipFill>
                  <pic:spPr>
                    <a:xfrm>
                      <a:off x="0" y="0"/>
                      <a:ext cx="5507355" cy="6856730"/>
                    </a:xfrm>
                    <a:prstGeom prst="rect">
                      <a:avLst/>
                    </a:prstGeom>
                    <a:noFill/>
                    <a:ln>
                      <a:noFill/>
                    </a:ln>
                  </pic:spPr>
                </pic:pic>
              </a:graphicData>
            </a:graphic>
          </wp:inline>
        </w:drawing>
      </w:r>
      <w:r>
        <w:drawing>
          <wp:inline distT="0" distB="0" distL="114300" distR="114300">
            <wp:extent cx="5502275" cy="7408545"/>
            <wp:effectExtent l="0" t="0" r="3175" b="1905"/>
            <wp:docPr id="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3"/>
                    <pic:cNvPicPr>
                      <a:picLocks noChangeAspect="1"/>
                    </pic:cNvPicPr>
                  </pic:nvPicPr>
                  <pic:blipFill>
                    <a:blip r:embed="rId54"/>
                    <a:stretch>
                      <a:fillRect/>
                    </a:stretch>
                  </pic:blipFill>
                  <pic:spPr>
                    <a:xfrm>
                      <a:off x="0" y="0"/>
                      <a:ext cx="5502275" cy="7408545"/>
                    </a:xfrm>
                    <a:prstGeom prst="rect">
                      <a:avLst/>
                    </a:prstGeom>
                    <a:noFill/>
                    <a:ln>
                      <a:noFill/>
                    </a:ln>
                  </pic:spPr>
                </pic:pic>
              </a:graphicData>
            </a:graphic>
          </wp:inline>
        </w:drawing>
      </w:r>
      <w:r>
        <w:drawing>
          <wp:inline distT="0" distB="0" distL="114300" distR="114300">
            <wp:extent cx="5504815" cy="7042785"/>
            <wp:effectExtent l="0" t="0" r="635" b="5715"/>
            <wp:docPr id="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4"/>
                    <pic:cNvPicPr>
                      <a:picLocks noChangeAspect="1"/>
                    </pic:cNvPicPr>
                  </pic:nvPicPr>
                  <pic:blipFill>
                    <a:blip r:embed="rId55"/>
                    <a:stretch>
                      <a:fillRect/>
                    </a:stretch>
                  </pic:blipFill>
                  <pic:spPr>
                    <a:xfrm>
                      <a:off x="0" y="0"/>
                      <a:ext cx="5504815" cy="7042785"/>
                    </a:xfrm>
                    <a:prstGeom prst="rect">
                      <a:avLst/>
                    </a:prstGeom>
                    <a:noFill/>
                    <a:ln>
                      <a:noFill/>
                    </a:ln>
                  </pic:spPr>
                </pic:pic>
              </a:graphicData>
            </a:graphic>
          </wp:inline>
        </w:drawing>
      </w:r>
      <w:r>
        <w:rPr>
          <w:rFonts w:hint="eastAsia" w:eastAsia="宋体"/>
          <w:lang w:eastAsia="zh-CN"/>
        </w:rPr>
        <w:drawing>
          <wp:inline distT="0" distB="0" distL="114300" distR="114300">
            <wp:extent cx="5501640" cy="7783195"/>
            <wp:effectExtent l="0" t="0" r="3810" b="8255"/>
            <wp:docPr id="39" name="图片 39" descr="微信图片_2022033018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微信图片_20220330180535"/>
                    <pic:cNvPicPr>
                      <a:picLocks noChangeAspect="1"/>
                    </pic:cNvPicPr>
                  </pic:nvPicPr>
                  <pic:blipFill>
                    <a:blip r:embed="rId56"/>
                    <a:stretch>
                      <a:fillRect/>
                    </a:stretch>
                  </pic:blipFill>
                  <pic:spPr>
                    <a:xfrm>
                      <a:off x="0" y="0"/>
                      <a:ext cx="5501640" cy="7783195"/>
                    </a:xfrm>
                    <a:prstGeom prst="rect">
                      <a:avLst/>
                    </a:prstGeom>
                  </pic:spPr>
                </pic:pic>
              </a:graphicData>
            </a:graphic>
          </wp:inline>
        </w:drawing>
      </w:r>
    </w:p>
    <w:p>
      <w:pPr>
        <w:pStyle w:val="28"/>
        <w:spacing w:line="240" w:lineRule="auto"/>
        <w:ind w:left="0" w:leftChars="0" w:firstLine="0" w:firstLineChars="0"/>
        <w:rPr>
          <w:rFonts w:hint="eastAsia"/>
          <w:b/>
          <w:bCs/>
          <w:sz w:val="28"/>
          <w:szCs w:val="28"/>
          <w:lang w:val="en-US" w:eastAsia="zh-CN"/>
        </w:rPr>
      </w:pPr>
      <w:r>
        <w:rPr>
          <w:rFonts w:hint="eastAsia"/>
          <w:b/>
          <w:bCs/>
          <w:sz w:val="28"/>
          <w:szCs w:val="28"/>
          <w:lang w:val="en-US" w:eastAsia="zh-CN"/>
        </w:rPr>
        <w:t>附件5  项目检测报告</w:t>
      </w:r>
    </w:p>
    <w:p>
      <w:pPr>
        <w:rPr>
          <w:rFonts w:hint="eastAsia"/>
          <w:b/>
          <w:bCs/>
          <w:sz w:val="28"/>
          <w:szCs w:val="28"/>
          <w:lang w:val="en-US" w:eastAsia="zh-CN"/>
        </w:rPr>
      </w:pPr>
    </w:p>
    <w:p>
      <w:pPr>
        <w:pStyle w:val="2"/>
        <w:sectPr>
          <w:pgSz w:w="11906" w:h="16838"/>
          <w:pgMar w:top="1701" w:right="1531" w:bottom="1701" w:left="170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5506720" cy="7797800"/>
            <wp:effectExtent l="0" t="0" r="17780" b="12700"/>
            <wp:docPr id="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
                    <pic:cNvPicPr>
                      <a:picLocks noChangeAspect="1"/>
                    </pic:cNvPicPr>
                  </pic:nvPicPr>
                  <pic:blipFill>
                    <a:blip r:embed="rId57"/>
                    <a:stretch>
                      <a:fillRect/>
                    </a:stretch>
                  </pic:blipFill>
                  <pic:spPr>
                    <a:xfrm>
                      <a:off x="0" y="0"/>
                      <a:ext cx="5506720" cy="7797800"/>
                    </a:xfrm>
                    <a:prstGeom prst="rect">
                      <a:avLst/>
                    </a:prstGeom>
                    <a:noFill/>
                    <a:ln>
                      <a:noFill/>
                    </a:ln>
                  </pic:spPr>
                </pic:pic>
              </a:graphicData>
            </a:graphic>
          </wp:inline>
        </w:drawing>
      </w:r>
      <w:r>
        <w:drawing>
          <wp:inline distT="0" distB="0" distL="114300" distR="114300">
            <wp:extent cx="5506720" cy="7798435"/>
            <wp:effectExtent l="0" t="0" r="17780" b="12065"/>
            <wp:docPr id="4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
                    <pic:cNvPicPr>
                      <a:picLocks noChangeAspect="1"/>
                    </pic:cNvPicPr>
                  </pic:nvPicPr>
                  <pic:blipFill>
                    <a:blip r:embed="rId58"/>
                    <a:stretch>
                      <a:fillRect/>
                    </a:stretch>
                  </pic:blipFill>
                  <pic:spPr>
                    <a:xfrm>
                      <a:off x="0" y="0"/>
                      <a:ext cx="5506720" cy="7798435"/>
                    </a:xfrm>
                    <a:prstGeom prst="rect">
                      <a:avLst/>
                    </a:prstGeom>
                    <a:noFill/>
                    <a:ln>
                      <a:noFill/>
                    </a:ln>
                  </pic:spPr>
                </pic:pic>
              </a:graphicData>
            </a:graphic>
          </wp:inline>
        </w:drawing>
      </w:r>
      <w:r>
        <w:drawing>
          <wp:inline distT="0" distB="0" distL="114300" distR="114300">
            <wp:extent cx="5507355" cy="7903210"/>
            <wp:effectExtent l="0" t="0" r="17145" b="2540"/>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pic:cNvPicPr>
                  </pic:nvPicPr>
                  <pic:blipFill>
                    <a:blip r:embed="rId59"/>
                    <a:stretch>
                      <a:fillRect/>
                    </a:stretch>
                  </pic:blipFill>
                  <pic:spPr>
                    <a:xfrm>
                      <a:off x="0" y="0"/>
                      <a:ext cx="5507355" cy="7903210"/>
                    </a:xfrm>
                    <a:prstGeom prst="rect">
                      <a:avLst/>
                    </a:prstGeom>
                    <a:noFill/>
                    <a:ln>
                      <a:noFill/>
                    </a:ln>
                  </pic:spPr>
                </pic:pic>
              </a:graphicData>
            </a:graphic>
          </wp:inline>
        </w:drawing>
      </w:r>
      <w:r>
        <w:drawing>
          <wp:inline distT="0" distB="0" distL="114300" distR="114300">
            <wp:extent cx="5503545" cy="7933055"/>
            <wp:effectExtent l="0" t="0" r="1905" b="10795"/>
            <wp:docPr id="4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1"/>
                    <pic:cNvPicPr>
                      <a:picLocks noChangeAspect="1"/>
                    </pic:cNvPicPr>
                  </pic:nvPicPr>
                  <pic:blipFill>
                    <a:blip r:embed="rId60"/>
                    <a:stretch>
                      <a:fillRect/>
                    </a:stretch>
                  </pic:blipFill>
                  <pic:spPr>
                    <a:xfrm>
                      <a:off x="0" y="0"/>
                      <a:ext cx="5503545" cy="7933055"/>
                    </a:xfrm>
                    <a:prstGeom prst="rect">
                      <a:avLst/>
                    </a:prstGeom>
                    <a:noFill/>
                    <a:ln>
                      <a:noFill/>
                    </a:ln>
                  </pic:spPr>
                </pic:pic>
              </a:graphicData>
            </a:graphic>
          </wp:inline>
        </w:drawing>
      </w:r>
      <w:r>
        <w:drawing>
          <wp:inline distT="0" distB="0" distL="114300" distR="114300">
            <wp:extent cx="5505450" cy="7658735"/>
            <wp:effectExtent l="0" t="0" r="0" b="18415"/>
            <wp:docPr id="4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2"/>
                    <pic:cNvPicPr>
                      <a:picLocks noChangeAspect="1"/>
                    </pic:cNvPicPr>
                  </pic:nvPicPr>
                  <pic:blipFill>
                    <a:blip r:embed="rId61"/>
                    <a:stretch>
                      <a:fillRect/>
                    </a:stretch>
                  </pic:blipFill>
                  <pic:spPr>
                    <a:xfrm>
                      <a:off x="0" y="0"/>
                      <a:ext cx="5505450" cy="7658735"/>
                    </a:xfrm>
                    <a:prstGeom prst="rect">
                      <a:avLst/>
                    </a:prstGeom>
                    <a:noFill/>
                    <a:ln>
                      <a:noFill/>
                    </a:ln>
                  </pic:spPr>
                </pic:pic>
              </a:graphicData>
            </a:graphic>
          </wp:inline>
        </w:drawing>
      </w:r>
      <w:r>
        <w:drawing>
          <wp:inline distT="0" distB="0" distL="114300" distR="114300">
            <wp:extent cx="5506720" cy="7854950"/>
            <wp:effectExtent l="0" t="0" r="17780" b="12700"/>
            <wp:docPr id="4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3"/>
                    <pic:cNvPicPr>
                      <a:picLocks noChangeAspect="1"/>
                    </pic:cNvPicPr>
                  </pic:nvPicPr>
                  <pic:blipFill>
                    <a:blip r:embed="rId62"/>
                    <a:stretch>
                      <a:fillRect/>
                    </a:stretch>
                  </pic:blipFill>
                  <pic:spPr>
                    <a:xfrm>
                      <a:off x="0" y="0"/>
                      <a:ext cx="5506720" cy="7854950"/>
                    </a:xfrm>
                    <a:prstGeom prst="rect">
                      <a:avLst/>
                    </a:prstGeom>
                    <a:noFill/>
                    <a:ln>
                      <a:noFill/>
                    </a:ln>
                  </pic:spPr>
                </pic:pic>
              </a:graphicData>
            </a:graphic>
          </wp:inline>
        </w:drawing>
      </w:r>
    </w:p>
    <w:p>
      <w:pPr>
        <w:pStyle w:val="4"/>
        <w:keepNext w:val="0"/>
        <w:keepLines w:val="0"/>
        <w:pageBreakBefore w:val="0"/>
        <w:widowControl w:val="0"/>
        <w:kinsoku/>
        <w:wordWrap/>
        <w:overflowPunct/>
        <w:topLinePunct w:val="0"/>
        <w:autoSpaceDE/>
        <w:autoSpaceDN/>
        <w:bidi w:val="0"/>
        <w:adjustRightInd/>
        <w:snapToGrid/>
        <w:ind w:left="0" w:firstLine="0" w:firstLineChars="0"/>
        <w:textAlignment w:val="auto"/>
        <w:rPr>
          <w:rFonts w:hint="eastAsia" w:cs="Times New Roman"/>
          <w:b/>
          <w:bCs/>
          <w:sz w:val="28"/>
          <w:szCs w:val="28"/>
          <w:lang w:val="en-US" w:eastAsia="zh-CN"/>
        </w:rPr>
      </w:pPr>
      <w:r>
        <w:rPr>
          <w:rFonts w:hint="eastAsia"/>
          <w:b/>
          <w:bCs/>
          <w:sz w:val="28"/>
          <w:szCs w:val="28"/>
          <w:lang w:val="en-US" w:eastAsia="zh-CN"/>
        </w:rPr>
        <w:t xml:space="preserve">附件6  </w:t>
      </w:r>
      <w:r>
        <w:rPr>
          <w:rFonts w:hint="eastAsia" w:cs="Times New Roman"/>
          <w:b/>
          <w:bCs/>
          <w:sz w:val="28"/>
          <w:szCs w:val="28"/>
          <w:lang w:val="en-US" w:eastAsia="zh-CN"/>
        </w:rPr>
        <w:t>关于新疆天宝混装炸药制造有限公司吉木萨尔县生产点现场混装地面站搬迁的批复</w:t>
      </w:r>
    </w:p>
    <w:p>
      <w:pPr>
        <w:pStyle w:val="2"/>
        <w:sectPr>
          <w:pgSz w:w="11906" w:h="16838"/>
          <w:pgMar w:top="1701" w:right="1531" w:bottom="1701" w:left="170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5504815" cy="7726680"/>
            <wp:effectExtent l="0" t="0" r="635" b="7620"/>
            <wp:docPr id="4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8"/>
                    <pic:cNvPicPr>
                      <a:picLocks noChangeAspect="1"/>
                    </pic:cNvPicPr>
                  </pic:nvPicPr>
                  <pic:blipFill>
                    <a:blip r:embed="rId63"/>
                    <a:stretch>
                      <a:fillRect/>
                    </a:stretch>
                  </pic:blipFill>
                  <pic:spPr>
                    <a:xfrm>
                      <a:off x="0" y="0"/>
                      <a:ext cx="5504815" cy="7726680"/>
                    </a:xfrm>
                    <a:prstGeom prst="rect">
                      <a:avLst/>
                    </a:prstGeom>
                    <a:noFill/>
                    <a:ln>
                      <a:noFill/>
                    </a:ln>
                  </pic:spPr>
                </pic:pic>
              </a:graphicData>
            </a:graphic>
          </wp:inline>
        </w:drawing>
      </w:r>
      <w:r>
        <w:drawing>
          <wp:inline distT="0" distB="0" distL="114300" distR="114300">
            <wp:extent cx="5504815" cy="7664450"/>
            <wp:effectExtent l="0" t="0" r="635" b="12700"/>
            <wp:docPr id="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
                    <pic:cNvPicPr>
                      <a:picLocks noChangeAspect="1"/>
                    </pic:cNvPicPr>
                  </pic:nvPicPr>
                  <pic:blipFill>
                    <a:blip r:embed="rId64"/>
                    <a:stretch>
                      <a:fillRect/>
                    </a:stretch>
                  </pic:blipFill>
                  <pic:spPr>
                    <a:xfrm>
                      <a:off x="0" y="0"/>
                      <a:ext cx="5504815" cy="7664450"/>
                    </a:xfrm>
                    <a:prstGeom prst="rect">
                      <a:avLst/>
                    </a:prstGeom>
                    <a:noFill/>
                    <a:ln>
                      <a:noFill/>
                    </a:ln>
                  </pic:spPr>
                </pic:pic>
              </a:graphicData>
            </a:graphic>
          </wp:inline>
        </w:drawing>
      </w:r>
    </w:p>
    <w:p>
      <w:pPr>
        <w:pStyle w:val="4"/>
        <w:rPr>
          <w:rFonts w:hint="eastAsia"/>
          <w:b/>
          <w:bCs/>
          <w:sz w:val="28"/>
          <w:szCs w:val="36"/>
          <w:lang w:val="en-US" w:eastAsia="zh-CN"/>
        </w:rPr>
      </w:pPr>
      <w:r>
        <w:rPr>
          <w:rFonts w:hint="eastAsia"/>
          <w:b/>
          <w:bCs/>
          <w:sz w:val="28"/>
          <w:szCs w:val="36"/>
          <w:lang w:val="en-US" w:eastAsia="zh-CN"/>
        </w:rPr>
        <w:t>附件7  土地使用权出让合同</w:t>
      </w:r>
    </w:p>
    <w:p>
      <w:pPr>
        <w:pStyle w:val="2"/>
        <w:sectPr>
          <w:pgSz w:w="11906" w:h="16838"/>
          <w:pgMar w:top="1701" w:right="1531" w:bottom="1701" w:left="170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5504815" cy="7720330"/>
            <wp:effectExtent l="0" t="0" r="635" b="13970"/>
            <wp:docPr id="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
                    <pic:cNvPicPr>
                      <a:picLocks noChangeAspect="1"/>
                    </pic:cNvPicPr>
                  </pic:nvPicPr>
                  <pic:blipFill>
                    <a:blip r:embed="rId65"/>
                    <a:stretch>
                      <a:fillRect/>
                    </a:stretch>
                  </pic:blipFill>
                  <pic:spPr>
                    <a:xfrm>
                      <a:off x="0" y="0"/>
                      <a:ext cx="5504815" cy="7720330"/>
                    </a:xfrm>
                    <a:prstGeom prst="rect">
                      <a:avLst/>
                    </a:prstGeom>
                    <a:noFill/>
                    <a:ln>
                      <a:noFill/>
                    </a:ln>
                  </pic:spPr>
                </pic:pic>
              </a:graphicData>
            </a:graphic>
          </wp:inline>
        </w:drawing>
      </w:r>
      <w:r>
        <w:drawing>
          <wp:inline distT="0" distB="0" distL="114300" distR="114300">
            <wp:extent cx="5503545" cy="7455535"/>
            <wp:effectExtent l="0" t="0" r="1905" b="12065"/>
            <wp:docPr id="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1"/>
                    <pic:cNvPicPr>
                      <a:picLocks noChangeAspect="1"/>
                    </pic:cNvPicPr>
                  </pic:nvPicPr>
                  <pic:blipFill>
                    <a:blip r:embed="rId66"/>
                    <a:stretch>
                      <a:fillRect/>
                    </a:stretch>
                  </pic:blipFill>
                  <pic:spPr>
                    <a:xfrm>
                      <a:off x="0" y="0"/>
                      <a:ext cx="5503545" cy="7455535"/>
                    </a:xfrm>
                    <a:prstGeom prst="rect">
                      <a:avLst/>
                    </a:prstGeom>
                    <a:noFill/>
                    <a:ln>
                      <a:noFill/>
                    </a:ln>
                  </pic:spPr>
                </pic:pic>
              </a:graphicData>
            </a:graphic>
          </wp:inline>
        </w:drawing>
      </w:r>
      <w:r>
        <w:drawing>
          <wp:inline distT="0" distB="0" distL="114300" distR="114300">
            <wp:extent cx="5502910" cy="7863205"/>
            <wp:effectExtent l="0" t="0" r="2540" b="4445"/>
            <wp:docPr id="5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2"/>
                    <pic:cNvPicPr>
                      <a:picLocks noChangeAspect="1"/>
                    </pic:cNvPicPr>
                  </pic:nvPicPr>
                  <pic:blipFill>
                    <a:blip r:embed="rId67"/>
                    <a:stretch>
                      <a:fillRect/>
                    </a:stretch>
                  </pic:blipFill>
                  <pic:spPr>
                    <a:xfrm>
                      <a:off x="0" y="0"/>
                      <a:ext cx="5502910" cy="7863205"/>
                    </a:xfrm>
                    <a:prstGeom prst="rect">
                      <a:avLst/>
                    </a:prstGeom>
                    <a:noFill/>
                    <a:ln>
                      <a:noFill/>
                    </a:ln>
                  </pic:spPr>
                </pic:pic>
              </a:graphicData>
            </a:graphic>
          </wp:inline>
        </w:drawing>
      </w:r>
      <w:r>
        <w:drawing>
          <wp:inline distT="0" distB="0" distL="114300" distR="114300">
            <wp:extent cx="5502910" cy="7787640"/>
            <wp:effectExtent l="0" t="0" r="2540" b="3810"/>
            <wp:docPr id="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3"/>
                    <pic:cNvPicPr>
                      <a:picLocks noChangeAspect="1"/>
                    </pic:cNvPicPr>
                  </pic:nvPicPr>
                  <pic:blipFill>
                    <a:blip r:embed="rId68"/>
                    <a:stretch>
                      <a:fillRect/>
                    </a:stretch>
                  </pic:blipFill>
                  <pic:spPr>
                    <a:xfrm>
                      <a:off x="0" y="0"/>
                      <a:ext cx="5502910" cy="7787640"/>
                    </a:xfrm>
                    <a:prstGeom prst="rect">
                      <a:avLst/>
                    </a:prstGeom>
                    <a:noFill/>
                    <a:ln>
                      <a:noFill/>
                    </a:ln>
                  </pic:spPr>
                </pic:pic>
              </a:graphicData>
            </a:graphic>
          </wp:inline>
        </w:drawing>
      </w:r>
      <w:r>
        <w:drawing>
          <wp:inline distT="0" distB="0" distL="114300" distR="114300">
            <wp:extent cx="5506720" cy="7585710"/>
            <wp:effectExtent l="0" t="0" r="17780" b="15240"/>
            <wp:docPr id="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4"/>
                    <pic:cNvPicPr>
                      <a:picLocks noChangeAspect="1"/>
                    </pic:cNvPicPr>
                  </pic:nvPicPr>
                  <pic:blipFill>
                    <a:blip r:embed="rId69"/>
                    <a:stretch>
                      <a:fillRect/>
                    </a:stretch>
                  </pic:blipFill>
                  <pic:spPr>
                    <a:xfrm>
                      <a:off x="0" y="0"/>
                      <a:ext cx="5506720" cy="7585710"/>
                    </a:xfrm>
                    <a:prstGeom prst="rect">
                      <a:avLst/>
                    </a:prstGeom>
                    <a:noFill/>
                    <a:ln>
                      <a:noFill/>
                    </a:ln>
                  </pic:spPr>
                </pic:pic>
              </a:graphicData>
            </a:graphic>
          </wp:inline>
        </w:drawing>
      </w:r>
      <w:r>
        <w:drawing>
          <wp:inline distT="0" distB="0" distL="114300" distR="114300">
            <wp:extent cx="5505450" cy="7647940"/>
            <wp:effectExtent l="0" t="0" r="0" b="10160"/>
            <wp:docPr id="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5"/>
                    <pic:cNvPicPr>
                      <a:picLocks noChangeAspect="1"/>
                    </pic:cNvPicPr>
                  </pic:nvPicPr>
                  <pic:blipFill>
                    <a:blip r:embed="rId70"/>
                    <a:stretch>
                      <a:fillRect/>
                    </a:stretch>
                  </pic:blipFill>
                  <pic:spPr>
                    <a:xfrm>
                      <a:off x="0" y="0"/>
                      <a:ext cx="5505450" cy="7647940"/>
                    </a:xfrm>
                    <a:prstGeom prst="rect">
                      <a:avLst/>
                    </a:prstGeom>
                    <a:noFill/>
                    <a:ln>
                      <a:noFill/>
                    </a:ln>
                  </pic:spPr>
                </pic:pic>
              </a:graphicData>
            </a:graphic>
          </wp:inline>
        </w:drawing>
      </w:r>
      <w:r>
        <w:drawing>
          <wp:inline distT="0" distB="0" distL="114300" distR="114300">
            <wp:extent cx="5506085" cy="7534275"/>
            <wp:effectExtent l="0" t="0" r="18415" b="9525"/>
            <wp:docPr id="5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6"/>
                    <pic:cNvPicPr>
                      <a:picLocks noChangeAspect="1"/>
                    </pic:cNvPicPr>
                  </pic:nvPicPr>
                  <pic:blipFill>
                    <a:blip r:embed="rId71"/>
                    <a:stretch>
                      <a:fillRect/>
                    </a:stretch>
                  </pic:blipFill>
                  <pic:spPr>
                    <a:xfrm>
                      <a:off x="0" y="0"/>
                      <a:ext cx="5506085" cy="7534275"/>
                    </a:xfrm>
                    <a:prstGeom prst="rect">
                      <a:avLst/>
                    </a:prstGeom>
                    <a:noFill/>
                    <a:ln>
                      <a:noFill/>
                    </a:ln>
                  </pic:spPr>
                </pic:pic>
              </a:graphicData>
            </a:graphic>
          </wp:inline>
        </w:drawing>
      </w:r>
      <w:r>
        <w:drawing>
          <wp:inline distT="0" distB="0" distL="114300" distR="114300">
            <wp:extent cx="5502910" cy="7722870"/>
            <wp:effectExtent l="0" t="0" r="2540" b="11430"/>
            <wp:docPr id="5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7"/>
                    <pic:cNvPicPr>
                      <a:picLocks noChangeAspect="1"/>
                    </pic:cNvPicPr>
                  </pic:nvPicPr>
                  <pic:blipFill>
                    <a:blip r:embed="rId72"/>
                    <a:stretch>
                      <a:fillRect/>
                    </a:stretch>
                  </pic:blipFill>
                  <pic:spPr>
                    <a:xfrm>
                      <a:off x="0" y="0"/>
                      <a:ext cx="5502910" cy="7722870"/>
                    </a:xfrm>
                    <a:prstGeom prst="rect">
                      <a:avLst/>
                    </a:prstGeom>
                    <a:noFill/>
                    <a:ln>
                      <a:noFill/>
                    </a:ln>
                  </pic:spPr>
                </pic:pic>
              </a:graphicData>
            </a:graphic>
          </wp:inline>
        </w:drawing>
      </w:r>
      <w:r>
        <w:drawing>
          <wp:inline distT="0" distB="0" distL="114300" distR="114300">
            <wp:extent cx="5506085" cy="7748270"/>
            <wp:effectExtent l="0" t="0" r="18415" b="5080"/>
            <wp:docPr id="5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8"/>
                    <pic:cNvPicPr>
                      <a:picLocks noChangeAspect="1"/>
                    </pic:cNvPicPr>
                  </pic:nvPicPr>
                  <pic:blipFill>
                    <a:blip r:embed="rId73"/>
                    <a:stretch>
                      <a:fillRect/>
                    </a:stretch>
                  </pic:blipFill>
                  <pic:spPr>
                    <a:xfrm>
                      <a:off x="0" y="0"/>
                      <a:ext cx="5506085" cy="7748270"/>
                    </a:xfrm>
                    <a:prstGeom prst="rect">
                      <a:avLst/>
                    </a:prstGeom>
                    <a:noFill/>
                    <a:ln>
                      <a:noFill/>
                    </a:ln>
                  </pic:spPr>
                </pic:pic>
              </a:graphicData>
            </a:graphic>
          </wp:inline>
        </w:drawing>
      </w:r>
      <w:r>
        <w:drawing>
          <wp:inline distT="0" distB="0" distL="114300" distR="114300">
            <wp:extent cx="5503545" cy="7623175"/>
            <wp:effectExtent l="0" t="0" r="1905" b="15875"/>
            <wp:docPr id="5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9"/>
                    <pic:cNvPicPr>
                      <a:picLocks noChangeAspect="1"/>
                    </pic:cNvPicPr>
                  </pic:nvPicPr>
                  <pic:blipFill>
                    <a:blip r:embed="rId74"/>
                    <a:stretch>
                      <a:fillRect/>
                    </a:stretch>
                  </pic:blipFill>
                  <pic:spPr>
                    <a:xfrm>
                      <a:off x="0" y="0"/>
                      <a:ext cx="5503545" cy="7623175"/>
                    </a:xfrm>
                    <a:prstGeom prst="rect">
                      <a:avLst/>
                    </a:prstGeom>
                    <a:noFill/>
                    <a:ln>
                      <a:noFill/>
                    </a:ln>
                  </pic:spPr>
                </pic:pic>
              </a:graphicData>
            </a:graphic>
          </wp:inline>
        </w:drawing>
      </w:r>
      <w:r>
        <w:drawing>
          <wp:inline distT="0" distB="0" distL="114300" distR="114300">
            <wp:extent cx="5503545" cy="7917180"/>
            <wp:effectExtent l="0" t="0" r="1905" b="7620"/>
            <wp:docPr id="6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0"/>
                    <pic:cNvPicPr>
                      <a:picLocks noChangeAspect="1"/>
                    </pic:cNvPicPr>
                  </pic:nvPicPr>
                  <pic:blipFill>
                    <a:blip r:embed="rId75"/>
                    <a:stretch>
                      <a:fillRect/>
                    </a:stretch>
                  </pic:blipFill>
                  <pic:spPr>
                    <a:xfrm>
                      <a:off x="0" y="0"/>
                      <a:ext cx="5503545" cy="7917180"/>
                    </a:xfrm>
                    <a:prstGeom prst="rect">
                      <a:avLst/>
                    </a:prstGeom>
                    <a:noFill/>
                    <a:ln>
                      <a:noFill/>
                    </a:ln>
                  </pic:spPr>
                </pic:pic>
              </a:graphicData>
            </a:graphic>
          </wp:inline>
        </w:drawing>
      </w:r>
      <w:r>
        <w:drawing>
          <wp:inline distT="0" distB="0" distL="114300" distR="114300">
            <wp:extent cx="5503545" cy="7748270"/>
            <wp:effectExtent l="0" t="0" r="1905" b="5080"/>
            <wp:docPr id="6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1"/>
                    <pic:cNvPicPr>
                      <a:picLocks noChangeAspect="1"/>
                    </pic:cNvPicPr>
                  </pic:nvPicPr>
                  <pic:blipFill>
                    <a:blip r:embed="rId76"/>
                    <a:stretch>
                      <a:fillRect/>
                    </a:stretch>
                  </pic:blipFill>
                  <pic:spPr>
                    <a:xfrm>
                      <a:off x="0" y="0"/>
                      <a:ext cx="5503545" cy="7748270"/>
                    </a:xfrm>
                    <a:prstGeom prst="rect">
                      <a:avLst/>
                    </a:prstGeom>
                    <a:noFill/>
                    <a:ln>
                      <a:noFill/>
                    </a:ln>
                  </pic:spPr>
                </pic:pic>
              </a:graphicData>
            </a:graphic>
          </wp:inline>
        </w:drawing>
      </w:r>
      <w:r>
        <w:drawing>
          <wp:inline distT="0" distB="0" distL="114300" distR="114300">
            <wp:extent cx="5504180" cy="7634605"/>
            <wp:effectExtent l="0" t="0" r="1270" b="4445"/>
            <wp:docPr id="6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2"/>
                    <pic:cNvPicPr>
                      <a:picLocks noChangeAspect="1"/>
                    </pic:cNvPicPr>
                  </pic:nvPicPr>
                  <pic:blipFill>
                    <a:blip r:embed="rId77"/>
                    <a:stretch>
                      <a:fillRect/>
                    </a:stretch>
                  </pic:blipFill>
                  <pic:spPr>
                    <a:xfrm>
                      <a:off x="0" y="0"/>
                      <a:ext cx="5504180" cy="7634605"/>
                    </a:xfrm>
                    <a:prstGeom prst="rect">
                      <a:avLst/>
                    </a:prstGeom>
                    <a:noFill/>
                    <a:ln>
                      <a:noFill/>
                    </a:ln>
                  </pic:spPr>
                </pic:pic>
              </a:graphicData>
            </a:graphic>
          </wp:inline>
        </w:drawing>
      </w:r>
      <w:r>
        <w:drawing>
          <wp:inline distT="0" distB="0" distL="114300" distR="114300">
            <wp:extent cx="5505450" cy="7593330"/>
            <wp:effectExtent l="0" t="0" r="0" b="7620"/>
            <wp:docPr id="6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3"/>
                    <pic:cNvPicPr>
                      <a:picLocks noChangeAspect="1"/>
                    </pic:cNvPicPr>
                  </pic:nvPicPr>
                  <pic:blipFill>
                    <a:blip r:embed="rId78"/>
                    <a:stretch>
                      <a:fillRect/>
                    </a:stretch>
                  </pic:blipFill>
                  <pic:spPr>
                    <a:xfrm>
                      <a:off x="0" y="0"/>
                      <a:ext cx="5505450" cy="7593330"/>
                    </a:xfrm>
                    <a:prstGeom prst="rect">
                      <a:avLst/>
                    </a:prstGeom>
                    <a:noFill/>
                    <a:ln>
                      <a:noFill/>
                    </a:ln>
                  </pic:spPr>
                </pic:pic>
              </a:graphicData>
            </a:graphic>
          </wp:inline>
        </w:drawing>
      </w:r>
      <w:r>
        <w:drawing>
          <wp:inline distT="0" distB="0" distL="114300" distR="114300">
            <wp:extent cx="5506720" cy="7590790"/>
            <wp:effectExtent l="0" t="0" r="17780" b="10160"/>
            <wp:docPr id="6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4"/>
                    <pic:cNvPicPr>
                      <a:picLocks noChangeAspect="1"/>
                    </pic:cNvPicPr>
                  </pic:nvPicPr>
                  <pic:blipFill>
                    <a:blip r:embed="rId79"/>
                    <a:stretch>
                      <a:fillRect/>
                    </a:stretch>
                  </pic:blipFill>
                  <pic:spPr>
                    <a:xfrm>
                      <a:off x="0" y="0"/>
                      <a:ext cx="5506720" cy="7590790"/>
                    </a:xfrm>
                    <a:prstGeom prst="rect">
                      <a:avLst/>
                    </a:prstGeom>
                    <a:noFill/>
                    <a:ln>
                      <a:noFill/>
                    </a:ln>
                  </pic:spPr>
                </pic:pic>
              </a:graphicData>
            </a:graphic>
          </wp:inline>
        </w:drawing>
      </w:r>
      <w:r>
        <w:drawing>
          <wp:inline distT="0" distB="0" distL="114300" distR="114300">
            <wp:extent cx="5506720" cy="7614920"/>
            <wp:effectExtent l="0" t="0" r="17780" b="5080"/>
            <wp:docPr id="6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5"/>
                    <pic:cNvPicPr>
                      <a:picLocks noChangeAspect="1"/>
                    </pic:cNvPicPr>
                  </pic:nvPicPr>
                  <pic:blipFill>
                    <a:blip r:embed="rId80"/>
                    <a:stretch>
                      <a:fillRect/>
                    </a:stretch>
                  </pic:blipFill>
                  <pic:spPr>
                    <a:xfrm>
                      <a:off x="0" y="0"/>
                      <a:ext cx="5506720" cy="7614920"/>
                    </a:xfrm>
                    <a:prstGeom prst="rect">
                      <a:avLst/>
                    </a:prstGeom>
                    <a:noFill/>
                    <a:ln>
                      <a:noFill/>
                    </a:ln>
                  </pic:spPr>
                </pic:pic>
              </a:graphicData>
            </a:graphic>
          </wp:inline>
        </w:drawing>
      </w:r>
      <w:r>
        <w:drawing>
          <wp:inline distT="0" distB="0" distL="114300" distR="114300">
            <wp:extent cx="5505450" cy="7554595"/>
            <wp:effectExtent l="0" t="0" r="0" b="8255"/>
            <wp:docPr id="6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6"/>
                    <pic:cNvPicPr>
                      <a:picLocks noChangeAspect="1"/>
                    </pic:cNvPicPr>
                  </pic:nvPicPr>
                  <pic:blipFill>
                    <a:blip r:embed="rId81"/>
                    <a:stretch>
                      <a:fillRect/>
                    </a:stretch>
                  </pic:blipFill>
                  <pic:spPr>
                    <a:xfrm>
                      <a:off x="0" y="0"/>
                      <a:ext cx="5505450" cy="7554595"/>
                    </a:xfrm>
                    <a:prstGeom prst="rect">
                      <a:avLst/>
                    </a:prstGeom>
                    <a:noFill/>
                    <a:ln>
                      <a:noFill/>
                    </a:ln>
                  </pic:spPr>
                </pic:pic>
              </a:graphicData>
            </a:graphic>
          </wp:inline>
        </w:drawing>
      </w:r>
    </w:p>
    <w:p>
      <w:pPr>
        <w:pStyle w:val="4"/>
        <w:rPr>
          <w:rFonts w:hint="eastAsia"/>
          <w:b/>
          <w:bCs/>
          <w:sz w:val="28"/>
          <w:szCs w:val="36"/>
          <w:lang w:val="en-US" w:eastAsia="zh-CN"/>
        </w:rPr>
      </w:pPr>
      <w:r>
        <w:rPr>
          <w:rFonts w:hint="eastAsia"/>
          <w:b/>
          <w:bCs/>
          <w:sz w:val="28"/>
          <w:szCs w:val="36"/>
          <w:lang w:val="en-US" w:eastAsia="zh-CN"/>
        </w:rPr>
        <w:t>附件8  迁建前工程验收检测报告</w:t>
      </w:r>
    </w:p>
    <w:p>
      <w:pPr>
        <w:pStyle w:val="4"/>
        <w:rPr>
          <w:rFonts w:hint="eastAsia"/>
          <w:b/>
          <w:bCs/>
          <w:sz w:val="28"/>
          <w:szCs w:val="36"/>
          <w:lang w:val="en-US" w:eastAsia="zh-CN"/>
        </w:rPr>
      </w:pPr>
      <w:r>
        <w:drawing>
          <wp:inline distT="0" distB="0" distL="114300" distR="114300">
            <wp:extent cx="5269865" cy="8166735"/>
            <wp:effectExtent l="0" t="0" r="6985" b="5715"/>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82"/>
                    <a:stretch>
                      <a:fillRect/>
                    </a:stretch>
                  </pic:blipFill>
                  <pic:spPr>
                    <a:xfrm>
                      <a:off x="0" y="0"/>
                      <a:ext cx="5269865" cy="8166735"/>
                    </a:xfrm>
                    <a:prstGeom prst="rect">
                      <a:avLst/>
                    </a:prstGeom>
                    <a:noFill/>
                    <a:ln>
                      <a:noFill/>
                    </a:ln>
                  </pic:spPr>
                </pic:pic>
              </a:graphicData>
            </a:graphic>
          </wp:inline>
        </w:drawing>
      </w:r>
    </w:p>
    <w:p>
      <w:pPr>
        <w:pStyle w:val="2"/>
        <w:rPr>
          <w:rFonts w:hint="default"/>
          <w:lang w:val="en-US" w:eastAsia="zh-CN"/>
        </w:rPr>
        <w:sectPr>
          <w:pgSz w:w="11906" w:h="16838"/>
          <w:pgMar w:top="1701" w:right="1531" w:bottom="1701" w:left="170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5273040" cy="8406765"/>
            <wp:effectExtent l="0" t="0" r="3810" b="13335"/>
            <wp:docPr id="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pic:cNvPicPr>
                      <a:picLocks noChangeAspect="1"/>
                    </pic:cNvPicPr>
                  </pic:nvPicPr>
                  <pic:blipFill>
                    <a:blip r:embed="rId83"/>
                    <a:stretch>
                      <a:fillRect/>
                    </a:stretch>
                  </pic:blipFill>
                  <pic:spPr>
                    <a:xfrm>
                      <a:off x="0" y="0"/>
                      <a:ext cx="5273040" cy="8406765"/>
                    </a:xfrm>
                    <a:prstGeom prst="rect">
                      <a:avLst/>
                    </a:prstGeom>
                    <a:noFill/>
                    <a:ln>
                      <a:noFill/>
                    </a:ln>
                  </pic:spPr>
                </pic:pic>
              </a:graphicData>
            </a:graphic>
          </wp:inline>
        </w:drawing>
      </w:r>
      <w:r>
        <w:drawing>
          <wp:inline distT="0" distB="0" distL="114300" distR="114300">
            <wp:extent cx="5269865" cy="7564755"/>
            <wp:effectExtent l="0" t="0" r="6985" b="17145"/>
            <wp:docPr id="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
                    <pic:cNvPicPr>
                      <a:picLocks noChangeAspect="1"/>
                    </pic:cNvPicPr>
                  </pic:nvPicPr>
                  <pic:blipFill>
                    <a:blip r:embed="rId84"/>
                    <a:stretch>
                      <a:fillRect/>
                    </a:stretch>
                  </pic:blipFill>
                  <pic:spPr>
                    <a:xfrm>
                      <a:off x="0" y="0"/>
                      <a:ext cx="5269865" cy="7564755"/>
                    </a:xfrm>
                    <a:prstGeom prst="rect">
                      <a:avLst/>
                    </a:prstGeom>
                    <a:noFill/>
                    <a:ln>
                      <a:noFill/>
                    </a:ln>
                  </pic:spPr>
                </pic:pic>
              </a:graphicData>
            </a:graphic>
          </wp:inline>
        </w:drawing>
      </w:r>
      <w:r>
        <w:drawing>
          <wp:inline distT="0" distB="0" distL="114300" distR="114300">
            <wp:extent cx="5272405" cy="7907655"/>
            <wp:effectExtent l="0" t="0" r="4445" b="17145"/>
            <wp:docPr id="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
                    <pic:cNvPicPr>
                      <a:picLocks noChangeAspect="1"/>
                    </pic:cNvPicPr>
                  </pic:nvPicPr>
                  <pic:blipFill>
                    <a:blip r:embed="rId85"/>
                    <a:stretch>
                      <a:fillRect/>
                    </a:stretch>
                  </pic:blipFill>
                  <pic:spPr>
                    <a:xfrm>
                      <a:off x="0" y="0"/>
                      <a:ext cx="5272405" cy="7907655"/>
                    </a:xfrm>
                    <a:prstGeom prst="rect">
                      <a:avLst/>
                    </a:prstGeom>
                    <a:noFill/>
                    <a:ln>
                      <a:noFill/>
                    </a:ln>
                  </pic:spPr>
                </pic:pic>
              </a:graphicData>
            </a:graphic>
          </wp:inline>
        </w:drawing>
      </w:r>
      <w:r>
        <w:drawing>
          <wp:inline distT="0" distB="0" distL="114300" distR="114300">
            <wp:extent cx="5271770" cy="8328025"/>
            <wp:effectExtent l="0" t="0" r="5080" b="15875"/>
            <wp:docPr id="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
                    <pic:cNvPicPr>
                      <a:picLocks noChangeAspect="1"/>
                    </pic:cNvPicPr>
                  </pic:nvPicPr>
                  <pic:blipFill>
                    <a:blip r:embed="rId86"/>
                    <a:stretch>
                      <a:fillRect/>
                    </a:stretch>
                  </pic:blipFill>
                  <pic:spPr>
                    <a:xfrm>
                      <a:off x="0" y="0"/>
                      <a:ext cx="5271770" cy="8328025"/>
                    </a:xfrm>
                    <a:prstGeom prst="rect">
                      <a:avLst/>
                    </a:prstGeom>
                    <a:noFill/>
                    <a:ln>
                      <a:noFill/>
                    </a:ln>
                  </pic:spPr>
                </pic:pic>
              </a:graphicData>
            </a:graphic>
          </wp:inline>
        </w:drawing>
      </w:r>
    </w:p>
    <w:p>
      <w:pPr>
        <w:pStyle w:val="28"/>
        <w:spacing w:line="240" w:lineRule="auto"/>
        <w:ind w:left="0" w:leftChars="0" w:firstLine="0" w:firstLineChars="0"/>
        <w:rPr>
          <w:b/>
          <w:bCs/>
          <w:sz w:val="28"/>
          <w:szCs w:val="28"/>
        </w:rPr>
      </w:pPr>
      <w:r>
        <w:rPr>
          <w:rFonts w:hint="eastAsia"/>
          <w:b/>
          <w:bCs/>
          <w:sz w:val="28"/>
          <w:szCs w:val="28"/>
        </w:rPr>
        <w:t>附图1  项目地理位置图</w:t>
      </w:r>
    </w:p>
    <w:p>
      <w:pPr>
        <w:rPr>
          <w:b/>
          <w:bCs/>
          <w:sz w:val="28"/>
          <w:szCs w:val="28"/>
        </w:rPr>
        <w:sectPr>
          <w:pgSz w:w="11906" w:h="16838"/>
          <w:pgMar w:top="1701" w:right="1531" w:bottom="1701" w:left="1701" w:header="851" w:footer="851" w:gutter="0"/>
          <w:pgBorders>
            <w:top w:val="none" w:sz="0" w:space="0"/>
            <w:left w:val="none" w:sz="0" w:space="0"/>
            <w:bottom w:val="none" w:sz="0" w:space="0"/>
            <w:right w:val="none" w:sz="0" w:space="0"/>
          </w:pgBorders>
          <w:cols w:space="720" w:num="1"/>
          <w:docGrid w:linePitch="312" w:charSpace="0"/>
        </w:sectPr>
      </w:pPr>
      <w:r>
        <w:drawing>
          <wp:anchor distT="0" distB="0" distL="114300" distR="114300" simplePos="0" relativeHeight="251666432" behindDoc="0" locked="0" layoutInCell="1" allowOverlap="1">
            <wp:simplePos x="0" y="0"/>
            <wp:positionH relativeFrom="column">
              <wp:posOffset>3810</wp:posOffset>
            </wp:positionH>
            <wp:positionV relativeFrom="paragraph">
              <wp:posOffset>16510</wp:posOffset>
            </wp:positionV>
            <wp:extent cx="654050" cy="672465"/>
            <wp:effectExtent l="0" t="0" r="12700" b="13335"/>
            <wp:wrapNone/>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87"/>
                    <a:stretch>
                      <a:fillRect/>
                    </a:stretch>
                  </pic:blipFill>
                  <pic:spPr>
                    <a:xfrm>
                      <a:off x="0" y="0"/>
                      <a:ext cx="654050" cy="672465"/>
                    </a:xfrm>
                    <a:prstGeom prst="rect">
                      <a:avLst/>
                    </a:prstGeom>
                    <a:noFill/>
                    <a:ln>
                      <a:noFill/>
                    </a:ln>
                  </pic:spPr>
                </pic:pic>
              </a:graphicData>
            </a:graphic>
          </wp:anchor>
        </w:drawing>
      </w:r>
      <w:r>
        <w:drawing>
          <wp:inline distT="0" distB="0" distL="114300" distR="114300">
            <wp:extent cx="5501005" cy="7746365"/>
            <wp:effectExtent l="19050" t="19050" r="23495" b="26035"/>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pic:cNvPicPr>
                      <a:picLocks noChangeAspect="1"/>
                    </pic:cNvPicPr>
                  </pic:nvPicPr>
                  <pic:blipFill>
                    <a:blip r:embed="rId88"/>
                    <a:stretch>
                      <a:fillRect/>
                    </a:stretch>
                  </pic:blipFill>
                  <pic:spPr>
                    <a:xfrm>
                      <a:off x="0" y="0"/>
                      <a:ext cx="5501005" cy="7746365"/>
                    </a:xfrm>
                    <a:prstGeom prst="rect">
                      <a:avLst/>
                    </a:prstGeom>
                    <a:noFill/>
                    <a:ln w="19050">
                      <a:solidFill>
                        <a:schemeClr val="tx1"/>
                      </a:solidFill>
                    </a:ln>
                  </pic:spPr>
                </pic:pic>
              </a:graphicData>
            </a:graphic>
          </wp:inline>
        </w:drawing>
      </w:r>
      <w:r>
        <mc:AlternateContent>
          <mc:Choice Requires="wps">
            <w:drawing>
              <wp:anchor distT="0" distB="0" distL="114300" distR="114300" simplePos="0" relativeHeight="251660288" behindDoc="0" locked="0" layoutInCell="1" allowOverlap="1">
                <wp:simplePos x="0" y="0"/>
                <wp:positionH relativeFrom="column">
                  <wp:posOffset>2197100</wp:posOffset>
                </wp:positionH>
                <wp:positionV relativeFrom="paragraph">
                  <wp:posOffset>5405755</wp:posOffset>
                </wp:positionV>
                <wp:extent cx="614680" cy="303530"/>
                <wp:effectExtent l="0" t="0" r="0" b="0"/>
                <wp:wrapNone/>
                <wp:docPr id="40" name="文本框 40"/>
                <wp:cNvGraphicFramePr/>
                <a:graphic xmlns:a="http://schemas.openxmlformats.org/drawingml/2006/main">
                  <a:graphicData uri="http://schemas.microsoft.com/office/word/2010/wordprocessingShape">
                    <wps:wsp>
                      <wps:cNvSpPr txBox="1"/>
                      <wps:spPr>
                        <a:xfrm>
                          <a:off x="4407535" y="4150995"/>
                          <a:ext cx="614680"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000000" w:themeColor="text1"/>
                                <w:highlight w:val="yellow"/>
                                <w14:textFill>
                                  <w14:solidFill>
                                    <w14:schemeClr w14:val="tx1"/>
                                  </w14:solidFill>
                                </w14:textFill>
                              </w:rPr>
                            </w:pPr>
                            <w:r>
                              <w:rPr>
                                <w:rFonts w:hint="eastAsia"/>
                                <w:color w:val="000000" w:themeColor="text1"/>
                                <w:highlight w:val="yellow"/>
                                <w14:textFill>
                                  <w14:solidFill>
                                    <w14:schemeClr w14:val="tx1"/>
                                  </w14:solidFill>
                                </w14:textFill>
                              </w:rPr>
                              <w:t>项目区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3pt;margin-top:425.65pt;height:23.9pt;width:48.4pt;z-index:251660288;mso-width-relative:page;mso-height-relative:page;" filled="f" stroked="f" coordsize="21600,21600" o:gfxdata="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PlmwltwAAAALAQAADwAAAAAA&#10;AAABACAAAAAiAAAAZHJzL2Rvd25yZXYueG1sUEsBAhQAFAAAAAgAh07iQBnafY1IAgAAcwQAAA4A&#10;AAAAAAAAAQAgAAAAKwEAAGRycy9lMm9Eb2MueG1sUEsFBgAAAAAGAAYAWQEAAOUFAAAAAA==&#10;">
                <v:fill on="f" focussize="0,0"/>
                <v:stroke on="f" weight="0.5pt"/>
                <v:imagedata o:title=""/>
                <o:lock v:ext="edit" aspectratio="f"/>
                <v:textbox>
                  <w:txbxContent>
                    <w:p>
                      <w:pPr>
                        <w:rPr>
                          <w:color w:val="000000" w:themeColor="text1"/>
                          <w:highlight w:val="yellow"/>
                          <w14:textFill>
                            <w14:solidFill>
                              <w14:schemeClr w14:val="tx1"/>
                            </w14:solidFill>
                          </w14:textFill>
                        </w:rPr>
                      </w:pPr>
                      <w:r>
                        <w:rPr>
                          <w:rFonts w:hint="eastAsia"/>
                          <w:color w:val="000000" w:themeColor="text1"/>
                          <w:highlight w:val="yellow"/>
                          <w14:textFill>
                            <w14:solidFill>
                              <w14:schemeClr w14:val="tx1"/>
                            </w14:solidFill>
                          </w14:textFill>
                        </w:rPr>
                        <w:t>项目区</w:t>
                      </w:r>
                    </w:p>
                  </w:txbxContent>
                </v:textbox>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2512060</wp:posOffset>
                </wp:positionH>
                <wp:positionV relativeFrom="paragraph">
                  <wp:posOffset>5279390</wp:posOffset>
                </wp:positionV>
                <wp:extent cx="75565" cy="75565"/>
                <wp:effectExtent l="12700" t="0" r="18415" b="17780"/>
                <wp:wrapNone/>
                <wp:docPr id="13" name="十字星 13"/>
                <wp:cNvGraphicFramePr/>
                <a:graphic xmlns:a="http://schemas.openxmlformats.org/drawingml/2006/main">
                  <a:graphicData uri="http://schemas.microsoft.com/office/word/2010/wordprocessingShape">
                    <wps:wsp>
                      <wps:cNvSpPr/>
                      <wps:spPr>
                        <a:xfrm>
                          <a:off x="4295140" y="4295140"/>
                          <a:ext cx="75565" cy="75565"/>
                        </a:xfrm>
                        <a:prstGeom prst="star4">
                          <a:avLst>
                            <a:gd name="adj" fmla="val 50000"/>
                          </a:avLst>
                        </a:prstGeom>
                        <a:solidFill>
                          <a:srgbClr val="FF0000"/>
                        </a:solid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97.8pt;margin-top:415.7pt;height:5.95pt;width:5.95pt;z-index:251659264;v-text-anchor:middle;mso-width-relative:page;mso-height-relative:page;" fillcolor="#FF0000" filled="t" stroked="t" coordsize="21600,21600" o:gfxdata="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K3gDFzcAAAACwEAAA8AAAAAAAAAAQAg&#10;AAAAIgAAAGRycy9kb3ducmV2LnhtbFBLAQIUABQAAAAIAIdO4kCAAJ+QfAIAABgFAAAOAAAAAAAA&#10;AAEAIAAAACsBAABkcnMvZTJvRG9jLnhtbFBLBQYAAAAABgAGAFkBAAAZBgAAAAA=&#10;" adj="0">
                <v:fill on="t" focussize="0,0"/>
                <v:stroke weight="2pt" color="#FF0000 [3205]" joinstyle="round"/>
                <v:imagedata o:title=""/>
                <o:lock v:ext="edit" aspectratio="f"/>
              </v:shape>
            </w:pict>
          </mc:Fallback>
        </mc:AlternateContent>
      </w:r>
    </w:p>
    <w:p>
      <w:pPr>
        <w:pStyle w:val="28"/>
        <w:ind w:left="0" w:leftChars="0" w:firstLine="0" w:firstLineChars="0"/>
      </w:pPr>
      <w:r>
        <w:rPr>
          <w:rFonts w:hint="eastAsia"/>
          <w:b/>
          <w:bCs/>
          <w:sz w:val="28"/>
          <w:szCs w:val="28"/>
        </w:rPr>
        <w:t>附图2  项目卫星影像图</w:t>
      </w:r>
    </w:p>
    <w:p>
      <w:pPr>
        <w:pStyle w:val="28"/>
        <w:spacing w:after="0" w:line="240" w:lineRule="auto"/>
        <w:ind w:left="0" w:leftChars="0" w:firstLine="0" w:firstLineChars="0"/>
        <w:sectPr>
          <w:pgSz w:w="16838" w:h="11906" w:orient="landscape"/>
          <w:pgMar w:top="1701" w:right="1701" w:bottom="1531" w:left="1701" w:header="851" w:footer="851" w:gutter="0"/>
          <w:pgBorders>
            <w:top w:val="none" w:sz="0" w:space="0"/>
            <w:left w:val="none" w:sz="0" w:space="0"/>
            <w:bottom w:val="none" w:sz="0" w:space="0"/>
            <w:right w:val="none" w:sz="0" w:space="0"/>
          </w:pgBorders>
          <w:cols w:space="720" w:num="1"/>
          <w:docGrid w:linePitch="312" w:charSpace="0"/>
        </w:sectPr>
      </w:pPr>
      <w:r>
        <w:drawing>
          <wp:anchor distT="0" distB="0" distL="114300" distR="114300" simplePos="0" relativeHeight="251665408" behindDoc="0" locked="0" layoutInCell="1" allowOverlap="1">
            <wp:simplePos x="0" y="0"/>
            <wp:positionH relativeFrom="column">
              <wp:posOffset>12065</wp:posOffset>
            </wp:positionH>
            <wp:positionV relativeFrom="paragraph">
              <wp:posOffset>19685</wp:posOffset>
            </wp:positionV>
            <wp:extent cx="654050" cy="672465"/>
            <wp:effectExtent l="0" t="0" r="12700" b="13335"/>
            <wp:wrapNone/>
            <wp:docPr id="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pic:cNvPicPr>
                      <a:picLocks noChangeAspect="1"/>
                    </pic:cNvPicPr>
                  </pic:nvPicPr>
                  <pic:blipFill>
                    <a:blip r:embed="rId87"/>
                    <a:stretch>
                      <a:fillRect/>
                    </a:stretch>
                  </pic:blipFill>
                  <pic:spPr>
                    <a:xfrm>
                      <a:off x="0" y="0"/>
                      <a:ext cx="654050" cy="672465"/>
                    </a:xfrm>
                    <a:prstGeom prst="rect">
                      <a:avLst/>
                    </a:prstGeom>
                    <a:noFill/>
                    <a:ln>
                      <a:noFill/>
                    </a:ln>
                  </pic:spPr>
                </pic:pic>
              </a:graphicData>
            </a:graphic>
          </wp:anchor>
        </w:drawing>
      </w:r>
      <w:r>
        <w:drawing>
          <wp:inline distT="0" distB="0" distL="114300" distR="114300">
            <wp:extent cx="8522335" cy="4472305"/>
            <wp:effectExtent l="19050" t="19050" r="31115" b="23495"/>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89"/>
                    <a:stretch>
                      <a:fillRect/>
                    </a:stretch>
                  </pic:blipFill>
                  <pic:spPr>
                    <a:xfrm>
                      <a:off x="0" y="0"/>
                      <a:ext cx="8522335" cy="4472305"/>
                    </a:xfrm>
                    <a:prstGeom prst="rect">
                      <a:avLst/>
                    </a:prstGeom>
                    <a:noFill/>
                    <a:ln w="19050" cmpd="sng">
                      <a:solidFill>
                        <a:schemeClr val="tx1"/>
                      </a:solidFill>
                      <a:prstDash val="solid"/>
                    </a:ln>
                  </pic:spPr>
                </pic:pic>
              </a:graphicData>
            </a:graphic>
          </wp:inline>
        </w:drawing>
      </w:r>
    </w:p>
    <w:p>
      <w:pPr>
        <w:rPr>
          <w:b/>
          <w:bCs/>
          <w:sz w:val="28"/>
          <w:szCs w:val="36"/>
        </w:rPr>
      </w:pPr>
      <w:r>
        <w:rPr>
          <w:b/>
          <w:bCs/>
          <w:sz w:val="28"/>
          <w:szCs w:val="36"/>
        </w:rPr>
        <mc:AlternateContent>
          <mc:Choice Requires="wps">
            <w:drawing>
              <wp:anchor distT="0" distB="0" distL="114300" distR="114300" simplePos="0" relativeHeight="251664384" behindDoc="0" locked="0" layoutInCell="1" allowOverlap="1">
                <wp:simplePos x="0" y="0"/>
                <wp:positionH relativeFrom="column">
                  <wp:posOffset>3389630</wp:posOffset>
                </wp:positionH>
                <wp:positionV relativeFrom="paragraph">
                  <wp:posOffset>6749415</wp:posOffset>
                </wp:positionV>
                <wp:extent cx="744855" cy="30353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744855"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000000" w:themeColor="text1"/>
                                <w:highlight w:val="yellow"/>
                                <w14:textFill>
                                  <w14:solidFill>
                                    <w14:schemeClr w14:val="tx1"/>
                                  </w14:solidFill>
                                </w14:textFill>
                              </w:rPr>
                            </w:pPr>
                            <w:r>
                              <w:rPr>
                                <w:rFonts w:hint="eastAsia"/>
                                <w:color w:val="000000" w:themeColor="text1"/>
                                <w:highlight w:val="yellow"/>
                                <w14:textFill>
                                  <w14:solidFill>
                                    <w14:schemeClr w14:val="tx1"/>
                                  </w14:solidFill>
                                </w14:textFill>
                              </w:rPr>
                              <w:t>项目区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9pt;margin-top:531.45pt;height:23.9pt;width:58.65pt;z-index:251664384;mso-width-relative:page;mso-height-relative:page;" filled="f" stroked="f" coordsize="21600,21600" o:gfxdata="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jfH783QAAAA0BAAAPAAAAAAAAAAEAIAAAACIA&#10;AABkcnMvZG93bnJldi54bWxQSwECFAAUAAAACACHTuJAnAus8T0CAABnBAAADgAAAAAAAAABACAA&#10;AAAsAQAAZHJzL2Uyb0RvYy54bWxQSwUGAAAAAAYABgBZAQAA2wUAAAAA&#10;">
                <v:fill on="f" focussize="0,0"/>
                <v:stroke on="f" weight="0.5pt"/>
                <v:imagedata o:title=""/>
                <o:lock v:ext="edit" aspectratio="f"/>
                <v:textbox>
                  <w:txbxContent>
                    <w:p>
                      <w:pPr>
                        <w:rPr>
                          <w:color w:val="000000" w:themeColor="text1"/>
                          <w:highlight w:val="yellow"/>
                          <w14:textFill>
                            <w14:solidFill>
                              <w14:schemeClr w14:val="tx1"/>
                            </w14:solidFill>
                          </w14:textFill>
                        </w:rPr>
                      </w:pPr>
                      <w:r>
                        <w:rPr>
                          <w:rFonts w:hint="eastAsia"/>
                          <w:color w:val="000000" w:themeColor="text1"/>
                          <w:highlight w:val="yellow"/>
                          <w14:textFill>
                            <w14:solidFill>
                              <w14:schemeClr w14:val="tx1"/>
                            </w14:solidFill>
                          </w14:textFill>
                        </w:rPr>
                        <w:t>项目区</w:t>
                      </w:r>
                    </w:p>
                  </w:txbxContent>
                </v:textbox>
              </v:shape>
            </w:pict>
          </mc:Fallback>
        </mc:AlternateContent>
      </w:r>
      <w:r>
        <w:rPr>
          <w:rFonts w:hint="eastAsia"/>
          <w:b/>
          <w:bCs/>
          <w:sz w:val="28"/>
          <w:szCs w:val="36"/>
        </w:rPr>
        <w:t>附图3  平面布置图</w:t>
      </w:r>
    </w:p>
    <w:p>
      <w:pPr>
        <w:pStyle w:val="4"/>
        <w:ind w:left="420" w:hanging="420"/>
        <w:rPr>
          <w:rFonts w:hint="eastAsia" w:eastAsia="宋体"/>
          <w:lang w:eastAsia="zh-CN"/>
        </w:rPr>
        <w:sectPr>
          <w:footerReference r:id="rId9"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drawing>
          <wp:anchor distT="0" distB="0" distL="114300" distR="114300" simplePos="0" relativeHeight="251669504" behindDoc="1" locked="0" layoutInCell="1" allowOverlap="1">
            <wp:simplePos x="0" y="0"/>
            <wp:positionH relativeFrom="column">
              <wp:posOffset>-466725</wp:posOffset>
            </wp:positionH>
            <wp:positionV relativeFrom="paragraph">
              <wp:posOffset>104775</wp:posOffset>
            </wp:positionV>
            <wp:extent cx="9888855" cy="4534535"/>
            <wp:effectExtent l="19050" t="19050" r="36195" b="37465"/>
            <wp:wrapNone/>
            <wp:docPr id="78" name="图片 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2"/>
                    <pic:cNvPicPr>
                      <a:picLocks noChangeAspect="1"/>
                    </pic:cNvPicPr>
                  </pic:nvPicPr>
                  <pic:blipFill>
                    <a:blip r:embed="rId90"/>
                    <a:stretch>
                      <a:fillRect/>
                    </a:stretch>
                  </pic:blipFill>
                  <pic:spPr>
                    <a:xfrm>
                      <a:off x="0" y="0"/>
                      <a:ext cx="9888855" cy="4534535"/>
                    </a:xfrm>
                    <a:prstGeom prst="rect">
                      <a:avLst/>
                    </a:prstGeom>
                    <a:ln w="19050" cmpd="sng">
                      <a:solidFill>
                        <a:schemeClr val="tx1"/>
                      </a:solidFill>
                      <a:prstDash val="solid"/>
                    </a:ln>
                  </pic:spPr>
                </pic:pic>
              </a:graphicData>
            </a:graphic>
          </wp:anchor>
        </w:drawing>
      </w:r>
      <w:r>
        <w:drawing>
          <wp:anchor distT="0" distB="0" distL="114300" distR="114300" simplePos="0" relativeHeight="251668480" behindDoc="0" locked="0" layoutInCell="1" allowOverlap="1">
            <wp:simplePos x="0" y="0"/>
            <wp:positionH relativeFrom="column">
              <wp:posOffset>8770620</wp:posOffset>
            </wp:positionH>
            <wp:positionV relativeFrom="paragraph">
              <wp:posOffset>855345</wp:posOffset>
            </wp:positionV>
            <wp:extent cx="657860" cy="285115"/>
            <wp:effectExtent l="0" t="0" r="8890" b="635"/>
            <wp:wrapNone/>
            <wp:docPr id="7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7"/>
                    <pic:cNvPicPr>
                      <a:picLocks noChangeAspect="1"/>
                    </pic:cNvPicPr>
                  </pic:nvPicPr>
                  <pic:blipFill>
                    <a:blip r:embed="rId91"/>
                    <a:stretch>
                      <a:fillRect/>
                    </a:stretch>
                  </pic:blipFill>
                  <pic:spPr>
                    <a:xfrm>
                      <a:off x="0" y="0"/>
                      <a:ext cx="657860" cy="285115"/>
                    </a:xfrm>
                    <a:prstGeom prst="rect">
                      <a:avLst/>
                    </a:prstGeom>
                    <a:noFill/>
                    <a:ln>
                      <a:noFill/>
                    </a:ln>
                  </pic:spPr>
                </pic:pic>
              </a:graphicData>
            </a:graphic>
          </wp:anchor>
        </w:drawing>
      </w:r>
      <w:r>
        <w:drawing>
          <wp:anchor distT="0" distB="0" distL="114300" distR="114300" simplePos="0" relativeHeight="251667456" behindDoc="0" locked="0" layoutInCell="1" allowOverlap="1">
            <wp:simplePos x="0" y="0"/>
            <wp:positionH relativeFrom="column">
              <wp:posOffset>8783320</wp:posOffset>
            </wp:positionH>
            <wp:positionV relativeFrom="paragraph">
              <wp:posOffset>151130</wp:posOffset>
            </wp:positionV>
            <wp:extent cx="654050" cy="672465"/>
            <wp:effectExtent l="0" t="0" r="12700" b="13335"/>
            <wp:wrapNone/>
            <wp:docPr id="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
                    <pic:cNvPicPr>
                      <a:picLocks noChangeAspect="1"/>
                    </pic:cNvPicPr>
                  </pic:nvPicPr>
                  <pic:blipFill>
                    <a:blip r:embed="rId87"/>
                    <a:stretch>
                      <a:fillRect/>
                    </a:stretch>
                  </pic:blipFill>
                  <pic:spPr>
                    <a:xfrm>
                      <a:off x="0" y="0"/>
                      <a:ext cx="654050" cy="672465"/>
                    </a:xfrm>
                    <a:prstGeom prst="rect">
                      <a:avLst/>
                    </a:prstGeom>
                    <a:noFill/>
                    <a:ln>
                      <a:noFill/>
                    </a:ln>
                  </pic:spPr>
                </pic:pic>
              </a:graphicData>
            </a:graphic>
          </wp:anchor>
        </w:drawing>
      </w:r>
    </w:p>
    <w:p>
      <w:pPr>
        <w:pStyle w:val="28"/>
        <w:ind w:left="0" w:leftChars="0" w:firstLine="0" w:firstLineChars="0"/>
        <w:rPr>
          <w:b/>
          <w:bCs/>
          <w:sz w:val="28"/>
          <w:szCs w:val="28"/>
        </w:rPr>
      </w:pPr>
      <w:r>
        <w:rPr>
          <w:rFonts w:hint="eastAsia" w:ascii="仿宋_GB2312" w:eastAsia="仿宋_GB2312"/>
          <w:sz w:val="28"/>
          <w:szCs w:val="28"/>
        </w:rPr>
        <w:drawing>
          <wp:anchor distT="0" distB="0" distL="114300" distR="114300" simplePos="0" relativeHeight="251661312" behindDoc="1" locked="0" layoutInCell="1" allowOverlap="1">
            <wp:simplePos x="0" y="0"/>
            <wp:positionH relativeFrom="column">
              <wp:posOffset>-141605</wp:posOffset>
            </wp:positionH>
            <wp:positionV relativeFrom="paragraph">
              <wp:posOffset>386080</wp:posOffset>
            </wp:positionV>
            <wp:extent cx="8658225" cy="5410200"/>
            <wp:effectExtent l="0" t="0" r="9525" b="0"/>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92" cstate="print">
                      <a:extLst>
                        <a:ext uri="{28A0092B-C50C-407E-A947-70E740481C1C}">
                          <a14:useLocalDpi xmlns:a14="http://schemas.microsoft.com/office/drawing/2010/main" val="0"/>
                        </a:ext>
                      </a:extLst>
                    </a:blip>
                    <a:srcRect l="1164" t="1788" r="1392" b="1793"/>
                    <a:stretch>
                      <a:fillRect/>
                    </a:stretch>
                  </pic:blipFill>
                  <pic:spPr>
                    <a:xfrm>
                      <a:off x="0" y="0"/>
                      <a:ext cx="8658225" cy="5410200"/>
                    </a:xfrm>
                    <a:prstGeom prst="rect">
                      <a:avLst/>
                    </a:prstGeom>
                    <a:ln>
                      <a:noFill/>
                    </a:ln>
                  </pic:spPr>
                </pic:pic>
              </a:graphicData>
            </a:graphic>
          </wp:anchor>
        </w:drawing>
      </w:r>
      <w:r>
        <w:rPr>
          <w:rFonts w:hint="eastAsia"/>
          <w:b/>
          <w:bCs/>
          <w:sz w:val="28"/>
          <w:szCs w:val="28"/>
        </w:rPr>
        <w:t>附图4  “三线一单”环境管控单元分类图</w:t>
      </w:r>
    </w:p>
    <w:p>
      <w:r>
        <mc:AlternateContent>
          <mc:Choice Requires="wps">
            <w:drawing>
              <wp:anchor distT="0" distB="0" distL="114300" distR="114300" simplePos="0" relativeHeight="251662336" behindDoc="0" locked="0" layoutInCell="1" allowOverlap="1">
                <wp:simplePos x="0" y="0"/>
                <wp:positionH relativeFrom="column">
                  <wp:posOffset>3384550</wp:posOffset>
                </wp:positionH>
                <wp:positionV relativeFrom="paragraph">
                  <wp:posOffset>3311525</wp:posOffset>
                </wp:positionV>
                <wp:extent cx="676910" cy="28829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676910" cy="288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000000" w:themeColor="text1"/>
                                <w:highlight w:val="lightGray"/>
                                <w14:textFill>
                                  <w14:solidFill>
                                    <w14:schemeClr w14:val="tx1"/>
                                  </w14:solidFill>
                                </w14:textFill>
                              </w:rPr>
                            </w:pPr>
                            <w:r>
                              <w:rPr>
                                <w:rFonts w:hint="eastAsia"/>
                                <w:color w:val="000000" w:themeColor="text1"/>
                                <w:highlight w:val="lightGray"/>
                                <w14:textFill>
                                  <w14:solidFill>
                                    <w14:schemeClr w14:val="tx1"/>
                                  </w14:solidFill>
                                </w14:textFill>
                              </w:rPr>
                              <w:t>项目区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5pt;margin-top:260.75pt;height:22.7pt;width:53.3pt;z-index:251662336;mso-width-relative:page;mso-height-relative:page;" filled="f" stroked="f" coordsize="21600,21600" o:gfxdata="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cwgKR9wAAAALAQAADwAAAAAAAAABACAAAAAiAAAA&#10;ZHJzL2Rvd25yZXYueG1sUEsBAhQAFAAAAAgAh07iQCG1Uj88AgAAZwQAAA4AAAAAAAAAAQAgAAAA&#10;KwEAAGRycy9lMm9Eb2MueG1sUEsFBgAAAAAGAAYAWQEAANkFAAAAAA==&#10;">
                <v:fill on="f" focussize="0,0"/>
                <v:stroke on="f" weight="0.5pt"/>
                <v:imagedata o:title=""/>
                <o:lock v:ext="edit" aspectratio="f"/>
                <v:textbox>
                  <w:txbxContent>
                    <w:p>
                      <w:pPr>
                        <w:rPr>
                          <w:color w:val="000000" w:themeColor="text1"/>
                          <w:highlight w:val="lightGray"/>
                          <w14:textFill>
                            <w14:solidFill>
                              <w14:schemeClr w14:val="tx1"/>
                            </w14:solidFill>
                          </w14:textFill>
                        </w:rPr>
                      </w:pPr>
                      <w:r>
                        <w:rPr>
                          <w:rFonts w:hint="eastAsia"/>
                          <w:color w:val="000000" w:themeColor="text1"/>
                          <w:highlight w:val="lightGray"/>
                          <w14:textFill>
                            <w14:solidFill>
                              <w14:schemeClr w14:val="tx1"/>
                            </w14:solidFill>
                          </w14:textFill>
                        </w:rPr>
                        <w:t>项目区</w:t>
                      </w:r>
                    </w:p>
                  </w:txbxContent>
                </v:textbox>
              </v:shape>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3647440</wp:posOffset>
                </wp:positionH>
                <wp:positionV relativeFrom="paragraph">
                  <wp:posOffset>3218180</wp:posOffset>
                </wp:positionV>
                <wp:extent cx="75565" cy="75565"/>
                <wp:effectExtent l="12700" t="0" r="26035" b="27305"/>
                <wp:wrapNone/>
                <wp:docPr id="29" name="十字星 29"/>
                <wp:cNvGraphicFramePr/>
                <a:graphic xmlns:a="http://schemas.openxmlformats.org/drawingml/2006/main">
                  <a:graphicData uri="http://schemas.microsoft.com/office/word/2010/wordprocessingShape">
                    <wps:wsp>
                      <wps:cNvSpPr/>
                      <wps:spPr>
                        <a:xfrm>
                          <a:off x="0" y="0"/>
                          <a:ext cx="75565" cy="75565"/>
                        </a:xfrm>
                        <a:prstGeom prst="star4">
                          <a:avLst>
                            <a:gd name="adj" fmla="val 50000"/>
                          </a:avLst>
                        </a:prstGeom>
                        <a:solidFill>
                          <a:srgbClr val="0527F9"/>
                        </a:solidFill>
                        <a:ln>
                          <a:solidFill>
                            <a:srgbClr val="0527F9"/>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87.2pt;margin-top:253.4pt;height:5.95pt;width:5.95pt;z-index:251663360;v-text-anchor:middle;mso-width-relative:page;mso-height-relative:page;" fillcolor="#0527F9" filled="t" stroked="t" coordsize="21600,21600" o:gfxdata="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&#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9RuKb2QAAAAsBAAAPAAAAAAAAAAEAIAAAACIAAABk&#10;cnMvZG93bnJldi54bWxQSwECFAAUAAAACACHTuJAn914DHcCAAAMBQAADgAAAAAAAAABACAAAAAo&#10;AQAAZHJzL2Uyb0RvYy54bWxQSwUGAAAAAAYABgBZAQAAEQYAAAAA&#10;" adj="0">
                <v:fill on="t" focussize="0,0"/>
                <v:stroke weight="2pt" color="#0527F9 [3205]" joinstyle="round"/>
                <v:imagedata o:title=""/>
                <o:lock v:ext="edit" aspectratio="f"/>
              </v:shape>
            </w:pict>
          </mc:Fallback>
        </mc:AlternateContent>
      </w:r>
    </w:p>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8"/>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Arial Unicode MS">
    <w:altName w:val="宋体"/>
    <w:panose1 w:val="020B0604020202020204"/>
    <w:charset w:val="86"/>
    <w:family w:val="swiss"/>
    <w:pitch w:val="default"/>
    <w:sig w:usb0="00000000" w:usb1="00000000" w:usb2="0000003F" w:usb3="00000000" w:csb0="003F01FF" w:csb1="00000000"/>
  </w:font>
  <w:font w:name="楷体_GB2312">
    <w:panose1 w:val="02010609030101010101"/>
    <w:charset w:val="86"/>
    <w:family w:val="modern"/>
    <w:pitch w:val="default"/>
    <w:sig w:usb0="00000001" w:usb1="080E0000" w:usb2="00000000" w:usb3="00000000" w:csb0="00040000" w:csb1="00000000"/>
  </w:font>
  <w:font w:name="方正仿宋简体">
    <w:altName w:val="黑体"/>
    <w:panose1 w:val="00000000000000000000"/>
    <w:charset w:val="86"/>
    <w:family w:val="script"/>
    <w:pitch w:val="default"/>
    <w:sig w:usb0="00000000" w:usb1="00000000" w:usb2="00000010" w:usb3="00000000" w:csb0="00040000" w:csb1="00000000"/>
  </w:font>
  <w:font w:name="PMingLiU">
    <w:altName w:val="Microsoft JhengHei UI"/>
    <w:panose1 w:val="02010601000101010101"/>
    <w:charset w:val="88"/>
    <w:family w:val="roman"/>
    <w:pitch w:val="default"/>
    <w:sig w:usb0="00000000" w:usb1="00000000" w:usb2="00000016" w:usb3="00000000" w:csb0="00100001" w:csb1="00000000"/>
  </w:font>
  <w:font w:name="Microsoft JhengHei UI">
    <w:panose1 w:val="020B0604030504040204"/>
    <w:charset w:val="88"/>
    <w:family w:val="auto"/>
    <w:pitch w:val="default"/>
    <w:sig w:usb0="000002A7" w:usb1="28CF4400" w:usb2="00000016" w:usb3="00000000" w:csb0="00100009" w:csb1="00000000"/>
  </w:font>
  <w:font w:name="方正小标宋_GBK">
    <w:altName w:val="微软雅黑"/>
    <w:panose1 w:val="03000509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华文仿宋">
    <w:altName w:val="仿宋"/>
    <w:panose1 w:val="02010600040101010101"/>
    <w:charset w:val="86"/>
    <w:family w:val="auto"/>
    <w:pitch w:val="default"/>
    <w:sig w:usb0="00000000" w:usb1="00000000" w:usb2="00000010" w:usb3="00000000" w:csb0="0004009F" w:csb1="00000000"/>
  </w:font>
  <w:font w:name="Wingdings 2">
    <w:panose1 w:val="050201020105070707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32"/>
      </w:rPr>
    </w:pPr>
    <w:r>
      <w:fldChar w:fldCharType="begin"/>
    </w:r>
    <w:r>
      <w:rPr>
        <w:rStyle w:val="32"/>
      </w:rPr>
      <w:instrText xml:space="preserve">PAGE  </w:instrText>
    </w:r>
    <w:r>
      <w:fldChar w:fldCharType="end"/>
    </w:r>
  </w:p>
  <w:p>
    <w:pPr>
      <w:pStyle w:val="23"/>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jc w:val="both"/>
    </w:pPr>
    <w:r>
      <mc:AlternateContent>
        <mc:Choice Requires="wps">
          <w:drawing>
            <wp:anchor distT="0" distB="0" distL="114300" distR="114300" simplePos="0" relativeHeight="251669504" behindDoc="0" locked="0" layoutInCell="1" allowOverlap="1">
              <wp:simplePos x="0" y="0"/>
              <wp:positionH relativeFrom="margin">
                <wp:posOffset>2767330</wp:posOffset>
              </wp:positionH>
              <wp:positionV relativeFrom="paragraph">
                <wp:posOffset>8255</wp:posOffset>
              </wp:positionV>
              <wp:extent cx="442595" cy="327025"/>
              <wp:effectExtent l="0" t="0" r="0" b="0"/>
              <wp:wrapNone/>
              <wp:docPr id="1" name="文本框 1"/>
              <wp:cNvGraphicFramePr/>
              <a:graphic xmlns:a="http://schemas.openxmlformats.org/drawingml/2006/main">
                <a:graphicData uri="http://schemas.microsoft.com/office/word/2010/wordprocessingShape">
                  <wps:wsp>
                    <wps:cNvSpPr txBox="1"/>
                    <wps:spPr>
                      <a:xfrm>
                        <a:off x="0" y="0"/>
                        <a:ext cx="442595" cy="3270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17.9pt;margin-top:0.65pt;height:25.75pt;width:34.85pt;mso-position-horizontal-relative:margin;z-index:251669504;mso-width-relative:page;mso-height-relative:page;" filled="f" stroked="f" coordsize="21600,21600" o:gfxdata="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C7PpM1gAAAAgBAAAPAAAAAAAAAAEAIAAAACIAAABkcnMvZG93bnJldi54bWxQ&#10;SwECFAAUAAAACACHTuJAjES8DzICAABVBAAADgAAAAAAAAABACAAAAAlAQAAZHJzL2Uyb0RvYy54&#10;bWxQSwUGAAAAAAYABgBZAQAAyQUAAAAA&#10;">
              <v:fill on="f" focussize="0,0"/>
              <v:stroke on="f" weight="0.5pt"/>
              <v:imagedata o:title=""/>
              <o:lock v:ext="edit" aspectratio="f"/>
              <v:textbox inset="0mm,0mm,0mm,0mm">
                <w:txbxContent>
                  <w:p>
                    <w:pPr>
                      <w:pStyle w:val="2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jc w:val="center"/>
    </w:pPr>
    <w: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3"/>
                          </w:pPr>
                          <w:r>
                            <w:fldChar w:fldCharType="begin"/>
                          </w:r>
                          <w:r>
                            <w:instrText xml:space="preserve"> PAGE  \* MERGEFORMAT </w:instrText>
                          </w:r>
                          <w:r>
                            <w:fldChar w:fldCharType="separate"/>
                          </w:r>
                          <w:r>
                            <w:t>34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hjD8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FYYw/KwIAAFUEAAAOAAAAAAAAAAEAIAAAAB8BAABkcnMvZTJvRG9jLnhtbFBLBQYAAAAABgAG&#10;AFkBAAC8BQAAAAA=&#10;">
              <v:fill on="f" focussize="0,0"/>
              <v:stroke on="f" weight="0.5pt"/>
              <v:imagedata o:title=""/>
              <o:lock v:ext="edit" aspectratio="f"/>
              <v:textbox inset="0mm,0mm,0mm,0mm" style="mso-fit-shape-to-text:t;">
                <w:txbxContent>
                  <w:p>
                    <w:pPr>
                      <w:pStyle w:val="23"/>
                    </w:pPr>
                    <w:r>
                      <w:fldChar w:fldCharType="begin"/>
                    </w:r>
                    <w:r>
                      <w:instrText xml:space="preserve"> PAGE  \* MERGEFORMAT </w:instrText>
                    </w:r>
                    <w:r>
                      <w:fldChar w:fldCharType="separate"/>
                    </w:r>
                    <w:r>
                      <w:t>34</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jc w:val="center"/>
    </w:pPr>
    <w: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23"/>
                          </w:pPr>
                          <w:r>
                            <w:fldChar w:fldCharType="begin"/>
                          </w:r>
                          <w:r>
                            <w:instrText xml:space="preserve"> PAGE  \* MERGEFORMAT </w:instrText>
                          </w:r>
                          <w:r>
                            <w:fldChar w:fldCharType="separate"/>
                          </w:r>
                          <w:r>
                            <w:t>47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dX0GJMQIAAGcEAAAOAAAAAAAAAAEAIAAAAB8BAABkcnMvZTJvRG9jLnhtbFBLBQYA&#10;AAAABgAGAFkBAADCBQAAAAA=&#10;">
              <v:fill on="f" focussize="0,0"/>
              <v:stroke on="f" weight="0.5pt"/>
              <v:imagedata o:title=""/>
              <o:lock v:ext="edit" aspectratio="f"/>
              <v:textbox inset="0mm,0mm,0mm,0mm" style="mso-fit-shape-to-text:t;">
                <w:txbxContent>
                  <w:p>
                    <w:pPr>
                      <w:pStyle w:val="23"/>
                    </w:pPr>
                    <w:r>
                      <w:fldChar w:fldCharType="begin"/>
                    </w:r>
                    <w:r>
                      <w:instrText xml:space="preserve"> PAGE  \* MERGEFORMAT </w:instrText>
                    </w:r>
                    <w:r>
                      <w:fldChar w:fldCharType="separate"/>
                    </w:r>
                    <w:r>
                      <w:t>47</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jc w:val="center"/>
    </w:pPr>
    <w: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3"/>
                          </w:pPr>
                          <w:r>
                            <w:fldChar w:fldCharType="begin"/>
                          </w:r>
                          <w:r>
                            <w:instrText xml:space="preserve"> PAGE  \* MERGEFORMAT </w:instrText>
                          </w:r>
                          <w:r>
                            <w:fldChar w:fldCharType="separate"/>
                          </w:r>
                          <w:r>
                            <w:t>35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p>
                    <w:pPr>
                      <w:pStyle w:val="23"/>
                    </w:pPr>
                    <w:r>
                      <w:fldChar w:fldCharType="begin"/>
                    </w:r>
                    <w:r>
                      <w:instrText xml:space="preserve"> PAGE  \* MERGEFORMAT </w:instrText>
                    </w:r>
                    <w:r>
                      <w:fldChar w:fldCharType="separate"/>
                    </w:r>
                    <w:r>
                      <w:t>35</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jc w:val="center"/>
    </w:pPr>
    <w: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3"/>
                          </w:pPr>
                          <w:r>
                            <w:fldChar w:fldCharType="begin"/>
                          </w:r>
                          <w:r>
                            <w:instrText xml:space="preserve"> PAGE  \* MERGEFORMAT </w:instrText>
                          </w:r>
                          <w:r>
                            <w:fldChar w:fldCharType="separate"/>
                          </w:r>
                          <w:r>
                            <w:t>40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d1wwq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Mrd1wwqAgAAVwQAAA4AAAAAAAAAAQAgAAAAHwEAAGRycy9lMm9Eb2MueG1sUEsFBgAAAAAGAAYA&#10;WQEAALsFAAAAAA==&#10;">
              <v:fill on="f" focussize="0,0"/>
              <v:stroke on="f" weight="0.5pt"/>
              <v:imagedata o:title=""/>
              <o:lock v:ext="edit" aspectratio="f"/>
              <v:textbox inset="0mm,0mm,0mm,0mm" style="mso-fit-shape-to-text:t;">
                <w:txbxContent>
                  <w:p>
                    <w:pPr>
                      <w:pStyle w:val="23"/>
                    </w:pPr>
                    <w:r>
                      <w:fldChar w:fldCharType="begin"/>
                    </w:r>
                    <w:r>
                      <w:instrText xml:space="preserve"> PAGE  \* MERGEFORMAT </w:instrText>
                    </w:r>
                    <w:r>
                      <w:fldChar w:fldCharType="separate"/>
                    </w:r>
                    <w:r>
                      <w:t>40</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774BF2"/>
    <w:multiLevelType w:val="singleLevel"/>
    <w:tmpl w:val="89774BF2"/>
    <w:lvl w:ilvl="0" w:tentative="0">
      <w:start w:val="1"/>
      <w:numFmt w:val="decimal"/>
      <w:suff w:val="nothing"/>
      <w:lvlText w:val="（%1）"/>
      <w:lvlJc w:val="left"/>
    </w:lvl>
  </w:abstractNum>
  <w:abstractNum w:abstractNumId="1">
    <w:nsid w:val="8B3049A6"/>
    <w:multiLevelType w:val="singleLevel"/>
    <w:tmpl w:val="8B3049A6"/>
    <w:lvl w:ilvl="0" w:tentative="0">
      <w:start w:val="1"/>
      <w:numFmt w:val="decimal"/>
      <w:suff w:val="nothing"/>
      <w:lvlText w:val="（%1）"/>
      <w:lvlJc w:val="left"/>
    </w:lvl>
  </w:abstractNum>
  <w:abstractNum w:abstractNumId="2">
    <w:nsid w:val="A08E0653"/>
    <w:multiLevelType w:val="singleLevel"/>
    <w:tmpl w:val="A08E0653"/>
    <w:lvl w:ilvl="0" w:tentative="0">
      <w:start w:val="1"/>
      <w:numFmt w:val="decimal"/>
      <w:suff w:val="nothing"/>
      <w:lvlText w:val="%1、"/>
      <w:lvlJc w:val="left"/>
    </w:lvl>
  </w:abstractNum>
  <w:abstractNum w:abstractNumId="3">
    <w:nsid w:val="A35FE8C9"/>
    <w:multiLevelType w:val="singleLevel"/>
    <w:tmpl w:val="A35FE8C9"/>
    <w:lvl w:ilvl="0" w:tentative="0">
      <w:start w:val="1"/>
      <w:numFmt w:val="decimal"/>
      <w:suff w:val="nothing"/>
      <w:lvlText w:val="%1、"/>
      <w:lvlJc w:val="left"/>
    </w:lvl>
  </w:abstractNum>
  <w:abstractNum w:abstractNumId="4">
    <w:nsid w:val="C349C0C6"/>
    <w:multiLevelType w:val="singleLevel"/>
    <w:tmpl w:val="C349C0C6"/>
    <w:lvl w:ilvl="0" w:tentative="0">
      <w:start w:val="4"/>
      <w:numFmt w:val="decimal"/>
      <w:suff w:val="nothing"/>
      <w:lvlText w:val="%1、"/>
      <w:lvlJc w:val="left"/>
    </w:lvl>
  </w:abstractNum>
  <w:abstractNum w:abstractNumId="5">
    <w:nsid w:val="D8CC4DE5"/>
    <w:multiLevelType w:val="singleLevel"/>
    <w:tmpl w:val="D8CC4DE5"/>
    <w:lvl w:ilvl="0" w:tentative="0">
      <w:start w:val="1"/>
      <w:numFmt w:val="decimal"/>
      <w:suff w:val="nothing"/>
      <w:lvlText w:val="%1、"/>
      <w:lvlJc w:val="left"/>
    </w:lvl>
  </w:abstractNum>
  <w:abstractNum w:abstractNumId="6">
    <w:nsid w:val="DFC209F7"/>
    <w:multiLevelType w:val="singleLevel"/>
    <w:tmpl w:val="DFC209F7"/>
    <w:lvl w:ilvl="0" w:tentative="0">
      <w:start w:val="1"/>
      <w:numFmt w:val="decimal"/>
      <w:suff w:val="nothing"/>
      <w:lvlText w:val="（%1）"/>
      <w:lvlJc w:val="left"/>
    </w:lvl>
  </w:abstractNum>
  <w:abstractNum w:abstractNumId="7">
    <w:nsid w:val="05EF78DE"/>
    <w:multiLevelType w:val="singleLevel"/>
    <w:tmpl w:val="05EF78DE"/>
    <w:lvl w:ilvl="0" w:tentative="0">
      <w:start w:val="3"/>
      <w:numFmt w:val="decimal"/>
      <w:suff w:val="nothing"/>
      <w:lvlText w:val="（%1）"/>
      <w:lvlJc w:val="left"/>
    </w:lvl>
  </w:abstractNum>
  <w:abstractNum w:abstractNumId="8">
    <w:nsid w:val="1247C6F8"/>
    <w:multiLevelType w:val="singleLevel"/>
    <w:tmpl w:val="1247C6F8"/>
    <w:lvl w:ilvl="0" w:tentative="0">
      <w:start w:val="1"/>
      <w:numFmt w:val="decimal"/>
      <w:suff w:val="nothing"/>
      <w:lvlText w:val="%1、"/>
      <w:lvlJc w:val="left"/>
    </w:lvl>
  </w:abstractNum>
  <w:abstractNum w:abstractNumId="9">
    <w:nsid w:val="1A01BA1A"/>
    <w:multiLevelType w:val="singleLevel"/>
    <w:tmpl w:val="1A01BA1A"/>
    <w:lvl w:ilvl="0" w:tentative="0">
      <w:start w:val="1"/>
      <w:numFmt w:val="decimal"/>
      <w:suff w:val="nothing"/>
      <w:lvlText w:val="%1、"/>
      <w:lvlJc w:val="left"/>
      <w:pPr>
        <w:ind w:left="-60"/>
      </w:pPr>
    </w:lvl>
  </w:abstractNum>
  <w:abstractNum w:abstractNumId="10">
    <w:nsid w:val="226BCE92"/>
    <w:multiLevelType w:val="singleLevel"/>
    <w:tmpl w:val="226BCE92"/>
    <w:lvl w:ilvl="0" w:tentative="0">
      <w:start w:val="1"/>
      <w:numFmt w:val="decimal"/>
      <w:suff w:val="nothing"/>
      <w:lvlText w:val="%1、"/>
      <w:lvlJc w:val="left"/>
    </w:lvl>
  </w:abstractNum>
  <w:abstractNum w:abstractNumId="11">
    <w:nsid w:val="2FFE03BA"/>
    <w:multiLevelType w:val="singleLevel"/>
    <w:tmpl w:val="2FFE03BA"/>
    <w:lvl w:ilvl="0" w:tentative="0">
      <w:start w:val="1"/>
      <w:numFmt w:val="decimal"/>
      <w:suff w:val="nothing"/>
      <w:lvlText w:val="（%1）"/>
      <w:lvlJc w:val="left"/>
    </w:lvl>
  </w:abstractNum>
  <w:abstractNum w:abstractNumId="12">
    <w:nsid w:val="3BE247EA"/>
    <w:multiLevelType w:val="singleLevel"/>
    <w:tmpl w:val="3BE247EA"/>
    <w:lvl w:ilvl="0" w:tentative="0">
      <w:start w:val="1"/>
      <w:numFmt w:val="decimal"/>
      <w:suff w:val="nothing"/>
      <w:lvlText w:val="（%1）"/>
      <w:lvlJc w:val="left"/>
    </w:lvl>
  </w:abstractNum>
  <w:abstractNum w:abstractNumId="13">
    <w:nsid w:val="3F13DA6B"/>
    <w:multiLevelType w:val="singleLevel"/>
    <w:tmpl w:val="3F13DA6B"/>
    <w:lvl w:ilvl="0" w:tentative="0">
      <w:start w:val="1"/>
      <w:numFmt w:val="decimal"/>
      <w:suff w:val="nothing"/>
      <w:lvlText w:val="%1、"/>
      <w:lvlJc w:val="left"/>
      <w:pPr>
        <w:ind w:left="-62"/>
      </w:pPr>
    </w:lvl>
  </w:abstractNum>
  <w:abstractNum w:abstractNumId="14">
    <w:nsid w:val="576167E7"/>
    <w:multiLevelType w:val="multilevel"/>
    <w:tmpl w:val="576167E7"/>
    <w:lvl w:ilvl="0" w:tentative="0">
      <w:start w:val="1"/>
      <w:numFmt w:val="decimal"/>
      <w:lvlText w:val="%1"/>
      <w:lvlJc w:val="left"/>
      <w:pPr>
        <w:tabs>
          <w:tab w:val="left" w:pos="432"/>
        </w:tabs>
        <w:ind w:left="432" w:hanging="43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pStyle w:val="8"/>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5">
    <w:nsid w:val="5FC032F5"/>
    <w:multiLevelType w:val="singleLevel"/>
    <w:tmpl w:val="5FC032F5"/>
    <w:lvl w:ilvl="0" w:tentative="0">
      <w:start w:val="1"/>
      <w:numFmt w:val="decimal"/>
      <w:suff w:val="nothing"/>
      <w:lvlText w:val="（%1）"/>
      <w:lvlJc w:val="left"/>
    </w:lvl>
  </w:abstractNum>
  <w:abstractNum w:abstractNumId="16">
    <w:nsid w:val="79802B3D"/>
    <w:multiLevelType w:val="singleLevel"/>
    <w:tmpl w:val="79802B3D"/>
    <w:lvl w:ilvl="0" w:tentative="0">
      <w:start w:val="1"/>
      <w:numFmt w:val="decimal"/>
      <w:suff w:val="nothing"/>
      <w:lvlText w:val="%1、"/>
      <w:lvlJc w:val="left"/>
    </w:lvl>
  </w:abstractNum>
  <w:abstractNum w:abstractNumId="17">
    <w:nsid w:val="7C46E264"/>
    <w:multiLevelType w:val="singleLevel"/>
    <w:tmpl w:val="7C46E264"/>
    <w:lvl w:ilvl="0" w:tentative="0">
      <w:start w:val="1"/>
      <w:numFmt w:val="decimal"/>
      <w:suff w:val="nothing"/>
      <w:lvlText w:val="（%1）"/>
      <w:lvlJc w:val="left"/>
    </w:lvl>
  </w:abstractNum>
  <w:num w:numId="1">
    <w:abstractNumId w:val="14"/>
  </w:num>
  <w:num w:numId="2">
    <w:abstractNumId w:val="2"/>
  </w:num>
  <w:num w:numId="3">
    <w:abstractNumId w:val="16"/>
  </w:num>
  <w:num w:numId="4">
    <w:abstractNumId w:val="3"/>
  </w:num>
  <w:num w:numId="5">
    <w:abstractNumId w:val="8"/>
  </w:num>
  <w:num w:numId="6">
    <w:abstractNumId w:val="5"/>
  </w:num>
  <w:num w:numId="7">
    <w:abstractNumId w:val="7"/>
  </w:num>
  <w:num w:numId="8">
    <w:abstractNumId w:val="17"/>
  </w:num>
  <w:num w:numId="9">
    <w:abstractNumId w:val="15"/>
  </w:num>
  <w:num w:numId="10">
    <w:abstractNumId w:val="11"/>
  </w:num>
  <w:num w:numId="11">
    <w:abstractNumId w:val="9"/>
  </w:num>
  <w:num w:numId="12">
    <w:abstractNumId w:val="12"/>
  </w:num>
  <w:num w:numId="13">
    <w:abstractNumId w:val="4"/>
  </w:num>
  <w:num w:numId="14">
    <w:abstractNumId w:val="6"/>
  </w:num>
  <w:num w:numId="15">
    <w:abstractNumId w:val="10"/>
  </w:num>
  <w:num w:numId="16">
    <w:abstractNumId w:val="13"/>
  </w:num>
  <w:num w:numId="17">
    <w:abstractNumId w:val="1"/>
  </w:num>
  <w:num w:numId="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cyM2MzOTUyNWMzODAyOThmMDJiYzMwZTQxNWJlYmEifQ=="/>
  </w:docVars>
  <w:rsids>
    <w:rsidRoot w:val="00172A27"/>
    <w:rsid w:val="000060B3"/>
    <w:rsid w:val="00015393"/>
    <w:rsid w:val="00033D79"/>
    <w:rsid w:val="00037F47"/>
    <w:rsid w:val="00042886"/>
    <w:rsid w:val="0004364B"/>
    <w:rsid w:val="00061B1F"/>
    <w:rsid w:val="00062C9E"/>
    <w:rsid w:val="00065CB7"/>
    <w:rsid w:val="000733C4"/>
    <w:rsid w:val="00074783"/>
    <w:rsid w:val="0008070B"/>
    <w:rsid w:val="000810AC"/>
    <w:rsid w:val="00081A02"/>
    <w:rsid w:val="00082231"/>
    <w:rsid w:val="00092D38"/>
    <w:rsid w:val="0009377B"/>
    <w:rsid w:val="000A16B8"/>
    <w:rsid w:val="000A20C9"/>
    <w:rsid w:val="000B058F"/>
    <w:rsid w:val="000B3898"/>
    <w:rsid w:val="000B4467"/>
    <w:rsid w:val="000B4DB9"/>
    <w:rsid w:val="000C09AC"/>
    <w:rsid w:val="000C767F"/>
    <w:rsid w:val="000D5A44"/>
    <w:rsid w:val="000E320B"/>
    <w:rsid w:val="000E3ED2"/>
    <w:rsid w:val="00103EB9"/>
    <w:rsid w:val="00104980"/>
    <w:rsid w:val="001100D8"/>
    <w:rsid w:val="00131F42"/>
    <w:rsid w:val="001357F1"/>
    <w:rsid w:val="00140FA8"/>
    <w:rsid w:val="00142FEB"/>
    <w:rsid w:val="00143A2D"/>
    <w:rsid w:val="00145A41"/>
    <w:rsid w:val="00151675"/>
    <w:rsid w:val="00157435"/>
    <w:rsid w:val="00172A27"/>
    <w:rsid w:val="0017504D"/>
    <w:rsid w:val="0017671A"/>
    <w:rsid w:val="00177422"/>
    <w:rsid w:val="00184590"/>
    <w:rsid w:val="001870D1"/>
    <w:rsid w:val="0018781E"/>
    <w:rsid w:val="0019262D"/>
    <w:rsid w:val="001A1B35"/>
    <w:rsid w:val="001A48A2"/>
    <w:rsid w:val="001A6F61"/>
    <w:rsid w:val="001B72B8"/>
    <w:rsid w:val="001C13B2"/>
    <w:rsid w:val="001C69B3"/>
    <w:rsid w:val="001D5595"/>
    <w:rsid w:val="001D7874"/>
    <w:rsid w:val="001D7F22"/>
    <w:rsid w:val="001F0F17"/>
    <w:rsid w:val="001F3347"/>
    <w:rsid w:val="001F69E4"/>
    <w:rsid w:val="00200D72"/>
    <w:rsid w:val="002125B4"/>
    <w:rsid w:val="002155B8"/>
    <w:rsid w:val="00217C1E"/>
    <w:rsid w:val="00224839"/>
    <w:rsid w:val="002249B2"/>
    <w:rsid w:val="00224A1A"/>
    <w:rsid w:val="00226574"/>
    <w:rsid w:val="002278EC"/>
    <w:rsid w:val="0023280E"/>
    <w:rsid w:val="002377D1"/>
    <w:rsid w:val="00242903"/>
    <w:rsid w:val="002506BC"/>
    <w:rsid w:val="0025231A"/>
    <w:rsid w:val="00254345"/>
    <w:rsid w:val="00264557"/>
    <w:rsid w:val="002805AB"/>
    <w:rsid w:val="00280A54"/>
    <w:rsid w:val="00284204"/>
    <w:rsid w:val="00290EF2"/>
    <w:rsid w:val="00291773"/>
    <w:rsid w:val="002A168C"/>
    <w:rsid w:val="002A1C8A"/>
    <w:rsid w:val="002A3DC7"/>
    <w:rsid w:val="002B49E2"/>
    <w:rsid w:val="002B5123"/>
    <w:rsid w:val="002B7B00"/>
    <w:rsid w:val="002B7C44"/>
    <w:rsid w:val="002C2B17"/>
    <w:rsid w:val="002C6B57"/>
    <w:rsid w:val="002D3DD0"/>
    <w:rsid w:val="002E1F3A"/>
    <w:rsid w:val="002E298A"/>
    <w:rsid w:val="002E484B"/>
    <w:rsid w:val="00301978"/>
    <w:rsid w:val="0030332C"/>
    <w:rsid w:val="00304E23"/>
    <w:rsid w:val="003051C2"/>
    <w:rsid w:val="00312296"/>
    <w:rsid w:val="00314F0E"/>
    <w:rsid w:val="00316131"/>
    <w:rsid w:val="00321D8E"/>
    <w:rsid w:val="00325928"/>
    <w:rsid w:val="00332863"/>
    <w:rsid w:val="00334994"/>
    <w:rsid w:val="0033684D"/>
    <w:rsid w:val="00336ABB"/>
    <w:rsid w:val="00337B42"/>
    <w:rsid w:val="00341B42"/>
    <w:rsid w:val="0034348F"/>
    <w:rsid w:val="00356653"/>
    <w:rsid w:val="0035743F"/>
    <w:rsid w:val="00357BE2"/>
    <w:rsid w:val="0036170C"/>
    <w:rsid w:val="003656DF"/>
    <w:rsid w:val="00366E0F"/>
    <w:rsid w:val="0037164D"/>
    <w:rsid w:val="003808F8"/>
    <w:rsid w:val="00381A72"/>
    <w:rsid w:val="00384676"/>
    <w:rsid w:val="00390857"/>
    <w:rsid w:val="003974E4"/>
    <w:rsid w:val="003A4BF3"/>
    <w:rsid w:val="003B420D"/>
    <w:rsid w:val="003C6C16"/>
    <w:rsid w:val="003D3FBC"/>
    <w:rsid w:val="003D794D"/>
    <w:rsid w:val="003E3058"/>
    <w:rsid w:val="003E76A9"/>
    <w:rsid w:val="003F0809"/>
    <w:rsid w:val="003F3A8E"/>
    <w:rsid w:val="003F6A8C"/>
    <w:rsid w:val="003F755C"/>
    <w:rsid w:val="00406F01"/>
    <w:rsid w:val="004106CC"/>
    <w:rsid w:val="00416D50"/>
    <w:rsid w:val="00416FD5"/>
    <w:rsid w:val="00417772"/>
    <w:rsid w:val="00420E6A"/>
    <w:rsid w:val="00425A9E"/>
    <w:rsid w:val="00426D6B"/>
    <w:rsid w:val="00431E6C"/>
    <w:rsid w:val="00433CE7"/>
    <w:rsid w:val="0045210B"/>
    <w:rsid w:val="00452738"/>
    <w:rsid w:val="00456091"/>
    <w:rsid w:val="00466321"/>
    <w:rsid w:val="004719CF"/>
    <w:rsid w:val="0047617A"/>
    <w:rsid w:val="00484B9B"/>
    <w:rsid w:val="004855F6"/>
    <w:rsid w:val="0048661E"/>
    <w:rsid w:val="00494670"/>
    <w:rsid w:val="004A3823"/>
    <w:rsid w:val="004D259A"/>
    <w:rsid w:val="004E13E4"/>
    <w:rsid w:val="004E6946"/>
    <w:rsid w:val="004F1AD8"/>
    <w:rsid w:val="004F4B06"/>
    <w:rsid w:val="005039CB"/>
    <w:rsid w:val="0050558F"/>
    <w:rsid w:val="00506286"/>
    <w:rsid w:val="00510813"/>
    <w:rsid w:val="00511990"/>
    <w:rsid w:val="00511DE0"/>
    <w:rsid w:val="00514870"/>
    <w:rsid w:val="00514B9B"/>
    <w:rsid w:val="00514E01"/>
    <w:rsid w:val="00517F02"/>
    <w:rsid w:val="00524303"/>
    <w:rsid w:val="005258A2"/>
    <w:rsid w:val="005366A0"/>
    <w:rsid w:val="00537F42"/>
    <w:rsid w:val="005401AE"/>
    <w:rsid w:val="00542E07"/>
    <w:rsid w:val="00545424"/>
    <w:rsid w:val="00553BE4"/>
    <w:rsid w:val="00554A7B"/>
    <w:rsid w:val="0055572C"/>
    <w:rsid w:val="0056106A"/>
    <w:rsid w:val="00564E42"/>
    <w:rsid w:val="005720AE"/>
    <w:rsid w:val="00573BE7"/>
    <w:rsid w:val="005800E0"/>
    <w:rsid w:val="00594D77"/>
    <w:rsid w:val="005969E4"/>
    <w:rsid w:val="00596BB0"/>
    <w:rsid w:val="005A06B7"/>
    <w:rsid w:val="005A1759"/>
    <w:rsid w:val="005A44BE"/>
    <w:rsid w:val="005A5FC4"/>
    <w:rsid w:val="005A68A7"/>
    <w:rsid w:val="005C178B"/>
    <w:rsid w:val="005C3EEB"/>
    <w:rsid w:val="005D36AB"/>
    <w:rsid w:val="005D5C0B"/>
    <w:rsid w:val="005D7F68"/>
    <w:rsid w:val="00610E11"/>
    <w:rsid w:val="00617CC3"/>
    <w:rsid w:val="006377A6"/>
    <w:rsid w:val="00637A3D"/>
    <w:rsid w:val="00637B0B"/>
    <w:rsid w:val="006411EF"/>
    <w:rsid w:val="00644627"/>
    <w:rsid w:val="00663447"/>
    <w:rsid w:val="006710E7"/>
    <w:rsid w:val="006748B8"/>
    <w:rsid w:val="006775C3"/>
    <w:rsid w:val="00691A6A"/>
    <w:rsid w:val="0069290A"/>
    <w:rsid w:val="006933D4"/>
    <w:rsid w:val="0069775A"/>
    <w:rsid w:val="00697813"/>
    <w:rsid w:val="006A3EE8"/>
    <w:rsid w:val="006A4CEA"/>
    <w:rsid w:val="006A57F8"/>
    <w:rsid w:val="006A72BF"/>
    <w:rsid w:val="006B03F2"/>
    <w:rsid w:val="006B37DC"/>
    <w:rsid w:val="006B4F68"/>
    <w:rsid w:val="006B6118"/>
    <w:rsid w:val="006B7335"/>
    <w:rsid w:val="006C0592"/>
    <w:rsid w:val="006C272E"/>
    <w:rsid w:val="006C5479"/>
    <w:rsid w:val="006D10B2"/>
    <w:rsid w:val="006D13B5"/>
    <w:rsid w:val="006E12FF"/>
    <w:rsid w:val="006E51EE"/>
    <w:rsid w:val="006E607E"/>
    <w:rsid w:val="00701B65"/>
    <w:rsid w:val="00706C5D"/>
    <w:rsid w:val="00732922"/>
    <w:rsid w:val="0073375A"/>
    <w:rsid w:val="00737F6F"/>
    <w:rsid w:val="0075162E"/>
    <w:rsid w:val="00754034"/>
    <w:rsid w:val="00756556"/>
    <w:rsid w:val="007618C4"/>
    <w:rsid w:val="0076467D"/>
    <w:rsid w:val="00767980"/>
    <w:rsid w:val="00770B19"/>
    <w:rsid w:val="0077463F"/>
    <w:rsid w:val="007776D0"/>
    <w:rsid w:val="007836EA"/>
    <w:rsid w:val="00784CDA"/>
    <w:rsid w:val="007906C4"/>
    <w:rsid w:val="007940EA"/>
    <w:rsid w:val="007967E8"/>
    <w:rsid w:val="007A2170"/>
    <w:rsid w:val="007A22BF"/>
    <w:rsid w:val="007A3323"/>
    <w:rsid w:val="007B2FEB"/>
    <w:rsid w:val="007B72B8"/>
    <w:rsid w:val="007B7A58"/>
    <w:rsid w:val="007C21B5"/>
    <w:rsid w:val="007D2A27"/>
    <w:rsid w:val="007D4500"/>
    <w:rsid w:val="007E4BD2"/>
    <w:rsid w:val="007F511B"/>
    <w:rsid w:val="007F7CC5"/>
    <w:rsid w:val="00801393"/>
    <w:rsid w:val="00802247"/>
    <w:rsid w:val="00802F88"/>
    <w:rsid w:val="0081293E"/>
    <w:rsid w:val="00815465"/>
    <w:rsid w:val="00817E9A"/>
    <w:rsid w:val="008306BD"/>
    <w:rsid w:val="00831A80"/>
    <w:rsid w:val="00833743"/>
    <w:rsid w:val="008340A4"/>
    <w:rsid w:val="0087135F"/>
    <w:rsid w:val="00872D94"/>
    <w:rsid w:val="008777F1"/>
    <w:rsid w:val="00880364"/>
    <w:rsid w:val="00891592"/>
    <w:rsid w:val="00891E9E"/>
    <w:rsid w:val="008A2F68"/>
    <w:rsid w:val="008B4FA6"/>
    <w:rsid w:val="008B5282"/>
    <w:rsid w:val="008B7C17"/>
    <w:rsid w:val="008C20CF"/>
    <w:rsid w:val="008C2D01"/>
    <w:rsid w:val="008C40E6"/>
    <w:rsid w:val="008C5510"/>
    <w:rsid w:val="008C6919"/>
    <w:rsid w:val="008D0F7A"/>
    <w:rsid w:val="008D68E4"/>
    <w:rsid w:val="008E0506"/>
    <w:rsid w:val="008E0CFF"/>
    <w:rsid w:val="008E5D6B"/>
    <w:rsid w:val="008E76F0"/>
    <w:rsid w:val="008F08CD"/>
    <w:rsid w:val="008F15FE"/>
    <w:rsid w:val="008F2D29"/>
    <w:rsid w:val="008F5187"/>
    <w:rsid w:val="008F60D8"/>
    <w:rsid w:val="00902727"/>
    <w:rsid w:val="0090312B"/>
    <w:rsid w:val="0090318F"/>
    <w:rsid w:val="00903450"/>
    <w:rsid w:val="0091736D"/>
    <w:rsid w:val="009175AF"/>
    <w:rsid w:val="00921CC8"/>
    <w:rsid w:val="0093037A"/>
    <w:rsid w:val="0094154D"/>
    <w:rsid w:val="0094366A"/>
    <w:rsid w:val="0095155F"/>
    <w:rsid w:val="00954429"/>
    <w:rsid w:val="009563CE"/>
    <w:rsid w:val="00962555"/>
    <w:rsid w:val="00962C96"/>
    <w:rsid w:val="009702EE"/>
    <w:rsid w:val="009739FA"/>
    <w:rsid w:val="00976328"/>
    <w:rsid w:val="0097680D"/>
    <w:rsid w:val="009805B1"/>
    <w:rsid w:val="00982438"/>
    <w:rsid w:val="0098404C"/>
    <w:rsid w:val="00985283"/>
    <w:rsid w:val="00991522"/>
    <w:rsid w:val="00995296"/>
    <w:rsid w:val="009953DB"/>
    <w:rsid w:val="00995992"/>
    <w:rsid w:val="009A03E5"/>
    <w:rsid w:val="009A0F3B"/>
    <w:rsid w:val="009A1BB4"/>
    <w:rsid w:val="009A2628"/>
    <w:rsid w:val="009A3200"/>
    <w:rsid w:val="009B0897"/>
    <w:rsid w:val="009B7BD9"/>
    <w:rsid w:val="009C2418"/>
    <w:rsid w:val="009C7DD5"/>
    <w:rsid w:val="009D6BDF"/>
    <w:rsid w:val="009E227D"/>
    <w:rsid w:val="009E5019"/>
    <w:rsid w:val="00A02E4A"/>
    <w:rsid w:val="00A04F1B"/>
    <w:rsid w:val="00A0501B"/>
    <w:rsid w:val="00A13AE9"/>
    <w:rsid w:val="00A14947"/>
    <w:rsid w:val="00A31C68"/>
    <w:rsid w:val="00A32A83"/>
    <w:rsid w:val="00A368DB"/>
    <w:rsid w:val="00A423AA"/>
    <w:rsid w:val="00A51DD7"/>
    <w:rsid w:val="00A53EC6"/>
    <w:rsid w:val="00A55C0F"/>
    <w:rsid w:val="00A613B7"/>
    <w:rsid w:val="00A67B41"/>
    <w:rsid w:val="00A7118B"/>
    <w:rsid w:val="00A746FC"/>
    <w:rsid w:val="00A75EDD"/>
    <w:rsid w:val="00A7714A"/>
    <w:rsid w:val="00A8713F"/>
    <w:rsid w:val="00A90BA1"/>
    <w:rsid w:val="00A95590"/>
    <w:rsid w:val="00A97A9A"/>
    <w:rsid w:val="00AA0671"/>
    <w:rsid w:val="00AA2531"/>
    <w:rsid w:val="00AB1E09"/>
    <w:rsid w:val="00AB5330"/>
    <w:rsid w:val="00AB7747"/>
    <w:rsid w:val="00AC14CE"/>
    <w:rsid w:val="00AC2A56"/>
    <w:rsid w:val="00AD055E"/>
    <w:rsid w:val="00AD47A7"/>
    <w:rsid w:val="00AE5CFB"/>
    <w:rsid w:val="00AF0CBF"/>
    <w:rsid w:val="00AF257F"/>
    <w:rsid w:val="00AF33CF"/>
    <w:rsid w:val="00AF4D50"/>
    <w:rsid w:val="00AF6179"/>
    <w:rsid w:val="00AF7ED4"/>
    <w:rsid w:val="00B002BD"/>
    <w:rsid w:val="00B0222D"/>
    <w:rsid w:val="00B1083A"/>
    <w:rsid w:val="00B1295A"/>
    <w:rsid w:val="00B20A45"/>
    <w:rsid w:val="00B22C5C"/>
    <w:rsid w:val="00B24F30"/>
    <w:rsid w:val="00B301C1"/>
    <w:rsid w:val="00B31ABF"/>
    <w:rsid w:val="00B33BE3"/>
    <w:rsid w:val="00B53B5D"/>
    <w:rsid w:val="00B6055E"/>
    <w:rsid w:val="00B6317D"/>
    <w:rsid w:val="00B66D19"/>
    <w:rsid w:val="00B71D74"/>
    <w:rsid w:val="00B7723F"/>
    <w:rsid w:val="00B80534"/>
    <w:rsid w:val="00B8433C"/>
    <w:rsid w:val="00B87491"/>
    <w:rsid w:val="00BA29E9"/>
    <w:rsid w:val="00BA3A13"/>
    <w:rsid w:val="00BA7142"/>
    <w:rsid w:val="00BB237C"/>
    <w:rsid w:val="00BB41A3"/>
    <w:rsid w:val="00BB6A1B"/>
    <w:rsid w:val="00BC292D"/>
    <w:rsid w:val="00BC32DC"/>
    <w:rsid w:val="00BC35B6"/>
    <w:rsid w:val="00BD1B51"/>
    <w:rsid w:val="00BD4596"/>
    <w:rsid w:val="00BE1405"/>
    <w:rsid w:val="00BE312D"/>
    <w:rsid w:val="00BF1C20"/>
    <w:rsid w:val="00BF26F7"/>
    <w:rsid w:val="00C10578"/>
    <w:rsid w:val="00C135BC"/>
    <w:rsid w:val="00C15C95"/>
    <w:rsid w:val="00C2596A"/>
    <w:rsid w:val="00C27223"/>
    <w:rsid w:val="00C27537"/>
    <w:rsid w:val="00C328FE"/>
    <w:rsid w:val="00C33507"/>
    <w:rsid w:val="00C3751F"/>
    <w:rsid w:val="00C4409D"/>
    <w:rsid w:val="00C44E72"/>
    <w:rsid w:val="00C45A06"/>
    <w:rsid w:val="00C47E5B"/>
    <w:rsid w:val="00C50D79"/>
    <w:rsid w:val="00C61E4B"/>
    <w:rsid w:val="00C63150"/>
    <w:rsid w:val="00C64BFF"/>
    <w:rsid w:val="00C704E9"/>
    <w:rsid w:val="00C71910"/>
    <w:rsid w:val="00C75EB6"/>
    <w:rsid w:val="00C763C9"/>
    <w:rsid w:val="00C80057"/>
    <w:rsid w:val="00C82232"/>
    <w:rsid w:val="00C82913"/>
    <w:rsid w:val="00C94296"/>
    <w:rsid w:val="00C95273"/>
    <w:rsid w:val="00C972B1"/>
    <w:rsid w:val="00CA2CCE"/>
    <w:rsid w:val="00CA43FD"/>
    <w:rsid w:val="00CA7EF8"/>
    <w:rsid w:val="00CC199D"/>
    <w:rsid w:val="00CC489B"/>
    <w:rsid w:val="00CD2A97"/>
    <w:rsid w:val="00CD2BCD"/>
    <w:rsid w:val="00CD3A4C"/>
    <w:rsid w:val="00CE10E9"/>
    <w:rsid w:val="00CE2910"/>
    <w:rsid w:val="00CE5393"/>
    <w:rsid w:val="00CF36BE"/>
    <w:rsid w:val="00CF6000"/>
    <w:rsid w:val="00D003F3"/>
    <w:rsid w:val="00D0364F"/>
    <w:rsid w:val="00D05DF8"/>
    <w:rsid w:val="00D06834"/>
    <w:rsid w:val="00D16D25"/>
    <w:rsid w:val="00D23ACE"/>
    <w:rsid w:val="00D267A2"/>
    <w:rsid w:val="00D308ED"/>
    <w:rsid w:val="00D313CB"/>
    <w:rsid w:val="00D36D86"/>
    <w:rsid w:val="00D428AA"/>
    <w:rsid w:val="00D50A34"/>
    <w:rsid w:val="00D50A53"/>
    <w:rsid w:val="00D53EFA"/>
    <w:rsid w:val="00D54EB4"/>
    <w:rsid w:val="00D571FC"/>
    <w:rsid w:val="00D60BFA"/>
    <w:rsid w:val="00D64E37"/>
    <w:rsid w:val="00D6540A"/>
    <w:rsid w:val="00D94A7C"/>
    <w:rsid w:val="00D95896"/>
    <w:rsid w:val="00D95DAE"/>
    <w:rsid w:val="00DA0122"/>
    <w:rsid w:val="00DA7606"/>
    <w:rsid w:val="00DB2983"/>
    <w:rsid w:val="00DC1257"/>
    <w:rsid w:val="00DC3DC0"/>
    <w:rsid w:val="00DC56FA"/>
    <w:rsid w:val="00DC5B2B"/>
    <w:rsid w:val="00DC7623"/>
    <w:rsid w:val="00DD055B"/>
    <w:rsid w:val="00DD318D"/>
    <w:rsid w:val="00DF2E12"/>
    <w:rsid w:val="00DF514A"/>
    <w:rsid w:val="00DF6690"/>
    <w:rsid w:val="00DF6804"/>
    <w:rsid w:val="00E02489"/>
    <w:rsid w:val="00E0358D"/>
    <w:rsid w:val="00E04323"/>
    <w:rsid w:val="00E070A2"/>
    <w:rsid w:val="00E16683"/>
    <w:rsid w:val="00E2656A"/>
    <w:rsid w:val="00E412D0"/>
    <w:rsid w:val="00E458A0"/>
    <w:rsid w:val="00E56322"/>
    <w:rsid w:val="00E60982"/>
    <w:rsid w:val="00E62C62"/>
    <w:rsid w:val="00E63C30"/>
    <w:rsid w:val="00E654C1"/>
    <w:rsid w:val="00E65D97"/>
    <w:rsid w:val="00E72A5A"/>
    <w:rsid w:val="00E72A67"/>
    <w:rsid w:val="00E73354"/>
    <w:rsid w:val="00E74272"/>
    <w:rsid w:val="00E9242D"/>
    <w:rsid w:val="00E93108"/>
    <w:rsid w:val="00EA73B0"/>
    <w:rsid w:val="00EB5255"/>
    <w:rsid w:val="00EB5C47"/>
    <w:rsid w:val="00ED0639"/>
    <w:rsid w:val="00ED1E43"/>
    <w:rsid w:val="00EF4755"/>
    <w:rsid w:val="00EF7135"/>
    <w:rsid w:val="00F027DB"/>
    <w:rsid w:val="00F14A7A"/>
    <w:rsid w:val="00F1600F"/>
    <w:rsid w:val="00F22985"/>
    <w:rsid w:val="00F3383E"/>
    <w:rsid w:val="00F370A0"/>
    <w:rsid w:val="00F465A7"/>
    <w:rsid w:val="00F50B7C"/>
    <w:rsid w:val="00F5266A"/>
    <w:rsid w:val="00F550E6"/>
    <w:rsid w:val="00F55404"/>
    <w:rsid w:val="00F575B7"/>
    <w:rsid w:val="00F733CE"/>
    <w:rsid w:val="00F74345"/>
    <w:rsid w:val="00F80388"/>
    <w:rsid w:val="00F80A0A"/>
    <w:rsid w:val="00F81A9E"/>
    <w:rsid w:val="00F82B19"/>
    <w:rsid w:val="00F9212D"/>
    <w:rsid w:val="00F961F0"/>
    <w:rsid w:val="00F965DA"/>
    <w:rsid w:val="00FA2BDD"/>
    <w:rsid w:val="00FA406A"/>
    <w:rsid w:val="00FB2A54"/>
    <w:rsid w:val="00FB503A"/>
    <w:rsid w:val="00FB516C"/>
    <w:rsid w:val="00FB74ED"/>
    <w:rsid w:val="00FC1A7B"/>
    <w:rsid w:val="00FD0236"/>
    <w:rsid w:val="00FD1465"/>
    <w:rsid w:val="00FD18F4"/>
    <w:rsid w:val="00FD54DB"/>
    <w:rsid w:val="00FD593C"/>
    <w:rsid w:val="00FD619F"/>
    <w:rsid w:val="00FF0676"/>
    <w:rsid w:val="0114437B"/>
    <w:rsid w:val="01290F7E"/>
    <w:rsid w:val="015D1E09"/>
    <w:rsid w:val="017E29E3"/>
    <w:rsid w:val="01BD1C60"/>
    <w:rsid w:val="021D05F0"/>
    <w:rsid w:val="02625B13"/>
    <w:rsid w:val="02697903"/>
    <w:rsid w:val="02D21887"/>
    <w:rsid w:val="02F96569"/>
    <w:rsid w:val="030D1EF4"/>
    <w:rsid w:val="032D7F7E"/>
    <w:rsid w:val="039169E6"/>
    <w:rsid w:val="039E6600"/>
    <w:rsid w:val="03EA7B21"/>
    <w:rsid w:val="041643E8"/>
    <w:rsid w:val="04173407"/>
    <w:rsid w:val="04470EA0"/>
    <w:rsid w:val="049C25A4"/>
    <w:rsid w:val="04C47CFA"/>
    <w:rsid w:val="04D13FFB"/>
    <w:rsid w:val="054360DF"/>
    <w:rsid w:val="055379CE"/>
    <w:rsid w:val="05AB74DB"/>
    <w:rsid w:val="05B17A34"/>
    <w:rsid w:val="05F83EAE"/>
    <w:rsid w:val="06065B43"/>
    <w:rsid w:val="062B146F"/>
    <w:rsid w:val="063E7D85"/>
    <w:rsid w:val="064179DC"/>
    <w:rsid w:val="068F161B"/>
    <w:rsid w:val="06D04334"/>
    <w:rsid w:val="06F3796E"/>
    <w:rsid w:val="07293586"/>
    <w:rsid w:val="07295285"/>
    <w:rsid w:val="07636392"/>
    <w:rsid w:val="07770C56"/>
    <w:rsid w:val="077A480B"/>
    <w:rsid w:val="07A546B7"/>
    <w:rsid w:val="07B7700B"/>
    <w:rsid w:val="089274F8"/>
    <w:rsid w:val="089A0371"/>
    <w:rsid w:val="08CD62B5"/>
    <w:rsid w:val="08D13CB5"/>
    <w:rsid w:val="08D55C6A"/>
    <w:rsid w:val="092217DD"/>
    <w:rsid w:val="093A7294"/>
    <w:rsid w:val="0A263993"/>
    <w:rsid w:val="0A2D3AC2"/>
    <w:rsid w:val="0A352AEB"/>
    <w:rsid w:val="0AA755DF"/>
    <w:rsid w:val="0B120D44"/>
    <w:rsid w:val="0B37555E"/>
    <w:rsid w:val="0B3D2C95"/>
    <w:rsid w:val="0B5A4478"/>
    <w:rsid w:val="0BBB392A"/>
    <w:rsid w:val="0BBF69EB"/>
    <w:rsid w:val="0BD27BF6"/>
    <w:rsid w:val="0BF72C57"/>
    <w:rsid w:val="0BFC48DE"/>
    <w:rsid w:val="0BFF4A12"/>
    <w:rsid w:val="0C271BB9"/>
    <w:rsid w:val="0C3B3C7D"/>
    <w:rsid w:val="0C5B0F6A"/>
    <w:rsid w:val="0CAB2EAE"/>
    <w:rsid w:val="0CDE3C35"/>
    <w:rsid w:val="0D1050BD"/>
    <w:rsid w:val="0D1474F7"/>
    <w:rsid w:val="0D191390"/>
    <w:rsid w:val="0D5716BB"/>
    <w:rsid w:val="0D621C7D"/>
    <w:rsid w:val="0DBE36AD"/>
    <w:rsid w:val="0DE04142"/>
    <w:rsid w:val="0DEA461B"/>
    <w:rsid w:val="0E124F97"/>
    <w:rsid w:val="0E262E7C"/>
    <w:rsid w:val="0E4E794E"/>
    <w:rsid w:val="0E73034D"/>
    <w:rsid w:val="0E874C8E"/>
    <w:rsid w:val="0E8E7E3A"/>
    <w:rsid w:val="0ECA527C"/>
    <w:rsid w:val="0F13775A"/>
    <w:rsid w:val="0F5F45FE"/>
    <w:rsid w:val="0F655F3A"/>
    <w:rsid w:val="0F782584"/>
    <w:rsid w:val="0F9A112B"/>
    <w:rsid w:val="0FA94CB0"/>
    <w:rsid w:val="0FB44F9A"/>
    <w:rsid w:val="0FC66870"/>
    <w:rsid w:val="0FC80860"/>
    <w:rsid w:val="10090044"/>
    <w:rsid w:val="106D2F64"/>
    <w:rsid w:val="10B63710"/>
    <w:rsid w:val="10F10820"/>
    <w:rsid w:val="10F21D8E"/>
    <w:rsid w:val="111C2F7A"/>
    <w:rsid w:val="11523BCF"/>
    <w:rsid w:val="11665CA1"/>
    <w:rsid w:val="11BD440D"/>
    <w:rsid w:val="11CB736B"/>
    <w:rsid w:val="1224314F"/>
    <w:rsid w:val="12886951"/>
    <w:rsid w:val="131645CE"/>
    <w:rsid w:val="1387341A"/>
    <w:rsid w:val="13951726"/>
    <w:rsid w:val="13A465FF"/>
    <w:rsid w:val="13D57A27"/>
    <w:rsid w:val="140642D1"/>
    <w:rsid w:val="14396509"/>
    <w:rsid w:val="14B303D8"/>
    <w:rsid w:val="14B47066"/>
    <w:rsid w:val="14DD2C3C"/>
    <w:rsid w:val="15020A8B"/>
    <w:rsid w:val="154C297A"/>
    <w:rsid w:val="156D734F"/>
    <w:rsid w:val="15A829C6"/>
    <w:rsid w:val="15E76625"/>
    <w:rsid w:val="16032440"/>
    <w:rsid w:val="16087E1D"/>
    <w:rsid w:val="16394285"/>
    <w:rsid w:val="166511F2"/>
    <w:rsid w:val="16B47306"/>
    <w:rsid w:val="17701D14"/>
    <w:rsid w:val="17735226"/>
    <w:rsid w:val="17CE5DF8"/>
    <w:rsid w:val="18250183"/>
    <w:rsid w:val="189F624C"/>
    <w:rsid w:val="19010775"/>
    <w:rsid w:val="19166457"/>
    <w:rsid w:val="193B083D"/>
    <w:rsid w:val="197C5DB6"/>
    <w:rsid w:val="199D1E47"/>
    <w:rsid w:val="19AE4A49"/>
    <w:rsid w:val="19D46B7B"/>
    <w:rsid w:val="1A1320D9"/>
    <w:rsid w:val="1A1C66C0"/>
    <w:rsid w:val="1A42393B"/>
    <w:rsid w:val="1AAD45DE"/>
    <w:rsid w:val="1AAE2A21"/>
    <w:rsid w:val="1ACE7C24"/>
    <w:rsid w:val="1B046F80"/>
    <w:rsid w:val="1B3267B5"/>
    <w:rsid w:val="1B40161D"/>
    <w:rsid w:val="1B441859"/>
    <w:rsid w:val="1B6606B1"/>
    <w:rsid w:val="1B8F6ADC"/>
    <w:rsid w:val="1BEE1BDA"/>
    <w:rsid w:val="1C5E7925"/>
    <w:rsid w:val="1C8247D4"/>
    <w:rsid w:val="1CD004C6"/>
    <w:rsid w:val="1CFA2902"/>
    <w:rsid w:val="1CFD070F"/>
    <w:rsid w:val="1D5F6196"/>
    <w:rsid w:val="1D6132A5"/>
    <w:rsid w:val="1D6D7C88"/>
    <w:rsid w:val="1D8E56D5"/>
    <w:rsid w:val="1DB66C15"/>
    <w:rsid w:val="1E7A43DA"/>
    <w:rsid w:val="1EAC053D"/>
    <w:rsid w:val="1F112AB0"/>
    <w:rsid w:val="1FB66CE4"/>
    <w:rsid w:val="1FCA2C8C"/>
    <w:rsid w:val="1FE7539E"/>
    <w:rsid w:val="2014397B"/>
    <w:rsid w:val="20362704"/>
    <w:rsid w:val="20626BA7"/>
    <w:rsid w:val="20671BE0"/>
    <w:rsid w:val="20963CB8"/>
    <w:rsid w:val="20A81A1B"/>
    <w:rsid w:val="20B07FB6"/>
    <w:rsid w:val="20B646FB"/>
    <w:rsid w:val="210F1978"/>
    <w:rsid w:val="21144B99"/>
    <w:rsid w:val="211F4A18"/>
    <w:rsid w:val="213B74B1"/>
    <w:rsid w:val="215A2310"/>
    <w:rsid w:val="216D2097"/>
    <w:rsid w:val="2178649D"/>
    <w:rsid w:val="21816D1D"/>
    <w:rsid w:val="218331DE"/>
    <w:rsid w:val="218A1FBD"/>
    <w:rsid w:val="21DE318A"/>
    <w:rsid w:val="21EF11BC"/>
    <w:rsid w:val="21EF5B80"/>
    <w:rsid w:val="22576990"/>
    <w:rsid w:val="22F068FF"/>
    <w:rsid w:val="22F47480"/>
    <w:rsid w:val="231E6B3F"/>
    <w:rsid w:val="234E45A3"/>
    <w:rsid w:val="23975E06"/>
    <w:rsid w:val="23BD0BE6"/>
    <w:rsid w:val="23CB443D"/>
    <w:rsid w:val="23DE1C48"/>
    <w:rsid w:val="23FA2E32"/>
    <w:rsid w:val="240210CD"/>
    <w:rsid w:val="240512E3"/>
    <w:rsid w:val="24520C26"/>
    <w:rsid w:val="246A3D6E"/>
    <w:rsid w:val="246E3188"/>
    <w:rsid w:val="24BF09F7"/>
    <w:rsid w:val="252D53FE"/>
    <w:rsid w:val="25432914"/>
    <w:rsid w:val="25EC2D81"/>
    <w:rsid w:val="262D7D0C"/>
    <w:rsid w:val="264F7DF4"/>
    <w:rsid w:val="267E2BB7"/>
    <w:rsid w:val="26832E31"/>
    <w:rsid w:val="27390962"/>
    <w:rsid w:val="277057A2"/>
    <w:rsid w:val="277D081C"/>
    <w:rsid w:val="279F6E2D"/>
    <w:rsid w:val="27D40308"/>
    <w:rsid w:val="28551074"/>
    <w:rsid w:val="286B7B67"/>
    <w:rsid w:val="28D024BA"/>
    <w:rsid w:val="28D35A40"/>
    <w:rsid w:val="28F76BEE"/>
    <w:rsid w:val="29206EB8"/>
    <w:rsid w:val="29595666"/>
    <w:rsid w:val="29725C52"/>
    <w:rsid w:val="298622B3"/>
    <w:rsid w:val="29874881"/>
    <w:rsid w:val="29BB09F4"/>
    <w:rsid w:val="29E325E0"/>
    <w:rsid w:val="2A054440"/>
    <w:rsid w:val="2A184BF9"/>
    <w:rsid w:val="2A452503"/>
    <w:rsid w:val="2A874568"/>
    <w:rsid w:val="2A9B632F"/>
    <w:rsid w:val="2B047E3D"/>
    <w:rsid w:val="2B123A72"/>
    <w:rsid w:val="2B276594"/>
    <w:rsid w:val="2B6103AA"/>
    <w:rsid w:val="2BA936A8"/>
    <w:rsid w:val="2C2551A4"/>
    <w:rsid w:val="2C2F7A68"/>
    <w:rsid w:val="2C315A5A"/>
    <w:rsid w:val="2C4B1C25"/>
    <w:rsid w:val="2CEF1CD0"/>
    <w:rsid w:val="2D261DC5"/>
    <w:rsid w:val="2D875F2A"/>
    <w:rsid w:val="2D9E56F5"/>
    <w:rsid w:val="2E1C4D8F"/>
    <w:rsid w:val="2E667F96"/>
    <w:rsid w:val="2E8226AB"/>
    <w:rsid w:val="2F50215D"/>
    <w:rsid w:val="2F63571D"/>
    <w:rsid w:val="2F6427FC"/>
    <w:rsid w:val="2F697261"/>
    <w:rsid w:val="2F724D86"/>
    <w:rsid w:val="2F8507F2"/>
    <w:rsid w:val="2FD065E6"/>
    <w:rsid w:val="2FD96870"/>
    <w:rsid w:val="2FE71B25"/>
    <w:rsid w:val="30580BC9"/>
    <w:rsid w:val="30A320F0"/>
    <w:rsid w:val="30AE2769"/>
    <w:rsid w:val="30DF1C17"/>
    <w:rsid w:val="311E2ED7"/>
    <w:rsid w:val="315619EE"/>
    <w:rsid w:val="315C449C"/>
    <w:rsid w:val="31925640"/>
    <w:rsid w:val="31B04DD9"/>
    <w:rsid w:val="31B82709"/>
    <w:rsid w:val="31C0089E"/>
    <w:rsid w:val="31D05482"/>
    <w:rsid w:val="3200064D"/>
    <w:rsid w:val="320F65D3"/>
    <w:rsid w:val="32400B34"/>
    <w:rsid w:val="329E6876"/>
    <w:rsid w:val="32E97F01"/>
    <w:rsid w:val="333015F2"/>
    <w:rsid w:val="334B6320"/>
    <w:rsid w:val="33D934D4"/>
    <w:rsid w:val="33E96E93"/>
    <w:rsid w:val="33FE2F6A"/>
    <w:rsid w:val="340E07E5"/>
    <w:rsid w:val="34235BF7"/>
    <w:rsid w:val="344D2E75"/>
    <w:rsid w:val="34512C96"/>
    <w:rsid w:val="35840C31"/>
    <w:rsid w:val="358C5FA8"/>
    <w:rsid w:val="359A1669"/>
    <w:rsid w:val="35C15DF1"/>
    <w:rsid w:val="35F6632E"/>
    <w:rsid w:val="36074A7F"/>
    <w:rsid w:val="361C17F5"/>
    <w:rsid w:val="36653004"/>
    <w:rsid w:val="36923549"/>
    <w:rsid w:val="36B75FBF"/>
    <w:rsid w:val="36BD0C45"/>
    <w:rsid w:val="37B431D7"/>
    <w:rsid w:val="37E00298"/>
    <w:rsid w:val="38082925"/>
    <w:rsid w:val="38886FB1"/>
    <w:rsid w:val="38B302F9"/>
    <w:rsid w:val="38F12CD3"/>
    <w:rsid w:val="38F94775"/>
    <w:rsid w:val="3903243C"/>
    <w:rsid w:val="392971ED"/>
    <w:rsid w:val="39325651"/>
    <w:rsid w:val="39412EA6"/>
    <w:rsid w:val="396A5315"/>
    <w:rsid w:val="39A11D24"/>
    <w:rsid w:val="39F65BCF"/>
    <w:rsid w:val="39FD547E"/>
    <w:rsid w:val="3A48361D"/>
    <w:rsid w:val="3A7E2A66"/>
    <w:rsid w:val="3A872856"/>
    <w:rsid w:val="3AB26431"/>
    <w:rsid w:val="3AF12CBA"/>
    <w:rsid w:val="3B036941"/>
    <w:rsid w:val="3B3763D1"/>
    <w:rsid w:val="3B694F97"/>
    <w:rsid w:val="3B6B4B17"/>
    <w:rsid w:val="3C2F6E1E"/>
    <w:rsid w:val="3C4B2DBB"/>
    <w:rsid w:val="3C4F64BA"/>
    <w:rsid w:val="3CDA245A"/>
    <w:rsid w:val="3D1E06B7"/>
    <w:rsid w:val="3DA77731"/>
    <w:rsid w:val="3DA805D9"/>
    <w:rsid w:val="3DCE23EC"/>
    <w:rsid w:val="3E0C3AEC"/>
    <w:rsid w:val="3E177B58"/>
    <w:rsid w:val="3E527CEA"/>
    <w:rsid w:val="3EDA0523"/>
    <w:rsid w:val="3F0B5584"/>
    <w:rsid w:val="3F244998"/>
    <w:rsid w:val="3F5327C1"/>
    <w:rsid w:val="3F6156D4"/>
    <w:rsid w:val="3F8276A8"/>
    <w:rsid w:val="3FB518EF"/>
    <w:rsid w:val="3FB9235A"/>
    <w:rsid w:val="40077295"/>
    <w:rsid w:val="407A6407"/>
    <w:rsid w:val="40811BCE"/>
    <w:rsid w:val="40B32BE1"/>
    <w:rsid w:val="40EB6256"/>
    <w:rsid w:val="41177613"/>
    <w:rsid w:val="415B3ACB"/>
    <w:rsid w:val="418538D4"/>
    <w:rsid w:val="418E0D47"/>
    <w:rsid w:val="41D340AC"/>
    <w:rsid w:val="4200449D"/>
    <w:rsid w:val="423A3BCC"/>
    <w:rsid w:val="424E57D2"/>
    <w:rsid w:val="42916243"/>
    <w:rsid w:val="429E7E3B"/>
    <w:rsid w:val="42B26C49"/>
    <w:rsid w:val="42B62B53"/>
    <w:rsid w:val="42D706F5"/>
    <w:rsid w:val="433A6FE6"/>
    <w:rsid w:val="43480868"/>
    <w:rsid w:val="4350713C"/>
    <w:rsid w:val="436653E0"/>
    <w:rsid w:val="437411B0"/>
    <w:rsid w:val="43862595"/>
    <w:rsid w:val="439039A1"/>
    <w:rsid w:val="43B0699F"/>
    <w:rsid w:val="43C4431A"/>
    <w:rsid w:val="444638B3"/>
    <w:rsid w:val="44904C10"/>
    <w:rsid w:val="44B951CC"/>
    <w:rsid w:val="44BF5774"/>
    <w:rsid w:val="44CD14E0"/>
    <w:rsid w:val="44F20B0B"/>
    <w:rsid w:val="452E5F4C"/>
    <w:rsid w:val="454E1EA7"/>
    <w:rsid w:val="454F2D8C"/>
    <w:rsid w:val="45511B82"/>
    <w:rsid w:val="45612018"/>
    <w:rsid w:val="457370C4"/>
    <w:rsid w:val="458946E9"/>
    <w:rsid w:val="45A47C0E"/>
    <w:rsid w:val="45A735A4"/>
    <w:rsid w:val="46577FD6"/>
    <w:rsid w:val="46D955A7"/>
    <w:rsid w:val="47133957"/>
    <w:rsid w:val="47226A4C"/>
    <w:rsid w:val="475F4596"/>
    <w:rsid w:val="47A07E0C"/>
    <w:rsid w:val="48040509"/>
    <w:rsid w:val="48196CC0"/>
    <w:rsid w:val="481C238B"/>
    <w:rsid w:val="48314BCF"/>
    <w:rsid w:val="48315A08"/>
    <w:rsid w:val="4870272E"/>
    <w:rsid w:val="491507D7"/>
    <w:rsid w:val="494D1F25"/>
    <w:rsid w:val="4962080E"/>
    <w:rsid w:val="499350CA"/>
    <w:rsid w:val="49DC7715"/>
    <w:rsid w:val="4A023139"/>
    <w:rsid w:val="4A7B576F"/>
    <w:rsid w:val="4AF561A9"/>
    <w:rsid w:val="4B107BAF"/>
    <w:rsid w:val="4B332719"/>
    <w:rsid w:val="4B5C6349"/>
    <w:rsid w:val="4B6C07D8"/>
    <w:rsid w:val="4BE80AB8"/>
    <w:rsid w:val="4C1E62B8"/>
    <w:rsid w:val="4C4A0649"/>
    <w:rsid w:val="4C7E5ECA"/>
    <w:rsid w:val="4C876AA5"/>
    <w:rsid w:val="4C913633"/>
    <w:rsid w:val="4D0E00FB"/>
    <w:rsid w:val="4D10423C"/>
    <w:rsid w:val="4D11539B"/>
    <w:rsid w:val="4D176606"/>
    <w:rsid w:val="4D3F4946"/>
    <w:rsid w:val="4D434A81"/>
    <w:rsid w:val="4D4A209F"/>
    <w:rsid w:val="4D787FE2"/>
    <w:rsid w:val="4DD31794"/>
    <w:rsid w:val="4DEA7385"/>
    <w:rsid w:val="4DEC4FB0"/>
    <w:rsid w:val="4DEF3DD5"/>
    <w:rsid w:val="4E075D8A"/>
    <w:rsid w:val="4E0D05CE"/>
    <w:rsid w:val="4E0F74CD"/>
    <w:rsid w:val="4E1A0BC2"/>
    <w:rsid w:val="4E2A327F"/>
    <w:rsid w:val="4E664843"/>
    <w:rsid w:val="4EA002DD"/>
    <w:rsid w:val="4EA100BB"/>
    <w:rsid w:val="4EC00FAD"/>
    <w:rsid w:val="4EFA609A"/>
    <w:rsid w:val="4EFB6741"/>
    <w:rsid w:val="4F081382"/>
    <w:rsid w:val="4F2752A4"/>
    <w:rsid w:val="4F2F2F84"/>
    <w:rsid w:val="4F9843DC"/>
    <w:rsid w:val="4FC62A8C"/>
    <w:rsid w:val="4FDF262A"/>
    <w:rsid w:val="4FE20F0D"/>
    <w:rsid w:val="4FE51552"/>
    <w:rsid w:val="500A0850"/>
    <w:rsid w:val="504D192E"/>
    <w:rsid w:val="50504C4B"/>
    <w:rsid w:val="506A725F"/>
    <w:rsid w:val="509C6E7C"/>
    <w:rsid w:val="50C23A0B"/>
    <w:rsid w:val="50DA064A"/>
    <w:rsid w:val="50DC0CC1"/>
    <w:rsid w:val="50FB1869"/>
    <w:rsid w:val="51525CD6"/>
    <w:rsid w:val="5162104E"/>
    <w:rsid w:val="51C72625"/>
    <w:rsid w:val="51E6296C"/>
    <w:rsid w:val="524D5760"/>
    <w:rsid w:val="52925E9B"/>
    <w:rsid w:val="52DC616C"/>
    <w:rsid w:val="53A039CC"/>
    <w:rsid w:val="53A1505A"/>
    <w:rsid w:val="53B042ED"/>
    <w:rsid w:val="53CE5F74"/>
    <w:rsid w:val="53E5165E"/>
    <w:rsid w:val="54063E08"/>
    <w:rsid w:val="54145162"/>
    <w:rsid w:val="541F52A9"/>
    <w:rsid w:val="543437E8"/>
    <w:rsid w:val="54F33119"/>
    <w:rsid w:val="54F73313"/>
    <w:rsid w:val="54F80955"/>
    <w:rsid w:val="55027606"/>
    <w:rsid w:val="555170A7"/>
    <w:rsid w:val="5563094D"/>
    <w:rsid w:val="558666F5"/>
    <w:rsid w:val="5587536D"/>
    <w:rsid w:val="55995F0D"/>
    <w:rsid w:val="559B174B"/>
    <w:rsid w:val="55A578E9"/>
    <w:rsid w:val="55CE0CF4"/>
    <w:rsid w:val="565546E4"/>
    <w:rsid w:val="56987076"/>
    <w:rsid w:val="56B22A9C"/>
    <w:rsid w:val="57346908"/>
    <w:rsid w:val="578245A0"/>
    <w:rsid w:val="57B72A76"/>
    <w:rsid w:val="57C20A71"/>
    <w:rsid w:val="57C20DC6"/>
    <w:rsid w:val="57C3426C"/>
    <w:rsid w:val="57CE1F93"/>
    <w:rsid w:val="57DB12F8"/>
    <w:rsid w:val="584850D4"/>
    <w:rsid w:val="585F09F2"/>
    <w:rsid w:val="588743D1"/>
    <w:rsid w:val="5887701A"/>
    <w:rsid w:val="58AF31E4"/>
    <w:rsid w:val="58DE6061"/>
    <w:rsid w:val="58E5269C"/>
    <w:rsid w:val="594F3C5E"/>
    <w:rsid w:val="59673A73"/>
    <w:rsid w:val="597419F7"/>
    <w:rsid w:val="597D6EA0"/>
    <w:rsid w:val="59A457F7"/>
    <w:rsid w:val="59C0439F"/>
    <w:rsid w:val="5A267D85"/>
    <w:rsid w:val="5A8A0566"/>
    <w:rsid w:val="5ABE2233"/>
    <w:rsid w:val="5AC121C6"/>
    <w:rsid w:val="5ACC25A2"/>
    <w:rsid w:val="5ADC2D46"/>
    <w:rsid w:val="5AFD4646"/>
    <w:rsid w:val="5B0B3FD4"/>
    <w:rsid w:val="5B116CD5"/>
    <w:rsid w:val="5B30041F"/>
    <w:rsid w:val="5B772740"/>
    <w:rsid w:val="5B8E736C"/>
    <w:rsid w:val="5B8F2FEE"/>
    <w:rsid w:val="5BAF4667"/>
    <w:rsid w:val="5BDF5D95"/>
    <w:rsid w:val="5BFE7528"/>
    <w:rsid w:val="5C0470DE"/>
    <w:rsid w:val="5C0610FE"/>
    <w:rsid w:val="5C323451"/>
    <w:rsid w:val="5CA32435"/>
    <w:rsid w:val="5D672DB1"/>
    <w:rsid w:val="5D8B2C0D"/>
    <w:rsid w:val="5E2467F1"/>
    <w:rsid w:val="5E87578C"/>
    <w:rsid w:val="5E883CE7"/>
    <w:rsid w:val="5E966E5A"/>
    <w:rsid w:val="5F057D8C"/>
    <w:rsid w:val="5F1A2B43"/>
    <w:rsid w:val="5F6C469D"/>
    <w:rsid w:val="5F703DCF"/>
    <w:rsid w:val="5F7449CE"/>
    <w:rsid w:val="5F8E025D"/>
    <w:rsid w:val="5FB837BB"/>
    <w:rsid w:val="5FC85466"/>
    <w:rsid w:val="5FE1142E"/>
    <w:rsid w:val="606F686D"/>
    <w:rsid w:val="60753300"/>
    <w:rsid w:val="60980FE6"/>
    <w:rsid w:val="60B10850"/>
    <w:rsid w:val="60CC405A"/>
    <w:rsid w:val="61043872"/>
    <w:rsid w:val="619D7EB0"/>
    <w:rsid w:val="61E215D8"/>
    <w:rsid w:val="61F77588"/>
    <w:rsid w:val="61FB4F64"/>
    <w:rsid w:val="621230CA"/>
    <w:rsid w:val="621B3775"/>
    <w:rsid w:val="62364782"/>
    <w:rsid w:val="62C21830"/>
    <w:rsid w:val="632A3C77"/>
    <w:rsid w:val="634A7FCA"/>
    <w:rsid w:val="635167EE"/>
    <w:rsid w:val="637B74D7"/>
    <w:rsid w:val="6394356A"/>
    <w:rsid w:val="63A02065"/>
    <w:rsid w:val="63C61B2C"/>
    <w:rsid w:val="63D40BE9"/>
    <w:rsid w:val="63DE7303"/>
    <w:rsid w:val="64102431"/>
    <w:rsid w:val="647823F6"/>
    <w:rsid w:val="64905020"/>
    <w:rsid w:val="64960552"/>
    <w:rsid w:val="64A5243A"/>
    <w:rsid w:val="64BF35CF"/>
    <w:rsid w:val="64E71F16"/>
    <w:rsid w:val="64F06497"/>
    <w:rsid w:val="64F531DE"/>
    <w:rsid w:val="65373578"/>
    <w:rsid w:val="657B39D8"/>
    <w:rsid w:val="659C3AAB"/>
    <w:rsid w:val="65B0293F"/>
    <w:rsid w:val="65D21AA4"/>
    <w:rsid w:val="65F046BB"/>
    <w:rsid w:val="6614554E"/>
    <w:rsid w:val="663476C9"/>
    <w:rsid w:val="665B0278"/>
    <w:rsid w:val="66BB0C85"/>
    <w:rsid w:val="66C816C9"/>
    <w:rsid w:val="671F124A"/>
    <w:rsid w:val="677A33C6"/>
    <w:rsid w:val="67A901F8"/>
    <w:rsid w:val="67EF567B"/>
    <w:rsid w:val="681F6961"/>
    <w:rsid w:val="68366618"/>
    <w:rsid w:val="68534D10"/>
    <w:rsid w:val="68610A2F"/>
    <w:rsid w:val="686908DB"/>
    <w:rsid w:val="68805514"/>
    <w:rsid w:val="69274428"/>
    <w:rsid w:val="69316E2F"/>
    <w:rsid w:val="69330731"/>
    <w:rsid w:val="694D7761"/>
    <w:rsid w:val="694E2071"/>
    <w:rsid w:val="695970D3"/>
    <w:rsid w:val="69766163"/>
    <w:rsid w:val="697A3B33"/>
    <w:rsid w:val="697C4644"/>
    <w:rsid w:val="69BC0DBC"/>
    <w:rsid w:val="69D44760"/>
    <w:rsid w:val="69F14347"/>
    <w:rsid w:val="6A520EC7"/>
    <w:rsid w:val="6A5922F3"/>
    <w:rsid w:val="6A905FCC"/>
    <w:rsid w:val="6AC56333"/>
    <w:rsid w:val="6AE849F9"/>
    <w:rsid w:val="6AF87E20"/>
    <w:rsid w:val="6B2E2554"/>
    <w:rsid w:val="6B322639"/>
    <w:rsid w:val="6B414F08"/>
    <w:rsid w:val="6B854113"/>
    <w:rsid w:val="6C0A175E"/>
    <w:rsid w:val="6C331B63"/>
    <w:rsid w:val="6C636C38"/>
    <w:rsid w:val="6C7F00F2"/>
    <w:rsid w:val="6D027D50"/>
    <w:rsid w:val="6DB34098"/>
    <w:rsid w:val="6DB545B6"/>
    <w:rsid w:val="6DE02FB4"/>
    <w:rsid w:val="6E141F28"/>
    <w:rsid w:val="6E334D51"/>
    <w:rsid w:val="6E514CED"/>
    <w:rsid w:val="6E7D0421"/>
    <w:rsid w:val="6EB563D5"/>
    <w:rsid w:val="6ED92677"/>
    <w:rsid w:val="6EF0545E"/>
    <w:rsid w:val="6F1E054F"/>
    <w:rsid w:val="6F225983"/>
    <w:rsid w:val="6F230905"/>
    <w:rsid w:val="6F6A779F"/>
    <w:rsid w:val="6FBD52AA"/>
    <w:rsid w:val="6FE22F68"/>
    <w:rsid w:val="6FFC5590"/>
    <w:rsid w:val="703E5C75"/>
    <w:rsid w:val="705139A0"/>
    <w:rsid w:val="706D1DD0"/>
    <w:rsid w:val="70856B87"/>
    <w:rsid w:val="70D45FB5"/>
    <w:rsid w:val="70D527EE"/>
    <w:rsid w:val="710B6EA4"/>
    <w:rsid w:val="714D316B"/>
    <w:rsid w:val="71512241"/>
    <w:rsid w:val="715B5300"/>
    <w:rsid w:val="715F08B5"/>
    <w:rsid w:val="71C31235"/>
    <w:rsid w:val="71D27F8A"/>
    <w:rsid w:val="71D83F1E"/>
    <w:rsid w:val="7213679F"/>
    <w:rsid w:val="722579F9"/>
    <w:rsid w:val="723F49EB"/>
    <w:rsid w:val="72553024"/>
    <w:rsid w:val="727A2530"/>
    <w:rsid w:val="73072AA1"/>
    <w:rsid w:val="730F71A9"/>
    <w:rsid w:val="73122968"/>
    <w:rsid w:val="731D5D8A"/>
    <w:rsid w:val="731F5D5E"/>
    <w:rsid w:val="734C2E72"/>
    <w:rsid w:val="739300FC"/>
    <w:rsid w:val="73C51AD5"/>
    <w:rsid w:val="741E793C"/>
    <w:rsid w:val="7424577E"/>
    <w:rsid w:val="74325F80"/>
    <w:rsid w:val="745C147E"/>
    <w:rsid w:val="745E3944"/>
    <w:rsid w:val="74685B67"/>
    <w:rsid w:val="7499234F"/>
    <w:rsid w:val="74A40DCE"/>
    <w:rsid w:val="74C33581"/>
    <w:rsid w:val="751434AC"/>
    <w:rsid w:val="753D7BD6"/>
    <w:rsid w:val="75412BF2"/>
    <w:rsid w:val="757C5005"/>
    <w:rsid w:val="758A10F5"/>
    <w:rsid w:val="75904F22"/>
    <w:rsid w:val="75F76454"/>
    <w:rsid w:val="7626186D"/>
    <w:rsid w:val="762D38DA"/>
    <w:rsid w:val="7635099D"/>
    <w:rsid w:val="764F3C8B"/>
    <w:rsid w:val="768A4D4D"/>
    <w:rsid w:val="76A43102"/>
    <w:rsid w:val="76B746DA"/>
    <w:rsid w:val="76C814F7"/>
    <w:rsid w:val="76ED62F7"/>
    <w:rsid w:val="770C3CAE"/>
    <w:rsid w:val="77443163"/>
    <w:rsid w:val="776D264F"/>
    <w:rsid w:val="77762421"/>
    <w:rsid w:val="77947980"/>
    <w:rsid w:val="77B56B1F"/>
    <w:rsid w:val="77CD39F6"/>
    <w:rsid w:val="780805DD"/>
    <w:rsid w:val="780F09F4"/>
    <w:rsid w:val="78282B14"/>
    <w:rsid w:val="785E4134"/>
    <w:rsid w:val="786673C2"/>
    <w:rsid w:val="78A90480"/>
    <w:rsid w:val="78AE573C"/>
    <w:rsid w:val="7A364017"/>
    <w:rsid w:val="7A396B72"/>
    <w:rsid w:val="7A7E64E3"/>
    <w:rsid w:val="7A8265E1"/>
    <w:rsid w:val="7B4D37E3"/>
    <w:rsid w:val="7B686D42"/>
    <w:rsid w:val="7B841746"/>
    <w:rsid w:val="7BB45EFA"/>
    <w:rsid w:val="7BCA02BD"/>
    <w:rsid w:val="7C25586B"/>
    <w:rsid w:val="7C6C5AC7"/>
    <w:rsid w:val="7CC6544B"/>
    <w:rsid w:val="7D0239FF"/>
    <w:rsid w:val="7D5E40CD"/>
    <w:rsid w:val="7D866A0E"/>
    <w:rsid w:val="7DAF0E8F"/>
    <w:rsid w:val="7DC8525D"/>
    <w:rsid w:val="7DCD56F2"/>
    <w:rsid w:val="7E4F65AB"/>
    <w:rsid w:val="7E567682"/>
    <w:rsid w:val="7ED64E3F"/>
    <w:rsid w:val="7F001CE7"/>
    <w:rsid w:val="7F122209"/>
    <w:rsid w:val="7FB70B0F"/>
    <w:rsid w:val="7FC3206F"/>
    <w:rsid w:val="7FE47E50"/>
    <w:rsid w:val="7FFC74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FFFFFF"/>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qFormat="1" w:uiPriority="99"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qFormat="1"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qFormat="1"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qFormat="1"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99"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qFormat/>
    <w:locked/>
    <w:uiPriority w:val="0"/>
    <w:pPr>
      <w:keepNext/>
      <w:keepLines/>
      <w:spacing w:before="260" w:after="260" w:line="415" w:lineRule="auto"/>
      <w:outlineLvl w:val="1"/>
    </w:pPr>
    <w:rPr>
      <w:rFonts w:ascii="Arial" w:hAnsi="Arial" w:eastAsia="黑体"/>
      <w:b/>
      <w:bCs/>
      <w:sz w:val="32"/>
      <w:szCs w:val="32"/>
    </w:rPr>
  </w:style>
  <w:style w:type="paragraph" w:styleId="7">
    <w:name w:val="heading 3"/>
    <w:basedOn w:val="1"/>
    <w:next w:val="1"/>
    <w:qFormat/>
    <w:locked/>
    <w:uiPriority w:val="0"/>
    <w:pPr>
      <w:keepNext/>
      <w:keepLines/>
      <w:spacing w:before="260" w:after="260" w:line="413" w:lineRule="auto"/>
      <w:outlineLvl w:val="2"/>
    </w:pPr>
    <w:rPr>
      <w:b/>
      <w:bCs/>
      <w:sz w:val="32"/>
      <w:szCs w:val="32"/>
    </w:rPr>
  </w:style>
  <w:style w:type="paragraph" w:styleId="8">
    <w:name w:val="heading 4"/>
    <w:basedOn w:val="1"/>
    <w:next w:val="1"/>
    <w:qFormat/>
    <w:locked/>
    <w:uiPriority w:val="0"/>
    <w:pPr>
      <w:keepNext/>
      <w:keepLines/>
      <w:numPr>
        <w:ilvl w:val="3"/>
        <w:numId w:val="1"/>
      </w:numPr>
      <w:ind w:left="0" w:firstLine="643" w:firstLineChars="200"/>
      <w:outlineLvl w:val="3"/>
    </w:p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customStyle="1" w:styleId="2">
    <w:name w:val="Default"/>
    <w:basedOn w:val="3"/>
    <w:next w:val="4"/>
    <w:qFormat/>
    <w:uiPriority w:val="0"/>
    <w:pPr>
      <w:autoSpaceDE w:val="0"/>
      <w:autoSpaceDN w:val="0"/>
      <w:adjustRightInd w:val="0"/>
    </w:pPr>
    <w:rPr>
      <w:rFonts w:hAnsi="Times New Roman"/>
      <w:color w:val="000000"/>
      <w:sz w:val="24"/>
    </w:rPr>
  </w:style>
  <w:style w:type="paragraph" w:customStyle="1" w:styleId="3">
    <w:name w:val="纯文本1"/>
    <w:basedOn w:val="1"/>
    <w:qFormat/>
    <w:uiPriority w:val="0"/>
    <w:rPr>
      <w:rFonts w:ascii="宋体" w:hAnsi="Courier New"/>
    </w:rPr>
  </w:style>
  <w:style w:type="paragraph" w:styleId="4">
    <w:name w:val="List"/>
    <w:basedOn w:val="1"/>
    <w:next w:val="1"/>
    <w:qFormat/>
    <w:locked/>
    <w:uiPriority w:val="0"/>
    <w:pPr>
      <w:ind w:left="200" w:hanging="200" w:hangingChars="200"/>
    </w:pPr>
  </w:style>
  <w:style w:type="paragraph" w:styleId="9">
    <w:name w:val="List 3"/>
    <w:basedOn w:val="1"/>
    <w:next w:val="1"/>
    <w:qFormat/>
    <w:locked/>
    <w:uiPriority w:val="0"/>
    <w:pPr>
      <w:autoSpaceDE w:val="0"/>
      <w:autoSpaceDN w:val="0"/>
      <w:adjustRightInd w:val="0"/>
      <w:spacing w:line="288" w:lineRule="auto"/>
      <w:ind w:left="1260" w:hanging="420"/>
      <w:jc w:val="left"/>
      <w:textAlignment w:val="baseline"/>
    </w:pPr>
    <w:rPr>
      <w:kern w:val="0"/>
      <w:sz w:val="20"/>
      <w:szCs w:val="20"/>
    </w:rPr>
  </w:style>
  <w:style w:type="paragraph" w:styleId="10">
    <w:name w:val="Normal Indent"/>
    <w:basedOn w:val="1"/>
    <w:qFormat/>
    <w:locked/>
    <w:uiPriority w:val="0"/>
    <w:pPr>
      <w:ind w:firstLine="602"/>
    </w:pPr>
    <w:rPr>
      <w:rFonts w:eastAsia="仿宋_GB2312"/>
      <w:sz w:val="28"/>
      <w:szCs w:val="20"/>
    </w:rPr>
  </w:style>
  <w:style w:type="paragraph" w:styleId="11">
    <w:name w:val="caption"/>
    <w:basedOn w:val="1"/>
    <w:next w:val="1"/>
    <w:qFormat/>
    <w:locked/>
    <w:uiPriority w:val="0"/>
    <w:pPr>
      <w:spacing w:line="240" w:lineRule="auto"/>
      <w:ind w:firstLine="0" w:firstLineChars="0"/>
      <w:jc w:val="right"/>
    </w:pPr>
    <w:rPr>
      <w:rFonts w:ascii="Times New Roman" w:hAnsi="Times New Roman" w:eastAsia="黑体"/>
      <w:sz w:val="20"/>
    </w:rPr>
  </w:style>
  <w:style w:type="paragraph" w:styleId="12">
    <w:name w:val="index 5"/>
    <w:basedOn w:val="1"/>
    <w:next w:val="1"/>
    <w:unhideWhenUsed/>
    <w:qFormat/>
    <w:locked/>
    <w:uiPriority w:val="99"/>
    <w:pPr>
      <w:ind w:left="1680"/>
    </w:pPr>
  </w:style>
  <w:style w:type="paragraph" w:styleId="13">
    <w:name w:val="annotation text"/>
    <w:basedOn w:val="1"/>
    <w:link w:val="41"/>
    <w:semiHidden/>
    <w:qFormat/>
    <w:uiPriority w:val="0"/>
    <w:pPr>
      <w:jc w:val="left"/>
    </w:pPr>
    <w:rPr>
      <w:kern w:val="0"/>
      <w:sz w:val="24"/>
      <w:szCs w:val="20"/>
    </w:rPr>
  </w:style>
  <w:style w:type="paragraph" w:styleId="14">
    <w:name w:val="Body Text"/>
    <w:basedOn w:val="1"/>
    <w:next w:val="2"/>
    <w:link w:val="42"/>
    <w:qFormat/>
    <w:uiPriority w:val="0"/>
    <w:pPr>
      <w:widowControl/>
      <w:snapToGrid w:val="0"/>
      <w:spacing w:before="60" w:after="160" w:line="259" w:lineRule="auto"/>
      <w:ind w:right="113"/>
    </w:pPr>
    <w:rPr>
      <w:kern w:val="0"/>
      <w:sz w:val="18"/>
      <w:szCs w:val="20"/>
    </w:rPr>
  </w:style>
  <w:style w:type="paragraph" w:styleId="15">
    <w:name w:val="Body Text Indent"/>
    <w:basedOn w:val="1"/>
    <w:next w:val="16"/>
    <w:link w:val="43"/>
    <w:qFormat/>
    <w:uiPriority w:val="0"/>
    <w:pPr>
      <w:spacing w:after="120"/>
      <w:ind w:left="420" w:leftChars="200"/>
    </w:pPr>
    <w:rPr>
      <w:kern w:val="0"/>
      <w:sz w:val="24"/>
      <w:szCs w:val="20"/>
    </w:rPr>
  </w:style>
  <w:style w:type="paragraph" w:styleId="16">
    <w:name w:val="header"/>
    <w:basedOn w:val="1"/>
    <w:next w:val="17"/>
    <w:link w:val="44"/>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17">
    <w:name w:val="样式5"/>
    <w:basedOn w:val="18"/>
    <w:qFormat/>
    <w:uiPriority w:val="0"/>
    <w:pPr>
      <w:spacing w:line="360" w:lineRule="auto"/>
    </w:pPr>
    <w:rPr>
      <w:rFonts w:ascii="Times New Roman" w:hAnsi="Times New Roman"/>
      <w:sz w:val="24"/>
      <w:szCs w:val="22"/>
    </w:rPr>
  </w:style>
  <w:style w:type="paragraph" w:customStyle="1" w:styleId="18">
    <w:name w:val="正文1"/>
    <w:basedOn w:val="19"/>
    <w:next w:val="1"/>
    <w:qFormat/>
    <w:uiPriority w:val="0"/>
    <w:rPr>
      <w:rFonts w:ascii="宋体" w:hAnsi="宋体"/>
      <w:sz w:val="32"/>
      <w:szCs w:val="32"/>
    </w:rPr>
  </w:style>
  <w:style w:type="paragraph" w:customStyle="1" w:styleId="19">
    <w:name w:val="列出段落11"/>
    <w:basedOn w:val="1"/>
    <w:qFormat/>
    <w:uiPriority w:val="34"/>
    <w:pPr>
      <w:ind w:firstLine="420"/>
    </w:pPr>
  </w:style>
  <w:style w:type="paragraph" w:styleId="20">
    <w:name w:val="Plain Text"/>
    <w:basedOn w:val="1"/>
    <w:link w:val="81"/>
    <w:qFormat/>
    <w:locked/>
    <w:uiPriority w:val="99"/>
    <w:rPr>
      <w:rFonts w:ascii="宋体" w:hAnsi="Courier New"/>
    </w:rPr>
  </w:style>
  <w:style w:type="paragraph" w:styleId="21">
    <w:name w:val="Date"/>
    <w:basedOn w:val="1"/>
    <w:next w:val="1"/>
    <w:link w:val="45"/>
    <w:qFormat/>
    <w:uiPriority w:val="0"/>
    <w:pPr>
      <w:ind w:left="100" w:leftChars="2500"/>
    </w:pPr>
    <w:rPr>
      <w:kern w:val="0"/>
      <w:sz w:val="24"/>
      <w:szCs w:val="20"/>
    </w:rPr>
  </w:style>
  <w:style w:type="paragraph" w:styleId="22">
    <w:name w:val="Balloon Text"/>
    <w:basedOn w:val="1"/>
    <w:link w:val="46"/>
    <w:semiHidden/>
    <w:qFormat/>
    <w:uiPriority w:val="0"/>
    <w:rPr>
      <w:kern w:val="0"/>
      <w:sz w:val="18"/>
      <w:szCs w:val="20"/>
    </w:rPr>
  </w:style>
  <w:style w:type="paragraph" w:styleId="23">
    <w:name w:val="footer"/>
    <w:basedOn w:val="1"/>
    <w:link w:val="47"/>
    <w:qFormat/>
    <w:uiPriority w:val="99"/>
    <w:pPr>
      <w:tabs>
        <w:tab w:val="center" w:pos="4153"/>
        <w:tab w:val="right" w:pos="8306"/>
      </w:tabs>
      <w:snapToGrid w:val="0"/>
      <w:jc w:val="left"/>
    </w:pPr>
    <w:rPr>
      <w:kern w:val="0"/>
      <w:sz w:val="18"/>
      <w:szCs w:val="20"/>
    </w:rPr>
  </w:style>
  <w:style w:type="paragraph" w:styleId="24">
    <w:name w:val="footnote text"/>
    <w:basedOn w:val="1"/>
    <w:next w:val="12"/>
    <w:qFormat/>
    <w:locked/>
    <w:uiPriority w:val="0"/>
    <w:pPr>
      <w:snapToGrid w:val="0"/>
    </w:pPr>
    <w:rPr>
      <w:sz w:val="18"/>
    </w:rPr>
  </w:style>
  <w:style w:type="paragraph" w:styleId="25">
    <w:name w:val="Normal (Web)"/>
    <w:basedOn w:val="1"/>
    <w:link w:val="48"/>
    <w:qFormat/>
    <w:uiPriority w:val="0"/>
    <w:pPr>
      <w:widowControl/>
      <w:spacing w:before="100" w:beforeAutospacing="1" w:after="100" w:afterAutospacing="1"/>
      <w:jc w:val="left"/>
    </w:pPr>
    <w:rPr>
      <w:rFonts w:ascii="宋体" w:hAnsi="宋体"/>
      <w:kern w:val="0"/>
      <w:sz w:val="24"/>
      <w:szCs w:val="20"/>
    </w:rPr>
  </w:style>
  <w:style w:type="paragraph" w:styleId="26">
    <w:name w:val="index 1"/>
    <w:basedOn w:val="1"/>
    <w:next w:val="1"/>
    <w:qFormat/>
    <w:locked/>
    <w:uiPriority w:val="0"/>
    <w:pPr>
      <w:tabs>
        <w:tab w:val="left" w:pos="5580"/>
      </w:tabs>
      <w:spacing w:line="280" w:lineRule="exact"/>
    </w:pPr>
    <w:rPr>
      <w:rFonts w:ascii="宋体" w:hAnsi="宋体"/>
      <w:spacing w:val="10"/>
    </w:rPr>
  </w:style>
  <w:style w:type="paragraph" w:styleId="27">
    <w:name w:val="annotation subject"/>
    <w:basedOn w:val="13"/>
    <w:next w:val="13"/>
    <w:link w:val="49"/>
    <w:semiHidden/>
    <w:qFormat/>
    <w:uiPriority w:val="0"/>
    <w:rPr>
      <w:b/>
    </w:rPr>
  </w:style>
  <w:style w:type="paragraph" w:styleId="28">
    <w:name w:val="Body Text First Indent 2"/>
    <w:basedOn w:val="15"/>
    <w:next w:val="1"/>
    <w:qFormat/>
    <w:locked/>
    <w:uiPriority w:val="0"/>
    <w:pPr>
      <w:spacing w:line="520" w:lineRule="exact"/>
      <w:ind w:firstLine="420" w:firstLineChars="200"/>
    </w:pPr>
    <w:rPr>
      <w:szCs w:val="24"/>
    </w:rPr>
  </w:style>
  <w:style w:type="table" w:styleId="30">
    <w:name w:val="Table Grid"/>
    <w:basedOn w:val="2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page number"/>
    <w:basedOn w:val="31"/>
    <w:qFormat/>
    <w:locked/>
    <w:uiPriority w:val="0"/>
  </w:style>
  <w:style w:type="character" w:styleId="33">
    <w:name w:val="FollowedHyperlink"/>
    <w:basedOn w:val="31"/>
    <w:qFormat/>
    <w:locked/>
    <w:uiPriority w:val="0"/>
    <w:rPr>
      <w:color w:val="800080" w:themeColor="followedHyperlink"/>
      <w:u w:val="single"/>
      <w14:textFill>
        <w14:solidFill>
          <w14:schemeClr w14:val="folHlink"/>
        </w14:solidFill>
      </w14:textFill>
    </w:rPr>
  </w:style>
  <w:style w:type="character" w:styleId="34">
    <w:name w:val="Hyperlink"/>
    <w:basedOn w:val="31"/>
    <w:qFormat/>
    <w:locked/>
    <w:uiPriority w:val="0"/>
    <w:rPr>
      <w:color w:val="0000FF" w:themeColor="hyperlink"/>
      <w:u w:val="single"/>
      <w14:textFill>
        <w14:solidFill>
          <w14:schemeClr w14:val="hlink"/>
        </w14:solidFill>
      </w14:textFill>
    </w:rPr>
  </w:style>
  <w:style w:type="character" w:styleId="35">
    <w:name w:val="annotation reference"/>
    <w:qFormat/>
    <w:uiPriority w:val="0"/>
    <w:rPr>
      <w:sz w:val="21"/>
    </w:rPr>
  </w:style>
  <w:style w:type="paragraph" w:customStyle="1" w:styleId="36">
    <w:name w:val="表格标题"/>
    <w:basedOn w:val="11"/>
    <w:next w:val="1"/>
    <w:link w:val="87"/>
    <w:qFormat/>
    <w:uiPriority w:val="0"/>
    <w:pPr>
      <w:spacing w:before="50" w:beforeLines="50"/>
      <w:ind w:firstLine="0" w:firstLineChars="0"/>
      <w:jc w:val="center"/>
    </w:pPr>
    <w:rPr>
      <w:rFonts w:eastAsia="黑体"/>
    </w:rPr>
  </w:style>
  <w:style w:type="paragraph" w:customStyle="1" w:styleId="37">
    <w:name w:val="Table Paragraph"/>
    <w:basedOn w:val="1"/>
    <w:qFormat/>
    <w:uiPriority w:val="1"/>
    <w:rPr>
      <w:rFonts w:ascii="仿宋" w:hAnsi="仿宋" w:eastAsia="仿宋" w:cs="仿宋"/>
      <w:lang w:val="zh-CN" w:bidi="zh-CN"/>
    </w:rPr>
  </w:style>
  <w:style w:type="paragraph" w:customStyle="1" w:styleId="38">
    <w:name w:val="1 表头"/>
    <w:basedOn w:val="1"/>
    <w:qFormat/>
    <w:uiPriority w:val="0"/>
    <w:pPr>
      <w:adjustRightInd w:val="0"/>
      <w:snapToGrid w:val="0"/>
      <w:jc w:val="center"/>
    </w:pPr>
    <w:rPr>
      <w:b/>
      <w:color w:val="000000"/>
      <w:szCs w:val="21"/>
    </w:rPr>
  </w:style>
  <w:style w:type="paragraph" w:customStyle="1" w:styleId="39">
    <w:name w:val="@正文缩进"/>
    <w:basedOn w:val="1"/>
    <w:qFormat/>
    <w:uiPriority w:val="0"/>
    <w:pPr>
      <w:ind w:firstLine="200" w:firstLineChars="200"/>
      <w:jc w:val="left"/>
    </w:pPr>
    <w:rPr>
      <w:kern w:val="0"/>
    </w:rPr>
  </w:style>
  <w:style w:type="paragraph" w:customStyle="1" w:styleId="40">
    <w:name w:val="表格内"/>
    <w:basedOn w:val="1"/>
    <w:qFormat/>
    <w:uiPriority w:val="0"/>
    <w:pPr>
      <w:spacing w:line="360" w:lineRule="exact"/>
      <w:jc w:val="center"/>
    </w:pPr>
    <w:rPr>
      <w:rFonts w:ascii="Calibri" w:hAnsi="Calibri"/>
      <w:snapToGrid w:val="0"/>
      <w:szCs w:val="21"/>
    </w:rPr>
  </w:style>
  <w:style w:type="character" w:customStyle="1" w:styleId="41">
    <w:name w:val="批注文字 字符"/>
    <w:link w:val="13"/>
    <w:qFormat/>
    <w:locked/>
    <w:uiPriority w:val="0"/>
    <w:rPr>
      <w:rFonts w:ascii="Times New Roman" w:hAnsi="Times New Roman" w:eastAsia="宋体"/>
      <w:sz w:val="24"/>
    </w:rPr>
  </w:style>
  <w:style w:type="character" w:customStyle="1" w:styleId="42">
    <w:name w:val="正文文本 字符"/>
    <w:link w:val="14"/>
    <w:qFormat/>
    <w:locked/>
    <w:uiPriority w:val="0"/>
    <w:rPr>
      <w:sz w:val="18"/>
    </w:rPr>
  </w:style>
  <w:style w:type="character" w:customStyle="1" w:styleId="43">
    <w:name w:val="正文文本缩进 字符"/>
    <w:link w:val="15"/>
    <w:semiHidden/>
    <w:qFormat/>
    <w:locked/>
    <w:uiPriority w:val="0"/>
    <w:rPr>
      <w:rFonts w:ascii="Times New Roman" w:hAnsi="Times New Roman" w:eastAsia="宋体"/>
      <w:sz w:val="24"/>
    </w:rPr>
  </w:style>
  <w:style w:type="character" w:customStyle="1" w:styleId="44">
    <w:name w:val="页眉 字符"/>
    <w:link w:val="16"/>
    <w:qFormat/>
    <w:locked/>
    <w:uiPriority w:val="0"/>
    <w:rPr>
      <w:sz w:val="18"/>
    </w:rPr>
  </w:style>
  <w:style w:type="character" w:customStyle="1" w:styleId="45">
    <w:name w:val="日期 字符1"/>
    <w:link w:val="21"/>
    <w:qFormat/>
    <w:locked/>
    <w:uiPriority w:val="0"/>
    <w:rPr>
      <w:rFonts w:ascii="Times New Roman" w:hAnsi="Times New Roman" w:eastAsia="宋体"/>
      <w:sz w:val="24"/>
    </w:rPr>
  </w:style>
  <w:style w:type="character" w:customStyle="1" w:styleId="46">
    <w:name w:val="批注框文本 字符"/>
    <w:link w:val="22"/>
    <w:semiHidden/>
    <w:qFormat/>
    <w:locked/>
    <w:uiPriority w:val="0"/>
    <w:rPr>
      <w:rFonts w:ascii="Times New Roman" w:hAnsi="Times New Roman" w:eastAsia="宋体"/>
      <w:sz w:val="18"/>
    </w:rPr>
  </w:style>
  <w:style w:type="character" w:customStyle="1" w:styleId="47">
    <w:name w:val="页脚 字符1"/>
    <w:link w:val="23"/>
    <w:qFormat/>
    <w:locked/>
    <w:uiPriority w:val="99"/>
    <w:rPr>
      <w:sz w:val="18"/>
    </w:rPr>
  </w:style>
  <w:style w:type="character" w:customStyle="1" w:styleId="48">
    <w:name w:val="普通(网站) 字符"/>
    <w:link w:val="25"/>
    <w:qFormat/>
    <w:locked/>
    <w:uiPriority w:val="0"/>
    <w:rPr>
      <w:rFonts w:ascii="宋体" w:hAnsi="宋体" w:eastAsia="宋体"/>
      <w:sz w:val="24"/>
    </w:rPr>
  </w:style>
  <w:style w:type="character" w:customStyle="1" w:styleId="49">
    <w:name w:val="批注主题 字符"/>
    <w:link w:val="27"/>
    <w:semiHidden/>
    <w:qFormat/>
    <w:locked/>
    <w:uiPriority w:val="0"/>
    <w:rPr>
      <w:rFonts w:ascii="Times New Roman" w:hAnsi="Times New Roman" w:eastAsia="宋体"/>
      <w:b/>
      <w:kern w:val="2"/>
      <w:sz w:val="24"/>
    </w:rPr>
  </w:style>
  <w:style w:type="character" w:customStyle="1" w:styleId="50">
    <w:name w:val="正文文本 字符1"/>
    <w:semiHidden/>
    <w:qFormat/>
    <w:uiPriority w:val="0"/>
    <w:rPr>
      <w:rFonts w:ascii="Times New Roman" w:hAnsi="Times New Roman" w:eastAsia="宋体"/>
      <w:sz w:val="24"/>
    </w:rPr>
  </w:style>
  <w:style w:type="character" w:customStyle="1" w:styleId="51">
    <w:name w:val="日期 字符"/>
    <w:semiHidden/>
    <w:qFormat/>
    <w:uiPriority w:val="0"/>
    <w:rPr>
      <w:rFonts w:ascii="Times New Roman" w:hAnsi="Times New Roman" w:eastAsia="宋体"/>
      <w:sz w:val="24"/>
    </w:rPr>
  </w:style>
  <w:style w:type="character" w:customStyle="1" w:styleId="52">
    <w:name w:val="页脚 字符"/>
    <w:qFormat/>
    <w:uiPriority w:val="99"/>
  </w:style>
  <w:style w:type="character" w:customStyle="1" w:styleId="53">
    <w:name w:val="表格 Char"/>
    <w:link w:val="54"/>
    <w:qFormat/>
    <w:locked/>
    <w:uiPriority w:val="0"/>
    <w:rPr>
      <w:rFonts w:ascii="宋体"/>
      <w:sz w:val="21"/>
    </w:rPr>
  </w:style>
  <w:style w:type="paragraph" w:customStyle="1" w:styleId="54">
    <w:name w:val="表格"/>
    <w:basedOn w:val="1"/>
    <w:next w:val="1"/>
    <w:link w:val="53"/>
    <w:qFormat/>
    <w:uiPriority w:val="0"/>
    <w:pPr>
      <w:adjustRightInd w:val="0"/>
      <w:snapToGrid w:val="0"/>
      <w:spacing w:beforeLines="10" w:afterLines="10" w:line="259" w:lineRule="auto"/>
      <w:jc w:val="center"/>
    </w:pPr>
    <w:rPr>
      <w:rFonts w:ascii="宋体"/>
      <w:kern w:val="0"/>
      <w:szCs w:val="20"/>
    </w:rPr>
  </w:style>
  <w:style w:type="character" w:customStyle="1" w:styleId="55">
    <w:name w:val="批注文字 字符1"/>
    <w:semiHidden/>
    <w:qFormat/>
    <w:uiPriority w:val="0"/>
    <w:rPr>
      <w:rFonts w:ascii="Times New Roman" w:hAnsi="Times New Roman" w:eastAsia="宋体"/>
      <w:sz w:val="24"/>
    </w:rPr>
  </w:style>
  <w:style w:type="paragraph" w:customStyle="1" w:styleId="56">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57">
    <w:name w:val="xl26"/>
    <w:basedOn w:val="1"/>
    <w:qFormat/>
    <w:uiPriority w:val="0"/>
    <w:pPr>
      <w:widowControl/>
      <w:pBdr>
        <w:left w:val="single" w:color="auto" w:sz="12" w:space="0"/>
      </w:pBdr>
      <w:spacing w:before="100" w:beforeAutospacing="1" w:after="100" w:afterAutospacing="1"/>
      <w:jc w:val="left"/>
    </w:pPr>
    <w:rPr>
      <w:rFonts w:ascii="Arial Unicode MS" w:hAnsi="Arial Unicode MS" w:cs="宋体"/>
      <w:kern w:val="0"/>
      <w:sz w:val="24"/>
      <w:lang w:val="en-AU" w:eastAsia="en-US"/>
    </w:rPr>
  </w:style>
  <w:style w:type="paragraph" w:customStyle="1" w:styleId="58">
    <w:name w:val="表格内容"/>
    <w:basedOn w:val="1"/>
    <w:qFormat/>
    <w:uiPriority w:val="0"/>
    <w:pPr>
      <w:jc w:val="center"/>
    </w:pPr>
    <w:rPr>
      <w:szCs w:val="21"/>
    </w:rPr>
  </w:style>
  <w:style w:type="paragraph" w:customStyle="1" w:styleId="59">
    <w:name w:val="正文A"/>
    <w:basedOn w:val="1"/>
    <w:qFormat/>
    <w:uiPriority w:val="0"/>
    <w:pPr>
      <w:spacing w:line="500" w:lineRule="exact"/>
      <w:ind w:firstLine="200" w:firstLineChars="200"/>
    </w:pPr>
    <w:rPr>
      <w:sz w:val="24"/>
    </w:rPr>
  </w:style>
  <w:style w:type="paragraph" w:customStyle="1" w:styleId="60">
    <w:name w:val="正文(首行缩进)"/>
    <w:basedOn w:val="1"/>
    <w:link w:val="86"/>
    <w:qFormat/>
    <w:uiPriority w:val="0"/>
    <w:pPr>
      <w:adjustRightInd w:val="0"/>
      <w:snapToGrid w:val="0"/>
      <w:spacing w:line="360" w:lineRule="auto"/>
      <w:ind w:firstLine="482" w:firstLineChars="200"/>
    </w:pPr>
    <w:rPr>
      <w:rFonts w:hAnsi="宋体"/>
      <w:b/>
      <w:bCs/>
      <w:color w:val="000000"/>
      <w:sz w:val="24"/>
      <w:szCs w:val="28"/>
    </w:rPr>
  </w:style>
  <w:style w:type="paragraph" w:customStyle="1" w:styleId="61">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character" w:customStyle="1" w:styleId="62">
    <w:name w:val="fontstyle21"/>
    <w:qFormat/>
    <w:uiPriority w:val="0"/>
    <w:rPr>
      <w:rFonts w:hint="eastAsia" w:ascii="宋体" w:hAnsi="宋体" w:eastAsia="宋体"/>
      <w:color w:val="000000"/>
      <w:sz w:val="24"/>
      <w:szCs w:val="24"/>
    </w:rPr>
  </w:style>
  <w:style w:type="paragraph" w:customStyle="1" w:styleId="63">
    <w:name w:val="正文26-5.21"/>
    <w:basedOn w:val="1"/>
    <w:link w:val="64"/>
    <w:qFormat/>
    <w:uiPriority w:val="0"/>
    <w:pPr>
      <w:adjustRightInd w:val="0"/>
      <w:snapToGrid w:val="0"/>
      <w:spacing w:line="520" w:lineRule="exact"/>
      <w:ind w:firstLine="480" w:firstLineChars="200"/>
      <w:textAlignment w:val="baseline"/>
    </w:pPr>
    <w:rPr>
      <w:rFonts w:cs="宋体"/>
      <w:snapToGrid w:val="0"/>
      <w:sz w:val="24"/>
    </w:rPr>
  </w:style>
  <w:style w:type="character" w:customStyle="1" w:styleId="64">
    <w:name w:val="正文26-5.21 字符"/>
    <w:link w:val="63"/>
    <w:qFormat/>
    <w:uiPriority w:val="0"/>
    <w:rPr>
      <w:rFonts w:cs="宋体"/>
      <w:snapToGrid/>
      <w:kern w:val="2"/>
      <w:sz w:val="24"/>
      <w:szCs w:val="24"/>
    </w:rPr>
  </w:style>
  <w:style w:type="paragraph" w:customStyle="1" w:styleId="65">
    <w:name w:val="正文邓"/>
    <w:basedOn w:val="1"/>
    <w:qFormat/>
    <w:uiPriority w:val="0"/>
    <w:pPr>
      <w:adjustRightInd w:val="0"/>
      <w:snapToGrid w:val="0"/>
      <w:spacing w:line="360" w:lineRule="auto"/>
      <w:ind w:firstLine="480" w:firstLineChars="200"/>
      <w:jc w:val="left"/>
    </w:pPr>
    <w:rPr>
      <w:bCs/>
      <w:snapToGrid w:val="0"/>
      <w:kern w:val="0"/>
      <w:sz w:val="24"/>
    </w:rPr>
  </w:style>
  <w:style w:type="paragraph" w:customStyle="1" w:styleId="66">
    <w:name w:val="邓表头标题"/>
    <w:basedOn w:val="1"/>
    <w:qFormat/>
    <w:uiPriority w:val="0"/>
    <w:pPr>
      <w:snapToGrid w:val="0"/>
      <w:jc w:val="center"/>
    </w:pPr>
    <w:rPr>
      <w:rFonts w:ascii="黑体" w:hAnsi="黑体" w:eastAsia="黑体"/>
      <w:b/>
      <w:bCs/>
      <w:lang w:eastAsia="en-US"/>
    </w:rPr>
  </w:style>
  <w:style w:type="paragraph" w:customStyle="1" w:styleId="67">
    <w:name w:val="邓表格文字"/>
    <w:basedOn w:val="1"/>
    <w:qFormat/>
    <w:uiPriority w:val="0"/>
    <w:pPr>
      <w:widowControl/>
      <w:snapToGrid w:val="0"/>
      <w:spacing w:line="240" w:lineRule="exact"/>
      <w:jc w:val="center"/>
    </w:pPr>
    <w:rPr>
      <w:rFonts w:ascii="宋体" w:hAnsi="宋体"/>
    </w:rPr>
  </w:style>
  <w:style w:type="paragraph" w:customStyle="1" w:styleId="68">
    <w:name w:val="表头A"/>
    <w:basedOn w:val="69"/>
    <w:qFormat/>
    <w:uiPriority w:val="0"/>
    <w:pPr>
      <w:widowControl/>
      <w:spacing w:beforeLines="0" w:line="500" w:lineRule="exact"/>
      <w:ind w:firstLine="0" w:firstLineChars="0"/>
      <w:jc w:val="center"/>
    </w:pPr>
    <w:rPr>
      <w:rFonts w:eastAsia="宋体"/>
      <w:b/>
      <w:sz w:val="24"/>
    </w:rPr>
  </w:style>
  <w:style w:type="paragraph" w:customStyle="1" w:styleId="69">
    <w:name w:val="表头"/>
    <w:basedOn w:val="18"/>
    <w:next w:val="1"/>
    <w:qFormat/>
    <w:uiPriority w:val="0"/>
    <w:pPr>
      <w:spacing w:beforeLines="50" w:line="400" w:lineRule="exact"/>
      <w:ind w:firstLine="200" w:firstLineChars="200"/>
    </w:pPr>
    <w:rPr>
      <w:rFonts w:eastAsia="黑体"/>
    </w:rPr>
  </w:style>
  <w:style w:type="paragraph" w:customStyle="1" w:styleId="70">
    <w:name w:val="表格标题1"/>
    <w:basedOn w:val="71"/>
    <w:qFormat/>
    <w:uiPriority w:val="0"/>
    <w:pPr>
      <w:spacing w:line="240" w:lineRule="auto"/>
      <w:ind w:firstLine="0" w:firstLineChars="0"/>
      <w:jc w:val="center"/>
    </w:pPr>
    <w:rPr>
      <w:rFonts w:ascii="黑体" w:hAnsi="黑体" w:eastAsia="黑体"/>
      <w:kern w:val="0"/>
    </w:rPr>
  </w:style>
  <w:style w:type="paragraph" w:customStyle="1" w:styleId="71">
    <w:name w:val="正文26"/>
    <w:basedOn w:val="72"/>
    <w:qFormat/>
    <w:uiPriority w:val="0"/>
    <w:pPr>
      <w:snapToGrid w:val="0"/>
      <w:spacing w:line="520" w:lineRule="exact"/>
      <w:ind w:firstLine="480" w:firstLineChars="200"/>
      <w:jc w:val="both"/>
    </w:pPr>
    <w:rPr>
      <w:snapToGrid w:val="0"/>
      <w:kern w:val="2"/>
    </w:rPr>
  </w:style>
  <w:style w:type="paragraph" w:customStyle="1" w:styleId="72">
    <w:name w:val="样式2"/>
    <w:basedOn w:val="1"/>
    <w:qFormat/>
    <w:uiPriority w:val="0"/>
    <w:pPr>
      <w:adjustRightInd w:val="0"/>
      <w:spacing w:line="300" w:lineRule="atLeast"/>
      <w:jc w:val="center"/>
      <w:textAlignment w:val="baseline"/>
    </w:pPr>
    <w:rPr>
      <w:rFonts w:eastAsia="楷体_GB2312"/>
      <w:kern w:val="28"/>
      <w:szCs w:val="20"/>
    </w:rPr>
  </w:style>
  <w:style w:type="table" w:customStyle="1" w:styleId="73">
    <w:name w:val="Table Normal"/>
    <w:qFormat/>
    <w:uiPriority w:val="2"/>
    <w:pPr>
      <w:widowControl w:val="0"/>
      <w:autoSpaceDE w:val="0"/>
      <w:autoSpaceDN w:val="0"/>
    </w:pPr>
    <w:rPr>
      <w:rFonts w:ascii="Calibri" w:hAnsi="Calibri" w:cs="宋体"/>
      <w:sz w:val="22"/>
      <w:szCs w:val="22"/>
      <w:lang w:eastAsia="en-US"/>
    </w:rPr>
    <w:tblPr>
      <w:tblCellMar>
        <w:top w:w="0" w:type="dxa"/>
        <w:left w:w="0" w:type="dxa"/>
        <w:bottom w:w="0" w:type="dxa"/>
        <w:right w:w="0" w:type="dxa"/>
      </w:tblCellMar>
    </w:tblPr>
  </w:style>
  <w:style w:type="paragraph" w:customStyle="1" w:styleId="74">
    <w:name w:val="表格内文字"/>
    <w:basedOn w:val="1"/>
    <w:qFormat/>
    <w:uiPriority w:val="0"/>
    <w:pPr>
      <w:tabs>
        <w:tab w:val="left" w:pos="0"/>
      </w:tabs>
      <w:adjustRightInd w:val="0"/>
      <w:snapToGrid w:val="0"/>
      <w:jc w:val="center"/>
    </w:pPr>
    <w:rPr>
      <w:szCs w:val="21"/>
    </w:rPr>
  </w:style>
  <w:style w:type="paragraph" w:customStyle="1" w:styleId="75">
    <w:name w:val="表内容"/>
    <w:basedOn w:val="1"/>
    <w:next w:val="1"/>
    <w:qFormat/>
    <w:uiPriority w:val="0"/>
    <w:pPr>
      <w:jc w:val="center"/>
    </w:pPr>
    <w:rPr>
      <w:szCs w:val="21"/>
    </w:rPr>
  </w:style>
  <w:style w:type="character" w:customStyle="1" w:styleId="76">
    <w:name w:val="font01"/>
    <w:basedOn w:val="31"/>
    <w:qFormat/>
    <w:uiPriority w:val="0"/>
    <w:rPr>
      <w:rFonts w:hint="eastAsia" w:ascii="宋体" w:hAnsi="宋体" w:eastAsia="宋体" w:cs="宋体"/>
      <w:color w:val="000000"/>
      <w:sz w:val="21"/>
      <w:szCs w:val="21"/>
      <w:u w:val="none"/>
    </w:rPr>
  </w:style>
  <w:style w:type="paragraph" w:customStyle="1" w:styleId="77">
    <w:name w:val="正文首行缩进 21"/>
    <w:basedOn w:val="1"/>
    <w:link w:val="78"/>
    <w:qFormat/>
    <w:uiPriority w:val="0"/>
    <w:pPr>
      <w:spacing w:line="540" w:lineRule="exact"/>
      <w:ind w:firstLine="420" w:firstLineChars="200"/>
    </w:pPr>
    <w:rPr>
      <w:rFonts w:eastAsia="方正仿宋简体"/>
      <w:sz w:val="28"/>
      <w:szCs w:val="20"/>
    </w:rPr>
  </w:style>
  <w:style w:type="character" w:customStyle="1" w:styleId="78">
    <w:name w:val="正文首行缩进 2 Char"/>
    <w:link w:val="77"/>
    <w:qFormat/>
    <w:uiPriority w:val="0"/>
    <w:rPr>
      <w:rFonts w:eastAsia="方正仿宋简体"/>
      <w:kern w:val="2"/>
      <w:sz w:val="28"/>
    </w:rPr>
  </w:style>
  <w:style w:type="paragraph" w:customStyle="1" w:styleId="79">
    <w:name w:val="表格标题5.21"/>
    <w:basedOn w:val="1"/>
    <w:link w:val="80"/>
    <w:qFormat/>
    <w:uiPriority w:val="0"/>
    <w:pPr>
      <w:adjustRightInd w:val="0"/>
      <w:snapToGrid w:val="0"/>
      <w:spacing w:line="520" w:lineRule="exact"/>
      <w:jc w:val="center"/>
      <w:textAlignment w:val="baseline"/>
    </w:pPr>
    <w:rPr>
      <w:rFonts w:ascii="黑体" w:hAnsi="黑体" w:eastAsia="黑体" w:cs="宋体"/>
      <w:snapToGrid w:val="0"/>
      <w:kern w:val="0"/>
      <w:sz w:val="24"/>
    </w:rPr>
  </w:style>
  <w:style w:type="character" w:customStyle="1" w:styleId="80">
    <w:name w:val="表格标题5.21 字符"/>
    <w:link w:val="79"/>
    <w:qFormat/>
    <w:uiPriority w:val="0"/>
    <w:rPr>
      <w:rFonts w:ascii="黑体" w:hAnsi="黑体" w:eastAsia="黑体" w:cs="宋体"/>
      <w:snapToGrid w:val="0"/>
      <w:sz w:val="24"/>
      <w:szCs w:val="24"/>
    </w:rPr>
  </w:style>
  <w:style w:type="character" w:customStyle="1" w:styleId="81">
    <w:name w:val="纯文本 字符"/>
    <w:link w:val="20"/>
    <w:qFormat/>
    <w:uiPriority w:val="99"/>
    <w:rPr>
      <w:rFonts w:ascii="宋体" w:hAnsi="Courier New"/>
      <w:kern w:val="2"/>
      <w:sz w:val="21"/>
      <w:szCs w:val="24"/>
    </w:rPr>
  </w:style>
  <w:style w:type="character" w:customStyle="1" w:styleId="82">
    <w:name w:val="未处理的提及1"/>
    <w:basedOn w:val="31"/>
    <w:semiHidden/>
    <w:unhideWhenUsed/>
    <w:qFormat/>
    <w:uiPriority w:val="99"/>
    <w:rPr>
      <w:color w:val="605E5C"/>
      <w:shd w:val="clear" w:color="auto" w:fill="E1DFDD"/>
    </w:rPr>
  </w:style>
  <w:style w:type="character" w:customStyle="1" w:styleId="83">
    <w:name w:val="正文首行缩进 Char"/>
    <w:link w:val="84"/>
    <w:qFormat/>
    <w:uiPriority w:val="0"/>
    <w:rPr>
      <w:kern w:val="2"/>
      <w:sz w:val="21"/>
    </w:rPr>
  </w:style>
  <w:style w:type="paragraph" w:customStyle="1" w:styleId="84">
    <w:name w:val="正文首行缩进1"/>
    <w:basedOn w:val="14"/>
    <w:link w:val="83"/>
    <w:qFormat/>
    <w:uiPriority w:val="0"/>
    <w:pPr>
      <w:widowControl w:val="0"/>
      <w:snapToGrid/>
      <w:spacing w:before="0" w:after="120" w:line="240" w:lineRule="auto"/>
      <w:ind w:right="0" w:firstLine="420" w:firstLineChars="100"/>
    </w:pPr>
    <w:rPr>
      <w:kern w:val="2"/>
      <w:sz w:val="21"/>
    </w:rPr>
  </w:style>
  <w:style w:type="paragraph" w:customStyle="1" w:styleId="85">
    <w:name w:val="1正文"/>
    <w:basedOn w:val="1"/>
    <w:qFormat/>
    <w:uiPriority w:val="0"/>
    <w:pPr>
      <w:widowControl/>
      <w:spacing w:line="360" w:lineRule="auto"/>
      <w:ind w:firstLine="200" w:firstLineChars="200"/>
    </w:pPr>
    <w:rPr>
      <w:kern w:val="0"/>
      <w:sz w:val="24"/>
      <w:szCs w:val="20"/>
      <w:lang w:val="en-GB"/>
    </w:rPr>
  </w:style>
  <w:style w:type="character" w:customStyle="1" w:styleId="86">
    <w:name w:val="正文(首行缩进) Char"/>
    <w:link w:val="60"/>
    <w:qFormat/>
    <w:locked/>
    <w:uiPriority w:val="0"/>
    <w:rPr>
      <w:rFonts w:hAnsi="宋体"/>
      <w:b/>
      <w:bCs/>
      <w:color w:val="000000"/>
      <w:kern w:val="2"/>
      <w:sz w:val="24"/>
      <w:szCs w:val="28"/>
    </w:rPr>
  </w:style>
  <w:style w:type="character" w:customStyle="1" w:styleId="87">
    <w:name w:val="表格标题 Char Char"/>
    <w:link w:val="36"/>
    <w:qFormat/>
    <w:uiPriority w:val="0"/>
    <w:rPr>
      <w:rFonts w:eastAsia="黑体"/>
      <w:sz w:val="21"/>
      <w:szCs w:val="24"/>
    </w:rPr>
  </w:style>
  <w:style w:type="character" w:customStyle="1" w:styleId="88">
    <w:name w:val="15"/>
    <w:qFormat/>
    <w:uiPriority w:val="0"/>
    <w:rPr>
      <w:rFonts w:hint="eastAsia" w:ascii="PMingLiU" w:eastAsia="PMingLiU"/>
      <w:color w:val="000000"/>
      <w:spacing w:val="20"/>
      <w:sz w:val="24"/>
      <w:szCs w:val="24"/>
    </w:rPr>
  </w:style>
  <w:style w:type="paragraph" w:customStyle="1" w:styleId="89">
    <w:name w:val="正文小四"/>
    <w:qFormat/>
    <w:uiPriority w:val="0"/>
    <w:pPr>
      <w:spacing w:line="360" w:lineRule="auto"/>
      <w:ind w:firstLine="200" w:firstLineChars="200"/>
    </w:pPr>
    <w:rPr>
      <w:rFonts w:ascii="Calibri" w:hAnsi="Calibri" w:eastAsia="宋体" w:cs="Times New Roman"/>
      <w:color w:val="000000"/>
      <w:sz w:val="24"/>
      <w:szCs w:val="24"/>
      <w:lang w:val="en-US" w:eastAsia="zh-CN" w:bidi="ar-SA"/>
    </w:rPr>
  </w:style>
  <w:style w:type="paragraph" w:customStyle="1" w:styleId="90">
    <w:name w:val="YJ正文*"/>
    <w:basedOn w:val="1"/>
    <w:qFormat/>
    <w:uiPriority w:val="0"/>
    <w:pPr>
      <w:spacing w:line="520" w:lineRule="exact"/>
      <w:ind w:firstLine="480" w:firstLineChars="200"/>
    </w:pPr>
    <w:rPr>
      <w:rFonts w:ascii="宋体" w:hAnsi="宋体"/>
      <w:sz w:val="24"/>
    </w:rPr>
  </w:style>
  <w:style w:type="paragraph" w:customStyle="1" w:styleId="91">
    <w:name w:val="无间隔1"/>
    <w:qFormat/>
    <w:uiPriority w:val="0"/>
    <w:pPr>
      <w:widowControl w:val="0"/>
      <w:jc w:val="center"/>
    </w:pPr>
    <w:rPr>
      <w:rFonts w:ascii="宋体" w:hAnsi="Times New Roman" w:eastAsia="宋体" w:cs="Times New Roman"/>
      <w:kern w:val="2"/>
      <w:sz w:val="24"/>
      <w:lang w:val="en-US" w:eastAsia="zh-CN" w:bidi="ar-SA"/>
    </w:rPr>
  </w:style>
  <w:style w:type="paragraph" w:customStyle="1" w:styleId="92">
    <w:name w:val="修订1"/>
    <w:hidden/>
    <w:semiHidden/>
    <w:qFormat/>
    <w:uiPriority w:val="99"/>
    <w:rPr>
      <w:rFonts w:ascii="Times New Roman" w:hAnsi="Times New Roman" w:eastAsia="宋体" w:cs="Times New Roman"/>
      <w:kern w:val="2"/>
      <w:sz w:val="21"/>
      <w:szCs w:val="24"/>
      <w:lang w:val="en-US" w:eastAsia="zh-CN" w:bidi="ar-SA"/>
    </w:rPr>
  </w:style>
  <w:style w:type="paragraph" w:customStyle="1" w:styleId="93">
    <w:name w:val="修订2"/>
    <w:hidden/>
    <w:semiHidden/>
    <w:qFormat/>
    <w:uiPriority w:val="99"/>
    <w:rPr>
      <w:rFonts w:ascii="Times New Roman" w:hAnsi="Times New Roman" w:eastAsia="宋体" w:cs="Times New Roman"/>
      <w:kern w:val="2"/>
      <w:sz w:val="21"/>
      <w:szCs w:val="24"/>
      <w:lang w:val="en-US" w:eastAsia="zh-CN" w:bidi="ar-SA"/>
    </w:rPr>
  </w:style>
  <w:style w:type="paragraph" w:customStyle="1" w:styleId="94">
    <w:name w:val="_Style 4"/>
    <w:basedOn w:val="1"/>
    <w:qFormat/>
    <w:uiPriority w:val="0"/>
  </w:style>
  <w:style w:type="paragraph" w:customStyle="1" w:styleId="95">
    <w:name w:val="Body text|21"/>
    <w:basedOn w:val="1"/>
    <w:qFormat/>
    <w:uiPriority w:val="0"/>
    <w:pPr>
      <w:shd w:val="clear" w:color="auto" w:fill="FFFFFF"/>
      <w:spacing w:line="1280" w:lineRule="exact"/>
    </w:pPr>
    <w:rPr>
      <w:rFonts w:ascii="PMingLiU" w:hAnsi="PMingLiU" w:eastAsia="PMingLiU" w:cs="PMingLiU"/>
      <w:spacing w:val="30"/>
      <w:sz w:val="44"/>
      <w:szCs w:val="44"/>
    </w:rPr>
  </w:style>
  <w:style w:type="paragraph" w:customStyle="1" w:styleId="96">
    <w:name w:val="_Style 2"/>
    <w:basedOn w:val="1"/>
    <w:qFormat/>
    <w:uiPriority w:val="99"/>
    <w:pPr>
      <w:ind w:firstLine="420"/>
    </w:pPr>
    <w:rPr>
      <w:rFonts w:ascii="Calibri" w:hAnsi="Calibri"/>
    </w:rPr>
  </w:style>
  <w:style w:type="paragraph" w:customStyle="1" w:styleId="97">
    <w:name w:val="新表头"/>
    <w:basedOn w:val="1"/>
    <w:qFormat/>
    <w:uiPriority w:val="0"/>
    <w:pPr>
      <w:jc w:val="center"/>
    </w:pPr>
    <w:rPr>
      <w:b/>
    </w:rPr>
  </w:style>
</w:styles>
</file>

<file path=word/_rels/document.xml.rels><?xml version="1.0" encoding="UTF-8" standalone="yes"?>
<Relationships xmlns="http://schemas.openxmlformats.org/package/2006/relationships"><Relationship Id="rId96" Type="http://schemas.openxmlformats.org/officeDocument/2006/relationships/fontTable" Target="fontTable.xml"/><Relationship Id="rId95" Type="http://schemas.openxmlformats.org/officeDocument/2006/relationships/customXml" Target="../customXml/item2.xml"/><Relationship Id="rId94" Type="http://schemas.openxmlformats.org/officeDocument/2006/relationships/numbering" Target="numbering.xml"/><Relationship Id="rId93" Type="http://schemas.openxmlformats.org/officeDocument/2006/relationships/customXml" Target="../customXml/item1.xml"/><Relationship Id="rId92" Type="http://schemas.openxmlformats.org/officeDocument/2006/relationships/image" Target="media/image74.jpeg"/><Relationship Id="rId91" Type="http://schemas.openxmlformats.org/officeDocument/2006/relationships/image" Target="media/image73.png"/><Relationship Id="rId90" Type="http://schemas.openxmlformats.org/officeDocument/2006/relationships/image" Target="media/image72.jpeg"/><Relationship Id="rId9" Type="http://schemas.openxmlformats.org/officeDocument/2006/relationships/footer" Target="footer7.xml"/><Relationship Id="rId89" Type="http://schemas.openxmlformats.org/officeDocument/2006/relationships/image" Target="media/image71.png"/><Relationship Id="rId88" Type="http://schemas.openxmlformats.org/officeDocument/2006/relationships/image" Target="media/image70.png"/><Relationship Id="rId87" Type="http://schemas.openxmlformats.org/officeDocument/2006/relationships/image" Target="media/image69.png"/><Relationship Id="rId86" Type="http://schemas.openxmlformats.org/officeDocument/2006/relationships/image" Target="media/image68.png"/><Relationship Id="rId85" Type="http://schemas.openxmlformats.org/officeDocument/2006/relationships/image" Target="media/image67.png"/><Relationship Id="rId84" Type="http://schemas.openxmlformats.org/officeDocument/2006/relationships/image" Target="media/image66.png"/><Relationship Id="rId83" Type="http://schemas.openxmlformats.org/officeDocument/2006/relationships/image" Target="media/image65.png"/><Relationship Id="rId82" Type="http://schemas.openxmlformats.org/officeDocument/2006/relationships/image" Target="media/image64.png"/><Relationship Id="rId81" Type="http://schemas.openxmlformats.org/officeDocument/2006/relationships/image" Target="media/image63.png"/><Relationship Id="rId80" Type="http://schemas.openxmlformats.org/officeDocument/2006/relationships/image" Target="media/image62.png"/><Relationship Id="rId8" Type="http://schemas.openxmlformats.org/officeDocument/2006/relationships/footer" Target="footer6.xml"/><Relationship Id="rId79" Type="http://schemas.openxmlformats.org/officeDocument/2006/relationships/image" Target="media/image61.png"/><Relationship Id="rId78" Type="http://schemas.openxmlformats.org/officeDocument/2006/relationships/image" Target="media/image60.png"/><Relationship Id="rId77" Type="http://schemas.openxmlformats.org/officeDocument/2006/relationships/image" Target="media/image59.png"/><Relationship Id="rId76" Type="http://schemas.openxmlformats.org/officeDocument/2006/relationships/image" Target="media/image58.png"/><Relationship Id="rId75" Type="http://schemas.openxmlformats.org/officeDocument/2006/relationships/image" Target="media/image57.png"/><Relationship Id="rId74" Type="http://schemas.openxmlformats.org/officeDocument/2006/relationships/image" Target="media/image56.png"/><Relationship Id="rId73" Type="http://schemas.openxmlformats.org/officeDocument/2006/relationships/image" Target="media/image55.png"/><Relationship Id="rId72" Type="http://schemas.openxmlformats.org/officeDocument/2006/relationships/image" Target="media/image54.png"/><Relationship Id="rId71" Type="http://schemas.openxmlformats.org/officeDocument/2006/relationships/image" Target="media/image53.png"/><Relationship Id="rId70" Type="http://schemas.openxmlformats.org/officeDocument/2006/relationships/image" Target="media/image52.png"/><Relationship Id="rId7" Type="http://schemas.openxmlformats.org/officeDocument/2006/relationships/footer" Target="footer5.xml"/><Relationship Id="rId69" Type="http://schemas.openxmlformats.org/officeDocument/2006/relationships/image" Target="media/image51.png"/><Relationship Id="rId68" Type="http://schemas.openxmlformats.org/officeDocument/2006/relationships/image" Target="media/image50.png"/><Relationship Id="rId67" Type="http://schemas.openxmlformats.org/officeDocument/2006/relationships/image" Target="media/image49.png"/><Relationship Id="rId66" Type="http://schemas.openxmlformats.org/officeDocument/2006/relationships/image" Target="media/image48.png"/><Relationship Id="rId65" Type="http://schemas.openxmlformats.org/officeDocument/2006/relationships/image" Target="media/image47.png"/><Relationship Id="rId64" Type="http://schemas.openxmlformats.org/officeDocument/2006/relationships/image" Target="media/image46.png"/><Relationship Id="rId63" Type="http://schemas.openxmlformats.org/officeDocument/2006/relationships/image" Target="media/image45.png"/><Relationship Id="rId62" Type="http://schemas.openxmlformats.org/officeDocument/2006/relationships/image" Target="media/image44.png"/><Relationship Id="rId61" Type="http://schemas.openxmlformats.org/officeDocument/2006/relationships/image" Target="media/image43.png"/><Relationship Id="rId60" Type="http://schemas.openxmlformats.org/officeDocument/2006/relationships/image" Target="media/image42.png"/><Relationship Id="rId6" Type="http://schemas.openxmlformats.org/officeDocument/2006/relationships/footer" Target="footer4.xml"/><Relationship Id="rId59" Type="http://schemas.openxmlformats.org/officeDocument/2006/relationships/image" Target="media/image41.png"/><Relationship Id="rId58" Type="http://schemas.openxmlformats.org/officeDocument/2006/relationships/image" Target="media/image40.png"/><Relationship Id="rId57" Type="http://schemas.openxmlformats.org/officeDocument/2006/relationships/image" Target="media/image39.png"/><Relationship Id="rId56" Type="http://schemas.openxmlformats.org/officeDocument/2006/relationships/image" Target="media/image38.jpeg"/><Relationship Id="rId55" Type="http://schemas.openxmlformats.org/officeDocument/2006/relationships/image" Target="media/image37.png"/><Relationship Id="rId54" Type="http://schemas.openxmlformats.org/officeDocument/2006/relationships/image" Target="media/image36.png"/><Relationship Id="rId53" Type="http://schemas.openxmlformats.org/officeDocument/2006/relationships/image" Target="media/image35.png"/><Relationship Id="rId52" Type="http://schemas.openxmlformats.org/officeDocument/2006/relationships/image" Target="media/image34.png"/><Relationship Id="rId51" Type="http://schemas.openxmlformats.org/officeDocument/2006/relationships/image" Target="media/image33.png"/><Relationship Id="rId50" Type="http://schemas.openxmlformats.org/officeDocument/2006/relationships/image" Target="media/image32.png"/><Relationship Id="rId5" Type="http://schemas.openxmlformats.org/officeDocument/2006/relationships/footer" Target="footer3.xml"/><Relationship Id="rId49" Type="http://schemas.openxmlformats.org/officeDocument/2006/relationships/image" Target="media/image31.png"/><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png"/><Relationship Id="rId45" Type="http://schemas.openxmlformats.org/officeDocument/2006/relationships/image" Target="media/image27.jpeg"/><Relationship Id="rId44" Type="http://schemas.openxmlformats.org/officeDocument/2006/relationships/image" Target="media/image26.jpeg"/><Relationship Id="rId43" Type="http://schemas.openxmlformats.org/officeDocument/2006/relationships/image" Target="media/image25.jpeg"/><Relationship Id="rId42" Type="http://schemas.openxmlformats.org/officeDocument/2006/relationships/image" Target="media/image24.jpeg"/><Relationship Id="rId41" Type="http://schemas.openxmlformats.org/officeDocument/2006/relationships/image" Target="media/image23.jpeg"/><Relationship Id="rId40" Type="http://schemas.openxmlformats.org/officeDocument/2006/relationships/image" Target="media/image22.jpeg"/><Relationship Id="rId4" Type="http://schemas.openxmlformats.org/officeDocument/2006/relationships/footer" Target="footer2.xml"/><Relationship Id="rId39" Type="http://schemas.openxmlformats.org/officeDocument/2006/relationships/image" Target="media/image21.jpeg"/><Relationship Id="rId38" Type="http://schemas.openxmlformats.org/officeDocument/2006/relationships/image" Target="media/image20.wmf"/><Relationship Id="rId37" Type="http://schemas.openxmlformats.org/officeDocument/2006/relationships/oleObject" Target="embeddings/oleObject8.bin"/><Relationship Id="rId36" Type="http://schemas.openxmlformats.org/officeDocument/2006/relationships/image" Target="media/image19.wmf"/><Relationship Id="rId35" Type="http://schemas.openxmlformats.org/officeDocument/2006/relationships/oleObject" Target="embeddings/oleObject7.bin"/><Relationship Id="rId34" Type="http://schemas.openxmlformats.org/officeDocument/2006/relationships/image" Target="media/image18.wmf"/><Relationship Id="rId33" Type="http://schemas.openxmlformats.org/officeDocument/2006/relationships/oleObject" Target="embeddings/oleObject6.bin"/><Relationship Id="rId32" Type="http://schemas.openxmlformats.org/officeDocument/2006/relationships/image" Target="media/image17.wmf"/><Relationship Id="rId31" Type="http://schemas.openxmlformats.org/officeDocument/2006/relationships/oleObject" Target="embeddings/oleObject5.bin"/><Relationship Id="rId30" Type="http://schemas.openxmlformats.org/officeDocument/2006/relationships/image" Target="media/image16.wmf"/><Relationship Id="rId3" Type="http://schemas.openxmlformats.org/officeDocument/2006/relationships/footer" Target="footer1.xml"/><Relationship Id="rId29" Type="http://schemas.openxmlformats.org/officeDocument/2006/relationships/oleObject" Target="embeddings/oleObject4.bin"/><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wmf"/><Relationship Id="rId25" Type="http://schemas.openxmlformats.org/officeDocument/2006/relationships/image" Target="media/image12.png"/><Relationship Id="rId24" Type="http://schemas.openxmlformats.org/officeDocument/2006/relationships/image" Target="media/image11.emf"/><Relationship Id="rId23" Type="http://schemas.openxmlformats.org/officeDocument/2006/relationships/oleObject" Target="embeddings/oleObject3.bin"/><Relationship Id="rId22" Type="http://schemas.openxmlformats.org/officeDocument/2006/relationships/image" Target="media/image10.emf"/><Relationship Id="rId21" Type="http://schemas.openxmlformats.org/officeDocument/2006/relationships/oleObject" Target="embeddings/oleObject2.bin"/><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emf"/><Relationship Id="rId18" Type="http://schemas.openxmlformats.org/officeDocument/2006/relationships/oleObject" Target="embeddings/oleObject1.bin"/><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jpe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1EBA72F-05F2-4365-936A-A55D7DE9940E}">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120</Pages>
  <Words>34575</Words>
  <Characters>39982</Characters>
  <Lines>277</Lines>
  <Paragraphs>78</Paragraphs>
  <TotalTime>12</TotalTime>
  <ScaleCrop>false</ScaleCrop>
  <LinksUpToDate>false</LinksUpToDate>
  <CharactersWithSpaces>40326</CharactersWithSpaces>
  <Application>WPS Office_11.1.0.11636_F1E327BC-269C-435d-A152-05C5408002CA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2022-03-27T15:05:00Z</dcterms:created>
  <dc:creator>lhj</dc:creator>
  <cp:lastModifiedBy>往事随风</cp:lastModifiedBy>
  <cp:lastPrinted>2022-04-06T07:58:00Z</cp:lastPrinted>
  <dcterms:modified xsi:type="dcterms:W3CDTF">2022-05-12T02:49:16Z</dcterms:modified>
  <dc:title>附件2</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2052-11.1.0.11636</vt:lpwstr>
  </property>
  <property fmtid="{D5CDD505-2E9C-101B-9397-08002B2CF9AE}" pid="3" name="ICV">
    <vt:lpwstr>FF6A0044A4A74247BA2ECB6C2871911A</vt:lpwstr>
  </property>
</Properties>
</file>